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20BC" w:rsidRPr="002A20BC" w:rsidRDefault="002A20BC" w:rsidP="002A20BC">
      <w:pPr>
        <w:spacing w:after="0" w:line="240" w:lineRule="auto"/>
        <w:jc w:val="both"/>
        <w:rPr>
          <w:rFonts w:ascii="Arial" w:eastAsia="Times New Roman" w:hAnsi="Arial" w:cs="Arial"/>
          <w:b/>
          <w:lang w:eastAsia="es-CO"/>
        </w:rPr>
      </w:pPr>
      <w:r w:rsidRPr="002A20BC">
        <w:rPr>
          <w:rFonts w:ascii="Arial" w:eastAsia="Times New Roman" w:hAnsi="Arial" w:cs="Arial"/>
          <w:b/>
          <w:color w:val="FF0000"/>
          <w:lang w:eastAsia="es-CO"/>
        </w:rPr>
        <w:t>Anexo 12</w:t>
      </w:r>
      <w:proofErr w:type="gramStart"/>
      <w:r>
        <w:rPr>
          <w:rFonts w:ascii="Arial" w:eastAsia="Times New Roman" w:hAnsi="Arial" w:cs="Arial"/>
          <w:b/>
          <w:lang w:eastAsia="es-CO"/>
        </w:rPr>
        <w:t xml:space="preserve">- </w:t>
      </w:r>
      <w:r w:rsidRPr="002A20BC">
        <w:rPr>
          <w:rFonts w:ascii="Arial" w:eastAsia="Times New Roman" w:hAnsi="Arial" w:cs="Arial"/>
          <w:b/>
          <w:lang w:eastAsia="es-CO"/>
        </w:rPr>
        <w:t xml:space="preserve"> </w:t>
      </w:r>
      <w:r w:rsidRPr="002A20BC">
        <w:rPr>
          <w:rFonts w:ascii="Arial" w:eastAsia="Times New Roman" w:hAnsi="Arial" w:cs="Arial"/>
          <w:b/>
          <w:lang w:eastAsia="es-CO"/>
        </w:rPr>
        <w:t>Garantías</w:t>
      </w:r>
      <w:proofErr w:type="gramEnd"/>
      <w:r w:rsidRPr="002A20BC">
        <w:rPr>
          <w:rFonts w:ascii="Arial" w:eastAsia="Times New Roman" w:hAnsi="Arial" w:cs="Arial"/>
          <w:b/>
          <w:lang w:eastAsia="es-CO"/>
        </w:rPr>
        <w:t xml:space="preserve"> </w:t>
      </w:r>
      <w:r>
        <w:rPr>
          <w:rFonts w:ascii="Arial" w:eastAsia="Times New Roman" w:hAnsi="Arial" w:cs="Arial"/>
          <w:b/>
          <w:lang w:eastAsia="es-CO"/>
        </w:rPr>
        <w:t>q</w:t>
      </w:r>
      <w:r w:rsidRPr="002A20BC">
        <w:rPr>
          <w:rFonts w:ascii="Arial" w:eastAsia="Times New Roman" w:hAnsi="Arial" w:cs="Arial"/>
          <w:b/>
          <w:lang w:eastAsia="es-CO"/>
        </w:rPr>
        <w:t xml:space="preserve">ue La Entidad Estatal </w:t>
      </w:r>
      <w:r>
        <w:rPr>
          <w:rFonts w:ascii="Arial" w:eastAsia="Times New Roman" w:hAnsi="Arial" w:cs="Arial"/>
          <w:b/>
          <w:lang w:eastAsia="es-CO"/>
        </w:rPr>
        <w:t>e</w:t>
      </w:r>
      <w:r w:rsidRPr="002A20BC">
        <w:rPr>
          <w:rFonts w:ascii="Arial" w:eastAsia="Times New Roman" w:hAnsi="Arial" w:cs="Arial"/>
          <w:b/>
          <w:lang w:eastAsia="es-CO"/>
        </w:rPr>
        <w:t xml:space="preserve">xigirá </w:t>
      </w:r>
      <w:r>
        <w:rPr>
          <w:rFonts w:ascii="Arial" w:eastAsia="Times New Roman" w:hAnsi="Arial" w:cs="Arial"/>
          <w:b/>
          <w:lang w:eastAsia="es-CO"/>
        </w:rPr>
        <w:t>p</w:t>
      </w:r>
      <w:r w:rsidRPr="002A20BC">
        <w:rPr>
          <w:rFonts w:ascii="Arial" w:eastAsia="Times New Roman" w:hAnsi="Arial" w:cs="Arial"/>
          <w:b/>
          <w:lang w:eastAsia="es-CO"/>
        </w:rPr>
        <w:t xml:space="preserve">ara </w:t>
      </w:r>
      <w:r>
        <w:rPr>
          <w:rFonts w:ascii="Arial" w:eastAsia="Times New Roman" w:hAnsi="Arial" w:cs="Arial"/>
          <w:b/>
          <w:lang w:eastAsia="es-CO"/>
        </w:rPr>
        <w:t>l</w:t>
      </w:r>
      <w:r w:rsidRPr="002A20BC">
        <w:rPr>
          <w:rFonts w:ascii="Arial" w:eastAsia="Times New Roman" w:hAnsi="Arial" w:cs="Arial"/>
          <w:b/>
          <w:lang w:eastAsia="es-CO"/>
        </w:rPr>
        <w:t xml:space="preserve">a </w:t>
      </w:r>
      <w:r>
        <w:rPr>
          <w:rFonts w:ascii="Arial" w:eastAsia="Times New Roman" w:hAnsi="Arial" w:cs="Arial"/>
          <w:b/>
          <w:lang w:eastAsia="es-CO"/>
        </w:rPr>
        <w:t>e</w:t>
      </w:r>
      <w:r w:rsidRPr="002A20BC">
        <w:rPr>
          <w:rFonts w:ascii="Arial" w:eastAsia="Times New Roman" w:hAnsi="Arial" w:cs="Arial"/>
          <w:b/>
          <w:lang w:eastAsia="es-CO"/>
        </w:rPr>
        <w:t xml:space="preserve">jecución </w:t>
      </w:r>
      <w:r>
        <w:rPr>
          <w:rFonts w:ascii="Arial" w:eastAsia="Times New Roman" w:hAnsi="Arial" w:cs="Arial"/>
          <w:b/>
          <w:lang w:eastAsia="es-CO"/>
        </w:rPr>
        <w:t>d</w:t>
      </w:r>
      <w:r w:rsidRPr="002A20BC">
        <w:rPr>
          <w:rFonts w:ascii="Arial" w:eastAsia="Times New Roman" w:hAnsi="Arial" w:cs="Arial"/>
          <w:b/>
          <w:lang w:eastAsia="es-CO"/>
        </w:rPr>
        <w:t xml:space="preserve">el </w:t>
      </w:r>
      <w:r>
        <w:rPr>
          <w:rFonts w:ascii="Arial" w:eastAsia="Times New Roman" w:hAnsi="Arial" w:cs="Arial"/>
          <w:b/>
          <w:lang w:eastAsia="es-CO"/>
        </w:rPr>
        <w:t>c</w:t>
      </w:r>
      <w:r w:rsidRPr="002A20BC">
        <w:rPr>
          <w:rFonts w:ascii="Arial" w:eastAsia="Times New Roman" w:hAnsi="Arial" w:cs="Arial"/>
          <w:b/>
          <w:lang w:eastAsia="es-CO"/>
        </w:rPr>
        <w:t>ontrato</w:t>
      </w:r>
    </w:p>
    <w:p w:rsidR="002A20BC" w:rsidRPr="002A20BC" w:rsidRDefault="002A20BC" w:rsidP="002A20BC">
      <w:pPr>
        <w:spacing w:after="0" w:line="240" w:lineRule="auto"/>
        <w:jc w:val="both"/>
        <w:rPr>
          <w:rFonts w:ascii="Arial" w:eastAsia="Times New Roman" w:hAnsi="Arial" w:cs="Arial"/>
          <w:lang w:eastAsia="es-CO"/>
        </w:rPr>
      </w:pPr>
    </w:p>
    <w:p w:rsidR="002A20BC" w:rsidRPr="002A20BC" w:rsidRDefault="002A20BC" w:rsidP="002A20BC">
      <w:pPr>
        <w:spacing w:after="0" w:line="240" w:lineRule="auto"/>
        <w:ind w:firstLine="705"/>
        <w:jc w:val="both"/>
        <w:textAlignment w:val="baseline"/>
        <w:rPr>
          <w:rFonts w:ascii="Segoe UI" w:eastAsia="Times New Roman" w:hAnsi="Segoe UI" w:cs="Segoe UI"/>
          <w:sz w:val="18"/>
          <w:szCs w:val="18"/>
          <w:lang w:eastAsia="es-CO"/>
        </w:rPr>
      </w:pPr>
      <w:r w:rsidRPr="002A20BC">
        <w:rPr>
          <w:rFonts w:ascii="Arial" w:eastAsia="Times New Roman" w:hAnsi="Arial" w:cs="Arial"/>
          <w:lang w:eastAsia="es-CO"/>
        </w:rPr>
        <w:t> </w:t>
      </w:r>
    </w:p>
    <w:p w:rsidR="002A20BC" w:rsidRPr="002A20BC" w:rsidRDefault="002A20BC" w:rsidP="002A20BC">
      <w:pPr>
        <w:spacing w:after="0" w:line="240" w:lineRule="auto"/>
        <w:textAlignment w:val="baseline"/>
        <w:rPr>
          <w:rFonts w:ascii="Arial" w:eastAsia="Times New Roman" w:hAnsi="Arial" w:cs="Arial"/>
          <w:sz w:val="24"/>
          <w:szCs w:val="24"/>
          <w:lang w:eastAsia="es-CO"/>
        </w:rPr>
      </w:pPr>
      <w:r w:rsidRPr="002A20BC">
        <w:rPr>
          <w:rFonts w:ascii="Arial" w:eastAsia="Times New Roman" w:hAnsi="Arial" w:cs="Arial"/>
          <w:b/>
          <w:lang w:eastAsia="es-CO"/>
        </w:rPr>
        <w:t>LOTE No 1:</w:t>
      </w:r>
      <w:r w:rsidRPr="002A20BC">
        <w:rPr>
          <w:rFonts w:ascii="Arial" w:eastAsia="Times New Roman" w:hAnsi="Arial" w:cs="Arial"/>
          <w:lang w:eastAsia="es-CO"/>
        </w:rPr>
        <w:t> </w:t>
      </w:r>
      <w:r w:rsidRPr="002A20BC">
        <w:rPr>
          <w:rFonts w:ascii="Arial" w:eastAsia="Times New Roman" w:hAnsi="Arial" w:cs="Arial"/>
          <w:color w:val="000000"/>
          <w:sz w:val="20"/>
          <w:szCs w:val="20"/>
          <w:lang w:eastAsia="es-CO"/>
        </w:rPr>
        <w:t xml:space="preserve"> </w:t>
      </w:r>
      <w:r w:rsidRPr="002A20BC">
        <w:rPr>
          <w:rFonts w:ascii="Arial" w:eastAsia="Times New Roman" w:hAnsi="Arial" w:cs="Arial"/>
          <w:color w:val="000000"/>
          <w:sz w:val="20"/>
          <w:szCs w:val="20"/>
          <w:lang w:eastAsia="es-CO"/>
        </w:rPr>
        <w:br/>
      </w:r>
      <w:r w:rsidRPr="002A20BC">
        <w:rPr>
          <w:rFonts w:ascii="Arial" w:eastAsia="Times New Roman" w:hAnsi="Arial" w:cs="Arial"/>
          <w:lang w:eastAsia="es-CO"/>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A0" w:firstRow="1" w:lastRow="0" w:firstColumn="1" w:lastColumn="0" w:noHBand="0" w:noVBand="0"/>
      </w:tblPr>
      <w:tblGrid>
        <w:gridCol w:w="3539"/>
        <w:gridCol w:w="1419"/>
        <w:gridCol w:w="3870"/>
      </w:tblGrid>
      <w:tr w:rsidR="002A20BC" w:rsidRPr="002A20BC" w:rsidTr="002A20BC">
        <w:trPr>
          <w:trHeight w:val="64"/>
        </w:trPr>
        <w:tc>
          <w:tcPr>
            <w:tcW w:w="2004" w:type="pct"/>
            <w:shd w:val="clear" w:color="auto" w:fill="D9D9D9"/>
            <w:vAlign w:val="center"/>
          </w:tcPr>
          <w:p w:rsidR="002A20BC" w:rsidRPr="002A20BC" w:rsidRDefault="002A20BC" w:rsidP="002A20BC">
            <w:pPr>
              <w:spacing w:after="0" w:line="240" w:lineRule="auto"/>
              <w:jc w:val="center"/>
              <w:rPr>
                <w:rFonts w:ascii="Arial" w:eastAsia="Times New Roman" w:hAnsi="Arial" w:cs="Arial"/>
                <w:b/>
                <w:lang w:val="es-ES" w:eastAsia="es-CO"/>
              </w:rPr>
            </w:pPr>
            <w:r w:rsidRPr="002A20BC">
              <w:rPr>
                <w:rFonts w:ascii="Arial" w:eastAsia="Times New Roman" w:hAnsi="Arial" w:cs="Arial"/>
                <w:b/>
                <w:lang w:val="es-ES" w:eastAsia="es-CO"/>
              </w:rPr>
              <w:t>AMPARO</w:t>
            </w:r>
          </w:p>
        </w:tc>
        <w:tc>
          <w:tcPr>
            <w:tcW w:w="803" w:type="pct"/>
            <w:shd w:val="clear" w:color="auto" w:fill="D9D9D9"/>
            <w:vAlign w:val="center"/>
          </w:tcPr>
          <w:p w:rsidR="002A20BC" w:rsidRPr="002A20BC" w:rsidRDefault="002A20BC" w:rsidP="002A20BC">
            <w:pPr>
              <w:spacing w:after="0" w:line="240" w:lineRule="auto"/>
              <w:jc w:val="center"/>
              <w:rPr>
                <w:rFonts w:ascii="Arial" w:eastAsia="Times New Roman" w:hAnsi="Arial" w:cs="Arial"/>
                <w:b/>
                <w:lang w:val="es-ES" w:eastAsia="es-CO"/>
              </w:rPr>
            </w:pPr>
            <w:r w:rsidRPr="002A20BC">
              <w:rPr>
                <w:rFonts w:ascii="Arial" w:eastAsia="Times New Roman" w:hAnsi="Arial" w:cs="Arial"/>
                <w:b/>
                <w:lang w:val="es-ES" w:eastAsia="es-CO"/>
              </w:rPr>
              <w:t>%</w:t>
            </w:r>
          </w:p>
        </w:tc>
        <w:tc>
          <w:tcPr>
            <w:tcW w:w="2192" w:type="pct"/>
            <w:shd w:val="clear" w:color="auto" w:fill="D9D9D9"/>
            <w:vAlign w:val="center"/>
          </w:tcPr>
          <w:p w:rsidR="002A20BC" w:rsidRPr="002A20BC" w:rsidRDefault="002A20BC" w:rsidP="002A20BC">
            <w:pPr>
              <w:spacing w:after="0" w:line="240" w:lineRule="auto"/>
              <w:jc w:val="center"/>
              <w:rPr>
                <w:rFonts w:ascii="Arial" w:eastAsia="Times New Roman" w:hAnsi="Arial" w:cs="Arial"/>
                <w:b/>
                <w:lang w:val="es-ES" w:eastAsia="es-CO"/>
              </w:rPr>
            </w:pPr>
            <w:r w:rsidRPr="002A20BC">
              <w:rPr>
                <w:rFonts w:ascii="Arial" w:eastAsia="Times New Roman" w:hAnsi="Arial" w:cs="Arial"/>
                <w:b/>
                <w:lang w:val="es-ES" w:eastAsia="es-CO"/>
              </w:rPr>
              <w:t>VIGENCIA</w:t>
            </w:r>
          </w:p>
        </w:tc>
      </w:tr>
      <w:tr w:rsidR="002A20BC" w:rsidRPr="002A20BC" w:rsidTr="002A20BC">
        <w:trPr>
          <w:trHeight w:val="262"/>
        </w:trPr>
        <w:tc>
          <w:tcPr>
            <w:tcW w:w="2004" w:type="pct"/>
            <w:shd w:val="clear" w:color="auto" w:fill="FFFFFF"/>
            <w:vAlign w:val="center"/>
          </w:tcPr>
          <w:p w:rsidR="002A20BC" w:rsidRPr="002A20BC" w:rsidRDefault="002A20BC" w:rsidP="002A20BC">
            <w:pPr>
              <w:spacing w:after="0" w:line="240" w:lineRule="auto"/>
              <w:jc w:val="both"/>
              <w:rPr>
                <w:rFonts w:ascii="Arial" w:eastAsia="Times New Roman" w:hAnsi="Arial" w:cs="Arial"/>
                <w:iCs/>
                <w:lang w:val="es-MX" w:eastAsia="es-CO"/>
              </w:rPr>
            </w:pPr>
            <w:r w:rsidRPr="002A20BC">
              <w:rPr>
                <w:rFonts w:ascii="Arial" w:eastAsia="Times New Roman" w:hAnsi="Arial" w:cs="Arial"/>
                <w:color w:val="000000"/>
                <w:bdr w:val="none" w:sz="0" w:space="0" w:color="auto" w:frame="1"/>
                <w:lang w:eastAsia="es-CO"/>
              </w:rPr>
              <w:t>Cumplimiento del contrato</w:t>
            </w:r>
          </w:p>
        </w:tc>
        <w:tc>
          <w:tcPr>
            <w:tcW w:w="803" w:type="pct"/>
            <w:shd w:val="clear" w:color="auto" w:fill="FFFFFF"/>
            <w:vAlign w:val="center"/>
          </w:tcPr>
          <w:p w:rsidR="002A20BC" w:rsidRPr="002A20BC" w:rsidRDefault="002A20BC" w:rsidP="002A20BC">
            <w:pPr>
              <w:spacing w:after="0" w:line="240" w:lineRule="auto"/>
              <w:jc w:val="center"/>
              <w:rPr>
                <w:rFonts w:ascii="Arial" w:eastAsia="Times New Roman" w:hAnsi="Arial" w:cs="Arial"/>
                <w:iCs/>
                <w:lang w:val="es-MX" w:eastAsia="es-CO"/>
              </w:rPr>
            </w:pPr>
            <w:r w:rsidRPr="002A20BC">
              <w:rPr>
                <w:rFonts w:ascii="Arial" w:eastAsia="Times New Roman" w:hAnsi="Arial" w:cs="Arial"/>
                <w:color w:val="000000"/>
                <w:shd w:val="clear" w:color="auto" w:fill="FFFFFF"/>
                <w:lang w:val="es-MX" w:eastAsia="es-CO"/>
              </w:rPr>
              <w:t>20% </w:t>
            </w:r>
          </w:p>
        </w:tc>
        <w:tc>
          <w:tcPr>
            <w:tcW w:w="2192" w:type="pct"/>
            <w:shd w:val="clear" w:color="auto" w:fill="FFFFFF"/>
            <w:vAlign w:val="center"/>
          </w:tcPr>
          <w:p w:rsidR="002A20BC" w:rsidRPr="002A20BC" w:rsidRDefault="002A20BC" w:rsidP="002A20BC">
            <w:pPr>
              <w:spacing w:after="0" w:line="240" w:lineRule="auto"/>
              <w:jc w:val="both"/>
              <w:rPr>
                <w:rFonts w:ascii="Arial" w:eastAsia="Times New Roman" w:hAnsi="Arial" w:cs="Arial"/>
                <w:iCs/>
                <w:lang w:val="es-MX" w:eastAsia="es-CO"/>
              </w:rPr>
            </w:pPr>
            <w:r w:rsidRPr="002A20BC">
              <w:rPr>
                <w:rFonts w:ascii="Arial" w:eastAsia="Times New Roman" w:hAnsi="Arial" w:cs="Arial"/>
                <w:color w:val="000000"/>
                <w:lang w:val="es-MX" w:eastAsia="es-CO"/>
              </w:rPr>
              <w:t xml:space="preserve">Desde la suscripción del contrato y hasta la liquidación </w:t>
            </w:r>
            <w:r>
              <w:rPr>
                <w:rFonts w:ascii="Arial" w:eastAsia="Times New Roman" w:hAnsi="Arial" w:cs="Arial"/>
                <w:color w:val="000000"/>
                <w:lang w:val="es-MX" w:eastAsia="es-CO"/>
              </w:rPr>
              <w:t>d</w:t>
            </w:r>
            <w:r>
              <w:rPr>
                <w:rFonts w:eastAsia="Times New Roman"/>
                <w:lang w:eastAsia="es-CO"/>
              </w:rPr>
              <w:t>el mismo.</w:t>
            </w:r>
          </w:p>
        </w:tc>
      </w:tr>
      <w:tr w:rsidR="002A20BC" w:rsidRPr="002A20BC" w:rsidTr="002A20BC">
        <w:trPr>
          <w:trHeight w:val="262"/>
        </w:trPr>
        <w:tc>
          <w:tcPr>
            <w:tcW w:w="2004" w:type="pct"/>
            <w:tcBorders>
              <w:top w:val="single" w:sz="4" w:space="0" w:color="auto"/>
              <w:left w:val="single" w:sz="4" w:space="0" w:color="auto"/>
              <w:bottom w:val="single" w:sz="4" w:space="0" w:color="auto"/>
              <w:right w:val="single" w:sz="4" w:space="0" w:color="auto"/>
            </w:tcBorders>
            <w:shd w:val="clear" w:color="auto" w:fill="FFFFFF"/>
            <w:vAlign w:val="center"/>
          </w:tcPr>
          <w:p w:rsidR="002A20BC" w:rsidRPr="002A20BC" w:rsidRDefault="002A20BC" w:rsidP="002A20BC">
            <w:pPr>
              <w:spacing w:after="0" w:line="240" w:lineRule="auto"/>
              <w:jc w:val="both"/>
              <w:rPr>
                <w:rFonts w:ascii="Arial" w:eastAsia="Times New Roman" w:hAnsi="Arial" w:cs="Arial"/>
                <w:color w:val="000000"/>
                <w:bdr w:val="none" w:sz="0" w:space="0" w:color="auto" w:frame="1"/>
                <w:lang w:eastAsia="es-CO"/>
              </w:rPr>
            </w:pPr>
            <w:r w:rsidRPr="002A20BC">
              <w:rPr>
                <w:rFonts w:ascii="Arial" w:eastAsia="Times New Roman" w:hAnsi="Arial" w:cs="Arial"/>
                <w:color w:val="000000"/>
                <w:bdr w:val="none" w:sz="0" w:space="0" w:color="auto" w:frame="1"/>
                <w:lang w:eastAsia="es-CO"/>
              </w:rPr>
              <w:t>Calidad del servicio </w:t>
            </w:r>
          </w:p>
        </w:tc>
        <w:tc>
          <w:tcPr>
            <w:tcW w:w="803" w:type="pct"/>
            <w:tcBorders>
              <w:top w:val="single" w:sz="4" w:space="0" w:color="auto"/>
              <w:left w:val="single" w:sz="4" w:space="0" w:color="auto"/>
              <w:bottom w:val="single" w:sz="4" w:space="0" w:color="auto"/>
              <w:right w:val="single" w:sz="4" w:space="0" w:color="auto"/>
            </w:tcBorders>
            <w:shd w:val="clear" w:color="auto" w:fill="FFFFFF"/>
            <w:vAlign w:val="center"/>
          </w:tcPr>
          <w:p w:rsidR="002A20BC" w:rsidRPr="002A20BC" w:rsidRDefault="002A20BC" w:rsidP="002A20BC">
            <w:pPr>
              <w:spacing w:after="0" w:line="240" w:lineRule="auto"/>
              <w:jc w:val="center"/>
              <w:rPr>
                <w:rFonts w:ascii="Arial" w:eastAsia="Times New Roman" w:hAnsi="Arial" w:cs="Arial"/>
                <w:color w:val="000000"/>
                <w:shd w:val="clear" w:color="auto" w:fill="FFFFFF"/>
                <w:lang w:val="es-MX" w:eastAsia="es-CO"/>
              </w:rPr>
            </w:pPr>
            <w:r w:rsidRPr="002A20BC">
              <w:rPr>
                <w:rFonts w:ascii="Arial" w:eastAsia="Times New Roman" w:hAnsi="Arial" w:cs="Arial"/>
                <w:color w:val="000000"/>
                <w:shd w:val="clear" w:color="auto" w:fill="FFFFFF"/>
                <w:lang w:val="es-MX" w:eastAsia="es-CO"/>
              </w:rPr>
              <w:t>20% </w:t>
            </w:r>
          </w:p>
        </w:tc>
        <w:tc>
          <w:tcPr>
            <w:tcW w:w="2192" w:type="pct"/>
            <w:tcBorders>
              <w:top w:val="single" w:sz="4" w:space="0" w:color="auto"/>
              <w:left w:val="single" w:sz="4" w:space="0" w:color="auto"/>
              <w:bottom w:val="single" w:sz="4" w:space="0" w:color="auto"/>
              <w:right w:val="single" w:sz="4" w:space="0" w:color="auto"/>
            </w:tcBorders>
            <w:shd w:val="clear" w:color="auto" w:fill="FFFFFF"/>
            <w:vAlign w:val="center"/>
          </w:tcPr>
          <w:p w:rsidR="002A20BC" w:rsidRPr="002A20BC" w:rsidRDefault="002A20BC" w:rsidP="002A20BC">
            <w:pPr>
              <w:spacing w:after="0" w:line="240" w:lineRule="auto"/>
              <w:jc w:val="both"/>
              <w:rPr>
                <w:rFonts w:ascii="Arial" w:eastAsia="Times New Roman" w:hAnsi="Arial" w:cs="Arial"/>
                <w:color w:val="000000"/>
                <w:lang w:val="es-MX" w:eastAsia="es-CO"/>
              </w:rPr>
            </w:pPr>
            <w:r w:rsidRPr="002A20BC">
              <w:rPr>
                <w:rFonts w:ascii="Arial" w:eastAsia="Times New Roman" w:hAnsi="Arial" w:cs="Arial"/>
                <w:color w:val="000000"/>
                <w:lang w:val="es-MX" w:eastAsia="es-CO"/>
              </w:rPr>
              <w:t>Desde la suscripción del contrato y hasta el plazo de ejecución y 6 meses más. </w:t>
            </w:r>
          </w:p>
        </w:tc>
      </w:tr>
      <w:tr w:rsidR="002A20BC" w:rsidRPr="002A20BC" w:rsidTr="002A20BC">
        <w:trPr>
          <w:trHeight w:val="262"/>
        </w:trPr>
        <w:tc>
          <w:tcPr>
            <w:tcW w:w="2004" w:type="pct"/>
            <w:tcBorders>
              <w:top w:val="single" w:sz="4" w:space="0" w:color="auto"/>
              <w:left w:val="single" w:sz="4" w:space="0" w:color="auto"/>
              <w:bottom w:val="single" w:sz="4" w:space="0" w:color="auto"/>
              <w:right w:val="single" w:sz="4" w:space="0" w:color="auto"/>
            </w:tcBorders>
            <w:shd w:val="clear" w:color="auto" w:fill="FFFFFF"/>
            <w:vAlign w:val="center"/>
          </w:tcPr>
          <w:p w:rsidR="002A20BC" w:rsidRPr="002A20BC" w:rsidRDefault="002A20BC" w:rsidP="002A20BC">
            <w:pPr>
              <w:spacing w:after="0" w:line="240" w:lineRule="auto"/>
              <w:jc w:val="both"/>
              <w:rPr>
                <w:rFonts w:ascii="Arial" w:eastAsia="Times New Roman" w:hAnsi="Arial" w:cs="Arial"/>
                <w:color w:val="000000"/>
                <w:bdr w:val="none" w:sz="0" w:space="0" w:color="auto" w:frame="1"/>
                <w:lang w:eastAsia="es-CO"/>
              </w:rPr>
            </w:pPr>
            <w:r w:rsidRPr="002A20BC">
              <w:rPr>
                <w:rFonts w:ascii="Arial" w:eastAsia="Times New Roman" w:hAnsi="Arial" w:cs="Arial"/>
                <w:color w:val="000000"/>
                <w:bdr w:val="none" w:sz="0" w:space="0" w:color="auto" w:frame="1"/>
                <w:lang w:eastAsia="es-CO"/>
              </w:rPr>
              <w:t>Calidad y correcto funcionamiento de los bienes </w:t>
            </w:r>
          </w:p>
        </w:tc>
        <w:tc>
          <w:tcPr>
            <w:tcW w:w="803" w:type="pct"/>
            <w:tcBorders>
              <w:top w:val="single" w:sz="4" w:space="0" w:color="auto"/>
              <w:left w:val="single" w:sz="4" w:space="0" w:color="auto"/>
              <w:bottom w:val="single" w:sz="4" w:space="0" w:color="auto"/>
              <w:right w:val="single" w:sz="4" w:space="0" w:color="auto"/>
            </w:tcBorders>
            <w:shd w:val="clear" w:color="auto" w:fill="FFFFFF"/>
            <w:vAlign w:val="center"/>
          </w:tcPr>
          <w:p w:rsidR="002A20BC" w:rsidRPr="002A20BC" w:rsidRDefault="002A20BC" w:rsidP="002A20BC">
            <w:pPr>
              <w:spacing w:after="0" w:line="240" w:lineRule="auto"/>
              <w:jc w:val="center"/>
              <w:rPr>
                <w:rFonts w:ascii="Arial" w:eastAsia="Times New Roman" w:hAnsi="Arial" w:cs="Arial"/>
                <w:color w:val="000000"/>
                <w:shd w:val="clear" w:color="auto" w:fill="FFFFFF"/>
                <w:lang w:val="es-MX" w:eastAsia="es-CO"/>
              </w:rPr>
            </w:pPr>
            <w:r w:rsidRPr="002A20BC">
              <w:rPr>
                <w:rFonts w:ascii="Arial" w:eastAsia="Times New Roman" w:hAnsi="Arial" w:cs="Arial"/>
                <w:color w:val="000000"/>
                <w:shd w:val="clear" w:color="auto" w:fill="FFFFFF"/>
                <w:lang w:val="es-MX" w:eastAsia="es-CO"/>
              </w:rPr>
              <w:t>40% </w:t>
            </w:r>
          </w:p>
        </w:tc>
        <w:tc>
          <w:tcPr>
            <w:tcW w:w="2192" w:type="pct"/>
            <w:tcBorders>
              <w:top w:val="single" w:sz="4" w:space="0" w:color="auto"/>
              <w:left w:val="single" w:sz="4" w:space="0" w:color="auto"/>
              <w:bottom w:val="single" w:sz="4" w:space="0" w:color="auto"/>
              <w:right w:val="single" w:sz="4" w:space="0" w:color="auto"/>
            </w:tcBorders>
            <w:shd w:val="clear" w:color="auto" w:fill="FFFFFF"/>
            <w:vAlign w:val="center"/>
          </w:tcPr>
          <w:p w:rsidR="002A20BC" w:rsidRPr="002A20BC" w:rsidRDefault="002A20BC" w:rsidP="002A20BC">
            <w:pPr>
              <w:spacing w:after="0" w:line="240" w:lineRule="auto"/>
              <w:jc w:val="both"/>
              <w:rPr>
                <w:rFonts w:ascii="Arial" w:eastAsia="Times New Roman" w:hAnsi="Arial" w:cs="Arial"/>
                <w:color w:val="000000"/>
                <w:lang w:val="es-MX" w:eastAsia="es-CO"/>
              </w:rPr>
            </w:pPr>
            <w:r w:rsidRPr="002A20BC">
              <w:rPr>
                <w:rFonts w:ascii="Arial" w:eastAsia="Times New Roman" w:hAnsi="Arial" w:cs="Arial"/>
                <w:color w:val="000000"/>
                <w:lang w:val="es-MX" w:eastAsia="es-CO"/>
              </w:rPr>
              <w:t>A partir del acta de recibo a satisfacción y un (1) año más. </w:t>
            </w:r>
          </w:p>
        </w:tc>
      </w:tr>
      <w:tr w:rsidR="002A20BC" w:rsidRPr="002A20BC" w:rsidTr="002A20BC">
        <w:trPr>
          <w:trHeight w:val="262"/>
        </w:trPr>
        <w:tc>
          <w:tcPr>
            <w:tcW w:w="2004" w:type="pct"/>
            <w:tcBorders>
              <w:top w:val="single" w:sz="4" w:space="0" w:color="auto"/>
              <w:left w:val="single" w:sz="4" w:space="0" w:color="auto"/>
              <w:bottom w:val="single" w:sz="4" w:space="0" w:color="auto"/>
              <w:right w:val="single" w:sz="4" w:space="0" w:color="auto"/>
            </w:tcBorders>
            <w:shd w:val="clear" w:color="auto" w:fill="FFFFFF"/>
            <w:vAlign w:val="center"/>
          </w:tcPr>
          <w:p w:rsidR="002A20BC" w:rsidRPr="002A20BC" w:rsidRDefault="002A20BC" w:rsidP="002A20BC">
            <w:pPr>
              <w:spacing w:after="0" w:line="240" w:lineRule="auto"/>
              <w:jc w:val="both"/>
              <w:rPr>
                <w:rFonts w:ascii="Arial" w:eastAsia="Times New Roman" w:hAnsi="Arial" w:cs="Arial"/>
                <w:color w:val="000000"/>
                <w:bdr w:val="none" w:sz="0" w:space="0" w:color="auto" w:frame="1"/>
                <w:lang w:eastAsia="es-CO"/>
              </w:rPr>
            </w:pPr>
            <w:r w:rsidRPr="002A20BC">
              <w:rPr>
                <w:rFonts w:ascii="Arial" w:eastAsia="Times New Roman" w:hAnsi="Arial" w:cs="Arial"/>
                <w:color w:val="000000"/>
                <w:bdr w:val="none" w:sz="0" w:space="0" w:color="auto" w:frame="1"/>
                <w:lang w:eastAsia="es-CO"/>
              </w:rPr>
              <w:t>Pago de salarios y prestaciones sociales </w:t>
            </w:r>
          </w:p>
        </w:tc>
        <w:tc>
          <w:tcPr>
            <w:tcW w:w="803" w:type="pct"/>
            <w:tcBorders>
              <w:top w:val="single" w:sz="4" w:space="0" w:color="auto"/>
              <w:left w:val="single" w:sz="4" w:space="0" w:color="auto"/>
              <w:bottom w:val="single" w:sz="4" w:space="0" w:color="auto"/>
              <w:right w:val="single" w:sz="4" w:space="0" w:color="auto"/>
            </w:tcBorders>
            <w:shd w:val="clear" w:color="auto" w:fill="FFFFFF"/>
            <w:vAlign w:val="center"/>
          </w:tcPr>
          <w:p w:rsidR="002A20BC" w:rsidRPr="002A20BC" w:rsidRDefault="002A20BC" w:rsidP="002A20BC">
            <w:pPr>
              <w:spacing w:after="0" w:line="240" w:lineRule="auto"/>
              <w:jc w:val="center"/>
              <w:rPr>
                <w:rFonts w:ascii="Arial" w:eastAsia="Times New Roman" w:hAnsi="Arial" w:cs="Arial"/>
                <w:color w:val="000000"/>
                <w:shd w:val="clear" w:color="auto" w:fill="FFFFFF"/>
                <w:lang w:val="es-MX" w:eastAsia="es-CO"/>
              </w:rPr>
            </w:pPr>
            <w:r w:rsidRPr="002A20BC">
              <w:rPr>
                <w:rFonts w:ascii="Arial" w:eastAsia="Times New Roman" w:hAnsi="Arial" w:cs="Arial"/>
                <w:color w:val="000000"/>
                <w:shd w:val="clear" w:color="auto" w:fill="FFFFFF"/>
                <w:lang w:val="es-MX" w:eastAsia="es-CO"/>
              </w:rPr>
              <w:t>15% </w:t>
            </w:r>
          </w:p>
        </w:tc>
        <w:tc>
          <w:tcPr>
            <w:tcW w:w="2192" w:type="pct"/>
            <w:tcBorders>
              <w:top w:val="single" w:sz="4" w:space="0" w:color="auto"/>
              <w:left w:val="single" w:sz="4" w:space="0" w:color="auto"/>
              <w:bottom w:val="single" w:sz="4" w:space="0" w:color="auto"/>
              <w:right w:val="single" w:sz="4" w:space="0" w:color="auto"/>
            </w:tcBorders>
            <w:shd w:val="clear" w:color="auto" w:fill="FFFFFF"/>
            <w:vAlign w:val="center"/>
          </w:tcPr>
          <w:p w:rsidR="002A20BC" w:rsidRPr="002A20BC" w:rsidRDefault="002A20BC" w:rsidP="002A20BC">
            <w:pPr>
              <w:spacing w:after="0" w:line="240" w:lineRule="auto"/>
              <w:jc w:val="both"/>
              <w:rPr>
                <w:rFonts w:ascii="Arial" w:eastAsia="Times New Roman" w:hAnsi="Arial" w:cs="Arial"/>
                <w:color w:val="000000"/>
                <w:lang w:val="es-MX" w:eastAsia="es-CO"/>
              </w:rPr>
            </w:pPr>
            <w:r w:rsidRPr="002A20BC">
              <w:rPr>
                <w:rFonts w:ascii="Arial" w:eastAsia="Times New Roman" w:hAnsi="Arial" w:cs="Arial"/>
                <w:color w:val="000000"/>
                <w:lang w:val="es-MX" w:eastAsia="es-CO"/>
              </w:rPr>
              <w:t>Por el plazo del contrato y 3 años mas </w:t>
            </w:r>
          </w:p>
        </w:tc>
      </w:tr>
      <w:tr w:rsidR="002A20BC" w:rsidRPr="002A20BC" w:rsidTr="002A20BC">
        <w:trPr>
          <w:trHeight w:val="262"/>
        </w:trPr>
        <w:tc>
          <w:tcPr>
            <w:tcW w:w="2004" w:type="pct"/>
            <w:tcBorders>
              <w:top w:val="single" w:sz="4" w:space="0" w:color="auto"/>
              <w:left w:val="single" w:sz="4" w:space="0" w:color="auto"/>
              <w:bottom w:val="single" w:sz="4" w:space="0" w:color="auto"/>
              <w:right w:val="single" w:sz="4" w:space="0" w:color="auto"/>
            </w:tcBorders>
            <w:shd w:val="clear" w:color="auto" w:fill="FFFFFF"/>
            <w:vAlign w:val="center"/>
          </w:tcPr>
          <w:p w:rsidR="002A20BC" w:rsidRPr="002A20BC" w:rsidRDefault="002A20BC" w:rsidP="002A20BC">
            <w:pPr>
              <w:spacing w:after="0" w:line="240" w:lineRule="auto"/>
              <w:jc w:val="both"/>
              <w:rPr>
                <w:rFonts w:ascii="Arial" w:eastAsia="Times New Roman" w:hAnsi="Arial" w:cs="Arial"/>
                <w:color w:val="000000"/>
                <w:bdr w:val="none" w:sz="0" w:space="0" w:color="auto" w:frame="1"/>
                <w:lang w:eastAsia="es-CO"/>
              </w:rPr>
            </w:pPr>
            <w:r w:rsidRPr="002A20BC">
              <w:rPr>
                <w:rFonts w:ascii="Arial" w:eastAsia="Times New Roman" w:hAnsi="Arial" w:cs="Arial"/>
                <w:color w:val="000000"/>
                <w:bdr w:val="none" w:sz="0" w:space="0" w:color="auto" w:frame="1"/>
                <w:lang w:eastAsia="es-CO"/>
              </w:rPr>
              <w:t>Póliza de responsabilidad civil extracontractual </w:t>
            </w:r>
          </w:p>
        </w:tc>
        <w:tc>
          <w:tcPr>
            <w:tcW w:w="803" w:type="pct"/>
            <w:tcBorders>
              <w:top w:val="single" w:sz="4" w:space="0" w:color="auto"/>
              <w:left w:val="single" w:sz="4" w:space="0" w:color="auto"/>
              <w:bottom w:val="single" w:sz="4" w:space="0" w:color="auto"/>
              <w:right w:val="single" w:sz="4" w:space="0" w:color="auto"/>
            </w:tcBorders>
            <w:shd w:val="clear" w:color="auto" w:fill="FFFFFF"/>
            <w:vAlign w:val="center"/>
          </w:tcPr>
          <w:p w:rsidR="002A20BC" w:rsidRPr="002A20BC" w:rsidRDefault="002A20BC" w:rsidP="002A20BC">
            <w:pPr>
              <w:spacing w:after="0" w:line="240" w:lineRule="auto"/>
              <w:jc w:val="center"/>
              <w:rPr>
                <w:rFonts w:ascii="Arial" w:eastAsia="Times New Roman" w:hAnsi="Arial" w:cs="Arial"/>
                <w:color w:val="000000"/>
                <w:shd w:val="clear" w:color="auto" w:fill="FFFFFF"/>
                <w:lang w:val="es-MX" w:eastAsia="es-CO"/>
              </w:rPr>
            </w:pPr>
            <w:r w:rsidRPr="002A20BC">
              <w:rPr>
                <w:rFonts w:ascii="Arial" w:eastAsia="Times New Roman" w:hAnsi="Arial" w:cs="Arial"/>
                <w:color w:val="000000"/>
                <w:shd w:val="clear" w:color="auto" w:fill="FFFFFF"/>
                <w:lang w:val="es-MX" w:eastAsia="es-CO"/>
              </w:rPr>
              <w:t>200 SMMLV </w:t>
            </w:r>
          </w:p>
        </w:tc>
        <w:tc>
          <w:tcPr>
            <w:tcW w:w="2192" w:type="pct"/>
            <w:tcBorders>
              <w:top w:val="single" w:sz="4" w:space="0" w:color="auto"/>
              <w:left w:val="single" w:sz="4" w:space="0" w:color="auto"/>
              <w:bottom w:val="single" w:sz="4" w:space="0" w:color="auto"/>
              <w:right w:val="single" w:sz="4" w:space="0" w:color="auto"/>
            </w:tcBorders>
            <w:shd w:val="clear" w:color="auto" w:fill="FFFFFF"/>
            <w:vAlign w:val="center"/>
          </w:tcPr>
          <w:p w:rsidR="002A20BC" w:rsidRPr="002A20BC" w:rsidRDefault="002A20BC" w:rsidP="002A20BC">
            <w:pPr>
              <w:spacing w:after="0" w:line="240" w:lineRule="auto"/>
              <w:jc w:val="both"/>
              <w:rPr>
                <w:rFonts w:ascii="Arial" w:eastAsia="Times New Roman" w:hAnsi="Arial" w:cs="Arial"/>
                <w:color w:val="000000"/>
                <w:lang w:val="es-MX" w:eastAsia="es-CO"/>
              </w:rPr>
            </w:pPr>
            <w:r w:rsidRPr="002A20BC">
              <w:rPr>
                <w:rFonts w:ascii="Arial" w:eastAsia="Times New Roman" w:hAnsi="Arial" w:cs="Arial"/>
                <w:color w:val="000000"/>
                <w:lang w:val="es-MX" w:eastAsia="es-CO"/>
              </w:rPr>
              <w:t>Desde la suscripción del contrato y hasta el plazo de la ejecución. </w:t>
            </w:r>
          </w:p>
        </w:tc>
      </w:tr>
    </w:tbl>
    <w:p w:rsidR="002A20BC" w:rsidRPr="002A20BC" w:rsidRDefault="002A20BC" w:rsidP="002A20BC">
      <w:pPr>
        <w:spacing w:after="0" w:line="240" w:lineRule="auto"/>
        <w:jc w:val="both"/>
        <w:rPr>
          <w:rFonts w:ascii="Arial" w:eastAsia="Times New Roman" w:hAnsi="Arial" w:cs="Arial"/>
          <w:lang w:eastAsia="es-CO"/>
        </w:rPr>
      </w:pPr>
    </w:p>
    <w:p w:rsidR="002A20BC" w:rsidRPr="002A20BC" w:rsidRDefault="002A20BC" w:rsidP="002A20BC">
      <w:pPr>
        <w:spacing w:after="0" w:line="240" w:lineRule="auto"/>
        <w:jc w:val="both"/>
        <w:textAlignment w:val="baseline"/>
        <w:rPr>
          <w:rFonts w:ascii="Segoe UI" w:eastAsia="Times New Roman" w:hAnsi="Segoe UI" w:cs="Segoe UI"/>
          <w:sz w:val="18"/>
          <w:szCs w:val="18"/>
          <w:lang w:eastAsia="es-CO"/>
        </w:rPr>
      </w:pPr>
      <w:r w:rsidRPr="002A20BC">
        <w:rPr>
          <w:rFonts w:ascii="Arial" w:eastAsia="Times New Roman" w:hAnsi="Arial" w:cs="Arial"/>
          <w:lang w:eastAsia="es-CO"/>
        </w:rPr>
        <w:t> </w:t>
      </w:r>
    </w:p>
    <w:p w:rsidR="002A20BC" w:rsidRPr="002A20BC" w:rsidRDefault="002A20BC" w:rsidP="002A20BC">
      <w:pPr>
        <w:spacing w:after="0" w:line="240" w:lineRule="auto"/>
        <w:textAlignment w:val="baseline"/>
        <w:rPr>
          <w:rFonts w:ascii="Segoe UI" w:eastAsia="Times New Roman" w:hAnsi="Segoe UI" w:cs="Segoe UI"/>
          <w:sz w:val="18"/>
          <w:szCs w:val="18"/>
          <w:lang w:eastAsia="es-CO"/>
        </w:rPr>
      </w:pPr>
      <w:r w:rsidRPr="002A20BC">
        <w:rPr>
          <w:rFonts w:ascii="Arial" w:eastAsia="Times New Roman" w:hAnsi="Arial" w:cs="Arial"/>
          <w:b/>
          <w:lang w:eastAsia="es-CO"/>
        </w:rPr>
        <w:t>LOTE No 2:</w:t>
      </w:r>
      <w:r w:rsidRPr="002A20BC">
        <w:rPr>
          <w:rFonts w:ascii="Arial" w:eastAsia="Times New Roman" w:hAnsi="Arial" w:cs="Arial"/>
          <w:lang w:eastAsia="es-CO"/>
        </w:rPr>
        <w:t> </w:t>
      </w:r>
      <w:r w:rsidRPr="002A20BC">
        <w:rPr>
          <w:rFonts w:ascii="Arial" w:eastAsia="Times New Roman" w:hAnsi="Arial" w:cs="Arial"/>
          <w:color w:val="000000"/>
          <w:sz w:val="20"/>
          <w:szCs w:val="20"/>
          <w:lang w:eastAsia="es-CO"/>
        </w:rPr>
        <w:t> </w:t>
      </w:r>
    </w:p>
    <w:p w:rsidR="002A20BC" w:rsidRPr="002A20BC" w:rsidRDefault="002A20BC" w:rsidP="002A20BC">
      <w:pPr>
        <w:spacing w:after="0" w:line="240" w:lineRule="auto"/>
        <w:jc w:val="both"/>
        <w:rPr>
          <w:rFonts w:ascii="Arial" w:eastAsia="Times New Roman" w:hAnsi="Arial" w:cs="Arial"/>
          <w:lang w:eastAsia="es-CO"/>
        </w:rPr>
      </w:pPr>
    </w:p>
    <w:tbl>
      <w:tblPr>
        <w:tblW w:w="8822"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36"/>
        <w:gridCol w:w="1418"/>
        <w:gridCol w:w="3868"/>
      </w:tblGrid>
      <w:tr w:rsidR="002A20BC" w:rsidRPr="002A20BC" w:rsidTr="002A20BC">
        <w:trPr>
          <w:trHeight w:val="300"/>
        </w:trPr>
        <w:tc>
          <w:tcPr>
            <w:tcW w:w="3536" w:type="dxa"/>
            <w:tcBorders>
              <w:top w:val="single" w:sz="6" w:space="0" w:color="auto"/>
              <w:left w:val="single" w:sz="6" w:space="0" w:color="auto"/>
              <w:bottom w:val="single" w:sz="6" w:space="0" w:color="auto"/>
              <w:right w:val="single" w:sz="6" w:space="0" w:color="auto"/>
            </w:tcBorders>
            <w:shd w:val="clear" w:color="auto" w:fill="D9D9D9"/>
            <w:vAlign w:val="center"/>
            <w:hideMark/>
          </w:tcPr>
          <w:p w:rsidR="002A20BC" w:rsidRPr="002A20BC" w:rsidRDefault="002A20BC" w:rsidP="002A20BC">
            <w:pPr>
              <w:spacing w:after="0" w:line="240" w:lineRule="auto"/>
              <w:jc w:val="center"/>
              <w:textAlignment w:val="baseline"/>
              <w:rPr>
                <w:rFonts w:ascii="Segoe UI" w:eastAsia="Times New Roman" w:hAnsi="Segoe UI" w:cs="Segoe UI"/>
                <w:sz w:val="18"/>
                <w:szCs w:val="18"/>
                <w:lang w:eastAsia="es-CO"/>
              </w:rPr>
            </w:pPr>
            <w:r w:rsidRPr="002A20BC">
              <w:rPr>
                <w:rFonts w:ascii="Arial" w:eastAsia="Times New Roman" w:hAnsi="Arial" w:cs="Arial"/>
                <w:b/>
                <w:bCs/>
                <w:lang w:val="es-ES" w:eastAsia="es-CO"/>
              </w:rPr>
              <w:t>AMPARO</w:t>
            </w:r>
            <w:r w:rsidRPr="002A20BC">
              <w:rPr>
                <w:rFonts w:ascii="Arial" w:eastAsia="Times New Roman" w:hAnsi="Arial" w:cs="Arial"/>
                <w:lang w:eastAsia="es-CO"/>
              </w:rPr>
              <w:t> </w:t>
            </w:r>
          </w:p>
        </w:tc>
        <w:tc>
          <w:tcPr>
            <w:tcW w:w="1418" w:type="dxa"/>
            <w:tcBorders>
              <w:top w:val="single" w:sz="6" w:space="0" w:color="auto"/>
              <w:left w:val="nil"/>
              <w:bottom w:val="single" w:sz="6" w:space="0" w:color="auto"/>
              <w:right w:val="single" w:sz="6" w:space="0" w:color="auto"/>
            </w:tcBorders>
            <w:shd w:val="clear" w:color="auto" w:fill="D9D9D9"/>
            <w:vAlign w:val="center"/>
            <w:hideMark/>
          </w:tcPr>
          <w:p w:rsidR="002A20BC" w:rsidRPr="002A20BC" w:rsidRDefault="002A20BC" w:rsidP="002A20BC">
            <w:pPr>
              <w:spacing w:after="0" w:line="240" w:lineRule="auto"/>
              <w:jc w:val="center"/>
              <w:textAlignment w:val="baseline"/>
              <w:rPr>
                <w:rFonts w:ascii="Segoe UI" w:eastAsia="Times New Roman" w:hAnsi="Segoe UI" w:cs="Segoe UI"/>
                <w:sz w:val="18"/>
                <w:szCs w:val="18"/>
                <w:lang w:eastAsia="es-CO"/>
              </w:rPr>
            </w:pPr>
            <w:r w:rsidRPr="002A20BC">
              <w:rPr>
                <w:rFonts w:ascii="Arial" w:eastAsia="Times New Roman" w:hAnsi="Arial" w:cs="Arial"/>
                <w:b/>
                <w:bCs/>
                <w:lang w:val="es-ES" w:eastAsia="es-CO"/>
              </w:rPr>
              <w:t>%</w:t>
            </w:r>
            <w:r w:rsidRPr="002A20BC">
              <w:rPr>
                <w:rFonts w:ascii="Arial" w:eastAsia="Times New Roman" w:hAnsi="Arial" w:cs="Arial"/>
                <w:lang w:eastAsia="es-CO"/>
              </w:rPr>
              <w:t> </w:t>
            </w:r>
          </w:p>
        </w:tc>
        <w:tc>
          <w:tcPr>
            <w:tcW w:w="3868" w:type="dxa"/>
            <w:tcBorders>
              <w:top w:val="single" w:sz="6" w:space="0" w:color="auto"/>
              <w:left w:val="nil"/>
              <w:bottom w:val="single" w:sz="6" w:space="0" w:color="auto"/>
              <w:right w:val="single" w:sz="6" w:space="0" w:color="auto"/>
            </w:tcBorders>
            <w:shd w:val="clear" w:color="auto" w:fill="D9D9D9"/>
            <w:vAlign w:val="center"/>
            <w:hideMark/>
          </w:tcPr>
          <w:p w:rsidR="002A20BC" w:rsidRPr="002A20BC" w:rsidRDefault="002A20BC" w:rsidP="002A20BC">
            <w:pPr>
              <w:spacing w:after="0" w:line="240" w:lineRule="auto"/>
              <w:jc w:val="center"/>
              <w:textAlignment w:val="baseline"/>
              <w:rPr>
                <w:rFonts w:ascii="Segoe UI" w:eastAsia="Times New Roman" w:hAnsi="Segoe UI" w:cs="Segoe UI"/>
                <w:sz w:val="18"/>
                <w:szCs w:val="18"/>
                <w:lang w:eastAsia="es-CO"/>
              </w:rPr>
            </w:pPr>
            <w:r w:rsidRPr="002A20BC">
              <w:rPr>
                <w:rFonts w:ascii="Arial" w:eastAsia="Times New Roman" w:hAnsi="Arial" w:cs="Arial"/>
                <w:b/>
                <w:bCs/>
                <w:lang w:val="es-ES" w:eastAsia="es-CO"/>
              </w:rPr>
              <w:t>VIGENCIA</w:t>
            </w:r>
            <w:r w:rsidRPr="002A20BC">
              <w:rPr>
                <w:rFonts w:ascii="Arial" w:eastAsia="Times New Roman" w:hAnsi="Arial" w:cs="Arial"/>
                <w:lang w:eastAsia="es-CO"/>
              </w:rPr>
              <w:t> </w:t>
            </w:r>
          </w:p>
        </w:tc>
      </w:tr>
      <w:tr w:rsidR="002A20BC" w:rsidRPr="002A20BC" w:rsidTr="002A20BC">
        <w:trPr>
          <w:trHeight w:val="300"/>
        </w:trPr>
        <w:tc>
          <w:tcPr>
            <w:tcW w:w="3536" w:type="dxa"/>
            <w:tcBorders>
              <w:top w:val="nil"/>
              <w:left w:val="single" w:sz="6" w:space="0" w:color="auto"/>
              <w:bottom w:val="single" w:sz="6" w:space="0" w:color="auto"/>
              <w:right w:val="single" w:sz="6" w:space="0" w:color="auto"/>
            </w:tcBorders>
            <w:shd w:val="clear" w:color="auto" w:fill="FFFFFF"/>
            <w:vAlign w:val="center"/>
            <w:hideMark/>
          </w:tcPr>
          <w:p w:rsidR="002A20BC" w:rsidRPr="002A20BC" w:rsidRDefault="002A20BC" w:rsidP="002A20BC">
            <w:pPr>
              <w:spacing w:after="0" w:line="240" w:lineRule="auto"/>
              <w:jc w:val="both"/>
              <w:textAlignment w:val="baseline"/>
              <w:rPr>
                <w:rFonts w:ascii="Segoe UI" w:eastAsia="Times New Roman" w:hAnsi="Segoe UI" w:cs="Segoe UI"/>
                <w:sz w:val="18"/>
                <w:szCs w:val="18"/>
                <w:lang w:eastAsia="es-CO"/>
              </w:rPr>
            </w:pPr>
            <w:r w:rsidRPr="002A20BC">
              <w:rPr>
                <w:rFonts w:ascii="Arial" w:eastAsia="Times New Roman" w:hAnsi="Arial" w:cs="Arial"/>
                <w:lang w:eastAsia="es-CO"/>
              </w:rPr>
              <w:t>Cumplimiento del contrato </w:t>
            </w:r>
          </w:p>
        </w:tc>
        <w:tc>
          <w:tcPr>
            <w:tcW w:w="1418" w:type="dxa"/>
            <w:tcBorders>
              <w:top w:val="nil"/>
              <w:left w:val="nil"/>
              <w:bottom w:val="single" w:sz="6" w:space="0" w:color="auto"/>
              <w:right w:val="single" w:sz="6" w:space="0" w:color="auto"/>
            </w:tcBorders>
            <w:shd w:val="clear" w:color="auto" w:fill="FFFFFF"/>
            <w:vAlign w:val="center"/>
            <w:hideMark/>
          </w:tcPr>
          <w:p w:rsidR="002A20BC" w:rsidRPr="002A20BC" w:rsidRDefault="002A20BC" w:rsidP="002A20BC">
            <w:pPr>
              <w:spacing w:after="0" w:line="240" w:lineRule="auto"/>
              <w:jc w:val="center"/>
              <w:textAlignment w:val="baseline"/>
              <w:rPr>
                <w:rFonts w:ascii="Segoe UI" w:eastAsia="Times New Roman" w:hAnsi="Segoe UI" w:cs="Segoe UI"/>
                <w:sz w:val="18"/>
                <w:szCs w:val="18"/>
                <w:lang w:eastAsia="es-CO"/>
              </w:rPr>
            </w:pPr>
            <w:r w:rsidRPr="002A20BC">
              <w:rPr>
                <w:rFonts w:ascii="Arial" w:eastAsia="Times New Roman" w:hAnsi="Arial" w:cs="Arial"/>
                <w:lang w:val="es-MX" w:eastAsia="es-CO"/>
              </w:rPr>
              <w:t>20% </w:t>
            </w:r>
            <w:r w:rsidRPr="002A20BC">
              <w:rPr>
                <w:rFonts w:ascii="Arial" w:eastAsia="Times New Roman" w:hAnsi="Arial" w:cs="Arial"/>
                <w:lang w:eastAsia="es-CO"/>
              </w:rPr>
              <w:t> </w:t>
            </w:r>
          </w:p>
        </w:tc>
        <w:tc>
          <w:tcPr>
            <w:tcW w:w="3868" w:type="dxa"/>
            <w:tcBorders>
              <w:top w:val="nil"/>
              <w:left w:val="nil"/>
              <w:bottom w:val="single" w:sz="6" w:space="0" w:color="auto"/>
              <w:right w:val="single" w:sz="6" w:space="0" w:color="auto"/>
            </w:tcBorders>
            <w:shd w:val="clear" w:color="auto" w:fill="FFFFFF"/>
            <w:vAlign w:val="center"/>
            <w:hideMark/>
          </w:tcPr>
          <w:p w:rsidR="002A20BC" w:rsidRPr="002A20BC" w:rsidRDefault="002A20BC" w:rsidP="002A20BC">
            <w:pPr>
              <w:spacing w:after="0" w:line="240" w:lineRule="auto"/>
              <w:jc w:val="both"/>
              <w:textAlignment w:val="baseline"/>
              <w:rPr>
                <w:rFonts w:ascii="Segoe UI" w:eastAsia="Times New Roman" w:hAnsi="Segoe UI" w:cs="Segoe UI"/>
                <w:sz w:val="18"/>
                <w:szCs w:val="18"/>
                <w:lang w:eastAsia="es-CO"/>
              </w:rPr>
            </w:pPr>
            <w:r w:rsidRPr="002A20BC">
              <w:rPr>
                <w:rFonts w:ascii="Arial" w:eastAsia="Times New Roman" w:hAnsi="Arial" w:cs="Arial"/>
                <w:lang w:val="es-MX" w:eastAsia="es-CO"/>
              </w:rPr>
              <w:t>Desde la suscripción del contrato y hasta la liquidación del mismo</w:t>
            </w:r>
            <w:r w:rsidRPr="002A20BC">
              <w:rPr>
                <w:rFonts w:ascii="Arial" w:eastAsia="Times New Roman" w:hAnsi="Arial" w:cs="Arial"/>
                <w:lang w:eastAsia="es-CO"/>
              </w:rPr>
              <w:t> </w:t>
            </w:r>
          </w:p>
        </w:tc>
      </w:tr>
      <w:tr w:rsidR="002A20BC" w:rsidRPr="002A20BC" w:rsidTr="002A20BC">
        <w:trPr>
          <w:trHeight w:val="300"/>
        </w:trPr>
        <w:tc>
          <w:tcPr>
            <w:tcW w:w="3536" w:type="dxa"/>
            <w:tcBorders>
              <w:top w:val="nil"/>
              <w:left w:val="single" w:sz="6" w:space="0" w:color="auto"/>
              <w:bottom w:val="single" w:sz="6" w:space="0" w:color="auto"/>
              <w:right w:val="single" w:sz="6" w:space="0" w:color="auto"/>
            </w:tcBorders>
            <w:shd w:val="clear" w:color="auto" w:fill="FFFFFF"/>
            <w:vAlign w:val="center"/>
            <w:hideMark/>
          </w:tcPr>
          <w:p w:rsidR="002A20BC" w:rsidRPr="002A20BC" w:rsidRDefault="002A20BC" w:rsidP="002A20BC">
            <w:pPr>
              <w:spacing w:after="0" w:line="240" w:lineRule="auto"/>
              <w:jc w:val="both"/>
              <w:textAlignment w:val="baseline"/>
              <w:rPr>
                <w:rFonts w:ascii="Segoe UI" w:eastAsia="Times New Roman" w:hAnsi="Segoe UI" w:cs="Segoe UI"/>
                <w:sz w:val="18"/>
                <w:szCs w:val="18"/>
                <w:lang w:eastAsia="es-CO"/>
              </w:rPr>
            </w:pPr>
            <w:r w:rsidRPr="002A20BC">
              <w:rPr>
                <w:rFonts w:ascii="Arial" w:eastAsia="Times New Roman" w:hAnsi="Arial" w:cs="Arial"/>
                <w:lang w:eastAsia="es-CO"/>
              </w:rPr>
              <w:t>Calidad del servicio </w:t>
            </w:r>
          </w:p>
        </w:tc>
        <w:tc>
          <w:tcPr>
            <w:tcW w:w="1418" w:type="dxa"/>
            <w:tcBorders>
              <w:top w:val="nil"/>
              <w:left w:val="nil"/>
              <w:bottom w:val="single" w:sz="6" w:space="0" w:color="auto"/>
              <w:right w:val="single" w:sz="6" w:space="0" w:color="auto"/>
            </w:tcBorders>
            <w:shd w:val="clear" w:color="auto" w:fill="FFFFFF"/>
            <w:vAlign w:val="center"/>
            <w:hideMark/>
          </w:tcPr>
          <w:p w:rsidR="002A20BC" w:rsidRPr="002A20BC" w:rsidRDefault="002A20BC" w:rsidP="002A20BC">
            <w:pPr>
              <w:spacing w:after="0" w:line="240" w:lineRule="auto"/>
              <w:jc w:val="center"/>
              <w:textAlignment w:val="baseline"/>
              <w:rPr>
                <w:rFonts w:ascii="Segoe UI" w:eastAsia="Times New Roman" w:hAnsi="Segoe UI" w:cs="Segoe UI"/>
                <w:sz w:val="18"/>
                <w:szCs w:val="18"/>
                <w:lang w:eastAsia="es-CO"/>
              </w:rPr>
            </w:pPr>
            <w:r w:rsidRPr="002A20BC">
              <w:rPr>
                <w:rFonts w:ascii="Arial" w:eastAsia="Times New Roman" w:hAnsi="Arial" w:cs="Arial"/>
                <w:lang w:val="es-MX" w:eastAsia="es-CO"/>
              </w:rPr>
              <w:t>20%</w:t>
            </w:r>
            <w:r w:rsidRPr="002A20BC">
              <w:rPr>
                <w:rFonts w:ascii="Arial" w:eastAsia="Times New Roman" w:hAnsi="Arial" w:cs="Arial"/>
                <w:lang w:eastAsia="es-CO"/>
              </w:rPr>
              <w:t> </w:t>
            </w:r>
          </w:p>
        </w:tc>
        <w:tc>
          <w:tcPr>
            <w:tcW w:w="3868" w:type="dxa"/>
            <w:tcBorders>
              <w:top w:val="nil"/>
              <w:left w:val="nil"/>
              <w:bottom w:val="single" w:sz="6" w:space="0" w:color="auto"/>
              <w:right w:val="single" w:sz="6" w:space="0" w:color="auto"/>
            </w:tcBorders>
            <w:shd w:val="clear" w:color="auto" w:fill="FFFFFF"/>
            <w:vAlign w:val="center"/>
            <w:hideMark/>
          </w:tcPr>
          <w:p w:rsidR="002A20BC" w:rsidRPr="002A20BC" w:rsidRDefault="002A20BC" w:rsidP="002A20BC">
            <w:pPr>
              <w:spacing w:after="0" w:line="240" w:lineRule="auto"/>
              <w:jc w:val="both"/>
              <w:textAlignment w:val="baseline"/>
              <w:rPr>
                <w:rFonts w:ascii="Segoe UI" w:eastAsia="Times New Roman" w:hAnsi="Segoe UI" w:cs="Segoe UI"/>
                <w:sz w:val="18"/>
                <w:szCs w:val="18"/>
                <w:lang w:eastAsia="es-CO"/>
              </w:rPr>
            </w:pPr>
            <w:r w:rsidRPr="002A20BC">
              <w:rPr>
                <w:rFonts w:ascii="Arial" w:eastAsia="Times New Roman" w:hAnsi="Arial" w:cs="Arial"/>
                <w:lang w:val="es-MX" w:eastAsia="es-CO"/>
              </w:rPr>
              <w:t>Desde la suscripción del contrato y hasta el plazo de ejecución y 6 meses más.</w:t>
            </w:r>
            <w:r w:rsidRPr="002A20BC">
              <w:rPr>
                <w:rFonts w:ascii="Arial" w:eastAsia="Times New Roman" w:hAnsi="Arial" w:cs="Arial"/>
                <w:lang w:eastAsia="es-CO"/>
              </w:rPr>
              <w:t> </w:t>
            </w:r>
          </w:p>
        </w:tc>
      </w:tr>
      <w:tr w:rsidR="002A20BC" w:rsidRPr="002A20BC" w:rsidTr="002A20BC">
        <w:trPr>
          <w:trHeight w:val="300"/>
        </w:trPr>
        <w:tc>
          <w:tcPr>
            <w:tcW w:w="3536" w:type="dxa"/>
            <w:tcBorders>
              <w:top w:val="nil"/>
              <w:left w:val="single" w:sz="6" w:space="0" w:color="auto"/>
              <w:bottom w:val="single" w:sz="6" w:space="0" w:color="auto"/>
              <w:right w:val="single" w:sz="6" w:space="0" w:color="auto"/>
            </w:tcBorders>
            <w:shd w:val="clear" w:color="auto" w:fill="FFFFFF"/>
            <w:vAlign w:val="center"/>
            <w:hideMark/>
          </w:tcPr>
          <w:p w:rsidR="002A20BC" w:rsidRPr="002A20BC" w:rsidRDefault="002A20BC" w:rsidP="002A20BC">
            <w:pPr>
              <w:spacing w:after="0" w:line="240" w:lineRule="auto"/>
              <w:jc w:val="both"/>
              <w:textAlignment w:val="baseline"/>
              <w:rPr>
                <w:rFonts w:ascii="Segoe UI" w:eastAsia="Times New Roman" w:hAnsi="Segoe UI" w:cs="Segoe UI"/>
                <w:sz w:val="18"/>
                <w:szCs w:val="18"/>
                <w:lang w:eastAsia="es-CO"/>
              </w:rPr>
            </w:pPr>
            <w:r w:rsidRPr="002A20BC">
              <w:rPr>
                <w:rFonts w:ascii="Arial" w:eastAsia="Times New Roman" w:hAnsi="Arial" w:cs="Arial"/>
                <w:lang w:eastAsia="es-CO"/>
              </w:rPr>
              <w:t>Calidad y correcto funcionamiento de los bienes </w:t>
            </w:r>
          </w:p>
        </w:tc>
        <w:tc>
          <w:tcPr>
            <w:tcW w:w="1418" w:type="dxa"/>
            <w:tcBorders>
              <w:top w:val="nil"/>
              <w:left w:val="nil"/>
              <w:bottom w:val="single" w:sz="6" w:space="0" w:color="auto"/>
              <w:right w:val="single" w:sz="6" w:space="0" w:color="auto"/>
            </w:tcBorders>
            <w:shd w:val="clear" w:color="auto" w:fill="FFFFFF"/>
            <w:vAlign w:val="center"/>
            <w:hideMark/>
          </w:tcPr>
          <w:p w:rsidR="002A20BC" w:rsidRPr="002A20BC" w:rsidRDefault="002A20BC" w:rsidP="002A20BC">
            <w:pPr>
              <w:spacing w:after="0" w:line="240" w:lineRule="auto"/>
              <w:jc w:val="center"/>
              <w:textAlignment w:val="baseline"/>
              <w:rPr>
                <w:rFonts w:ascii="Segoe UI" w:eastAsia="Times New Roman" w:hAnsi="Segoe UI" w:cs="Segoe UI"/>
                <w:sz w:val="18"/>
                <w:szCs w:val="18"/>
                <w:lang w:eastAsia="es-CO"/>
              </w:rPr>
            </w:pPr>
            <w:r w:rsidRPr="002A20BC">
              <w:rPr>
                <w:rFonts w:ascii="Arial" w:eastAsia="Times New Roman" w:hAnsi="Arial" w:cs="Arial"/>
                <w:lang w:eastAsia="es-CO"/>
              </w:rPr>
              <w:t>40% </w:t>
            </w:r>
          </w:p>
        </w:tc>
        <w:tc>
          <w:tcPr>
            <w:tcW w:w="3868" w:type="dxa"/>
            <w:tcBorders>
              <w:top w:val="nil"/>
              <w:left w:val="nil"/>
              <w:bottom w:val="single" w:sz="6" w:space="0" w:color="auto"/>
              <w:right w:val="single" w:sz="6" w:space="0" w:color="auto"/>
            </w:tcBorders>
            <w:shd w:val="clear" w:color="auto" w:fill="FFFFFF"/>
            <w:vAlign w:val="center"/>
            <w:hideMark/>
          </w:tcPr>
          <w:p w:rsidR="002A20BC" w:rsidRPr="002A20BC" w:rsidRDefault="002A20BC" w:rsidP="002A20BC">
            <w:pPr>
              <w:spacing w:after="0" w:line="240" w:lineRule="auto"/>
              <w:jc w:val="both"/>
              <w:textAlignment w:val="baseline"/>
              <w:rPr>
                <w:rFonts w:ascii="Segoe UI" w:eastAsia="Times New Roman" w:hAnsi="Segoe UI" w:cs="Segoe UI"/>
                <w:sz w:val="18"/>
                <w:szCs w:val="18"/>
                <w:lang w:eastAsia="es-CO"/>
              </w:rPr>
            </w:pPr>
            <w:r w:rsidRPr="002A20BC">
              <w:rPr>
                <w:rFonts w:ascii="Arial" w:eastAsia="Times New Roman" w:hAnsi="Arial" w:cs="Arial"/>
                <w:lang w:val="es-MX" w:eastAsia="es-CO"/>
              </w:rPr>
              <w:t>A partir del acta de recibo a satisfacción y un (1) año más.</w:t>
            </w:r>
            <w:r w:rsidRPr="002A20BC">
              <w:rPr>
                <w:rFonts w:ascii="Arial" w:eastAsia="Times New Roman" w:hAnsi="Arial" w:cs="Arial"/>
                <w:lang w:eastAsia="es-CO"/>
              </w:rPr>
              <w:t> </w:t>
            </w:r>
          </w:p>
        </w:tc>
      </w:tr>
      <w:tr w:rsidR="002A20BC" w:rsidRPr="002A20BC" w:rsidTr="002A20BC">
        <w:trPr>
          <w:trHeight w:val="300"/>
        </w:trPr>
        <w:tc>
          <w:tcPr>
            <w:tcW w:w="3536" w:type="dxa"/>
            <w:tcBorders>
              <w:top w:val="nil"/>
              <w:left w:val="single" w:sz="6" w:space="0" w:color="auto"/>
              <w:bottom w:val="single" w:sz="6" w:space="0" w:color="auto"/>
              <w:right w:val="single" w:sz="6" w:space="0" w:color="auto"/>
            </w:tcBorders>
            <w:shd w:val="clear" w:color="auto" w:fill="FFFFFF"/>
            <w:vAlign w:val="center"/>
            <w:hideMark/>
          </w:tcPr>
          <w:p w:rsidR="002A20BC" w:rsidRPr="002A20BC" w:rsidRDefault="002A20BC" w:rsidP="002A20BC">
            <w:pPr>
              <w:spacing w:after="0" w:line="240" w:lineRule="auto"/>
              <w:jc w:val="both"/>
              <w:textAlignment w:val="baseline"/>
              <w:rPr>
                <w:rFonts w:ascii="Segoe UI" w:eastAsia="Times New Roman" w:hAnsi="Segoe UI" w:cs="Segoe UI"/>
                <w:sz w:val="18"/>
                <w:szCs w:val="18"/>
                <w:lang w:eastAsia="es-CO"/>
              </w:rPr>
            </w:pPr>
            <w:r w:rsidRPr="002A20BC">
              <w:rPr>
                <w:rFonts w:ascii="Arial" w:eastAsia="Times New Roman" w:hAnsi="Arial" w:cs="Arial"/>
                <w:lang w:eastAsia="es-CO"/>
              </w:rPr>
              <w:t>Pago de salarios y prestaciones sociales </w:t>
            </w:r>
          </w:p>
        </w:tc>
        <w:tc>
          <w:tcPr>
            <w:tcW w:w="1418" w:type="dxa"/>
            <w:tcBorders>
              <w:top w:val="nil"/>
              <w:left w:val="nil"/>
              <w:bottom w:val="single" w:sz="6" w:space="0" w:color="auto"/>
              <w:right w:val="single" w:sz="6" w:space="0" w:color="auto"/>
            </w:tcBorders>
            <w:shd w:val="clear" w:color="auto" w:fill="FFFFFF"/>
            <w:vAlign w:val="center"/>
            <w:hideMark/>
          </w:tcPr>
          <w:p w:rsidR="002A20BC" w:rsidRPr="002A20BC" w:rsidRDefault="002A20BC" w:rsidP="002A20BC">
            <w:pPr>
              <w:spacing w:after="0" w:line="240" w:lineRule="auto"/>
              <w:jc w:val="center"/>
              <w:textAlignment w:val="baseline"/>
              <w:rPr>
                <w:rFonts w:ascii="Segoe UI" w:eastAsia="Times New Roman" w:hAnsi="Segoe UI" w:cs="Segoe UI"/>
                <w:sz w:val="18"/>
                <w:szCs w:val="18"/>
                <w:lang w:eastAsia="es-CO"/>
              </w:rPr>
            </w:pPr>
            <w:r w:rsidRPr="002A20BC">
              <w:rPr>
                <w:rFonts w:ascii="Arial" w:eastAsia="Times New Roman" w:hAnsi="Arial" w:cs="Arial"/>
                <w:lang w:eastAsia="es-CO"/>
              </w:rPr>
              <w:t>15% </w:t>
            </w:r>
          </w:p>
        </w:tc>
        <w:tc>
          <w:tcPr>
            <w:tcW w:w="3868" w:type="dxa"/>
            <w:tcBorders>
              <w:top w:val="nil"/>
              <w:left w:val="nil"/>
              <w:bottom w:val="single" w:sz="6" w:space="0" w:color="auto"/>
              <w:right w:val="single" w:sz="6" w:space="0" w:color="auto"/>
            </w:tcBorders>
            <w:shd w:val="clear" w:color="auto" w:fill="FFFFFF"/>
            <w:vAlign w:val="center"/>
            <w:hideMark/>
          </w:tcPr>
          <w:p w:rsidR="002A20BC" w:rsidRPr="002A20BC" w:rsidRDefault="002A20BC" w:rsidP="002A20BC">
            <w:pPr>
              <w:spacing w:after="0" w:line="240" w:lineRule="auto"/>
              <w:jc w:val="both"/>
              <w:textAlignment w:val="baseline"/>
              <w:rPr>
                <w:rFonts w:ascii="Segoe UI" w:eastAsia="Times New Roman" w:hAnsi="Segoe UI" w:cs="Segoe UI"/>
                <w:sz w:val="18"/>
                <w:szCs w:val="18"/>
                <w:lang w:eastAsia="es-CO"/>
              </w:rPr>
            </w:pPr>
            <w:r w:rsidRPr="002A20BC">
              <w:rPr>
                <w:rFonts w:ascii="Arial" w:eastAsia="Times New Roman" w:hAnsi="Arial" w:cs="Arial"/>
                <w:lang w:val="es-MX" w:eastAsia="es-CO"/>
              </w:rPr>
              <w:t>Por el plazo del contrato y 3 años mas</w:t>
            </w:r>
            <w:r w:rsidRPr="002A20BC">
              <w:rPr>
                <w:rFonts w:ascii="Arial" w:eastAsia="Times New Roman" w:hAnsi="Arial" w:cs="Arial"/>
                <w:lang w:eastAsia="es-CO"/>
              </w:rPr>
              <w:t> </w:t>
            </w:r>
          </w:p>
        </w:tc>
      </w:tr>
    </w:tbl>
    <w:p w:rsidR="002A20BC" w:rsidRPr="002A20BC" w:rsidRDefault="002A20BC" w:rsidP="002A20BC">
      <w:pPr>
        <w:spacing w:after="0" w:line="240" w:lineRule="auto"/>
        <w:jc w:val="both"/>
        <w:rPr>
          <w:rFonts w:ascii="Arial" w:eastAsia="Times New Roman" w:hAnsi="Arial" w:cs="Arial"/>
          <w:lang w:eastAsia="es-CO"/>
        </w:rPr>
      </w:pP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b/>
          <w:bCs/>
          <w:sz w:val="24"/>
          <w:szCs w:val="24"/>
          <w:lang w:eastAsia="es-CO"/>
        </w:rPr>
        <w:t>Cumplimiento de las obligaciones surgidas del contrato estatal: </w:t>
      </w:r>
      <w:r w:rsidRPr="002A20BC">
        <w:rPr>
          <w:rFonts w:ascii="Arial" w:eastAsia="Times New Roman" w:hAnsi="Arial" w:cs="Arial"/>
          <w:sz w:val="24"/>
          <w:szCs w:val="24"/>
          <w:lang w:eastAsia="es-CO"/>
        </w:rPr>
        <w:t>Para garantizar el cumplimiento de las obligaciones surgidas por la ejecución del contrato como: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 </w:t>
      </w:r>
    </w:p>
    <w:p w:rsidR="002A20BC" w:rsidRPr="002A20BC" w:rsidRDefault="002A20BC" w:rsidP="002A20BC">
      <w:pPr>
        <w:numPr>
          <w:ilvl w:val="0"/>
          <w:numId w:val="1"/>
        </w:numPr>
        <w:spacing w:after="0" w:line="240" w:lineRule="auto"/>
        <w:ind w:left="360"/>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El cumplimiento total o parcial del contrato, cuando el incumplimiento es imputable al contratista. </w:t>
      </w:r>
    </w:p>
    <w:p w:rsidR="002A20BC" w:rsidRPr="002A20BC" w:rsidRDefault="002A20BC" w:rsidP="002A20BC">
      <w:pPr>
        <w:numPr>
          <w:ilvl w:val="0"/>
          <w:numId w:val="1"/>
        </w:numPr>
        <w:spacing w:after="0" w:line="240" w:lineRule="auto"/>
        <w:ind w:left="360"/>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El incumplimiento tardío o defectuoso del contrato, cuando el incumplimiento es imputable al contratista.  </w:t>
      </w:r>
    </w:p>
    <w:p w:rsidR="002A20BC" w:rsidRPr="002A20BC" w:rsidRDefault="002A20BC" w:rsidP="002A20BC">
      <w:pPr>
        <w:numPr>
          <w:ilvl w:val="0"/>
          <w:numId w:val="2"/>
        </w:numPr>
        <w:spacing w:after="0" w:line="240" w:lineRule="auto"/>
        <w:ind w:left="360"/>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El pago del valor de las multas y de la cláusula penal pecuniaria.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 </w:t>
      </w:r>
    </w:p>
    <w:p w:rsid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b/>
          <w:bCs/>
          <w:sz w:val="24"/>
          <w:szCs w:val="24"/>
          <w:lang w:eastAsia="es-CO"/>
        </w:rPr>
        <w:t>Calidad del servicio:</w:t>
      </w:r>
      <w:r w:rsidRPr="002A20BC">
        <w:rPr>
          <w:rFonts w:ascii="Arial" w:eastAsia="Times New Roman" w:hAnsi="Arial" w:cs="Arial"/>
          <w:sz w:val="24"/>
          <w:szCs w:val="24"/>
          <w:lang w:eastAsia="es-CO"/>
        </w:rPr>
        <w:t> Con la exigencia del presente amparo según Decreto 1082 de 2015, se garantiza a la entidad contratante Comando Aéreo de Combate No.2 cualquier perjuicio causado por la mala calidad o deficiencias técnicas de los servicios entregados por el contratista a la entidad. </w:t>
      </w:r>
    </w:p>
    <w:p w:rsidR="002A20BC" w:rsidRDefault="002A20BC" w:rsidP="002A20BC">
      <w:pPr>
        <w:spacing w:after="0" w:line="240" w:lineRule="auto"/>
        <w:jc w:val="both"/>
        <w:textAlignment w:val="baseline"/>
        <w:rPr>
          <w:rFonts w:ascii="Arial" w:eastAsia="Times New Roman" w:hAnsi="Arial" w:cs="Arial"/>
          <w:sz w:val="24"/>
          <w:szCs w:val="24"/>
          <w:lang w:eastAsia="es-CO"/>
        </w:rPr>
      </w:pP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b/>
          <w:bCs/>
          <w:sz w:val="24"/>
          <w:szCs w:val="24"/>
          <w:lang w:eastAsia="es-CO"/>
        </w:rPr>
        <w:lastRenderedPageBreak/>
        <w:t>Calidad y correcto funcionamiento de los bienes</w:t>
      </w:r>
      <w:r w:rsidRPr="002A20BC">
        <w:rPr>
          <w:rFonts w:ascii="Arial" w:eastAsia="Times New Roman" w:hAnsi="Arial" w:cs="Arial"/>
          <w:sz w:val="24"/>
          <w:szCs w:val="24"/>
          <w:lang w:eastAsia="es-CO"/>
        </w:rPr>
        <w:t>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El valor asegurado es determinado por la entidad pública contratante, teniendo en cuenta el objeto, el valor, la naturaleza y las obligaciones contenidas en cada contrato. La administración puede fijar libremente la vigencia del amparo, pero el plazo mínimo debe cubrir el lapso en que, de acuerdo con la legislación civil o comercial, el contratista debiera responder por la garantía mínima presunta y por vicios ocultos. </w:t>
      </w:r>
    </w:p>
    <w:p w:rsid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Es obligatorio en los contratos de compraventa y suministro, lo anterior sin perjuicio del análisis del riesgo que realicen las entidades estatales en otro tipo de contratos.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b/>
          <w:bCs/>
          <w:sz w:val="24"/>
          <w:szCs w:val="24"/>
          <w:lang w:eastAsia="es-CO"/>
        </w:rPr>
        <w:t>Pago de salarios y prestaciones sociales:</w:t>
      </w:r>
      <w:r w:rsidRPr="002A20BC">
        <w:rPr>
          <w:rFonts w:ascii="Arial" w:eastAsia="Times New Roman" w:hAnsi="Arial" w:cs="Arial"/>
          <w:sz w:val="24"/>
          <w:szCs w:val="24"/>
          <w:lang w:eastAsia="es-CO"/>
        </w:rPr>
        <w:t>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Decreto 1082 de 2015, Artículo 2.2.1.2.3.1.7.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Tiene por objeto cubrir a la entidad pública asegurada de los perjuicios que se le ocasionen como consecuencia del incumplimiento de las obligaciones laborales del contratista garantizado, frente al personal requerido para la ejecución del contrato amparado.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La aseguradora está obligada a pagar la indemnización de perjuicios, en la medida que se afecte el patrimonio de la entidad asegurada. Por el contrario, bajo el amparo no se pueden pagar las obligaciones laborales que ha incumplido el contratista, si los empleados de este último no le cobran a la administración y ésta última no ha procedido con su reconocimiento, en virtud de lo dispuesto en el artículo 34 del Código Sustantivo del Trabajo.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Debe ser solicitado en los contratos donde se requiera la vinculación de personal para la ejecución del mismo, por ejemplo, los contratos de obra, los contratos de prestación de servicio de aseo y los contratos de vigilancia. </w:t>
      </w:r>
    </w:p>
    <w:p w:rsid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El valor asegurado no podrá ser inferior al cinco por ciento (5%) del valor total del contrato. Debe estar vigente por el plazo del contrato y tres (3) años más, este último periodo corresponde al tiempo que la legislación laboral ha establecido para la prescripción de las acciones judiciales que se encuentran en cabeza de los trabajadores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b/>
          <w:bCs/>
          <w:sz w:val="24"/>
          <w:szCs w:val="24"/>
          <w:lang w:eastAsia="es-CO"/>
        </w:rPr>
        <w:t>Responsabilidad Civil Extracontractual:</w:t>
      </w:r>
      <w:r w:rsidRPr="002A20BC">
        <w:rPr>
          <w:rFonts w:ascii="Arial" w:eastAsia="Times New Roman" w:hAnsi="Arial" w:cs="Arial"/>
          <w:sz w:val="24"/>
          <w:szCs w:val="24"/>
          <w:lang w:eastAsia="es-CO"/>
        </w:rPr>
        <w:t>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Tener en cuenta lo siguiente para la expedición de las garantías, lo establecido en la normatividad.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1. “Decreto 1082 de 2015 - Artículo 2.2.1.2.3.2.3. Exclusiones. La Entidad Estatal solamente admitirá las siguientes exclusiones, en el contrato de seguro que ampara el cumplimiento de los contratos que suscriba, y cualquier otra estipulación que introduzca expresa o tácitamente exclusiones distintas a estas, no producirá efecto alguno:”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a. Causa extraña, esto es la fuerza mayor o caso fortuito, el hecho de un tercero o la culpa exclusiva de la víctima.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b. Daños causados por el contratista a los bienes de la Entidad Estatal no destinados al contrato.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c. Uso indebido o inadecuado o falta de mantenimiento preventivo al que está obligada la Entidad Estatal.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d. El deterioro normal que sufran los bienes entregados con ocasión del contrato garantizado como consecuencia del transcurso del tiempo.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lastRenderedPageBreak/>
        <w:t>2.” Decreto 1082 de 2015 - Art. 2.2.1.2.3.2.5. Improcedencia de la terminación automática y de la facultad de revocación del seguro. La garantía única de cumplimiento expedida a favor de Entidades Estatales no expira por falta de pago de la prima ni puede ser revocada unilateralmente. Se solicita dejar una nota aclaratoria en donde se elimine el párrafo: “Terminación automática del contrato de seguro: la mora en el pago de la prima de la póliza o de los certificados o anexos que se expidan con fundamento en producirán la terminación automática del contrato”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3. “Decreto 1082 de 2015 - Art. 2.2.1.2.3.2.9 Requisitos del seguro de responsabilidad civil extra contractual. Numeral 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  </w:t>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4. “Decreto 1082 de 2015 - Art. 2.2.1.2.3.2.9 Requisitos del seguro de responsabilidad civil extra contractual. Numeral 2. Intervinientes. La Estatal y el contratista deben tener la calidad de asegurado respecto los daños producidos por contratista con ocasión la ejecución del contrato amparado, y serán beneficiarios tanto la Entidad Estatal como los terceros  </w:t>
      </w:r>
    </w:p>
    <w:p w:rsid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Puedan afectados por la responsabilidad del contratista o sus subcontratistas.” A lo que se refiere es:  </w:t>
      </w:r>
    </w:p>
    <w:p w:rsidR="002A20BC" w:rsidRDefault="002A20BC" w:rsidP="002A20BC">
      <w:pPr>
        <w:spacing w:after="0" w:line="240" w:lineRule="auto"/>
        <w:jc w:val="both"/>
        <w:textAlignment w:val="baseline"/>
        <w:rPr>
          <w:rFonts w:ascii="Arial" w:eastAsia="Times New Roman" w:hAnsi="Arial" w:cs="Arial"/>
          <w:sz w:val="24"/>
          <w:szCs w:val="24"/>
          <w:lang w:eastAsia="es-CO"/>
        </w:rPr>
      </w:pPr>
    </w:p>
    <w:p w:rsid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Calibri" w:eastAsia="Times New Roman" w:hAnsi="Calibri" w:cs="Times New Roman"/>
          <w:noProof/>
          <w:lang w:eastAsia="es-CO"/>
        </w:rPr>
        <w:drawing>
          <wp:inline distT="0" distB="0" distL="0" distR="0" wp14:anchorId="55E79AA1" wp14:editId="31240548">
            <wp:extent cx="5438775" cy="676063"/>
            <wp:effectExtent l="0" t="0" r="0" b="0"/>
            <wp:docPr id="1842066891" name="Imagen 1842066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42066891"/>
                    <pic:cNvPicPr/>
                  </pic:nvPicPr>
                  <pic:blipFill>
                    <a:blip r:embed="rId5">
                      <a:extLst>
                        <a:ext uri="{28A0092B-C50C-407E-A947-70E740481C1C}">
                          <a14:useLocalDpi xmlns:a14="http://schemas.microsoft.com/office/drawing/2010/main" val="0"/>
                        </a:ext>
                      </a:extLst>
                    </a:blip>
                    <a:stretch>
                      <a:fillRect/>
                    </a:stretch>
                  </pic:blipFill>
                  <pic:spPr>
                    <a:xfrm>
                      <a:off x="0" y="0"/>
                      <a:ext cx="5497756" cy="683395"/>
                    </a:xfrm>
                    <a:prstGeom prst="rect">
                      <a:avLst/>
                    </a:prstGeom>
                  </pic:spPr>
                </pic:pic>
              </a:graphicData>
            </a:graphic>
          </wp:inline>
        </w:drawing>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 </w:t>
      </w:r>
      <w:bookmarkStart w:id="0" w:name="_GoBack"/>
      <w:bookmarkEnd w:id="0"/>
    </w:p>
    <w:p w:rsid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Arial" w:eastAsia="Times New Roman" w:hAnsi="Arial" w:cs="Arial"/>
          <w:sz w:val="24"/>
          <w:szCs w:val="24"/>
          <w:lang w:eastAsia="es-CO"/>
        </w:rPr>
        <w:t>5. “Decreto 1082 de 2015 - Art. 2.2.1.2.3.2.9 Requisitos del seguro de responsabilidad civil extra contractual. Numeral 3. Amparos. El amparo de responsabilidad civil extracontractual debe los siguientes amparos:  </w:t>
      </w:r>
    </w:p>
    <w:p w:rsidR="002A20BC" w:rsidRDefault="002A20BC" w:rsidP="002A20BC">
      <w:pPr>
        <w:spacing w:after="0" w:line="240" w:lineRule="auto"/>
        <w:jc w:val="both"/>
        <w:textAlignment w:val="baseline"/>
        <w:rPr>
          <w:rFonts w:ascii="Arial" w:eastAsia="Times New Roman" w:hAnsi="Arial" w:cs="Arial"/>
          <w:sz w:val="24"/>
          <w:szCs w:val="24"/>
          <w:lang w:eastAsia="es-CO"/>
        </w:rPr>
      </w:pPr>
    </w:p>
    <w:p w:rsidR="002A20BC" w:rsidRDefault="002A20BC" w:rsidP="002A20BC">
      <w:pPr>
        <w:spacing w:after="0" w:line="240" w:lineRule="auto"/>
        <w:jc w:val="both"/>
        <w:textAlignment w:val="baseline"/>
        <w:rPr>
          <w:rFonts w:ascii="Arial" w:eastAsia="Times New Roman" w:hAnsi="Arial" w:cs="Arial"/>
          <w:sz w:val="24"/>
          <w:szCs w:val="24"/>
          <w:lang w:eastAsia="es-CO"/>
        </w:rPr>
      </w:pPr>
      <w:r w:rsidRPr="002A20BC">
        <w:rPr>
          <w:rFonts w:ascii="Calibri" w:eastAsia="Times New Roman" w:hAnsi="Calibri" w:cs="Times New Roman"/>
          <w:noProof/>
          <w:lang w:eastAsia="es-CO"/>
        </w:rPr>
        <w:drawing>
          <wp:inline distT="0" distB="0" distL="0" distR="0" wp14:anchorId="78506996" wp14:editId="3FEF89AA">
            <wp:extent cx="5486400" cy="2003461"/>
            <wp:effectExtent l="0" t="0" r="0" b="0"/>
            <wp:docPr id="425473070" name="Imagen 42547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5473070"/>
                    <pic:cNvPicPr/>
                  </pic:nvPicPr>
                  <pic:blipFill>
                    <a:blip r:embed="rId6">
                      <a:extLst>
                        <a:ext uri="{28A0092B-C50C-407E-A947-70E740481C1C}">
                          <a14:useLocalDpi xmlns:a14="http://schemas.microsoft.com/office/drawing/2010/main" val="0"/>
                        </a:ext>
                      </a:extLst>
                    </a:blip>
                    <a:stretch>
                      <a:fillRect/>
                    </a:stretch>
                  </pic:blipFill>
                  <pic:spPr>
                    <a:xfrm>
                      <a:off x="0" y="0"/>
                      <a:ext cx="5502768" cy="2009438"/>
                    </a:xfrm>
                    <a:prstGeom prst="rect">
                      <a:avLst/>
                    </a:prstGeom>
                  </pic:spPr>
                </pic:pic>
              </a:graphicData>
            </a:graphic>
          </wp:inline>
        </w:drawing>
      </w:r>
    </w:p>
    <w:p w:rsidR="002A20BC" w:rsidRPr="002A20BC" w:rsidRDefault="002A20BC" w:rsidP="002A20BC">
      <w:pPr>
        <w:spacing w:after="0" w:line="240" w:lineRule="auto"/>
        <w:jc w:val="both"/>
        <w:textAlignment w:val="baseline"/>
        <w:rPr>
          <w:rFonts w:ascii="Arial" w:eastAsia="Times New Roman" w:hAnsi="Arial" w:cs="Arial"/>
          <w:sz w:val="24"/>
          <w:szCs w:val="24"/>
          <w:lang w:eastAsia="es-CO"/>
        </w:rPr>
      </w:pPr>
    </w:p>
    <w:p w:rsidR="00FB52A7" w:rsidRDefault="00FB52A7"/>
    <w:sectPr w:rsidR="00FB52A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F5E48"/>
    <w:multiLevelType w:val="multilevel"/>
    <w:tmpl w:val="7C4C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2800AF"/>
    <w:multiLevelType w:val="multilevel"/>
    <w:tmpl w:val="ED9E86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D5F5262"/>
    <w:multiLevelType w:val="multilevel"/>
    <w:tmpl w:val="5F362F4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521A00E1"/>
    <w:multiLevelType w:val="multilevel"/>
    <w:tmpl w:val="B9E8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0BC"/>
    <w:rsid w:val="002A20BC"/>
    <w:rsid w:val="00A330EA"/>
    <w:rsid w:val="00EA5D21"/>
    <w:rsid w:val="00FA3E6B"/>
    <w:rsid w:val="00FB52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1F8E9"/>
  <w15:chartTrackingRefBased/>
  <w15:docId w15:val="{963A6513-2CEF-4087-AFF3-FAE59F6AE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1004</Words>
  <Characters>5523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TS21. GLORIA MYRIAM AVILA REINA</dc:creator>
  <cp:keywords/>
  <dc:description/>
  <cp:lastModifiedBy>TS21. GLORIA MYRIAM AVILA REINA</cp:lastModifiedBy>
  <cp:revision>1</cp:revision>
  <dcterms:created xsi:type="dcterms:W3CDTF">2021-05-18T12:20:00Z</dcterms:created>
  <dcterms:modified xsi:type="dcterms:W3CDTF">2021-05-18T12:30:00Z</dcterms:modified>
</cp:coreProperties>
</file>