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ACE3D" w14:textId="66FF2142" w:rsidR="0077727E" w:rsidRPr="00C54F77" w:rsidRDefault="0077727E" w:rsidP="0077727E">
      <w:pPr>
        <w:jc w:val="center"/>
        <w:rPr>
          <w:rFonts w:ascii="Arial" w:hAnsi="Arial" w:cs="Arial"/>
          <w:b/>
          <w:sz w:val="20"/>
          <w:szCs w:val="20"/>
        </w:rPr>
      </w:pPr>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7C702A">
      <w:pPr>
        <w:rPr>
          <w:rFonts w:ascii="Arial" w:hAnsi="Arial" w:cs="Arial"/>
          <w:sz w:val="20"/>
          <w:szCs w:val="20"/>
          <w:lang w:val="es-ES_tradnl" w:eastAsia="es-CO"/>
        </w:rPr>
      </w:pPr>
    </w:p>
    <w:p w14:paraId="09226901" w14:textId="77777777" w:rsidR="0058222E" w:rsidRPr="00C54F77" w:rsidRDefault="0058222E" w:rsidP="007C702A">
      <w:pPr>
        <w:rPr>
          <w:rFonts w:ascii="Arial" w:hAnsi="Arial" w:cs="Arial"/>
          <w:sz w:val="20"/>
          <w:szCs w:val="20"/>
          <w:lang w:val="es-ES_tradnl" w:eastAsia="es-CO"/>
        </w:rPr>
      </w:pPr>
    </w:p>
    <w:p w14:paraId="0822FEEB" w14:textId="6182B411"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Para el presente proceso contractual, en atención </w:t>
      </w:r>
      <w:r w:rsidR="00B81B1F" w:rsidRPr="00C54F77">
        <w:rPr>
          <w:rFonts w:ascii="Arial" w:hAnsi="Arial" w:cs="Arial"/>
          <w:sz w:val="20"/>
          <w:szCs w:val="20"/>
          <w:lang w:val="es-ES_tradnl" w:eastAsia="es-CO"/>
        </w:rPr>
        <w:t>a la</w:t>
      </w:r>
      <w:r w:rsidRPr="00C54F77">
        <w:rPr>
          <w:rFonts w:ascii="Arial" w:hAnsi="Arial" w:cs="Arial"/>
          <w:sz w:val="20"/>
          <w:szCs w:val="20"/>
          <w:lang w:val="es-ES_tradnl" w:eastAsia="es-CO"/>
        </w:rPr>
        <w:t xml:space="preserve"> Ley 1150 de 2007 y los artículos 2.2.1.1.1.3.1 y 2.2.1.1.1.6.</w:t>
      </w:r>
      <w:r w:rsidR="00B81B1F" w:rsidRPr="00C54F77">
        <w:rPr>
          <w:rFonts w:ascii="Arial" w:hAnsi="Arial" w:cs="Arial"/>
          <w:sz w:val="20"/>
          <w:szCs w:val="20"/>
          <w:lang w:val="es-ES_tradnl" w:eastAsia="es-CO"/>
        </w:rPr>
        <w:t>3. del</w:t>
      </w:r>
      <w:r w:rsidRPr="00C54F77">
        <w:rPr>
          <w:rFonts w:ascii="Arial" w:hAnsi="Arial" w:cs="Arial"/>
          <w:sz w:val="20"/>
          <w:szCs w:val="20"/>
          <w:lang w:val="es-ES_tradnl" w:eastAsia="es-CO"/>
        </w:rPr>
        <w:t xml:space="preserve"> Decreto </w:t>
      </w:r>
      <w:r w:rsidR="00B81B1F" w:rsidRPr="00C54F77">
        <w:rPr>
          <w:rFonts w:ascii="Arial" w:hAnsi="Arial" w:cs="Arial"/>
          <w:sz w:val="20"/>
          <w:szCs w:val="20"/>
          <w:lang w:val="es-ES_tradnl" w:eastAsia="es-CO"/>
        </w:rPr>
        <w:t>1082 de</w:t>
      </w:r>
      <w:r w:rsidR="006E6D9B" w:rsidRPr="00C54F77">
        <w:rPr>
          <w:rFonts w:ascii="Arial" w:hAnsi="Arial" w:cs="Arial"/>
          <w:sz w:val="20"/>
          <w:szCs w:val="20"/>
          <w:lang w:val="es-ES_tradnl" w:eastAsia="es-CO"/>
        </w:rPr>
        <w:t xml:space="preserve"> 2015, entiéndase por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iesgo</w:t>
      </w:r>
      <w:r w:rsidR="006E6D9B" w:rsidRPr="00C54F77">
        <w:rPr>
          <w:rFonts w:ascii="Arial" w:hAnsi="Arial" w:cs="Arial"/>
          <w:sz w:val="20"/>
          <w:szCs w:val="20"/>
          <w:lang w:val="es-ES_tradnl" w:eastAsia="es-CO"/>
        </w:rPr>
        <w:t xml:space="preserve"> </w:t>
      </w:r>
      <w:r w:rsidRPr="00C54F77">
        <w:rPr>
          <w:rFonts w:ascii="Arial" w:hAnsi="Arial" w:cs="Arial"/>
          <w:sz w:val="20"/>
          <w:szCs w:val="20"/>
          <w:lang w:val="es-ES_tradnl" w:eastAsia="es-CO"/>
        </w:rPr>
        <w:t xml:space="preserve">la probabilidad de ocurrencia de eventos aleatorios que afecten el desarrollo </w:t>
      </w:r>
      <w:proofErr w:type="gramStart"/>
      <w:r w:rsidRPr="00C54F77">
        <w:rPr>
          <w:rFonts w:ascii="Arial" w:hAnsi="Arial" w:cs="Arial"/>
          <w:sz w:val="20"/>
          <w:szCs w:val="20"/>
          <w:lang w:val="es-ES_tradnl" w:eastAsia="es-CO"/>
        </w:rPr>
        <w:t>del mismo</w:t>
      </w:r>
      <w:proofErr w:type="gramEnd"/>
      <w:r w:rsidRPr="00C54F77">
        <w:rPr>
          <w:rFonts w:ascii="Arial" w:hAnsi="Arial" w:cs="Arial"/>
          <w:sz w:val="20"/>
          <w:szCs w:val="20"/>
          <w:lang w:val="es-ES_tradnl" w:eastAsia="es-CO"/>
        </w:rPr>
        <w:t xml:space="preserve">, generando una variación sobre el resultado esperado, tanto en relación con los costos </w:t>
      </w:r>
      <w:r w:rsidR="00B81B1F" w:rsidRPr="00C54F77">
        <w:rPr>
          <w:rFonts w:ascii="Arial" w:hAnsi="Arial" w:cs="Arial"/>
          <w:sz w:val="20"/>
          <w:szCs w:val="20"/>
          <w:lang w:val="es-ES_tradnl" w:eastAsia="es-CO"/>
        </w:rPr>
        <w:t>como con</w:t>
      </w:r>
      <w:r w:rsidRPr="00C54F77">
        <w:rPr>
          <w:rFonts w:ascii="Arial" w:hAnsi="Arial" w:cs="Arial"/>
          <w:sz w:val="20"/>
          <w:szCs w:val="20"/>
          <w:lang w:val="es-ES_tradnl" w:eastAsia="es-CO"/>
        </w:rPr>
        <w:t xml:space="preserve"> las actividades a desarrollar en la ejecución contractual.</w:t>
      </w:r>
    </w:p>
    <w:p w14:paraId="419A2FA6" w14:textId="77777777" w:rsidR="00B81B1F" w:rsidRPr="00C54F77" w:rsidRDefault="00B81B1F" w:rsidP="007C702A">
      <w:pPr>
        <w:rPr>
          <w:rFonts w:ascii="Arial" w:hAnsi="Arial" w:cs="Arial"/>
          <w:sz w:val="20"/>
          <w:szCs w:val="20"/>
          <w:lang w:val="es-ES_tradnl" w:eastAsia="es-CO"/>
        </w:rPr>
      </w:pPr>
    </w:p>
    <w:p w14:paraId="5322C892" w14:textId="16D084A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Corresponderá al contratista seleccionado la asunción de</w:t>
      </w:r>
      <w:r w:rsidR="006E6D9B" w:rsidRPr="00C54F77">
        <w:rPr>
          <w:rFonts w:ascii="Arial" w:hAnsi="Arial" w:cs="Arial"/>
          <w:sz w:val="20"/>
          <w:szCs w:val="20"/>
          <w:lang w:val="es-ES_tradnl" w:eastAsia="es-CO"/>
        </w:rPr>
        <w:t xml:space="preserve">l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C54F77" w:rsidRDefault="00B81B1F" w:rsidP="007C702A">
      <w:pPr>
        <w:rPr>
          <w:rFonts w:ascii="Arial" w:hAnsi="Arial" w:cs="Arial"/>
          <w:sz w:val="20"/>
          <w:szCs w:val="20"/>
          <w:lang w:val="es-ES_tradnl" w:eastAsia="es-CO"/>
        </w:rPr>
      </w:pPr>
    </w:p>
    <w:p w14:paraId="4E6FB498" w14:textId="4E0A6F33" w:rsidR="00545461" w:rsidRPr="00C54F77" w:rsidRDefault="006E6D9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De acuerdo con </w:t>
      </w:r>
      <w:r w:rsidR="00AF41A0" w:rsidRPr="00C54F77">
        <w:rPr>
          <w:rFonts w:ascii="Arial" w:hAnsi="Arial" w:cs="Arial"/>
          <w:sz w:val="20"/>
          <w:szCs w:val="20"/>
          <w:lang w:val="es-ES_tradnl" w:eastAsia="es-CO"/>
        </w:rPr>
        <w:t>procedimiento</w:t>
      </w:r>
      <w:r w:rsidR="00545461" w:rsidRPr="00C54F77">
        <w:rPr>
          <w:rFonts w:ascii="Arial" w:hAnsi="Arial" w:cs="Arial"/>
          <w:sz w:val="20"/>
          <w:szCs w:val="20"/>
          <w:lang w:val="es-ES_tradnl" w:eastAsia="es-CO"/>
        </w:rPr>
        <w:t xml:space="preserve"> de la referencia, nos permitimos establecer la tipificación, estimación y asignación de los riesgos previsibles que puedan afectar el presente proce</w:t>
      </w:r>
      <w:r w:rsidR="005849BA" w:rsidRPr="00C54F77">
        <w:rPr>
          <w:rFonts w:ascii="Arial" w:hAnsi="Arial" w:cs="Arial"/>
          <w:sz w:val="20"/>
          <w:szCs w:val="20"/>
          <w:lang w:val="es-ES_tradnl" w:eastAsia="es-CO"/>
        </w:rPr>
        <w:t>dimiento</w:t>
      </w:r>
      <w:r w:rsidR="00545461" w:rsidRPr="00C54F77">
        <w:rPr>
          <w:rFonts w:ascii="Arial" w:hAnsi="Arial" w:cs="Arial"/>
          <w:sz w:val="20"/>
          <w:szCs w:val="20"/>
          <w:lang w:val="es-ES_tradnl" w:eastAsia="es-CO"/>
        </w:rPr>
        <w:t>.</w:t>
      </w:r>
    </w:p>
    <w:p w14:paraId="2E7008F5" w14:textId="77777777" w:rsidR="00545461" w:rsidRPr="00C54F77" w:rsidRDefault="00545461" w:rsidP="007C702A">
      <w:pPr>
        <w:rPr>
          <w:rFonts w:ascii="Arial" w:hAnsi="Arial" w:cs="Arial"/>
          <w:sz w:val="20"/>
          <w:szCs w:val="20"/>
          <w:lang w:val="es-ES_tradnl" w:eastAsia="es-CO"/>
        </w:rPr>
      </w:pPr>
    </w:p>
    <w:p w14:paraId="1B145B66" w14:textId="254DC76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77031AF6" w14:textId="250AF235" w:rsidR="0058222E" w:rsidRPr="00C54F77" w:rsidRDefault="0058222E" w:rsidP="007C702A">
      <w:pPr>
        <w:rPr>
          <w:rFonts w:ascii="Arial" w:hAnsi="Arial" w:cs="Arial"/>
          <w:sz w:val="20"/>
          <w:szCs w:val="20"/>
          <w:lang w:val="es-ES_tradnl" w:eastAsia="es-CO"/>
        </w:rPr>
      </w:pPr>
    </w:p>
    <w:p w14:paraId="2FFAB3E5" w14:textId="396A4E50" w:rsidR="006E6D9B" w:rsidRPr="00C54F77" w:rsidRDefault="006E6D9B" w:rsidP="007C702A">
      <w:pPr>
        <w:rPr>
          <w:rFonts w:ascii="Arial" w:hAnsi="Arial" w:cs="Arial"/>
          <w:sz w:val="20"/>
          <w:szCs w:val="20"/>
          <w:lang w:val="es-ES_tradnl" w:eastAsia="es-CO"/>
        </w:rPr>
      </w:pPr>
      <w:r w:rsidRPr="00C54F77">
        <w:rPr>
          <w:rFonts w:ascii="Arial" w:hAnsi="Arial" w:cs="Arial"/>
          <w:sz w:val="20"/>
          <w:szCs w:val="20"/>
          <w:lang w:val="es-ES_tradnl" w:eastAsia="es-CO"/>
        </w:rPr>
        <w:t>[</w:t>
      </w:r>
      <w:r w:rsidRPr="00C54F77">
        <w:rPr>
          <w:rFonts w:ascii="Arial" w:hAnsi="Arial" w:cs="Arial"/>
          <w:sz w:val="20"/>
          <w:szCs w:val="20"/>
          <w:highlight w:val="lightGray"/>
          <w:lang w:val="es-ES_tradnl" w:eastAsia="es-CO"/>
        </w:rPr>
        <w:t xml:space="preserve">La </w:t>
      </w:r>
      <w:r w:rsidR="002A4809" w:rsidRPr="00C54F77">
        <w:rPr>
          <w:rFonts w:ascii="Arial" w:hAnsi="Arial" w:cs="Arial"/>
          <w:sz w:val="20"/>
          <w:szCs w:val="20"/>
          <w:highlight w:val="lightGray"/>
          <w:lang w:val="es-ES_tradnl" w:eastAsia="es-CO"/>
        </w:rPr>
        <w:t>e</w:t>
      </w:r>
      <w:r w:rsidRPr="00C54F77">
        <w:rPr>
          <w:rFonts w:ascii="Arial" w:hAnsi="Arial" w:cs="Arial"/>
          <w:sz w:val="20"/>
          <w:szCs w:val="20"/>
          <w:highlight w:val="lightGray"/>
          <w:lang w:val="es-ES_tradnl" w:eastAsia="es-CO"/>
        </w:rPr>
        <w:t>ntidad debe diligenciar la Matriz teniendo en cuenta la naturaleza del Contrato</w:t>
      </w:r>
      <w:r w:rsidRPr="00C54F77">
        <w:rPr>
          <w:rFonts w:ascii="Arial" w:hAnsi="Arial" w:cs="Arial"/>
          <w:sz w:val="20"/>
          <w:szCs w:val="20"/>
          <w:lang w:val="es-ES_tradnl" w:eastAsia="es-CO"/>
        </w:rPr>
        <w:t xml:space="preserve">] </w:t>
      </w:r>
    </w:p>
    <w:p w14:paraId="6AE0CF7D" w14:textId="4309164F" w:rsidR="0058222E" w:rsidRPr="00C54F77" w:rsidRDefault="0058222E" w:rsidP="00D70D7B">
      <w:pPr>
        <w:spacing w:after="100" w:afterAutospacing="1"/>
        <w:rPr>
          <w:rFonts w:ascii="Arial" w:eastAsia="SimSun" w:hAnsi="Arial" w:cs="Arial"/>
          <w:b/>
          <w:kern w:val="3"/>
          <w:sz w:val="20"/>
          <w:szCs w:val="20"/>
          <w:u w:val="single"/>
          <w:lang w:eastAsia="zh-CN" w:bidi="hi-IN"/>
        </w:rPr>
      </w:pPr>
    </w:p>
    <w:p w14:paraId="53DA53C9" w14:textId="29A4DC2D" w:rsidR="005E5030" w:rsidRPr="00C54F77" w:rsidRDefault="001246B3" w:rsidP="001246B3">
      <w:pPr>
        <w:rPr>
          <w:rFonts w:ascii="Arial" w:eastAsia="SimSun" w:hAnsi="Arial" w:cs="Arial"/>
          <w:b/>
          <w:kern w:val="3"/>
          <w:sz w:val="20"/>
          <w:szCs w:val="20"/>
          <w:u w:val="single"/>
          <w:lang w:eastAsia="zh-CN" w:bidi="hi-IN"/>
        </w:rPr>
      </w:pPr>
      <w:r w:rsidRPr="00C54F77">
        <w:rPr>
          <w:rFonts w:ascii="Arial" w:hAnsi="Arial" w:cs="Arial"/>
          <w:sz w:val="20"/>
          <w:szCs w:val="20"/>
          <w:lang w:val="es-ES_tradnl" w:eastAsia="es-CO"/>
        </w:rPr>
        <w:t>[</w:t>
      </w:r>
      <w:r w:rsidR="007D1074" w:rsidRPr="00C54F77">
        <w:rPr>
          <w:rFonts w:ascii="Arial" w:hAnsi="Arial" w:cs="Arial"/>
          <w:sz w:val="20"/>
          <w:szCs w:val="20"/>
          <w:highlight w:val="lightGray"/>
          <w:lang w:val="es-ES_tradnl" w:eastAsia="es-CO"/>
        </w:rPr>
        <w:t>La entidad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w:t>
      </w:r>
      <w:r w:rsidRPr="00C54F77">
        <w:rPr>
          <w:rFonts w:ascii="Arial" w:hAnsi="Arial" w:cs="Arial"/>
          <w:sz w:val="20"/>
          <w:szCs w:val="20"/>
          <w:highlight w:val="lightGray"/>
          <w:lang w:val="es-ES_tradnl" w:eastAsia="es-CO"/>
        </w:rPr>
        <w:t>.</w:t>
      </w:r>
      <w:r w:rsidR="007D1074" w:rsidRPr="00C54F77">
        <w:rPr>
          <w:rFonts w:ascii="Arial" w:hAnsi="Arial" w:cs="Arial"/>
          <w:sz w:val="20"/>
          <w:szCs w:val="20"/>
          <w:highlight w:val="lightGray"/>
          <w:lang w:val="es-ES_tradnl" w:eastAsia="es-CO"/>
        </w:rPr>
        <w:t xml:space="preserve"> Asimismo, puede verificar el </w:t>
      </w:r>
      <w:r w:rsidR="00776850" w:rsidRPr="00C54F77">
        <w:rPr>
          <w:rFonts w:ascii="Arial" w:hAnsi="Arial" w:cs="Arial"/>
          <w:sz w:val="20"/>
          <w:szCs w:val="20"/>
          <w:highlight w:val="lightGray"/>
          <w:lang w:val="es-ES_tradnl" w:eastAsia="es-CO"/>
        </w:rPr>
        <w:t xml:space="preserve">Documento </w:t>
      </w:r>
      <w:proofErr w:type="spellStart"/>
      <w:r w:rsidR="00776850" w:rsidRPr="00C54F77">
        <w:rPr>
          <w:rFonts w:ascii="Arial" w:hAnsi="Arial" w:cs="Arial"/>
          <w:sz w:val="20"/>
          <w:szCs w:val="20"/>
          <w:highlight w:val="lightGray"/>
          <w:lang w:val="es-ES_tradnl" w:eastAsia="es-CO"/>
        </w:rPr>
        <w:t>Conpes</w:t>
      </w:r>
      <w:proofErr w:type="spellEnd"/>
      <w:r w:rsidR="00776850" w:rsidRPr="00C54F77">
        <w:rPr>
          <w:rFonts w:ascii="Arial" w:hAnsi="Arial" w:cs="Arial"/>
          <w:sz w:val="20"/>
          <w:szCs w:val="20"/>
          <w:highlight w:val="lightGray"/>
          <w:lang w:val="es-ES_tradnl" w:eastAsia="es-CO"/>
        </w:rPr>
        <w:t xml:space="preserve"> “Del riesgo previsible en el marco de la política de contratación pública</w:t>
      </w:r>
      <w:r w:rsidR="00CD1911" w:rsidRPr="00C54F77">
        <w:rPr>
          <w:rFonts w:ascii="Arial" w:hAnsi="Arial" w:cs="Arial"/>
          <w:sz w:val="20"/>
          <w:szCs w:val="20"/>
          <w:highlight w:val="lightGray"/>
          <w:lang w:val="es-ES_tradnl" w:eastAsia="es-CO"/>
        </w:rPr>
        <w:t>”</w:t>
      </w:r>
      <w:r w:rsidRPr="00C54F77">
        <w:rPr>
          <w:rFonts w:ascii="Arial" w:hAnsi="Arial" w:cs="Arial"/>
          <w:sz w:val="20"/>
          <w:szCs w:val="20"/>
          <w:highlight w:val="lightGray"/>
          <w:lang w:val="es-ES_tradnl" w:eastAsia="es-CO"/>
        </w:rPr>
        <w:t>]</w:t>
      </w:r>
    </w:p>
    <w:p w14:paraId="50AA65CC" w14:textId="77777777" w:rsidR="005E5030" w:rsidRPr="00776850" w:rsidRDefault="005E5030" w:rsidP="00D70D7B">
      <w:pPr>
        <w:spacing w:after="100" w:afterAutospacing="1"/>
        <w:rPr>
          <w:rFonts w:ascii="Arial" w:eastAsia="SimSun" w:hAnsi="Arial" w:cs="Arial"/>
          <w:b/>
          <w:kern w:val="3"/>
          <w:sz w:val="20"/>
          <w:szCs w:val="20"/>
          <w:u w:val="single"/>
          <w:lang w:eastAsia="zh-CN" w:bidi="hi-IN"/>
        </w:rPr>
      </w:pPr>
    </w:p>
    <w:p w14:paraId="4D84E88B" w14:textId="7A09FB5C" w:rsidR="0058222E" w:rsidRPr="00CD267D" w:rsidRDefault="00815604" w:rsidP="00D70D7B">
      <w:pPr>
        <w:spacing w:after="100" w:afterAutospacing="1"/>
        <w:rPr>
          <w:rFonts w:ascii="Arial" w:eastAsia="SimSun" w:hAnsi="Arial" w:cs="Arial"/>
          <w:kern w:val="3"/>
          <w:sz w:val="20"/>
          <w:szCs w:val="20"/>
          <w:lang w:eastAsia="zh-CN" w:bidi="hi-IN"/>
        </w:rPr>
      </w:pPr>
      <w:r w:rsidRPr="00CD267D">
        <w:rPr>
          <w:rFonts w:ascii="Arial" w:eastAsia="SimSun" w:hAnsi="Arial" w:cs="Arial"/>
          <w:b/>
          <w:kern w:val="3"/>
          <w:sz w:val="20"/>
          <w:szCs w:val="20"/>
          <w:u w:val="single"/>
          <w:lang w:eastAsia="zh-CN" w:bidi="hi-IN"/>
        </w:rPr>
        <w:t xml:space="preserve">Matriz de </w:t>
      </w:r>
      <w:r w:rsidR="00E011A2">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0" w:type="auto"/>
        <w:tblLook w:val="04A0" w:firstRow="1" w:lastRow="0" w:firstColumn="1" w:lastColumn="0" w:noHBand="0" w:noVBand="1"/>
      </w:tblPr>
      <w:tblGrid>
        <w:gridCol w:w="421"/>
        <w:gridCol w:w="421"/>
        <w:gridCol w:w="422"/>
        <w:gridCol w:w="412"/>
        <w:gridCol w:w="411"/>
        <w:gridCol w:w="641"/>
        <w:gridCol w:w="448"/>
        <w:gridCol w:w="414"/>
        <w:gridCol w:w="415"/>
        <w:gridCol w:w="414"/>
        <w:gridCol w:w="414"/>
        <w:gridCol w:w="411"/>
        <w:gridCol w:w="543"/>
        <w:gridCol w:w="411"/>
        <w:gridCol w:w="411"/>
        <w:gridCol w:w="411"/>
        <w:gridCol w:w="412"/>
        <w:gridCol w:w="411"/>
        <w:gridCol w:w="448"/>
        <w:gridCol w:w="456"/>
        <w:gridCol w:w="445"/>
        <w:gridCol w:w="600"/>
      </w:tblGrid>
      <w:tr w:rsidR="0076567A" w:rsidRPr="004D7C35" w14:paraId="64A698D4" w14:textId="77777777" w:rsidTr="0076567A">
        <w:trPr>
          <w:cantSplit/>
          <w:trHeight w:val="1212"/>
        </w:trPr>
        <w:tc>
          <w:tcPr>
            <w:tcW w:w="421" w:type="dxa"/>
            <w:vMerge w:val="restart"/>
            <w:shd w:val="clear" w:color="auto" w:fill="4D4D4D"/>
            <w:textDirection w:val="btLr"/>
          </w:tcPr>
          <w:p w14:paraId="0B3F0DB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0CFF002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2DB6832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412" w:type="dxa"/>
            <w:vMerge w:val="restart"/>
            <w:shd w:val="clear" w:color="auto" w:fill="4D4D4D"/>
            <w:textDirection w:val="btLr"/>
          </w:tcPr>
          <w:p w14:paraId="4DD17F7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411" w:type="dxa"/>
            <w:vMerge w:val="restart"/>
            <w:shd w:val="clear" w:color="auto" w:fill="4D4D4D"/>
            <w:textDirection w:val="btLr"/>
          </w:tcPr>
          <w:p w14:paraId="79133F48"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641" w:type="dxa"/>
            <w:vMerge w:val="restart"/>
            <w:shd w:val="clear" w:color="auto" w:fill="4D4D4D"/>
            <w:textDirection w:val="btLr"/>
          </w:tcPr>
          <w:p w14:paraId="726FAB8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41157746"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6F8D88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23C1434B"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483F643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42F3A4BC"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1803A09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414" w:type="dxa"/>
            <w:vMerge w:val="restart"/>
            <w:shd w:val="clear" w:color="auto" w:fill="4D4D4D"/>
            <w:textDirection w:val="btLr"/>
          </w:tcPr>
          <w:p w14:paraId="5E34374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411" w:type="dxa"/>
            <w:vMerge w:val="restart"/>
            <w:shd w:val="clear" w:color="auto" w:fill="BFBFBF" w:themeFill="background1" w:themeFillShade="BF"/>
            <w:textDirection w:val="btLr"/>
          </w:tcPr>
          <w:p w14:paraId="1438FBF4"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 quién se le asigna?</w:t>
            </w:r>
          </w:p>
        </w:tc>
        <w:tc>
          <w:tcPr>
            <w:tcW w:w="543" w:type="dxa"/>
            <w:vMerge w:val="restart"/>
            <w:shd w:val="clear" w:color="auto" w:fill="BFBFBF" w:themeFill="background1" w:themeFillShade="BF"/>
            <w:textDirection w:val="btLr"/>
          </w:tcPr>
          <w:p w14:paraId="692687B8"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Tratamiento/Controles a ser implementados</w:t>
            </w:r>
          </w:p>
        </w:tc>
        <w:tc>
          <w:tcPr>
            <w:tcW w:w="1645" w:type="dxa"/>
            <w:gridSpan w:val="4"/>
            <w:shd w:val="clear" w:color="auto" w:fill="BFBFBF" w:themeFill="background1" w:themeFillShade="BF"/>
          </w:tcPr>
          <w:p w14:paraId="06319402"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p>
          <w:p w14:paraId="3707D55D"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p>
          <w:p w14:paraId="429112F2"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5290B6AA"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14BC6F0D"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1BFD10A7"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Fecha estimada en que se completa el tratamiento</w:t>
            </w:r>
          </w:p>
        </w:tc>
        <w:tc>
          <w:tcPr>
            <w:tcW w:w="1045" w:type="dxa"/>
            <w:gridSpan w:val="2"/>
            <w:shd w:val="clear" w:color="auto" w:fill="BFBFBF" w:themeFill="background1" w:themeFillShade="BF"/>
          </w:tcPr>
          <w:p w14:paraId="5674A2B8"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p>
          <w:p w14:paraId="539354B2"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p>
          <w:p w14:paraId="56250110" w14:textId="77777777" w:rsidR="0076567A" w:rsidRPr="009771F1" w:rsidRDefault="0076567A" w:rsidP="0076567A">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Monitoreo y revisión</w:t>
            </w:r>
          </w:p>
        </w:tc>
      </w:tr>
      <w:tr w:rsidR="0076567A" w:rsidRPr="004D7C35" w14:paraId="678B7917" w14:textId="77777777" w:rsidTr="0076567A">
        <w:trPr>
          <w:cantSplit/>
          <w:trHeight w:val="2063"/>
        </w:trPr>
        <w:tc>
          <w:tcPr>
            <w:tcW w:w="421" w:type="dxa"/>
            <w:vMerge/>
            <w:shd w:val="clear" w:color="auto" w:fill="4D4D4D"/>
            <w:textDirection w:val="btLr"/>
          </w:tcPr>
          <w:p w14:paraId="6641EAE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09DEBE9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4141C88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2" w:type="dxa"/>
            <w:vMerge/>
            <w:shd w:val="clear" w:color="auto" w:fill="4D4D4D"/>
            <w:textDirection w:val="btLr"/>
          </w:tcPr>
          <w:p w14:paraId="13B67C39"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4D4D4D"/>
            <w:textDirection w:val="btLr"/>
          </w:tcPr>
          <w:p w14:paraId="5AC84B61"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641" w:type="dxa"/>
            <w:vMerge/>
            <w:shd w:val="clear" w:color="auto" w:fill="4D4D4D"/>
            <w:textDirection w:val="btLr"/>
          </w:tcPr>
          <w:p w14:paraId="5100BC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24531D07"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238D69C4"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031F3DFA"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099550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755F794E"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BFBFBF" w:themeFill="background1" w:themeFillShade="BF"/>
            <w:textDirection w:val="btLr"/>
          </w:tcPr>
          <w:p w14:paraId="6ABDAA08"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543" w:type="dxa"/>
            <w:vMerge/>
            <w:shd w:val="clear" w:color="auto" w:fill="BFBFBF" w:themeFill="background1" w:themeFillShade="BF"/>
            <w:textDirection w:val="btLr"/>
          </w:tcPr>
          <w:p w14:paraId="0930E920"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11" w:type="dxa"/>
            <w:shd w:val="clear" w:color="auto" w:fill="BFBFBF" w:themeFill="background1" w:themeFillShade="BF"/>
            <w:textDirection w:val="btLr"/>
          </w:tcPr>
          <w:p w14:paraId="346C1989"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Probabilidad</w:t>
            </w:r>
          </w:p>
        </w:tc>
        <w:tc>
          <w:tcPr>
            <w:tcW w:w="411" w:type="dxa"/>
            <w:shd w:val="clear" w:color="auto" w:fill="BFBFBF" w:themeFill="background1" w:themeFillShade="BF"/>
            <w:textDirection w:val="btLr"/>
          </w:tcPr>
          <w:p w14:paraId="321C7D5A"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w:t>
            </w:r>
          </w:p>
        </w:tc>
        <w:tc>
          <w:tcPr>
            <w:tcW w:w="411" w:type="dxa"/>
            <w:shd w:val="clear" w:color="auto" w:fill="BFBFBF" w:themeFill="background1" w:themeFillShade="BF"/>
            <w:textDirection w:val="btLr"/>
          </w:tcPr>
          <w:p w14:paraId="0A01C4B5"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Valoración del Riesgo</w:t>
            </w:r>
          </w:p>
        </w:tc>
        <w:tc>
          <w:tcPr>
            <w:tcW w:w="412" w:type="dxa"/>
            <w:shd w:val="clear" w:color="auto" w:fill="BFBFBF" w:themeFill="background1" w:themeFillShade="BF"/>
            <w:textDirection w:val="btLr"/>
          </w:tcPr>
          <w:p w14:paraId="00E41386"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Categoría</w:t>
            </w:r>
          </w:p>
        </w:tc>
        <w:tc>
          <w:tcPr>
            <w:tcW w:w="411" w:type="dxa"/>
            <w:vMerge/>
            <w:shd w:val="clear" w:color="auto" w:fill="BFBFBF" w:themeFill="background1" w:themeFillShade="BF"/>
            <w:textDirection w:val="btLr"/>
          </w:tcPr>
          <w:p w14:paraId="48CD9EE5"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8" w:type="dxa"/>
            <w:vMerge/>
            <w:shd w:val="clear" w:color="auto" w:fill="BFBFBF" w:themeFill="background1" w:themeFillShade="BF"/>
            <w:textDirection w:val="btLr"/>
          </w:tcPr>
          <w:p w14:paraId="13559F45"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56" w:type="dxa"/>
            <w:vMerge/>
            <w:shd w:val="clear" w:color="auto" w:fill="BFBFBF" w:themeFill="background1" w:themeFillShade="BF"/>
            <w:textDirection w:val="btLr"/>
          </w:tcPr>
          <w:p w14:paraId="56CBE478"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5" w:type="dxa"/>
            <w:shd w:val="clear" w:color="auto" w:fill="BFBFBF" w:themeFill="background1" w:themeFillShade="BF"/>
            <w:textDirection w:val="btLr"/>
          </w:tcPr>
          <w:p w14:paraId="6708B798" w14:textId="77777777" w:rsidR="0076567A" w:rsidRPr="007115DA" w:rsidRDefault="0076567A" w:rsidP="004D7C35">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7115DA">
              <w:rPr>
                <w:rFonts w:ascii="Arial" w:eastAsia="SimSun" w:hAnsi="Arial" w:cs="Arial"/>
                <w:b/>
                <w:color w:val="404040" w:themeColor="text1" w:themeTint="BF"/>
                <w:kern w:val="3"/>
                <w:sz w:val="14"/>
                <w:szCs w:val="14"/>
                <w:lang w:eastAsia="zh-CN" w:bidi="hi-IN"/>
              </w:rPr>
              <w:t>¿Cómo se realiza el monitoreo?</w:t>
            </w:r>
          </w:p>
        </w:tc>
        <w:tc>
          <w:tcPr>
            <w:tcW w:w="600" w:type="dxa"/>
            <w:shd w:val="clear" w:color="auto" w:fill="BFBFBF" w:themeFill="background1" w:themeFillShade="BF"/>
            <w:textDirection w:val="btLr"/>
          </w:tcPr>
          <w:p w14:paraId="5478208D"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Periodicidad</w:t>
            </w:r>
          </w:p>
          <w:p w14:paraId="1F85B55D"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¿Cuándo?</w:t>
            </w:r>
          </w:p>
        </w:tc>
      </w:tr>
      <w:tr w:rsidR="0076567A" w:rsidRPr="004D7C35" w14:paraId="52FADA9D" w14:textId="77777777" w:rsidTr="0076567A">
        <w:trPr>
          <w:cantSplit/>
          <w:trHeight w:val="466"/>
        </w:trPr>
        <w:tc>
          <w:tcPr>
            <w:tcW w:w="421" w:type="dxa"/>
            <w:shd w:val="clear" w:color="auto" w:fill="auto"/>
          </w:tcPr>
          <w:p w14:paraId="6CB14C0F"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8BFBA1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1E52A15B"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6304DED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CE60CE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08A3DE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4276B3E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5EE0294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589BDDB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6E9557F2"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25BCE08"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6FBF122"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4A5E724D"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53E2B8"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2D722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811CA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F36293B"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D8BD7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4E9299E"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FEE4C6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13F588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D8DC63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r w:rsidR="0076567A" w:rsidRPr="004D7C35" w14:paraId="7C020497" w14:textId="77777777" w:rsidTr="0076567A">
        <w:trPr>
          <w:cantSplit/>
          <w:trHeight w:val="418"/>
        </w:trPr>
        <w:tc>
          <w:tcPr>
            <w:tcW w:w="421" w:type="dxa"/>
            <w:shd w:val="clear" w:color="auto" w:fill="auto"/>
          </w:tcPr>
          <w:p w14:paraId="7CA1ABAC"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143E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044B28A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5262ACF6"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2E92389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A92409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17C5AA9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152F3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4EA7028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8191A5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614238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7DA45E4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25C23226"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0A999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FB43CF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094495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13CD84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E50394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76B1F5A3"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4296B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41935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615C3B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06F368D3"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E93807">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47E6B" w14:textId="77777777" w:rsidR="00C53FEB" w:rsidRDefault="00C53FEB" w:rsidP="00091875">
      <w:pPr>
        <w:spacing w:line="240" w:lineRule="auto"/>
      </w:pPr>
      <w:r>
        <w:separator/>
      </w:r>
    </w:p>
  </w:endnote>
  <w:endnote w:type="continuationSeparator" w:id="0">
    <w:p w14:paraId="0AB9BD39" w14:textId="77777777" w:rsidR="00C53FEB" w:rsidRDefault="00C53FE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2671562"/>
      <w:docPartObj>
        <w:docPartGallery w:val="Page Numbers (Bottom of Page)"/>
        <w:docPartUnique/>
      </w:docPartObj>
    </w:sdtPr>
    <w:sdtEnd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77777777" w:rsidR="00F56CD2" w:rsidRPr="00925AC3" w:rsidRDefault="00F56CD2" w:rsidP="00F56CD2">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7793A" w14:textId="77777777" w:rsidR="00C53FEB" w:rsidRDefault="00C53FEB" w:rsidP="00091875">
      <w:pPr>
        <w:spacing w:line="240" w:lineRule="auto"/>
      </w:pPr>
      <w:r>
        <w:separator/>
      </w:r>
    </w:p>
  </w:footnote>
  <w:footnote w:type="continuationSeparator" w:id="0">
    <w:p w14:paraId="26527AE8" w14:textId="77777777" w:rsidR="00C53FEB" w:rsidRDefault="00C53FE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77777777"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t>1</w:t>
          </w:r>
        </w:p>
      </w:tc>
    </w:tr>
  </w:tbl>
  <w:p w14:paraId="16A9E58F" w14:textId="438E89BC"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91875"/>
    <w:rsid w:val="000A2F3B"/>
    <w:rsid w:val="000C2AAE"/>
    <w:rsid w:val="00101037"/>
    <w:rsid w:val="00103B17"/>
    <w:rsid w:val="00106362"/>
    <w:rsid w:val="001246B3"/>
    <w:rsid w:val="00136C78"/>
    <w:rsid w:val="001477DE"/>
    <w:rsid w:val="0015719E"/>
    <w:rsid w:val="001D1F23"/>
    <w:rsid w:val="001E7630"/>
    <w:rsid w:val="0021061A"/>
    <w:rsid w:val="00277255"/>
    <w:rsid w:val="00286083"/>
    <w:rsid w:val="002A4809"/>
    <w:rsid w:val="003322F8"/>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849BA"/>
    <w:rsid w:val="005D2051"/>
    <w:rsid w:val="005E5030"/>
    <w:rsid w:val="006030C5"/>
    <w:rsid w:val="00686C25"/>
    <w:rsid w:val="00692562"/>
    <w:rsid w:val="006A3288"/>
    <w:rsid w:val="006B4FEE"/>
    <w:rsid w:val="006E6D9B"/>
    <w:rsid w:val="007115DA"/>
    <w:rsid w:val="00721886"/>
    <w:rsid w:val="00762556"/>
    <w:rsid w:val="0076567A"/>
    <w:rsid w:val="00776850"/>
    <w:rsid w:val="0077727E"/>
    <w:rsid w:val="007B33E6"/>
    <w:rsid w:val="007C5B18"/>
    <w:rsid w:val="007C702A"/>
    <w:rsid w:val="007D1074"/>
    <w:rsid w:val="00805ECB"/>
    <w:rsid w:val="00815604"/>
    <w:rsid w:val="00833F3B"/>
    <w:rsid w:val="008537E3"/>
    <w:rsid w:val="0085653A"/>
    <w:rsid w:val="0085672F"/>
    <w:rsid w:val="00874392"/>
    <w:rsid w:val="00885039"/>
    <w:rsid w:val="008E39CA"/>
    <w:rsid w:val="00912B23"/>
    <w:rsid w:val="009321E7"/>
    <w:rsid w:val="009771F1"/>
    <w:rsid w:val="009E77AD"/>
    <w:rsid w:val="00A1437D"/>
    <w:rsid w:val="00A411F2"/>
    <w:rsid w:val="00A802EF"/>
    <w:rsid w:val="00A9107A"/>
    <w:rsid w:val="00AB5F8B"/>
    <w:rsid w:val="00AE2ECB"/>
    <w:rsid w:val="00AF41A0"/>
    <w:rsid w:val="00B26E25"/>
    <w:rsid w:val="00B60C9E"/>
    <w:rsid w:val="00B76DAD"/>
    <w:rsid w:val="00B773A4"/>
    <w:rsid w:val="00B81B1F"/>
    <w:rsid w:val="00B83621"/>
    <w:rsid w:val="00B92158"/>
    <w:rsid w:val="00B94790"/>
    <w:rsid w:val="00BA3870"/>
    <w:rsid w:val="00C53FEB"/>
    <w:rsid w:val="00C54F77"/>
    <w:rsid w:val="00C71F76"/>
    <w:rsid w:val="00CB7D17"/>
    <w:rsid w:val="00CD1911"/>
    <w:rsid w:val="00CD267D"/>
    <w:rsid w:val="00D13765"/>
    <w:rsid w:val="00D70D7B"/>
    <w:rsid w:val="00D86ECC"/>
    <w:rsid w:val="00DA2321"/>
    <w:rsid w:val="00DD4300"/>
    <w:rsid w:val="00DF421A"/>
    <w:rsid w:val="00E011A2"/>
    <w:rsid w:val="00E46F79"/>
    <w:rsid w:val="00E56873"/>
    <w:rsid w:val="00E93807"/>
    <w:rsid w:val="00F56CD2"/>
    <w:rsid w:val="00F6022F"/>
    <w:rsid w:val="00F63350"/>
    <w:rsid w:val="00F77C0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CF1F3-A271-4B61-BEEA-068143D50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6cb9e4b-f1d1-4245-83ec-6cad768d538a"/>
    <ds:schemaRef ds:uri="9d85dbaf-23eb-4e57-a637-93dcacc8b1a1"/>
    <ds:schemaRef ds:uri="http://www.w3.org/XML/1998/namespace"/>
    <ds:schemaRef ds:uri="http://purl.org/dc/dcmitype/"/>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756511E8-EB10-4933-B71E-BE129F44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353</Words>
  <Characters>1942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Sara Milena Nuñez Aldana</cp:lastModifiedBy>
  <cp:revision>2</cp:revision>
  <cp:lastPrinted>2015-10-20T15:00:00Z</cp:lastPrinted>
  <dcterms:created xsi:type="dcterms:W3CDTF">2020-12-13T17:35:00Z</dcterms:created>
  <dcterms:modified xsi:type="dcterms:W3CDTF">2020-12-13T17:35:00Z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