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ACE3D" w14:textId="66FF2142" w:rsidR="0077727E" w:rsidRPr="009B587C" w:rsidRDefault="0077727E" w:rsidP="0077727E">
      <w:pPr>
        <w:jc w:val="center"/>
        <w:rPr>
          <w:rFonts w:ascii="Arial Narrow" w:hAnsi="Arial Narrow" w:cs="Arial"/>
          <w:b/>
        </w:rPr>
      </w:pPr>
      <w:r w:rsidRPr="009B587C">
        <w:rPr>
          <w:rFonts w:ascii="Arial Narrow" w:hAnsi="Arial Narrow" w:cs="Arial"/>
          <w:b/>
        </w:rPr>
        <w:t>MATRIZ 3</w:t>
      </w:r>
      <w:r w:rsidR="00136C78" w:rsidRPr="009B587C">
        <w:rPr>
          <w:rFonts w:ascii="Arial Narrow" w:hAnsi="Arial Narrow" w:cs="Arial"/>
          <w:b/>
        </w:rPr>
        <w:t xml:space="preserve"> - </w:t>
      </w:r>
      <w:r w:rsidRPr="009B587C">
        <w:rPr>
          <w:rFonts w:ascii="Arial Narrow" w:hAnsi="Arial Narrow" w:cs="Arial"/>
          <w:b/>
        </w:rPr>
        <w:t>RIESGOS</w:t>
      </w:r>
    </w:p>
    <w:p w14:paraId="09226901" w14:textId="77777777" w:rsidR="0058222E" w:rsidRPr="009B587C" w:rsidRDefault="0058222E" w:rsidP="007C702A">
      <w:pPr>
        <w:rPr>
          <w:rFonts w:ascii="Arial Narrow" w:hAnsi="Arial Narrow" w:cs="Arial"/>
          <w:lang w:val="es-ES_tradnl" w:eastAsia="es-CO"/>
        </w:rPr>
      </w:pPr>
      <w:bookmarkStart w:id="0" w:name="_GoBack"/>
      <w:bookmarkEnd w:id="0"/>
    </w:p>
    <w:p w14:paraId="0822FEEB" w14:textId="6182B411" w:rsidR="00D70D7B" w:rsidRPr="009B587C" w:rsidRDefault="00D70D7B" w:rsidP="007C702A">
      <w:pPr>
        <w:rPr>
          <w:rFonts w:ascii="Arial Narrow" w:hAnsi="Arial Narrow" w:cs="Arial"/>
          <w:lang w:val="es-ES_tradnl" w:eastAsia="es-CO"/>
        </w:rPr>
      </w:pPr>
      <w:r w:rsidRPr="009B587C">
        <w:rPr>
          <w:rFonts w:ascii="Arial Narrow" w:hAnsi="Arial Narrow" w:cs="Arial"/>
          <w:lang w:val="es-ES_tradnl" w:eastAsia="es-CO"/>
        </w:rPr>
        <w:t xml:space="preserve">Para el presente proceso contractual, en atención </w:t>
      </w:r>
      <w:r w:rsidR="00B81B1F" w:rsidRPr="009B587C">
        <w:rPr>
          <w:rFonts w:ascii="Arial Narrow" w:hAnsi="Arial Narrow" w:cs="Arial"/>
          <w:lang w:val="es-ES_tradnl" w:eastAsia="es-CO"/>
        </w:rPr>
        <w:t>a la</w:t>
      </w:r>
      <w:r w:rsidRPr="009B587C">
        <w:rPr>
          <w:rFonts w:ascii="Arial Narrow" w:hAnsi="Arial Narrow" w:cs="Arial"/>
          <w:lang w:val="es-ES_tradnl" w:eastAsia="es-CO"/>
        </w:rPr>
        <w:t xml:space="preserve"> Ley 1150 de 2007 y los artículos 2.2.1.1.1.3.1 y 2.2.1.1.1.6.</w:t>
      </w:r>
      <w:r w:rsidR="00B81B1F" w:rsidRPr="009B587C">
        <w:rPr>
          <w:rFonts w:ascii="Arial Narrow" w:hAnsi="Arial Narrow" w:cs="Arial"/>
          <w:lang w:val="es-ES_tradnl" w:eastAsia="es-CO"/>
        </w:rPr>
        <w:t xml:space="preserve">3. </w:t>
      </w:r>
      <w:proofErr w:type="gramStart"/>
      <w:r w:rsidR="00B81B1F" w:rsidRPr="009B587C">
        <w:rPr>
          <w:rFonts w:ascii="Arial Narrow" w:hAnsi="Arial Narrow" w:cs="Arial"/>
          <w:lang w:val="es-ES_tradnl" w:eastAsia="es-CO"/>
        </w:rPr>
        <w:t>del</w:t>
      </w:r>
      <w:proofErr w:type="gramEnd"/>
      <w:r w:rsidRPr="009B587C">
        <w:rPr>
          <w:rFonts w:ascii="Arial Narrow" w:hAnsi="Arial Narrow" w:cs="Arial"/>
          <w:lang w:val="es-ES_tradnl" w:eastAsia="es-CO"/>
        </w:rPr>
        <w:t xml:space="preserve"> Decreto </w:t>
      </w:r>
      <w:r w:rsidR="00B81B1F" w:rsidRPr="009B587C">
        <w:rPr>
          <w:rFonts w:ascii="Arial Narrow" w:hAnsi="Arial Narrow" w:cs="Arial"/>
          <w:lang w:val="es-ES_tradnl" w:eastAsia="es-CO"/>
        </w:rPr>
        <w:t>1082 de</w:t>
      </w:r>
      <w:r w:rsidR="006E6D9B" w:rsidRPr="009B587C">
        <w:rPr>
          <w:rFonts w:ascii="Arial Narrow" w:hAnsi="Arial Narrow" w:cs="Arial"/>
          <w:lang w:val="es-ES_tradnl" w:eastAsia="es-CO"/>
        </w:rPr>
        <w:t xml:space="preserve"> 2015, entiéndase por </w:t>
      </w:r>
      <w:r w:rsidR="002A4809" w:rsidRPr="009B587C">
        <w:rPr>
          <w:rFonts w:ascii="Arial Narrow" w:hAnsi="Arial Narrow" w:cs="Arial"/>
          <w:lang w:val="es-ES_tradnl" w:eastAsia="es-CO"/>
        </w:rPr>
        <w:t>r</w:t>
      </w:r>
      <w:r w:rsidRPr="009B587C">
        <w:rPr>
          <w:rFonts w:ascii="Arial Narrow" w:hAnsi="Arial Narrow" w:cs="Arial"/>
          <w:lang w:val="es-ES_tradnl" w:eastAsia="es-CO"/>
        </w:rPr>
        <w:t>iesgo</w:t>
      </w:r>
      <w:r w:rsidR="006E6D9B" w:rsidRPr="009B587C">
        <w:rPr>
          <w:rFonts w:ascii="Arial Narrow" w:hAnsi="Arial Narrow" w:cs="Arial"/>
          <w:lang w:val="es-ES_tradnl" w:eastAsia="es-CO"/>
        </w:rPr>
        <w:t xml:space="preserve"> </w:t>
      </w:r>
      <w:r w:rsidRPr="009B587C">
        <w:rPr>
          <w:rFonts w:ascii="Arial Narrow" w:hAnsi="Arial Narrow" w:cs="Arial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9B587C">
        <w:rPr>
          <w:rFonts w:ascii="Arial Narrow" w:hAnsi="Arial Narrow" w:cs="Arial"/>
          <w:lang w:val="es-ES_tradnl" w:eastAsia="es-CO"/>
        </w:rPr>
        <w:t>como con</w:t>
      </w:r>
      <w:r w:rsidRPr="009B587C">
        <w:rPr>
          <w:rFonts w:ascii="Arial Narrow" w:hAnsi="Arial Narrow" w:cs="Arial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9B587C" w:rsidRDefault="00B81B1F" w:rsidP="007C702A">
      <w:pPr>
        <w:rPr>
          <w:rFonts w:ascii="Arial Narrow" w:hAnsi="Arial Narrow" w:cs="Arial"/>
          <w:lang w:val="es-ES_tradnl" w:eastAsia="es-CO"/>
        </w:rPr>
      </w:pPr>
    </w:p>
    <w:p w14:paraId="5322C892" w14:textId="16D084A6" w:rsidR="00D70D7B" w:rsidRPr="009B587C" w:rsidRDefault="00D70D7B" w:rsidP="007C702A">
      <w:pPr>
        <w:rPr>
          <w:rFonts w:ascii="Arial Narrow" w:hAnsi="Arial Narrow" w:cs="Arial"/>
          <w:lang w:val="es-ES_tradnl" w:eastAsia="es-CO"/>
        </w:rPr>
      </w:pPr>
      <w:r w:rsidRPr="009B587C">
        <w:rPr>
          <w:rFonts w:ascii="Arial Narrow" w:hAnsi="Arial Narrow" w:cs="Arial"/>
          <w:lang w:val="es-ES_tradnl" w:eastAsia="es-CO"/>
        </w:rPr>
        <w:t>Corresponderá al contratista seleccionado la asunción de</w:t>
      </w:r>
      <w:r w:rsidR="006E6D9B" w:rsidRPr="009B587C">
        <w:rPr>
          <w:rFonts w:ascii="Arial Narrow" w:hAnsi="Arial Narrow" w:cs="Arial"/>
          <w:lang w:val="es-ES_tradnl" w:eastAsia="es-CO"/>
        </w:rPr>
        <w:t xml:space="preserve">l </w:t>
      </w:r>
      <w:r w:rsidR="002A4809" w:rsidRPr="009B587C">
        <w:rPr>
          <w:rFonts w:ascii="Arial Narrow" w:hAnsi="Arial Narrow" w:cs="Arial"/>
          <w:lang w:val="es-ES_tradnl" w:eastAsia="es-CO"/>
        </w:rPr>
        <w:t>r</w:t>
      </w:r>
      <w:r w:rsidRPr="009B587C">
        <w:rPr>
          <w:rFonts w:ascii="Arial Narrow" w:hAnsi="Arial Narrow" w:cs="Arial"/>
          <w:lang w:val="es-ES_tradnl" w:eastAsia="es-CO"/>
        </w:rPr>
        <w:t xml:space="preserve">iesgo previsible propio de este tipo de contratación asumiendo su costo, siempre que el mismo no se encuentre expresamente a cargo de la Entidad en el contrato. </w:t>
      </w:r>
    </w:p>
    <w:p w14:paraId="78757E00" w14:textId="77777777" w:rsidR="00B81B1F" w:rsidRPr="009B587C" w:rsidRDefault="00B81B1F" w:rsidP="007C702A">
      <w:pPr>
        <w:rPr>
          <w:rFonts w:ascii="Arial Narrow" w:hAnsi="Arial Narrow" w:cs="Arial"/>
          <w:lang w:val="es-ES_tradnl" w:eastAsia="es-CO"/>
        </w:rPr>
      </w:pPr>
    </w:p>
    <w:p w14:paraId="4E6FB498" w14:textId="4E0A6F33" w:rsidR="00545461" w:rsidRPr="009B587C" w:rsidRDefault="006E6D9B" w:rsidP="007C702A">
      <w:pPr>
        <w:rPr>
          <w:rFonts w:ascii="Arial Narrow" w:hAnsi="Arial Narrow" w:cs="Arial"/>
          <w:lang w:val="es-ES_tradnl" w:eastAsia="es-CO"/>
        </w:rPr>
      </w:pPr>
      <w:r w:rsidRPr="009B587C">
        <w:rPr>
          <w:rFonts w:ascii="Arial Narrow" w:hAnsi="Arial Narrow" w:cs="Arial"/>
          <w:lang w:val="es-ES_tradnl" w:eastAsia="es-CO"/>
        </w:rPr>
        <w:t xml:space="preserve">De acuerdo con </w:t>
      </w:r>
      <w:r w:rsidR="00AF41A0" w:rsidRPr="009B587C">
        <w:rPr>
          <w:rFonts w:ascii="Arial Narrow" w:hAnsi="Arial Narrow" w:cs="Arial"/>
          <w:lang w:val="es-ES_tradnl" w:eastAsia="es-CO"/>
        </w:rPr>
        <w:t>procedimiento</w:t>
      </w:r>
      <w:r w:rsidR="00545461" w:rsidRPr="009B587C">
        <w:rPr>
          <w:rFonts w:ascii="Arial Narrow" w:hAnsi="Arial Narrow" w:cs="Arial"/>
          <w:lang w:val="es-ES_tradnl" w:eastAsia="es-CO"/>
        </w:rPr>
        <w:t xml:space="preserve"> de la referencia, nos permitimos establecer la tipificación, estimación y asignación de los riesgos previsibles que puedan afectar el presente proce</w:t>
      </w:r>
      <w:r w:rsidR="005849BA" w:rsidRPr="009B587C">
        <w:rPr>
          <w:rFonts w:ascii="Arial Narrow" w:hAnsi="Arial Narrow" w:cs="Arial"/>
          <w:lang w:val="es-ES_tradnl" w:eastAsia="es-CO"/>
        </w:rPr>
        <w:t>dimiento</w:t>
      </w:r>
      <w:r w:rsidR="00545461" w:rsidRPr="009B587C">
        <w:rPr>
          <w:rFonts w:ascii="Arial Narrow" w:hAnsi="Arial Narrow" w:cs="Arial"/>
          <w:lang w:val="es-ES_tradnl" w:eastAsia="es-CO"/>
        </w:rPr>
        <w:t>.</w:t>
      </w:r>
    </w:p>
    <w:p w14:paraId="2E7008F5" w14:textId="77777777" w:rsidR="00545461" w:rsidRPr="009B587C" w:rsidRDefault="00545461" w:rsidP="007C702A">
      <w:pPr>
        <w:rPr>
          <w:rFonts w:ascii="Arial Narrow" w:hAnsi="Arial Narrow" w:cs="Arial"/>
          <w:lang w:val="es-ES_tradnl" w:eastAsia="es-CO"/>
        </w:rPr>
      </w:pPr>
    </w:p>
    <w:p w14:paraId="1B145B66" w14:textId="254DC766" w:rsidR="00D70D7B" w:rsidRPr="009B587C" w:rsidRDefault="00D70D7B" w:rsidP="007C702A">
      <w:pPr>
        <w:rPr>
          <w:rFonts w:ascii="Arial Narrow" w:hAnsi="Arial Narrow" w:cs="Arial"/>
          <w:lang w:val="es-ES_tradnl" w:eastAsia="es-CO"/>
        </w:rPr>
      </w:pPr>
      <w:r w:rsidRPr="009B587C">
        <w:rPr>
          <w:rFonts w:ascii="Arial Narrow" w:hAnsi="Arial Narrow" w:cs="Arial"/>
          <w:lang w:val="es-ES_tradnl" w:eastAsia="es-CO"/>
        </w:rPr>
        <w:t>Para 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</w:t>
      </w:r>
      <w:r w:rsidR="00507FAA" w:rsidRPr="009B587C">
        <w:rPr>
          <w:rFonts w:ascii="Arial Narrow" w:hAnsi="Arial Narrow" w:cs="Arial"/>
          <w:lang w:val="es-ES_tradnl" w:eastAsia="es-CO"/>
        </w:rPr>
        <w:t>ONPES</w:t>
      </w:r>
      <w:r w:rsidRPr="009B587C">
        <w:rPr>
          <w:rFonts w:ascii="Arial Narrow" w:hAnsi="Arial Narrow" w:cs="Arial"/>
          <w:lang w:val="es-ES_tradnl" w:eastAsia="es-CO"/>
        </w:rPr>
        <w:t xml:space="preserve"> 3714 de 2011</w:t>
      </w:r>
      <w:r w:rsidR="006E6D9B" w:rsidRPr="009B587C">
        <w:rPr>
          <w:rFonts w:ascii="Arial Narrow" w:hAnsi="Arial Narrow" w:cs="Arial"/>
          <w:lang w:val="es-ES_tradnl" w:eastAsia="es-CO"/>
        </w:rPr>
        <w:t>.</w:t>
      </w:r>
    </w:p>
    <w:p w14:paraId="50AA65CC" w14:textId="77777777" w:rsidR="005E5030" w:rsidRPr="009B587C" w:rsidRDefault="005E5030" w:rsidP="00D70D7B">
      <w:pPr>
        <w:spacing w:after="100" w:afterAutospacing="1"/>
        <w:rPr>
          <w:rFonts w:ascii="Arial Narrow" w:eastAsia="SimSun" w:hAnsi="Arial Narrow" w:cs="Arial"/>
          <w:b/>
          <w:kern w:val="3"/>
          <w:u w:val="single"/>
          <w:lang w:eastAsia="zh-CN" w:bidi="hi-IN"/>
        </w:rPr>
      </w:pPr>
    </w:p>
    <w:p w14:paraId="4D84E88B" w14:textId="7A09FB5C" w:rsidR="0058222E" w:rsidRPr="009B587C" w:rsidRDefault="00815604" w:rsidP="00D70D7B">
      <w:pPr>
        <w:spacing w:after="100" w:afterAutospacing="1"/>
        <w:rPr>
          <w:rFonts w:ascii="Arial Narrow" w:eastAsia="SimSun" w:hAnsi="Arial Narrow" w:cs="Arial"/>
          <w:kern w:val="3"/>
          <w:lang w:eastAsia="zh-CN" w:bidi="hi-IN"/>
        </w:rPr>
      </w:pPr>
      <w:r w:rsidRPr="009B587C">
        <w:rPr>
          <w:rFonts w:ascii="Arial Narrow" w:eastAsia="SimSun" w:hAnsi="Arial Narrow" w:cs="Arial"/>
          <w:b/>
          <w:kern w:val="3"/>
          <w:u w:val="single"/>
          <w:lang w:eastAsia="zh-CN" w:bidi="hi-IN"/>
        </w:rPr>
        <w:t xml:space="preserve">Matriz de </w:t>
      </w:r>
      <w:r w:rsidR="00E011A2" w:rsidRPr="009B587C">
        <w:rPr>
          <w:rFonts w:ascii="Arial Narrow" w:eastAsia="SimSun" w:hAnsi="Arial Narrow" w:cs="Arial"/>
          <w:b/>
          <w:kern w:val="3"/>
          <w:u w:val="single"/>
          <w:lang w:eastAsia="zh-CN" w:bidi="hi-IN"/>
        </w:rPr>
        <w:t>r</w:t>
      </w:r>
      <w:r w:rsidRPr="009B587C">
        <w:rPr>
          <w:rFonts w:ascii="Arial Narrow" w:eastAsia="SimSun" w:hAnsi="Arial Narrow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9B587C" w:rsidRDefault="00815604" w:rsidP="00D70D7B">
      <w:pPr>
        <w:spacing w:after="100" w:afterAutospacing="1"/>
        <w:rPr>
          <w:rFonts w:ascii="Arial Narrow" w:eastAsia="SimSun" w:hAnsi="Arial Narrow" w:cs="Arial"/>
          <w:kern w:val="3"/>
          <w:sz w:val="16"/>
          <w:szCs w:val="16"/>
          <w:lang w:eastAsia="zh-CN" w:bidi="hi-IN"/>
        </w:rPr>
      </w:pPr>
    </w:p>
    <w:tbl>
      <w:tblPr>
        <w:tblStyle w:val="Tablaconcuadrcula"/>
        <w:tblW w:w="4586" w:type="pct"/>
        <w:tblLayout w:type="fixed"/>
        <w:tblLook w:val="04A0" w:firstRow="1" w:lastRow="0" w:firstColumn="1" w:lastColumn="0" w:noHBand="0" w:noVBand="1"/>
      </w:tblPr>
      <w:tblGrid>
        <w:gridCol w:w="251"/>
        <w:gridCol w:w="286"/>
        <w:gridCol w:w="286"/>
        <w:gridCol w:w="288"/>
        <w:gridCol w:w="283"/>
        <w:gridCol w:w="1702"/>
        <w:gridCol w:w="1553"/>
        <w:gridCol w:w="288"/>
        <w:gridCol w:w="281"/>
        <w:gridCol w:w="283"/>
        <w:gridCol w:w="281"/>
        <w:gridCol w:w="425"/>
        <w:gridCol w:w="1416"/>
        <w:gridCol w:w="286"/>
        <w:gridCol w:w="281"/>
        <w:gridCol w:w="286"/>
        <w:gridCol w:w="286"/>
        <w:gridCol w:w="425"/>
        <w:gridCol w:w="569"/>
        <w:gridCol w:w="1133"/>
        <w:gridCol w:w="938"/>
        <w:gridCol w:w="819"/>
      </w:tblGrid>
      <w:tr w:rsidR="00E3738B" w:rsidRPr="009B587C" w14:paraId="64A698D4" w14:textId="77777777" w:rsidTr="00E3738B">
        <w:trPr>
          <w:cantSplit/>
          <w:trHeight w:val="935"/>
        </w:trPr>
        <w:tc>
          <w:tcPr>
            <w:tcW w:w="99" w:type="pct"/>
            <w:vMerge w:val="restart"/>
            <w:shd w:val="clear" w:color="auto" w:fill="4D4D4D"/>
            <w:textDirection w:val="btLr"/>
            <w:vAlign w:val="center"/>
          </w:tcPr>
          <w:p w14:paraId="0B3F0DBF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No.</w:t>
            </w:r>
          </w:p>
        </w:tc>
        <w:tc>
          <w:tcPr>
            <w:tcW w:w="113" w:type="pct"/>
            <w:vMerge w:val="restart"/>
            <w:shd w:val="clear" w:color="auto" w:fill="4D4D4D"/>
            <w:textDirection w:val="btLr"/>
            <w:vAlign w:val="center"/>
          </w:tcPr>
          <w:p w14:paraId="0CFF002D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Clase</w:t>
            </w:r>
          </w:p>
        </w:tc>
        <w:tc>
          <w:tcPr>
            <w:tcW w:w="113" w:type="pct"/>
            <w:vMerge w:val="restart"/>
            <w:shd w:val="clear" w:color="auto" w:fill="4D4D4D"/>
            <w:textDirection w:val="btLr"/>
            <w:vAlign w:val="center"/>
          </w:tcPr>
          <w:p w14:paraId="2DB68322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Fuente</w:t>
            </w:r>
          </w:p>
        </w:tc>
        <w:tc>
          <w:tcPr>
            <w:tcW w:w="114" w:type="pct"/>
            <w:vMerge w:val="restart"/>
            <w:shd w:val="clear" w:color="auto" w:fill="4D4D4D"/>
            <w:textDirection w:val="btLr"/>
            <w:vAlign w:val="center"/>
          </w:tcPr>
          <w:p w14:paraId="4DD17F73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Etapa</w:t>
            </w:r>
          </w:p>
        </w:tc>
        <w:tc>
          <w:tcPr>
            <w:tcW w:w="112" w:type="pct"/>
            <w:vMerge w:val="restart"/>
            <w:shd w:val="clear" w:color="auto" w:fill="4D4D4D"/>
            <w:textDirection w:val="btLr"/>
            <w:vAlign w:val="center"/>
          </w:tcPr>
          <w:p w14:paraId="79133F48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Tipo</w:t>
            </w:r>
          </w:p>
        </w:tc>
        <w:tc>
          <w:tcPr>
            <w:tcW w:w="673" w:type="pct"/>
            <w:vMerge w:val="restart"/>
            <w:shd w:val="clear" w:color="auto" w:fill="4D4D4D"/>
            <w:textDirection w:val="btLr"/>
            <w:vAlign w:val="center"/>
          </w:tcPr>
          <w:p w14:paraId="726FAB8F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Descripción</w:t>
            </w:r>
          </w:p>
          <w:p w14:paraId="41157746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(Qué puede pasar y como puede ocurrir)</w:t>
            </w:r>
          </w:p>
          <w:p w14:paraId="6F8D88AD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614" w:type="pct"/>
            <w:vMerge w:val="restart"/>
            <w:shd w:val="clear" w:color="auto" w:fill="4D4D4D"/>
            <w:textDirection w:val="btLr"/>
            <w:vAlign w:val="center"/>
          </w:tcPr>
          <w:p w14:paraId="23C1434B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Consecuencia de la ocurrencia del evento</w:t>
            </w:r>
          </w:p>
        </w:tc>
        <w:tc>
          <w:tcPr>
            <w:tcW w:w="114" w:type="pct"/>
            <w:vMerge w:val="restart"/>
            <w:shd w:val="clear" w:color="auto" w:fill="4D4D4D"/>
            <w:textDirection w:val="btLr"/>
            <w:vAlign w:val="center"/>
          </w:tcPr>
          <w:p w14:paraId="483F6432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111" w:type="pct"/>
            <w:vMerge w:val="restart"/>
            <w:shd w:val="clear" w:color="auto" w:fill="4D4D4D"/>
            <w:textDirection w:val="btLr"/>
            <w:vAlign w:val="center"/>
          </w:tcPr>
          <w:p w14:paraId="42F3A4BC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112" w:type="pct"/>
            <w:vMerge w:val="restart"/>
            <w:shd w:val="clear" w:color="auto" w:fill="4D4D4D"/>
            <w:textDirection w:val="btLr"/>
            <w:vAlign w:val="center"/>
          </w:tcPr>
          <w:p w14:paraId="1803A095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111" w:type="pct"/>
            <w:vMerge w:val="restart"/>
            <w:shd w:val="clear" w:color="auto" w:fill="4D4D4D"/>
            <w:textDirection w:val="btLr"/>
            <w:vAlign w:val="center"/>
          </w:tcPr>
          <w:p w14:paraId="5E343743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168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38FBF4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¿A quién se le asigna?</w:t>
            </w:r>
          </w:p>
        </w:tc>
        <w:tc>
          <w:tcPr>
            <w:tcW w:w="560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92687B8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Tratamiento/Controles a ser implementados</w:t>
            </w:r>
          </w:p>
        </w:tc>
        <w:tc>
          <w:tcPr>
            <w:tcW w:w="449" w:type="pct"/>
            <w:gridSpan w:val="4"/>
            <w:shd w:val="clear" w:color="auto" w:fill="BFBFBF" w:themeFill="background1" w:themeFillShade="BF"/>
            <w:vAlign w:val="center"/>
          </w:tcPr>
          <w:p w14:paraId="429112F2" w14:textId="77777777" w:rsidR="00E3738B" w:rsidRPr="009B587C" w:rsidRDefault="00E3738B" w:rsidP="009E1C12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Impacto después del tratamiento</w:t>
            </w:r>
          </w:p>
        </w:tc>
        <w:tc>
          <w:tcPr>
            <w:tcW w:w="168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290B6AA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¿Afecta la ejecución del contrato?</w:t>
            </w:r>
          </w:p>
        </w:tc>
        <w:tc>
          <w:tcPr>
            <w:tcW w:w="225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BC6F0D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448" w:type="pct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BFD10A7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698" w:type="pct"/>
            <w:gridSpan w:val="2"/>
            <w:shd w:val="clear" w:color="auto" w:fill="BFBFBF" w:themeFill="background1" w:themeFillShade="BF"/>
            <w:vAlign w:val="center"/>
          </w:tcPr>
          <w:p w14:paraId="56250110" w14:textId="77777777" w:rsidR="00E3738B" w:rsidRPr="009B587C" w:rsidRDefault="00E3738B" w:rsidP="009E1C12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E3738B" w:rsidRPr="009B587C" w14:paraId="678B7917" w14:textId="77777777" w:rsidTr="00E3738B">
        <w:trPr>
          <w:cantSplit/>
          <w:trHeight w:val="1114"/>
        </w:trPr>
        <w:tc>
          <w:tcPr>
            <w:tcW w:w="99" w:type="pct"/>
            <w:vMerge/>
            <w:shd w:val="clear" w:color="auto" w:fill="4D4D4D"/>
            <w:textDirection w:val="btLr"/>
          </w:tcPr>
          <w:p w14:paraId="6641EAEF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3" w:type="pct"/>
            <w:vMerge/>
            <w:shd w:val="clear" w:color="auto" w:fill="4D4D4D"/>
            <w:textDirection w:val="btLr"/>
          </w:tcPr>
          <w:p w14:paraId="09DEBE93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3" w:type="pct"/>
            <w:vMerge/>
            <w:shd w:val="clear" w:color="auto" w:fill="4D4D4D"/>
            <w:textDirection w:val="btLr"/>
          </w:tcPr>
          <w:p w14:paraId="4141C885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4" w:type="pct"/>
            <w:vMerge/>
            <w:shd w:val="clear" w:color="auto" w:fill="4D4D4D"/>
            <w:textDirection w:val="btLr"/>
          </w:tcPr>
          <w:p w14:paraId="13B67C39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2" w:type="pct"/>
            <w:vMerge/>
            <w:shd w:val="clear" w:color="auto" w:fill="4D4D4D"/>
            <w:textDirection w:val="btLr"/>
          </w:tcPr>
          <w:p w14:paraId="5AC84B61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673" w:type="pct"/>
            <w:vMerge/>
            <w:shd w:val="clear" w:color="auto" w:fill="4D4D4D"/>
            <w:textDirection w:val="btLr"/>
          </w:tcPr>
          <w:p w14:paraId="5100BCAD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614" w:type="pct"/>
            <w:vMerge/>
            <w:shd w:val="clear" w:color="auto" w:fill="4D4D4D"/>
            <w:textDirection w:val="btLr"/>
          </w:tcPr>
          <w:p w14:paraId="24531D07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4" w:type="pct"/>
            <w:vMerge/>
            <w:shd w:val="clear" w:color="auto" w:fill="4D4D4D"/>
            <w:textDirection w:val="btLr"/>
          </w:tcPr>
          <w:p w14:paraId="238D69C4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1" w:type="pct"/>
            <w:vMerge/>
            <w:shd w:val="clear" w:color="auto" w:fill="4D4D4D"/>
            <w:textDirection w:val="btLr"/>
          </w:tcPr>
          <w:p w14:paraId="031F3DFA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2" w:type="pct"/>
            <w:vMerge/>
            <w:shd w:val="clear" w:color="auto" w:fill="4D4D4D"/>
            <w:textDirection w:val="btLr"/>
          </w:tcPr>
          <w:p w14:paraId="60995505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1" w:type="pct"/>
            <w:vMerge/>
            <w:shd w:val="clear" w:color="auto" w:fill="4D4D4D"/>
            <w:textDirection w:val="btLr"/>
          </w:tcPr>
          <w:p w14:paraId="755F794E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68" w:type="pct"/>
            <w:vMerge/>
            <w:shd w:val="clear" w:color="auto" w:fill="BFBFBF" w:themeFill="background1" w:themeFillShade="BF"/>
            <w:textDirection w:val="btLr"/>
          </w:tcPr>
          <w:p w14:paraId="6ABDAA08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560" w:type="pct"/>
            <w:vMerge/>
            <w:shd w:val="clear" w:color="auto" w:fill="BFBFBF" w:themeFill="background1" w:themeFillShade="BF"/>
            <w:textDirection w:val="btLr"/>
          </w:tcPr>
          <w:p w14:paraId="0930E920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3" w:type="pct"/>
            <w:shd w:val="clear" w:color="auto" w:fill="BFBFBF" w:themeFill="background1" w:themeFillShade="BF"/>
            <w:textDirection w:val="btLr"/>
            <w:vAlign w:val="center"/>
          </w:tcPr>
          <w:p w14:paraId="346C1989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111" w:type="pct"/>
            <w:shd w:val="clear" w:color="auto" w:fill="BFBFBF" w:themeFill="background1" w:themeFillShade="BF"/>
            <w:textDirection w:val="btLr"/>
            <w:vAlign w:val="center"/>
          </w:tcPr>
          <w:p w14:paraId="321C7D5A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113" w:type="pct"/>
            <w:shd w:val="clear" w:color="auto" w:fill="BFBFBF" w:themeFill="background1" w:themeFillShade="BF"/>
            <w:textDirection w:val="btLr"/>
            <w:vAlign w:val="center"/>
          </w:tcPr>
          <w:p w14:paraId="0A01C4B5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113" w:type="pct"/>
            <w:shd w:val="clear" w:color="auto" w:fill="BFBFBF" w:themeFill="background1" w:themeFillShade="BF"/>
            <w:textDirection w:val="btLr"/>
            <w:vAlign w:val="center"/>
          </w:tcPr>
          <w:p w14:paraId="00E41386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168" w:type="pct"/>
            <w:vMerge/>
            <w:shd w:val="clear" w:color="auto" w:fill="BFBFBF" w:themeFill="background1" w:themeFillShade="BF"/>
            <w:textDirection w:val="btLr"/>
          </w:tcPr>
          <w:p w14:paraId="48CD9EE5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225" w:type="pct"/>
            <w:vMerge/>
            <w:shd w:val="clear" w:color="auto" w:fill="BFBFBF" w:themeFill="background1" w:themeFillShade="BF"/>
            <w:textDirection w:val="btLr"/>
          </w:tcPr>
          <w:p w14:paraId="13559F45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48" w:type="pct"/>
            <w:vMerge/>
            <w:shd w:val="clear" w:color="auto" w:fill="BFBFBF" w:themeFill="background1" w:themeFillShade="BF"/>
            <w:textDirection w:val="btLr"/>
          </w:tcPr>
          <w:p w14:paraId="56CBE478" w14:textId="77777777" w:rsidR="00E3738B" w:rsidRPr="009B587C" w:rsidRDefault="00E3738B" w:rsidP="004D7C35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371" w:type="pct"/>
            <w:shd w:val="clear" w:color="auto" w:fill="BFBFBF" w:themeFill="background1" w:themeFillShade="BF"/>
            <w:textDirection w:val="btLr"/>
            <w:vAlign w:val="center"/>
          </w:tcPr>
          <w:p w14:paraId="6708B798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328" w:type="pct"/>
            <w:shd w:val="clear" w:color="auto" w:fill="BFBFBF" w:themeFill="background1" w:themeFillShade="BF"/>
            <w:textDirection w:val="btLr"/>
            <w:vAlign w:val="center"/>
          </w:tcPr>
          <w:p w14:paraId="5478208D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Periodicidad</w:t>
            </w:r>
          </w:p>
          <w:p w14:paraId="1F85B55D" w14:textId="77777777" w:rsidR="00E3738B" w:rsidRPr="009B587C" w:rsidRDefault="00E3738B" w:rsidP="009E1C12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  <w:t>¿Cuándo?</w:t>
            </w:r>
          </w:p>
        </w:tc>
      </w:tr>
      <w:tr w:rsidR="00E3738B" w:rsidRPr="009B587C" w14:paraId="52FADA9D" w14:textId="77777777" w:rsidTr="00E3738B">
        <w:trPr>
          <w:cantSplit/>
          <w:trHeight w:val="932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6CB14C0F" w14:textId="0C6EC02E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68BFBA15" w14:textId="0FCF6D5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1E52A15B" w14:textId="23A196A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6304DED9" w14:textId="091CDFB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4CE60CEA" w14:textId="33BFCDB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Operacionales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308A3DEE" w14:textId="6E342DC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Demora en la radicación por parte del consultor de las actas  (correctamente diligenciadas y firmadas) y/o cuentas</w:t>
            </w: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]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4276B3E5" w14:textId="62CC8D6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No pago de cuentas al contratista/insolvencia de este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5EE02943" w14:textId="3E3F6BA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589BDDB5" w14:textId="221266E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6E9557F2" w14:textId="37024EF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725BCE08" w14:textId="6E9CF3A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6FBF122" w14:textId="163D6E1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4A5E724D" w14:textId="6745515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Exhortar el cumplimiento de las obligaciones contractuales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2453E2B8" w14:textId="694F116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412D7227" w14:textId="195ACA1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7811CAF" w14:textId="4B06FCD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7F36293B" w14:textId="661E97F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5BD8BD75" w14:textId="3EB828E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24E9299E" w14:textId="280EEBD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1FEE4C65" w14:textId="5F7B0B7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Cuando el contratista presente demoras en el cumplimiento de la obligación contractual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13F588CC" w14:textId="4A4B9C9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Oficio recordando obligaciones contractuales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4D8DC63C" w14:textId="72F0AEA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Cada vez que se presenten demoras.</w:t>
            </w:r>
          </w:p>
        </w:tc>
      </w:tr>
      <w:tr w:rsidR="00E3738B" w:rsidRPr="009B587C" w14:paraId="7C020497" w14:textId="77777777" w:rsidTr="00E3738B">
        <w:trPr>
          <w:cantSplit/>
          <w:trHeight w:val="418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7CA1ABAC" w14:textId="2CA9AB5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6143E23D" w14:textId="041FC70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44B28A3" w14:textId="52244DB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5262ACF6" w14:textId="55C7037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2E92389A" w14:textId="4EDD6BE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3A92409D" w14:textId="1F80B40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Errores cometidos por el consultor en la elaboración de las propuestas durante la ejecución del proceso de selección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17C5AA9E" w14:textId="2786BB0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Insolvencia financiera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152F323D" w14:textId="76C27AA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4EA70289" w14:textId="1DE904F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78191A55" w14:textId="0F70EBA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7614238A" w14:textId="7A0C15D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7DA45E4A" w14:textId="4A8D4DE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5C23226" w14:textId="7353046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Exhortar el cumplimiento de las obligaciones contractuales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260A999F" w14:textId="52DD336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7FB43CFA" w14:textId="0B0A72B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0944951" w14:textId="2ADF2D4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13CD8411" w14:textId="4ED88DA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E503945" w14:textId="64BF147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76B1F5A3" w14:textId="1181CA91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24296BCC" w14:textId="3B44D74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Cuando el contratista presente demoras en el cumplimiento de la obligación contractual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64193511" w14:textId="4965511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Oficio recordando obligaciones contractuales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615C3B7" w14:textId="4EE5798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Cada vez que se presenten demoras.</w:t>
            </w:r>
          </w:p>
        </w:tc>
      </w:tr>
      <w:tr w:rsidR="00E3738B" w:rsidRPr="009B587C" w14:paraId="513815E9" w14:textId="77777777" w:rsidTr="00E3738B">
        <w:trPr>
          <w:cantSplit/>
          <w:trHeight w:val="418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05EA5487" w14:textId="6FAD709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9B96FAD" w14:textId="6BC4849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29FDEEE8" w14:textId="6D1EFF3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0DC2F075" w14:textId="593134D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0A8F787F" w14:textId="4FC5434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3D0E5842" w14:textId="5DB2911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No pago oportuno, por parte del consultor, en relación con servicios profesionales, especialistas y otros subcontratistas (laboratorios, vehículos y otros)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6A5CB7B0" w14:textId="2676310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No ejecución de actividades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01FFC15E" w14:textId="1F446A9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4BA9F23D" w14:textId="1EB9AC1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51BEE5C1" w14:textId="540B157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2380F48F" w14:textId="48444C4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2532C474" w14:textId="7F2F20E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7A759F4" w14:textId="4E0E00FA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Exhortar el cumplimiento de las obligaciones contractuales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5A32A7E0" w14:textId="0A48668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645F2C17" w14:textId="16928F4E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322B67E4" w14:textId="0F906EA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63D6122" w14:textId="32F1521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3BC41DE2" w14:textId="6EE7CF6A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6DBB3A58" w14:textId="4E0D0E2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42BA3A9A" w14:textId="65E4660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Cuando el contratista no cumpla con sus obligaciones financieras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7D6710DD" w14:textId="547458D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Oficio recordando obligaciones contractuales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75FEF634" w14:textId="0E81AC7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Cada vez que se presenten demoras.</w:t>
            </w:r>
          </w:p>
        </w:tc>
      </w:tr>
      <w:tr w:rsidR="00E3738B" w:rsidRPr="009B587C" w14:paraId="0F14A2D1" w14:textId="77777777" w:rsidTr="00E3738B">
        <w:trPr>
          <w:cantSplit/>
          <w:trHeight w:val="418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0054F15F" w14:textId="25B6E79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55BC8B13" w14:textId="74E005E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3D302F45" w14:textId="51504AC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7C924A59" w14:textId="10515EEE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133B21D6" w14:textId="1CB3918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5E8DB8A0" w14:textId="2FE1A87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Insolvencia del consultor por no prever los costos de financiación en los que deba incurrir durante la ejecución del proyecto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7DF0C091" w14:textId="7F08328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No ejecución de actividades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181870D7" w14:textId="788703F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7CADACD0" w14:textId="6EB0DB7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2DCB970F" w14:textId="11E1883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766ED8B6" w14:textId="1433107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157CBC26" w14:textId="060BED2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6D4AC55C" w14:textId="1295493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Exhortar el cumplimiento de las obligaciones contractuales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6882462B" w14:textId="04273D6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68CAC140" w14:textId="706B00D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564A817" w14:textId="540B237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1914D27" w14:textId="4A5BBE3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7E499FFD" w14:textId="3C9DB3E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698BB068" w14:textId="090B6FE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2EFB7D98" w14:textId="16D183C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Cuando el contratista no cumpla con sus obligaciones financieras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010DF4B5" w14:textId="1FC2221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Oficio recordando obligaciones contractuales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0F7177FB" w14:textId="75A232BA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Cada vez que se presenten demoras.</w:t>
            </w:r>
          </w:p>
        </w:tc>
      </w:tr>
      <w:tr w:rsidR="00E3738B" w:rsidRPr="009B587C" w14:paraId="742D6F60" w14:textId="77777777" w:rsidTr="00E3738B">
        <w:trPr>
          <w:cantSplit/>
          <w:trHeight w:val="418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224BDC1D" w14:textId="0E16B841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534802CD" w14:textId="18A74B31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CA04A24" w14:textId="64FC456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7C490E7B" w14:textId="3CFF7FD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19BD88DC" w14:textId="30D966BA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Operacionales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17382349" w14:textId="1F46C9C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Falta de gestión para el desarrollo correcto de la consultoría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5FAE664F" w14:textId="79B8D4A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Falta de directrices, recomendaciones u observaciones al contratista de obra.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4097C6C8" w14:textId="42C3DFD1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19B1B795" w14:textId="6F6E2F3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51DC8933" w14:textId="7116261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14883A9A" w14:textId="79C0741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93CEDF3" w14:textId="673326B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41817279" w14:textId="306144E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Exhortar el cumplimiento de las obligaciones contractuales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1E1154B7" w14:textId="1E9C0BA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19EBB245" w14:textId="6378146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222C6FB" w14:textId="10B3B49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B382A5B" w14:textId="59240AC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04BDAE1F" w14:textId="56BD584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7BCD8330" w14:textId="38F1085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162EB244" w14:textId="11D9DC4E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Cuando el contratista no cumpla con sus obligaciones contractuales respecto del contratista de obra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1879A7F5" w14:textId="6A81052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Oficio recordando obligaciones contractuales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0E2D1FE6" w14:textId="72AE8AB1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Cada vez que se presenten demoras.</w:t>
            </w:r>
          </w:p>
        </w:tc>
      </w:tr>
      <w:tr w:rsidR="00E3738B" w:rsidRPr="009B587C" w14:paraId="7571ACB2" w14:textId="77777777" w:rsidTr="00E3738B">
        <w:trPr>
          <w:cantSplit/>
          <w:trHeight w:val="418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24D70ACC" w14:textId="24FB31E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68C5F61E" w14:textId="53B76EA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D7FDE14" w14:textId="3F1D95F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7D775E6F" w14:textId="6D0E607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676EB8DD" w14:textId="5B97C99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Operacionales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1DB6EFE5" w14:textId="691D723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Necesidad de modificar el contrato principal de consultoría en plazo por ocurrencia de hechos imputables al consultor que retrase la ejecución de la consultoría.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0E1DF677" w14:textId="29B3389E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requiere una mayor control de la interventoría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2E84F7A4" w14:textId="5B8FC55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3E1D2233" w14:textId="3591659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7EB5CD46" w14:textId="25F2BE9A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1F90F2F6" w14:textId="6C86D9A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16C59D03" w14:textId="0C5804D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3625472B" w14:textId="27BDFEE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Exhortar el cumplimiento de las obligaciones contractuales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F28169C" w14:textId="3EE98FA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4FF83E48" w14:textId="213802E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17A214F" w14:textId="7CD45BF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55C7C4F" w14:textId="79D8085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0819CDC7" w14:textId="6FC4B8B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60F7F986" w14:textId="68EF067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242C664B" w14:textId="34D8EAAA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Cuando suceda la situación que origen la modificación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565D1234" w14:textId="2D0BA1F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Verificación de ejecución contractual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4B902F41" w14:textId="325219CA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Mensuales</w:t>
            </w:r>
          </w:p>
        </w:tc>
      </w:tr>
      <w:tr w:rsidR="00E3738B" w:rsidRPr="009B587C" w14:paraId="1CD001C4" w14:textId="77777777" w:rsidTr="00E3738B">
        <w:trPr>
          <w:cantSplit/>
          <w:trHeight w:val="418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3A0C55B7" w14:textId="72E078A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6412DFE" w14:textId="2882285E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0D8E1AF4" w14:textId="2453558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1FACC687" w14:textId="2C04B21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4248F240" w14:textId="4B3045D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Operacionales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0382467D" w14:textId="15F31E4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Por diseños incompletos y/o deficientes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37D6D698" w14:textId="2ADD118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requiere una mayor control de la interventoría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47F34D00" w14:textId="7DF59D43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5BDDD34A" w14:textId="529F08E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67FF9300" w14:textId="3A255F9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52B74E07" w14:textId="46D1A76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5D393304" w14:textId="7410226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2A0509FC" w14:textId="77777777" w:rsidR="00E3738B" w:rsidRPr="009B587C" w:rsidRDefault="00E3738B" w:rsidP="00F840B3">
            <w:pP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Revisión de diseños al inicio de la obra.</w:t>
            </w:r>
          </w:p>
          <w:p w14:paraId="1E5CDB7F" w14:textId="77777777" w:rsidR="00E3738B" w:rsidRPr="009B587C" w:rsidRDefault="00E3738B" w:rsidP="00F840B3">
            <w:pP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Intervenir en la adopción de medidas correctivas, esto es, modificación de diseños que garanticen que no se presentara mayor permanencia en obra.</w:t>
            </w:r>
          </w:p>
          <w:p w14:paraId="7666FD70" w14:textId="6B5D4D88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Realizar el otrosí modificatorio.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68159B7C" w14:textId="757455A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1FFAD02C" w14:textId="0B072CF5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7410DF94" w14:textId="2D547086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65E286D" w14:textId="1B6D7D0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2541BA96" w14:textId="52623FC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659FCFED" w14:textId="1E364F2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3EF8A338" w14:textId="2488319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Cuando suceda la situación que origen la modificación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639A794D" w14:textId="12B41AA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Verificación de ejecución contractual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82C76A2" w14:textId="22700C7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Mensuales</w:t>
            </w:r>
          </w:p>
        </w:tc>
      </w:tr>
      <w:tr w:rsidR="00E3738B" w:rsidRPr="009B587C" w14:paraId="610D8410" w14:textId="77777777" w:rsidTr="00E3738B">
        <w:trPr>
          <w:cantSplit/>
          <w:trHeight w:val="418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18ECF7AB" w14:textId="5E90564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55E61BB5" w14:textId="624A639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77C1DE9E" w14:textId="5ADB7F7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63865ADE" w14:textId="31B6738B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3458E013" w14:textId="3F7B5784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Financiero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79D92962" w14:textId="77777777" w:rsidR="00E3738B" w:rsidRPr="009B587C" w:rsidRDefault="00E3738B" w:rsidP="00F84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Riesgos por modificación del régimen de impuestos aplicables a terceros, cuando en el desarrollo del contrato, se modifican las tarifas de los impuestos o se crean nuevos impuestos o eliminan los ya existentes, no aplicables al contrato, pero si aplicables a las relaciones con terceros como aportes con el contratista</w:t>
            </w:r>
          </w:p>
          <w:p w14:paraId="1B158AEA" w14:textId="77777777" w:rsidR="00E3738B" w:rsidRPr="009B587C" w:rsidRDefault="00E3738B" w:rsidP="00F840B3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5099022E" w14:textId="247F05A8" w:rsidR="00E3738B" w:rsidRPr="009B587C" w:rsidRDefault="00E3738B" w:rsidP="009B587C">
            <w:pPr>
              <w:spacing w:after="100" w:afterAutospacing="1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Riesgo por cambio de vigencia y por cambio en los salarios de asignación de los profesionales.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18F59147" w14:textId="3808BEE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Incremento del presupuesto asignado para la interventoría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1FD32038" w14:textId="429122C0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0187CC81" w14:textId="54EEF05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51BD2144" w14:textId="6D88576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5FB21494" w14:textId="228F1EE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DCC6621" w14:textId="67A08AC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3576DD33" w14:textId="14F81955" w:rsidR="00E3738B" w:rsidRPr="009B587C" w:rsidRDefault="00E3738B" w:rsidP="00F840B3">
            <w:pP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Los efectos de cambio de vigencia e incrementos de los salarios de profesionales y aumento en los insumos para la elaboración de la consultoría de asumirán bajo un reajuste porcentual consignado en el presupuesto de la invitación.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2C10C5DF" w14:textId="0CF0981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1A83B569" w14:textId="05076567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9D335DD" w14:textId="07C9D8FE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6C64C61" w14:textId="65964111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406D110F" w14:textId="504B1D3D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333454E6" w14:textId="6CAD94DC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79A9DD55" w14:textId="5A34A4BF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Una vez se  conozcan los indicadores.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049D07A9" w14:textId="3F9B95E9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Revisión de las actas parciales de pago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173B8296" w14:textId="4ED2F392" w:rsidR="00E3738B" w:rsidRPr="009B587C" w:rsidRDefault="00E3738B" w:rsidP="0076567A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9B587C">
              <w:rPr>
                <w:rFonts w:ascii="Arial Narrow" w:hAnsi="Arial Narrow" w:cs="Arial"/>
                <w:sz w:val="16"/>
                <w:szCs w:val="16"/>
              </w:rPr>
              <w:t>Mensuales</w:t>
            </w:r>
          </w:p>
        </w:tc>
      </w:tr>
      <w:tr w:rsidR="00E3738B" w:rsidRPr="009B587C" w14:paraId="492105EB" w14:textId="3119DBC5" w:rsidTr="00E3738B">
        <w:trPr>
          <w:cantSplit/>
          <w:trHeight w:val="1134"/>
        </w:trPr>
        <w:tc>
          <w:tcPr>
            <w:tcW w:w="99" w:type="pct"/>
            <w:shd w:val="clear" w:color="auto" w:fill="auto"/>
            <w:textDirection w:val="btLr"/>
            <w:vAlign w:val="center"/>
          </w:tcPr>
          <w:p w14:paraId="4F6774A4" w14:textId="67FD25EC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lastRenderedPageBreak/>
              <w:t>9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EF2A3ED" w14:textId="5A944F00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General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D878799" w14:textId="06A78679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Externo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6369E3E1" w14:textId="63DE90C5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Etapa de ejecución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70580CC5" w14:textId="6C64B3F9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Operacional</w:t>
            </w:r>
          </w:p>
        </w:tc>
        <w:tc>
          <w:tcPr>
            <w:tcW w:w="673" w:type="pct"/>
            <w:shd w:val="clear" w:color="auto" w:fill="auto"/>
            <w:vAlign w:val="center"/>
          </w:tcPr>
          <w:p w14:paraId="7CEEE031" w14:textId="6E595290" w:rsidR="00E3738B" w:rsidRPr="00E3738B" w:rsidRDefault="00E3738B" w:rsidP="00F840B3">
            <w:pPr>
              <w:rPr>
                <w:rFonts w:ascii="Arial Narrow" w:hAnsi="Arial Narrow" w:cs="Arial"/>
                <w:sz w:val="16"/>
                <w:szCs w:val="16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 xml:space="preserve">Riesgo por la no implementación del protocolo </w:t>
            </w:r>
            <w:proofErr w:type="spellStart"/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Covid</w:t>
            </w:r>
            <w:proofErr w:type="spellEnd"/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 xml:space="preserve"> 19, según lo establecido en las circulares 003 y 666 de 2020 y demás disposiciones del gobierno nacional, municipal o departamental expedidos para impulsar la reactivación económica en el gremio de la construcción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731BB71A" w14:textId="73C148EF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Afectación al cronograma de entrega de las obras, por eventual suspensión de las obras (sellamiento por parte de la autoridad competente)</w:t>
            </w:r>
          </w:p>
        </w:tc>
        <w:tc>
          <w:tcPr>
            <w:tcW w:w="114" w:type="pct"/>
            <w:shd w:val="clear" w:color="auto" w:fill="auto"/>
            <w:textDirection w:val="btLr"/>
            <w:vAlign w:val="center"/>
          </w:tcPr>
          <w:p w14:paraId="094C51AA" w14:textId="5917E4F2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4FE5ABEA" w14:textId="04B6F5F4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b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2" w:type="pct"/>
            <w:shd w:val="clear" w:color="auto" w:fill="auto"/>
            <w:textDirection w:val="btLr"/>
            <w:vAlign w:val="center"/>
          </w:tcPr>
          <w:p w14:paraId="390122F3" w14:textId="7A06438A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7BA6902D" w14:textId="5D5A0449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3FF60EA0" w14:textId="3807A7D6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560" w:type="pct"/>
            <w:shd w:val="clear" w:color="auto" w:fill="auto"/>
            <w:vAlign w:val="center"/>
          </w:tcPr>
          <w:p w14:paraId="5D9BE8C4" w14:textId="38C650CD" w:rsidR="00E3738B" w:rsidRPr="00E3738B" w:rsidRDefault="00E3738B" w:rsidP="00F840B3">
            <w:pPr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 xml:space="preserve">Exigir al contratista la constancia de radicación del protocolo </w:t>
            </w:r>
            <w:proofErr w:type="spellStart"/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Covid</w:t>
            </w:r>
            <w:proofErr w:type="spellEnd"/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 xml:space="preserve"> 19, adecuado a la complejidad de la obra y el visto bueno emitido por las autoridades competentes, teniendo en cuenta que, en el desarrollo de las obras, este tendrá que ser seguido con fidelidad a lo propuesto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13D7C79" w14:textId="2B168D55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1" w:type="pct"/>
            <w:shd w:val="clear" w:color="auto" w:fill="auto"/>
            <w:textDirection w:val="btLr"/>
            <w:vAlign w:val="center"/>
          </w:tcPr>
          <w:p w14:paraId="6EDCFC8E" w14:textId="1B38CCF3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2ED1C22E" w14:textId="6D1B3C4C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13" w:type="pct"/>
            <w:shd w:val="clear" w:color="auto" w:fill="auto"/>
            <w:textDirection w:val="btLr"/>
            <w:vAlign w:val="center"/>
          </w:tcPr>
          <w:p w14:paraId="40133C72" w14:textId="48E52E63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168" w:type="pct"/>
            <w:shd w:val="clear" w:color="auto" w:fill="auto"/>
            <w:textDirection w:val="btLr"/>
            <w:vAlign w:val="center"/>
          </w:tcPr>
          <w:p w14:paraId="3D02C42C" w14:textId="1B3172B2" w:rsidR="00E3738B" w:rsidRPr="00E3738B" w:rsidRDefault="00E3738B" w:rsidP="00E3738B">
            <w:pPr>
              <w:spacing w:after="100" w:afterAutospacing="1"/>
              <w:ind w:left="113" w:right="113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E3738B">
              <w:rPr>
                <w:rFonts w:ascii="Arial Narrow" w:hAnsi="Arial Narrow"/>
                <w:b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225" w:type="pct"/>
            <w:shd w:val="clear" w:color="auto" w:fill="auto"/>
            <w:textDirection w:val="btLr"/>
            <w:vAlign w:val="center"/>
          </w:tcPr>
          <w:p w14:paraId="2E2C8EE6" w14:textId="102B9B4F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</w:pPr>
            <w:r w:rsidRPr="009B587C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Secretaria de Obras Publicas/Supervisor</w:t>
            </w:r>
          </w:p>
        </w:tc>
        <w:tc>
          <w:tcPr>
            <w:tcW w:w="448" w:type="pct"/>
            <w:shd w:val="clear" w:color="auto" w:fill="auto"/>
            <w:vAlign w:val="center"/>
          </w:tcPr>
          <w:p w14:paraId="7E72C8E5" w14:textId="39C7B6D0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Una vez se dé inicio a las obras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1491F400" w14:textId="3DBD0B80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El tratamiento termina cuando la obra sea recibida por la administración municipal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E4A72C0" w14:textId="22B48FAD" w:rsidR="00E3738B" w:rsidRPr="00E3738B" w:rsidRDefault="00E3738B" w:rsidP="0076567A">
            <w:pPr>
              <w:spacing w:after="100" w:afterAutospacing="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3738B">
              <w:rPr>
                <w:rFonts w:ascii="Arial Narrow" w:hAnsi="Arial Narrow"/>
                <w:sz w:val="16"/>
                <w:szCs w:val="16"/>
                <w:lang w:eastAsia="es-CO"/>
              </w:rPr>
              <w:t>Diaria</w:t>
            </w:r>
          </w:p>
        </w:tc>
      </w:tr>
    </w:tbl>
    <w:p w14:paraId="74770F23" w14:textId="77777777" w:rsidR="00815604" w:rsidRPr="009B587C" w:rsidRDefault="00815604" w:rsidP="004D7C35">
      <w:pPr>
        <w:spacing w:after="100" w:afterAutospacing="1"/>
        <w:jc w:val="center"/>
        <w:rPr>
          <w:rFonts w:ascii="Arial Narrow" w:eastAsia="SimSun" w:hAnsi="Arial Narrow" w:cs="Arial"/>
          <w:kern w:val="3"/>
          <w:sz w:val="16"/>
          <w:szCs w:val="16"/>
          <w:lang w:eastAsia="zh-CN" w:bidi="hi-IN"/>
        </w:rPr>
      </w:pPr>
    </w:p>
    <w:p w14:paraId="168C9C57" w14:textId="06F368D3" w:rsidR="00D70D7B" w:rsidRPr="009B587C" w:rsidRDefault="00D70D7B" w:rsidP="00D70D7B">
      <w:pPr>
        <w:spacing w:after="100" w:afterAutospacing="1"/>
        <w:rPr>
          <w:rFonts w:ascii="Arial Narrow" w:eastAsia="SimSun" w:hAnsi="Arial Narrow" w:cs="Arial"/>
          <w:kern w:val="3"/>
          <w:sz w:val="16"/>
          <w:szCs w:val="16"/>
          <w:lang w:eastAsia="zh-CN" w:bidi="hi-IN"/>
        </w:rPr>
      </w:pPr>
    </w:p>
    <w:sectPr w:rsidR="00D70D7B" w:rsidRPr="009B587C" w:rsidSect="009E1C12">
      <w:headerReference w:type="default" r:id="rId12"/>
      <w:footerReference w:type="default" r:id="rId13"/>
      <w:pgSz w:w="15840" w:h="12240" w:orient="landscape" w:code="1"/>
      <w:pgMar w:top="1134" w:right="1134" w:bottom="130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F1092C" w14:textId="77777777" w:rsidR="00544B0F" w:rsidRDefault="00544B0F" w:rsidP="00091875">
      <w:pPr>
        <w:spacing w:line="240" w:lineRule="auto"/>
      </w:pPr>
      <w:r>
        <w:separator/>
      </w:r>
    </w:p>
  </w:endnote>
  <w:endnote w:type="continuationSeparator" w:id="0">
    <w:p w14:paraId="47AC361A" w14:textId="77777777" w:rsidR="00544B0F" w:rsidRDefault="00544B0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266629" w:rsidRPr="00266629">
          <w:rPr>
            <w:noProof/>
            <w:lang w:val="es-ES"/>
          </w:rPr>
          <w:t>4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76"/>
      <w:gridCol w:w="2941"/>
      <w:gridCol w:w="1517"/>
      <w:gridCol w:w="433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F947C" w14:textId="77777777" w:rsidR="00544B0F" w:rsidRDefault="00544B0F" w:rsidP="00091875">
      <w:pPr>
        <w:spacing w:line="240" w:lineRule="auto"/>
      </w:pPr>
      <w:r>
        <w:separator/>
      </w:r>
    </w:p>
  </w:footnote>
  <w:footnote w:type="continuationSeparator" w:id="0">
    <w:p w14:paraId="2D37C72E" w14:textId="77777777" w:rsidR="00544B0F" w:rsidRDefault="00544B0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22"/>
      <w:gridCol w:w="7125"/>
      <w:gridCol w:w="1457"/>
      <w:gridCol w:w="3111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77777777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66629">
            <w:rPr>
              <w:rFonts w:ascii="Arial" w:eastAsia="Arial" w:hAnsi="Arial" w:cs="Arial"/>
              <w:noProof/>
              <w:sz w:val="16"/>
              <w:szCs w:val="16"/>
            </w:rPr>
            <w:t>4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66629">
            <w:rPr>
              <w:rFonts w:ascii="Arial" w:eastAsia="Arial" w:hAnsi="Arial" w:cs="Arial"/>
              <w:noProof/>
              <w:sz w:val="16"/>
              <w:szCs w:val="16"/>
            </w:rPr>
            <w:t>4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438E89BC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1061A"/>
    <w:rsid w:val="00266629"/>
    <w:rsid w:val="00277255"/>
    <w:rsid w:val="00286083"/>
    <w:rsid w:val="002A4809"/>
    <w:rsid w:val="002D5D72"/>
    <w:rsid w:val="002E5D6A"/>
    <w:rsid w:val="002F7402"/>
    <w:rsid w:val="003322F8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4B0F"/>
    <w:rsid w:val="00545461"/>
    <w:rsid w:val="005752CE"/>
    <w:rsid w:val="0058222E"/>
    <w:rsid w:val="005849BA"/>
    <w:rsid w:val="005D2051"/>
    <w:rsid w:val="005E5030"/>
    <w:rsid w:val="006030C5"/>
    <w:rsid w:val="00686C25"/>
    <w:rsid w:val="00692562"/>
    <w:rsid w:val="006A3288"/>
    <w:rsid w:val="006B4FEE"/>
    <w:rsid w:val="006E6D9B"/>
    <w:rsid w:val="007115DA"/>
    <w:rsid w:val="00721886"/>
    <w:rsid w:val="00762556"/>
    <w:rsid w:val="0076567A"/>
    <w:rsid w:val="00776850"/>
    <w:rsid w:val="0077727E"/>
    <w:rsid w:val="007B33E6"/>
    <w:rsid w:val="007C5B18"/>
    <w:rsid w:val="007C702A"/>
    <w:rsid w:val="007D1074"/>
    <w:rsid w:val="00805ECB"/>
    <w:rsid w:val="00815604"/>
    <w:rsid w:val="00833F3B"/>
    <w:rsid w:val="008537E3"/>
    <w:rsid w:val="0085653A"/>
    <w:rsid w:val="0085672F"/>
    <w:rsid w:val="00874392"/>
    <w:rsid w:val="00885039"/>
    <w:rsid w:val="008B2683"/>
    <w:rsid w:val="008C0237"/>
    <w:rsid w:val="008E39CA"/>
    <w:rsid w:val="00912B23"/>
    <w:rsid w:val="009321E7"/>
    <w:rsid w:val="009771F1"/>
    <w:rsid w:val="009A3856"/>
    <w:rsid w:val="009B587C"/>
    <w:rsid w:val="009E1C12"/>
    <w:rsid w:val="009E77AD"/>
    <w:rsid w:val="00A1437D"/>
    <w:rsid w:val="00A411F2"/>
    <w:rsid w:val="00A802EF"/>
    <w:rsid w:val="00A9107A"/>
    <w:rsid w:val="00AB5F8B"/>
    <w:rsid w:val="00AE2ECB"/>
    <w:rsid w:val="00AF41A0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C53FEB"/>
    <w:rsid w:val="00C54F77"/>
    <w:rsid w:val="00C71F76"/>
    <w:rsid w:val="00CB7D17"/>
    <w:rsid w:val="00CD1911"/>
    <w:rsid w:val="00CD267D"/>
    <w:rsid w:val="00D13765"/>
    <w:rsid w:val="00D70D7B"/>
    <w:rsid w:val="00D86ECC"/>
    <w:rsid w:val="00DA2321"/>
    <w:rsid w:val="00DC1DB3"/>
    <w:rsid w:val="00DD4300"/>
    <w:rsid w:val="00DF421A"/>
    <w:rsid w:val="00E011A2"/>
    <w:rsid w:val="00E3738B"/>
    <w:rsid w:val="00E46F79"/>
    <w:rsid w:val="00E56873"/>
    <w:rsid w:val="00E85E65"/>
    <w:rsid w:val="00E93807"/>
    <w:rsid w:val="00F56CD2"/>
    <w:rsid w:val="00F6022F"/>
    <w:rsid w:val="00F63350"/>
    <w:rsid w:val="00F77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744A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64CF1F3-A271-4B61-BEEA-068143D50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B5105A-051F-448A-96B4-63FA1C6C1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1095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Juliana Osorio Jaramillo</cp:lastModifiedBy>
  <cp:revision>2</cp:revision>
  <cp:lastPrinted>2015-10-20T15:00:00Z</cp:lastPrinted>
  <dcterms:created xsi:type="dcterms:W3CDTF">2021-06-24T15:36:00Z</dcterms:created>
  <dcterms:modified xsi:type="dcterms:W3CDTF">2021-06-24T15:36:00Z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