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66A0FAE3" w14:textId="59FE2B24" w:rsidR="00DC179A" w:rsidRPr="00A5335A" w:rsidRDefault="00DC179A" w:rsidP="00B303C7">
      <w:pPr>
        <w:jc w:val="both"/>
        <w:rPr>
          <w:b/>
          <w:lang w:val="es-CO"/>
        </w:rPr>
      </w:pPr>
      <w:r w:rsidRPr="002F66D1">
        <w:rPr>
          <w:rFonts w:eastAsia="Arial"/>
          <w:lang w:val="es-CO"/>
        </w:rPr>
        <w:t xml:space="preserve">Para efectos de interpretación del pliego de condiciones: </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xml:space="preserve">: Se remite a las nociones desarrolladas en la sentencia del Consejo de Estado, Sección Tercera, Subsección C, del 12 de noviembre de 2014, Radicado 27.986, </w:t>
      </w:r>
      <w:proofErr w:type="gramStart"/>
      <w:r w:rsidRPr="6F7F30E8">
        <w:rPr>
          <w:rFonts w:asciiTheme="minorHAnsi" w:hAnsiTheme="minorHAnsi" w:cstheme="minorBidi"/>
          <w:sz w:val="20"/>
          <w:szCs w:val="20"/>
          <w:lang w:val="es-CO"/>
        </w:rPr>
        <w:t>Consejero</w:t>
      </w:r>
      <w:proofErr w:type="gramEnd"/>
      <w:r w:rsidRPr="6F7F30E8">
        <w:rPr>
          <w:rFonts w:asciiTheme="minorHAnsi" w:hAnsiTheme="minorHAnsi" w:cstheme="minorBidi"/>
          <w:sz w:val="20"/>
          <w:szCs w:val="20"/>
          <w:lang w:val="es-CO"/>
        </w:rPr>
        <w:t xml:space="preserve">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w:t>
      </w:r>
      <w:proofErr w:type="gramStart"/>
      <w:r w:rsidRPr="5A0DE076">
        <w:rPr>
          <w:rFonts w:asciiTheme="minorHAnsi" w:hAnsiTheme="minorHAnsi" w:cstheme="minorBidi"/>
          <w:b/>
          <w:bCs/>
          <w:sz w:val="20"/>
          <w:szCs w:val="20"/>
          <w:lang w:val="es-CO"/>
        </w:rPr>
        <w:t>Delegada</w:t>
      </w:r>
      <w:proofErr w:type="gramEnd"/>
      <w:r w:rsidRPr="5A0DE076">
        <w:rPr>
          <w:rFonts w:asciiTheme="minorHAnsi" w:hAnsiTheme="minorHAnsi" w:cstheme="minorBidi"/>
          <w:b/>
          <w:bCs/>
          <w:sz w:val="20"/>
          <w:szCs w:val="20"/>
          <w:lang w:val="es-CO"/>
        </w:rPr>
        <w:t xml:space="preserve">: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lastRenderedPageBreak/>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Bus Rapid </w:t>
      </w:r>
      <w:proofErr w:type="spellStart"/>
      <w:r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w:t>
      </w:r>
      <w:proofErr w:type="spellStart"/>
      <w:r w:rsidRPr="00316D5B">
        <w:rPr>
          <w:rFonts w:asciiTheme="minorHAnsi" w:hAnsiTheme="minorHAnsi" w:cstheme="minorHAnsi"/>
          <w:b/>
          <w:sz w:val="20"/>
          <w:szCs w:val="20"/>
          <w:lang w:val="es-CO"/>
        </w:rPr>
        <w:t>Engineering</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Procurement</w:t>
      </w:r>
      <w:proofErr w:type="spellEnd"/>
      <w:r w:rsidRPr="00316D5B">
        <w:rPr>
          <w:rFonts w:asciiTheme="minorHAnsi" w:hAnsiTheme="minorHAnsi" w:cstheme="minorHAnsi"/>
          <w:b/>
          <w:sz w:val="20"/>
          <w:szCs w:val="20"/>
          <w:lang w:val="es-CO"/>
        </w:rPr>
        <w:t xml:space="preserve"> and </w:t>
      </w:r>
      <w:proofErr w:type="spellStart"/>
      <w:r w:rsidRPr="00316D5B">
        <w:rPr>
          <w:rFonts w:asciiTheme="minorHAnsi" w:hAnsiTheme="minorHAnsi" w:cstheme="minorHAnsi"/>
          <w:b/>
          <w:sz w:val="20"/>
          <w:szCs w:val="20"/>
          <w:lang w:val="es-CO"/>
        </w:rPr>
        <w:t>Construction</w:t>
      </w:r>
      <w:proofErr w:type="spellEnd"/>
      <w:r w:rsidRPr="00316D5B">
        <w:rPr>
          <w:rFonts w:asciiTheme="minorHAnsi" w:hAnsiTheme="minorHAnsi" w:cstheme="minorHAnsi"/>
          <w:b/>
          <w:sz w:val="20"/>
          <w:szCs w:val="20"/>
          <w:lang w:val="es-CO"/>
        </w:rPr>
        <w:t xml:space="preserve">):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6F7F30E8">
        <w:rPr>
          <w:rFonts w:asciiTheme="minorHAnsi" w:hAnsiTheme="minorHAnsi" w:cstheme="minorBidi"/>
          <w:sz w:val="20"/>
          <w:szCs w:val="20"/>
          <w:lang w:val="es-CO"/>
        </w:rPr>
        <w:t>reexpresión</w:t>
      </w:r>
      <w:proofErr w:type="spellEnd"/>
      <w:r w:rsidRPr="6F7F30E8">
        <w:rPr>
          <w:rFonts w:asciiTheme="minorHAnsi" w:hAnsiTheme="minorHAnsi" w:cstheme="minorBidi"/>
          <w:sz w:val="20"/>
          <w:szCs w:val="20"/>
          <w:lang w:val="es-CO"/>
        </w:rPr>
        <w:t xml:space="preserve">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w:t>
      </w:r>
      <w:r w:rsidRPr="5A0DE076">
        <w:rPr>
          <w:rFonts w:asciiTheme="minorHAnsi" w:hAnsiTheme="minorHAnsi" w:cstheme="minorBidi"/>
          <w:sz w:val="20"/>
          <w:szCs w:val="20"/>
          <w:lang w:val="es-CO"/>
        </w:rPr>
        <w:lastRenderedPageBreak/>
        <w:t xml:space="preserve">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 xml:space="preserve">orcentaje de los costos directos destinados a cubrir: los gastos de administración (A), que comprende los gastos de dirección de obra, gastos administrativos de oficina, etc.; los imprevistos (I), que corresponde a un porcentaje destinado a cubrir los gastos </w:t>
      </w:r>
      <w:r w:rsidRPr="00316D5B">
        <w:rPr>
          <w:rFonts w:asciiTheme="minorHAnsi" w:hAnsiTheme="minorHAnsi" w:cstheme="minorHAnsi"/>
          <w:sz w:val="20"/>
          <w:szCs w:val="20"/>
          <w:lang w:val="es-CO"/>
        </w:rPr>
        <w:lastRenderedPageBreak/>
        <w:t>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44201060" w14:textId="683E0EF9" w:rsidR="00DC179A" w:rsidRDefault="00DC179A" w:rsidP="5FB46408">
      <w:pPr>
        <w:jc w:val="both"/>
        <w:rPr>
          <w:rFonts w:eastAsia="Arial"/>
          <w:lang w:val="es-CO"/>
        </w:rPr>
      </w:pPr>
      <w:r w:rsidRPr="5FB46408">
        <w:rPr>
          <w:rFonts w:eastAsia="Arial"/>
          <w:lang w:val="es-CO"/>
        </w:rPr>
        <w:t>[</w:t>
      </w:r>
      <w:r w:rsidRPr="5FB46408">
        <w:rPr>
          <w:rFonts w:eastAsia="Arial"/>
          <w:highlight w:val="lightGray"/>
          <w:lang w:val="es-CO"/>
        </w:rPr>
        <w:t>La Entidad</w:t>
      </w:r>
      <w:r w:rsidR="6F1EB4EA" w:rsidRPr="5FB46408">
        <w:rPr>
          <w:rFonts w:eastAsia="Arial"/>
          <w:highlight w:val="lightGray"/>
          <w:lang w:val="es-CO"/>
        </w:rPr>
        <w:t xml:space="preserve"> Estatal</w:t>
      </w:r>
      <w:r w:rsidRPr="5FB46408">
        <w:rPr>
          <w:rFonts w:eastAsia="Arial"/>
          <w:highlight w:val="lightGray"/>
          <w:lang w:val="es-CO"/>
        </w:rPr>
        <w:t xml:space="preserve"> deberá incorporar en orden alfabético los conceptos adicionales que apliquen al </w:t>
      </w:r>
      <w:r w:rsidR="008D392A" w:rsidRPr="5FB46408">
        <w:rPr>
          <w:rFonts w:eastAsia="Arial"/>
          <w:highlight w:val="lightGray"/>
          <w:lang w:val="es-CO"/>
        </w:rPr>
        <w:t>P</w:t>
      </w:r>
      <w:r w:rsidRPr="5FB46408">
        <w:rPr>
          <w:rFonts w:eastAsia="Arial"/>
          <w:highlight w:val="lightGray"/>
          <w:lang w:val="es-CO"/>
        </w:rPr>
        <w:t xml:space="preserve">roceso de </w:t>
      </w:r>
      <w:r w:rsidR="008D392A" w:rsidRPr="5FB46408">
        <w:rPr>
          <w:rFonts w:eastAsia="Arial"/>
          <w:highlight w:val="lightGray"/>
          <w:lang w:val="es-CO"/>
        </w:rPr>
        <w:t xml:space="preserve">Contratación </w:t>
      </w:r>
      <w:r w:rsidRPr="5FB46408">
        <w:rPr>
          <w:rFonts w:eastAsia="Arial"/>
          <w:highlight w:val="lightGray"/>
          <w:lang w:val="es-CO"/>
        </w:rPr>
        <w:t>que no estén incluidos en el presente anexo</w:t>
      </w:r>
      <w:r w:rsidRPr="5FB46408">
        <w:rPr>
          <w:rFonts w:eastAsia="Arial"/>
          <w:lang w:val="es-CO"/>
        </w:rPr>
        <w:t xml:space="preserve">] </w:t>
      </w:r>
    </w:p>
    <w:p w14:paraId="1D2107FF" w14:textId="77777777" w:rsidR="00DC179A" w:rsidRDefault="00DC179A" w:rsidP="00DC179A">
      <w:pPr>
        <w:rPr>
          <w:rFonts w:eastAsia="Arial" w:cstheme="minorHAnsi"/>
          <w:szCs w:val="20"/>
          <w:lang w:val="es-CO"/>
        </w:rPr>
      </w:pPr>
    </w:p>
    <w:p w14:paraId="173C824D" w14:textId="77777777" w:rsidR="00DC179A" w:rsidRPr="009E7C8C" w:rsidRDefault="00DC179A" w:rsidP="00DC179A">
      <w:pPr>
        <w:jc w:val="both"/>
        <w:rPr>
          <w:rFonts w:cstheme="minorHAnsi"/>
          <w:b/>
          <w:szCs w:val="20"/>
          <w:lang w:val="es-CO"/>
        </w:rPr>
      </w:pPr>
      <w:r>
        <w:rPr>
          <w:rFonts w:eastAsia="Arial" w:cstheme="minorHAnsi"/>
          <w:szCs w:val="20"/>
          <w:lang w:val="es-CO"/>
        </w:rPr>
        <w:t>[</w:t>
      </w:r>
      <w:r w:rsidRPr="006B02C3">
        <w:rPr>
          <w:rFonts w:eastAsia="Arial" w:cstheme="minorHAnsi"/>
          <w:szCs w:val="20"/>
          <w:highlight w:val="lightGray"/>
          <w:lang w:val="es-CO"/>
        </w:rPr>
        <w:t>Respecto a la categorización de las vías, se maneja en los documentos tipo la definición de vías primarias, secundarias o terciaras, hasta que se cumpla el plazo establecido en la Resolución 411 del 26 de febrero de 2020 por parte del Ministerio de Transporte</w:t>
      </w:r>
      <w:r>
        <w:rPr>
          <w:rFonts w:eastAsia="Arial" w:cstheme="minorHAnsi"/>
          <w:szCs w:val="20"/>
          <w:highlight w:val="lightGray"/>
          <w:lang w:val="es-CO"/>
        </w:rPr>
        <w:t>, o aquellas que las modifiquen, adición o deroguen</w:t>
      </w:r>
      <w:r w:rsidRPr="006B02C3">
        <w:rPr>
          <w:rFonts w:eastAsia="Arial" w:cstheme="minorHAnsi"/>
          <w:szCs w:val="20"/>
          <w:highlight w:val="lightGray"/>
          <w:lang w:val="es-CO"/>
        </w:rPr>
        <w:t xml:space="preserve">; en la cual se detallan los lineamientos de categorización de vías de primer, segundo y tercer orden de acuerdo con la </w:t>
      </w:r>
      <w:r w:rsidRPr="006B02C3">
        <w:rPr>
          <w:rFonts w:eastAsia="Arial" w:cstheme="minorHAnsi"/>
          <w:i/>
          <w:iCs/>
          <w:szCs w:val="20"/>
          <w:highlight w:val="lightGray"/>
          <w:lang w:val="es-CO"/>
        </w:rPr>
        <w:t>matriz y guía para realizar la categorización de la red vial nacional</w:t>
      </w:r>
      <w:r w:rsidRPr="006B02C3">
        <w:rPr>
          <w:rFonts w:eastAsia="Arial" w:cstheme="minorHAnsi"/>
          <w:szCs w:val="20"/>
          <w:highlight w:val="lightGray"/>
          <w:lang w:val="es-CO"/>
        </w:rPr>
        <w:t>.</w:t>
      </w:r>
      <w:r>
        <w:rPr>
          <w:rFonts w:eastAsia="Arial" w:cstheme="minorHAnsi"/>
          <w:szCs w:val="20"/>
          <w:lang w:val="es-CO"/>
        </w:rPr>
        <w:t>]</w:t>
      </w:r>
    </w:p>
    <w:p w14:paraId="075F9473" w14:textId="77777777" w:rsidR="00DC179A" w:rsidRPr="00316D5B" w:rsidRDefault="00DC179A" w:rsidP="00DC179A">
      <w:pPr>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t>Lado Aire:</w:t>
      </w:r>
      <w:r w:rsidRPr="007A7A3B">
        <w:rPr>
          <w:rFonts w:cstheme="minorHAnsi"/>
          <w:szCs w:val="20"/>
          <w:lang w:val="es-CO"/>
        </w:rPr>
        <w:t xml:space="preserve"> Está compuesto por el área de movimiento de aeronaves, pistas, calles de rodaje, </w:t>
      </w:r>
      <w:proofErr w:type="spellStart"/>
      <w:r w:rsidRPr="007A7A3B">
        <w:rPr>
          <w:rFonts w:cstheme="minorHAnsi"/>
          <w:szCs w:val="20"/>
          <w:lang w:val="es-CO"/>
        </w:rPr>
        <w:t>taxeos</w:t>
      </w:r>
      <w:proofErr w:type="spellEnd"/>
      <w:r w:rsidRPr="007A7A3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94031A">
        <w:rPr>
          <w:rFonts w:cstheme="minorHAnsi"/>
          <w:szCs w:val="20"/>
          <w:lang w:val="es-CO"/>
        </w:rPr>
        <w:t>ciclousarios</w:t>
      </w:r>
      <w:proofErr w:type="spellEnd"/>
      <w:r w:rsidRPr="0094031A">
        <w:rPr>
          <w:rFonts w:cstheme="minorHAnsi"/>
          <w:szCs w:val="20"/>
          <w:lang w:val="es-CO"/>
        </w:rPr>
        <w:t>.</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lastRenderedPageBreak/>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 xml:space="preserve">Embarcación autopropulsada y capaz de transportar cierta cantidad de sólidos en una </w:t>
      </w:r>
      <w:r w:rsidRPr="0024395E">
        <w:rPr>
          <w:rFonts w:asciiTheme="minorHAnsi" w:hAnsiTheme="minorHAnsi" w:cstheme="minorHAnsi"/>
          <w:sz w:val="20"/>
          <w:szCs w:val="20"/>
          <w:lang w:val="es-CO" w:eastAsia="es-CO"/>
        </w:rPr>
        <w:lastRenderedPageBreak/>
        <w:t>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94031A">
        <w:rPr>
          <w:rFonts w:asciiTheme="minorHAnsi" w:hAnsiTheme="minorHAnsi" w:cstheme="minorHAnsi"/>
          <w:bCs/>
          <w:sz w:val="20"/>
          <w:szCs w:val="20"/>
          <w:lang w:val="es-CO"/>
        </w:rPr>
        <w:t>Dragalinas</w:t>
      </w:r>
      <w:proofErr w:type="spellEnd"/>
      <w:r w:rsidRPr="0094031A">
        <w:rPr>
          <w:rFonts w:asciiTheme="minorHAnsi" w:hAnsiTheme="minorHAnsi" w:cstheme="minorHAnsi"/>
          <w:bCs/>
          <w:sz w:val="20"/>
          <w:szCs w:val="20"/>
          <w:lang w:val="es-CO"/>
        </w:rPr>
        <w:t>, Dragas de Cuchara Almeja, Dragas de Pala (</w:t>
      </w:r>
      <w:proofErr w:type="spellStart"/>
      <w:r w:rsidRPr="0094031A">
        <w:rPr>
          <w:rFonts w:asciiTheme="minorHAnsi" w:hAnsiTheme="minorHAnsi" w:cstheme="minorHAnsi"/>
          <w:bCs/>
          <w:sz w:val="20"/>
          <w:szCs w:val="20"/>
          <w:lang w:val="es-CO"/>
        </w:rPr>
        <w:t>Dipper</w:t>
      </w:r>
      <w:proofErr w:type="spellEnd"/>
      <w:r w:rsidRPr="0094031A">
        <w:rPr>
          <w:rFonts w:asciiTheme="minorHAnsi" w:hAnsiTheme="minorHAnsi" w:cstheme="minorHAnsi"/>
          <w:bCs/>
          <w:sz w:val="20"/>
          <w:szCs w:val="20"/>
          <w:lang w:val="es-CO"/>
        </w:rPr>
        <w:t>)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E4A58B7">
        <w:rPr>
          <w:rFonts w:eastAsia="Times New Roman"/>
          <w:lang w:val="es-CO" w:eastAsia="es-ES"/>
        </w:rPr>
        <w:t>ciclopistas</w:t>
      </w:r>
      <w:proofErr w:type="spellEnd"/>
      <w:r w:rsidRPr="5E4A58B7">
        <w:rPr>
          <w:rFonts w:eastAsia="Times New Roman"/>
          <w:lang w:val="es-CO" w:eastAsia="es-ES"/>
        </w:rPr>
        <w:t>,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lastRenderedPageBreak/>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proofErr w:type="spellStart"/>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axeo</w:t>
      </w:r>
      <w:proofErr w:type="spellEnd"/>
      <w:r w:rsidRPr="5FB46408">
        <w:rPr>
          <w:rFonts w:asciiTheme="minorHAnsi" w:hAnsiTheme="minorHAnsi" w:cstheme="minorBidi"/>
          <w:sz w:val="20"/>
          <w:szCs w:val="20"/>
          <w:lang w:val="es-CO"/>
        </w:rPr>
        <w:t xml:space="preserve">;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lastRenderedPageBreak/>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w:t>
      </w:r>
      <w:r w:rsidRPr="5A0DE076">
        <w:rPr>
          <w:rFonts w:asciiTheme="minorHAnsi" w:hAnsiTheme="minorHAnsi" w:cstheme="minorBidi"/>
          <w:sz w:val="20"/>
          <w:szCs w:val="20"/>
          <w:lang w:val="es-CO" w:eastAsia="es-CO"/>
        </w:rPr>
        <w:lastRenderedPageBreak/>
        <w:t xml:space="preserve">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5A0DE076">
        <w:rPr>
          <w:rFonts w:asciiTheme="minorHAnsi" w:hAnsiTheme="minorHAnsi" w:cstheme="minorBidi"/>
          <w:sz w:val="20"/>
          <w:szCs w:val="20"/>
          <w:lang w:val="es-CO"/>
        </w:rPr>
        <w:t>postensionamientos</w:t>
      </w:r>
      <w:proofErr w:type="spellEnd"/>
      <w:r w:rsidRPr="5A0DE076">
        <w:rPr>
          <w:rFonts w:asciiTheme="minorHAnsi" w:hAnsiTheme="minorHAnsi" w:cstheme="minorBidi"/>
          <w:sz w:val="20"/>
          <w:szCs w:val="20"/>
          <w:lang w:val="es-CO"/>
        </w:rPr>
        <w:t xml:space="preserve">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lastRenderedPageBreak/>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 xml:space="preserve">acional, se consideran Vías Urbanas aquellas que sean certificadas por la entidad </w:t>
      </w:r>
      <w:r w:rsidRPr="5E4A58B7">
        <w:rPr>
          <w:rFonts w:asciiTheme="minorHAnsi" w:hAnsiTheme="minorHAnsi" w:cstheme="minorBidi"/>
          <w:sz w:val="20"/>
          <w:szCs w:val="20"/>
          <w:lang w:val="es-CO"/>
        </w:rPr>
        <w:lastRenderedPageBreak/>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FB6A4" w14:textId="77777777" w:rsidR="00E323A5" w:rsidRDefault="00E323A5" w:rsidP="004F2C35">
      <w:r>
        <w:separator/>
      </w:r>
    </w:p>
  </w:endnote>
  <w:endnote w:type="continuationSeparator" w:id="0">
    <w:p w14:paraId="64315DBC" w14:textId="77777777" w:rsidR="00E323A5" w:rsidRDefault="00E323A5" w:rsidP="004F2C35">
      <w:r>
        <w:continuationSeparator/>
      </w:r>
    </w:p>
  </w:endnote>
  <w:endnote w:type="continuationNotice" w:id="1">
    <w:p w14:paraId="146CC829" w14:textId="77777777" w:rsidR="00E323A5" w:rsidRDefault="00E323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FFF77" w14:textId="77777777" w:rsidR="00E323A5" w:rsidRDefault="00E323A5" w:rsidP="004F2C35">
      <w:r>
        <w:separator/>
      </w:r>
    </w:p>
  </w:footnote>
  <w:footnote w:type="continuationSeparator" w:id="0">
    <w:p w14:paraId="68337BCA" w14:textId="77777777" w:rsidR="00E323A5" w:rsidRDefault="00E323A5" w:rsidP="004F2C35">
      <w:r>
        <w:continuationSeparator/>
      </w:r>
    </w:p>
  </w:footnote>
  <w:footnote w:type="continuationNotice" w:id="1">
    <w:p w14:paraId="791E00A8" w14:textId="77777777" w:rsidR="00E323A5" w:rsidRDefault="00E323A5"/>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D471" w14:textId="0A7BFA0A" w:rsidR="0096592A" w:rsidRDefault="009659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3C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23A5"/>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6991</Words>
  <Characters>38452</Characters>
  <Application>Microsoft Office Word</Application>
  <DocSecurity>0</DocSecurity>
  <Lines>320</Lines>
  <Paragraphs>90</Paragraphs>
  <ScaleCrop>false</ScaleCrop>
  <Company/>
  <LinksUpToDate>false</LinksUpToDate>
  <CharactersWithSpaces>45353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alcaldia manizales</cp:lastModifiedBy>
  <cp:revision>2</cp:revision>
  <cp:lastPrinted>2020-11-13T23:07:00Z</cp:lastPrinted>
  <dcterms:created xsi:type="dcterms:W3CDTF">2021-09-21T14:12:00Z</dcterms:created>
  <dcterms:modified xsi:type="dcterms:W3CDTF">2021-09-21T14:12:00Z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