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658" w:rsidRPr="001D5DE8" w:rsidRDefault="00FC1658" w:rsidP="006D20DC">
      <w:pPr>
        <w:pStyle w:val="Default"/>
        <w:pBdr>
          <w:top w:val="single" w:sz="4" w:space="1" w:color="auto"/>
          <w:left w:val="single" w:sz="4" w:space="4" w:color="auto"/>
          <w:bottom w:val="single" w:sz="4" w:space="1" w:color="auto"/>
          <w:right w:val="single" w:sz="4" w:space="4" w:color="auto"/>
        </w:pBdr>
        <w:jc w:val="both"/>
        <w:rPr>
          <w:rFonts w:eastAsia="Arial Unicode MS"/>
          <w:b/>
          <w:sz w:val="20"/>
          <w:szCs w:val="20"/>
        </w:rPr>
      </w:pPr>
      <w:bookmarkStart w:id="0" w:name="_Hlk512071955"/>
      <w:bookmarkStart w:id="1" w:name="_GoBack"/>
      <w:bookmarkEnd w:id="0"/>
      <w:bookmarkEnd w:id="1"/>
      <w:r w:rsidRPr="001D5DE8">
        <w:rPr>
          <w:rFonts w:eastAsia="Arial Unicode MS"/>
          <w:b/>
          <w:sz w:val="20"/>
          <w:szCs w:val="20"/>
        </w:rPr>
        <w:t xml:space="preserve">MODALIDAD DE SELECCIÓN: </w:t>
      </w:r>
      <w:r w:rsidR="003626F9">
        <w:rPr>
          <w:rFonts w:eastAsia="Arial Unicode MS"/>
          <w:b/>
          <w:sz w:val="20"/>
          <w:szCs w:val="20"/>
        </w:rPr>
        <w:t>CONCURSO DE MERITOS</w:t>
      </w:r>
    </w:p>
    <w:p w:rsidR="00FC1658" w:rsidRPr="001D5DE8" w:rsidRDefault="00373706" w:rsidP="006D20DC">
      <w:pPr>
        <w:pStyle w:val="Default"/>
        <w:pBdr>
          <w:top w:val="single" w:sz="4" w:space="1" w:color="auto"/>
          <w:left w:val="single" w:sz="4" w:space="4" w:color="auto"/>
          <w:bottom w:val="single" w:sz="4" w:space="1" w:color="auto"/>
          <w:right w:val="single" w:sz="4" w:space="4" w:color="auto"/>
        </w:pBdr>
        <w:jc w:val="both"/>
        <w:rPr>
          <w:rFonts w:eastAsia="Arial Unicode MS"/>
          <w:b/>
          <w:sz w:val="20"/>
          <w:szCs w:val="20"/>
        </w:rPr>
      </w:pPr>
      <w:r>
        <w:rPr>
          <w:rFonts w:eastAsia="Arial Unicode MS"/>
          <w:b/>
          <w:noProof/>
          <w:sz w:val="20"/>
          <w:szCs w:val="20"/>
          <w:lang w:eastAsia="es-CO"/>
        </w:rPr>
        <mc:AlternateContent>
          <mc:Choice Requires="wps">
            <w:drawing>
              <wp:anchor distT="0" distB="0" distL="114300" distR="114300" simplePos="0" relativeHeight="251658240" behindDoc="0" locked="0" layoutInCell="1" allowOverlap="1">
                <wp:simplePos x="0" y="0"/>
                <wp:positionH relativeFrom="column">
                  <wp:posOffset>5715</wp:posOffset>
                </wp:positionH>
                <wp:positionV relativeFrom="paragraph">
                  <wp:posOffset>54610</wp:posOffset>
                </wp:positionV>
                <wp:extent cx="5591175" cy="9525"/>
                <wp:effectExtent l="0" t="0" r="9525" b="9525"/>
                <wp:wrapNone/>
                <wp:docPr id="1"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5911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F89319B" id="Conector recto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3pt" to="440.7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" strokecolor="black [3200]" strokeweight=".5pt">
                <v:stroke joinstyle="miter"/>
                <o:lock v:ext="edit" shapetype="f"/>
              </v:line>
            </w:pict>
          </mc:Fallback>
        </mc:AlternateContent>
      </w:r>
    </w:p>
    <w:p w:rsidR="00743CBB" w:rsidRPr="001D5DE8" w:rsidRDefault="00FC1658" w:rsidP="006D20DC">
      <w:pPr>
        <w:pStyle w:val="Default"/>
        <w:pBdr>
          <w:top w:val="single" w:sz="4" w:space="1" w:color="auto"/>
          <w:left w:val="single" w:sz="4" w:space="4" w:color="auto"/>
          <w:bottom w:val="single" w:sz="4" w:space="1" w:color="auto"/>
          <w:right w:val="single" w:sz="4" w:space="4" w:color="auto"/>
        </w:pBdr>
        <w:jc w:val="both"/>
        <w:rPr>
          <w:b/>
          <w:sz w:val="20"/>
          <w:szCs w:val="20"/>
        </w:rPr>
      </w:pPr>
      <w:r w:rsidRPr="001D5DE8">
        <w:rPr>
          <w:rFonts w:eastAsia="Arial Unicode MS"/>
          <w:b/>
          <w:sz w:val="20"/>
          <w:szCs w:val="20"/>
        </w:rPr>
        <w:t xml:space="preserve">OBJETO: </w:t>
      </w:r>
      <w:r w:rsidR="00EA0A23" w:rsidRPr="00EA0A23">
        <w:rPr>
          <w:rFonts w:eastAsia="Arial Unicode MS"/>
          <w:b/>
          <w:sz w:val="20"/>
          <w:szCs w:val="20"/>
        </w:rPr>
        <w:t>"</w:t>
      </w:r>
      <w:r w:rsidR="007C325A" w:rsidRPr="007C325A">
        <w:t xml:space="preserve"> </w:t>
      </w:r>
      <w:r w:rsidR="009379D6" w:rsidRPr="009379D6">
        <w:rPr>
          <w:rFonts w:eastAsia="Arial Unicode MS"/>
          <w:b/>
          <w:sz w:val="20"/>
          <w:szCs w:val="20"/>
        </w:rPr>
        <w:t>INTERVENTORIA INTEGRAL PARA LOS ESTUDIOS, DISEÑOS Y CONSTRUCCIÓN DE LA PLATAFORMA EN EL APTO DE PITALITO (VIGENCIA FUTURA)</w:t>
      </w:r>
      <w:r w:rsidR="00EA0A23" w:rsidRPr="00EA0A23">
        <w:rPr>
          <w:rFonts w:eastAsia="Arial Unicode MS"/>
          <w:b/>
          <w:sz w:val="20"/>
          <w:szCs w:val="20"/>
        </w:rPr>
        <w:t>"</w:t>
      </w:r>
    </w:p>
    <w:p w:rsidR="00943D46" w:rsidRPr="009F6738" w:rsidRDefault="00943D46" w:rsidP="006D20DC">
      <w:pPr>
        <w:pStyle w:val="Default"/>
        <w:jc w:val="both"/>
        <w:rPr>
          <w:color w:val="000000" w:themeColor="text1"/>
          <w:sz w:val="20"/>
          <w:szCs w:val="20"/>
        </w:rPr>
      </w:pPr>
    </w:p>
    <w:p w:rsidR="009F6738" w:rsidRPr="009F6738" w:rsidRDefault="009F6738" w:rsidP="009F6738">
      <w:pPr>
        <w:pStyle w:val="Default"/>
        <w:ind w:left="720"/>
        <w:jc w:val="both"/>
        <w:rPr>
          <w:sz w:val="20"/>
          <w:szCs w:val="20"/>
        </w:rPr>
      </w:pPr>
    </w:p>
    <w:p w:rsidR="00743CBB" w:rsidRPr="009672C8" w:rsidRDefault="00743CBB" w:rsidP="006D20DC">
      <w:pPr>
        <w:pStyle w:val="Default"/>
        <w:numPr>
          <w:ilvl w:val="0"/>
          <w:numId w:val="5"/>
        </w:numPr>
        <w:jc w:val="both"/>
        <w:rPr>
          <w:szCs w:val="20"/>
        </w:rPr>
      </w:pPr>
      <w:r w:rsidRPr="009672C8">
        <w:rPr>
          <w:b/>
          <w:bCs/>
          <w:szCs w:val="20"/>
        </w:rPr>
        <w:t xml:space="preserve">INTRODUCCIÓN </w:t>
      </w:r>
    </w:p>
    <w:p w:rsidR="00AC03B2" w:rsidRPr="001D5DE8" w:rsidRDefault="00AC03B2" w:rsidP="006D20DC">
      <w:pPr>
        <w:pStyle w:val="Default"/>
        <w:jc w:val="both"/>
        <w:rPr>
          <w:sz w:val="20"/>
          <w:szCs w:val="20"/>
        </w:rPr>
      </w:pPr>
    </w:p>
    <w:p w:rsidR="00B7535F" w:rsidRPr="006A4D31" w:rsidRDefault="00B7535F" w:rsidP="00B7535F">
      <w:pPr>
        <w:jc w:val="both"/>
        <w:rPr>
          <w:rFonts w:ascii="Arial" w:eastAsia="HelveticaNeue-Light" w:hAnsi="Arial" w:cs="Arial"/>
          <w:color w:val="333333"/>
        </w:rPr>
      </w:pPr>
      <w:r w:rsidRPr="006A4D31">
        <w:rPr>
          <w:rFonts w:ascii="Arial" w:eastAsia="HelveticaNeue-Light" w:hAnsi="Arial" w:cs="Arial"/>
          <w:color w:val="333333"/>
        </w:rPr>
        <w:t xml:space="preserve">Con el presente documento, y siguiendo la guía </w:t>
      </w:r>
      <w:r w:rsidRPr="006A4D31">
        <w:rPr>
          <w:rFonts w:ascii="Arial" w:eastAsia="HelveticaNeue-Light" w:hAnsi="Arial" w:cs="Arial"/>
          <w:i/>
          <w:color w:val="333333"/>
        </w:rPr>
        <w:t>para elaboración de estudios del sector</w:t>
      </w:r>
      <w:r w:rsidRPr="006A4D31">
        <w:rPr>
          <w:rFonts w:ascii="Arial" w:eastAsia="HelveticaNeue-Light" w:hAnsi="Arial" w:cs="Arial"/>
          <w:color w:val="333333"/>
        </w:rPr>
        <w:t xml:space="preserve"> </w:t>
      </w:r>
      <w:r w:rsidRPr="006A4D31">
        <w:rPr>
          <w:rFonts w:ascii="Arial" w:hAnsi="Arial" w:cs="Arial"/>
          <w:b/>
          <w:color w:val="000000"/>
          <w:shd w:val="clear" w:color="auto" w:fill="FFFFFF"/>
        </w:rPr>
        <w:t>Versión G-EES-02</w:t>
      </w:r>
      <w:r w:rsidRPr="006A4D31">
        <w:rPr>
          <w:rFonts w:ascii="Arial" w:hAnsi="Arial" w:cs="Arial"/>
          <w:color w:val="000000"/>
          <w:shd w:val="clear" w:color="auto" w:fill="FFFFFF"/>
        </w:rPr>
        <w:t>;</w:t>
      </w:r>
      <w:r w:rsidRPr="006A4D31">
        <w:rPr>
          <w:rFonts w:ascii="Arial" w:eastAsia="HelveticaNeue-Light" w:hAnsi="Arial" w:cs="Arial"/>
          <w:color w:val="333333"/>
        </w:rPr>
        <w:t xml:space="preserve"> La Unidad Administrativa Especial de la Aeronáutica Civil UAEAC da cumplimiento al Artículo 15 del decreto 1510 de 2013, a saber:</w:t>
      </w:r>
    </w:p>
    <w:p w:rsidR="00B7535F" w:rsidRPr="006A4D31" w:rsidRDefault="00B7535F" w:rsidP="00B7535F">
      <w:pPr>
        <w:ind w:left="709" w:right="758"/>
        <w:jc w:val="both"/>
        <w:rPr>
          <w:rFonts w:ascii="Arial" w:eastAsia="HelveticaNeue-Light" w:hAnsi="Arial" w:cs="Arial"/>
          <w:i/>
          <w:color w:val="333333"/>
        </w:rPr>
      </w:pPr>
      <w:r w:rsidRPr="006A4D31">
        <w:rPr>
          <w:rFonts w:ascii="Arial" w:eastAsia="HelveticaNeue-Light" w:hAnsi="Arial" w:cs="Arial"/>
          <w:i/>
          <w:color w:val="333333"/>
        </w:rPr>
        <w:t xml:space="preserve">“La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rsidR="00B7535F" w:rsidRPr="006A4D31" w:rsidRDefault="00B7535F" w:rsidP="00B7535F">
      <w:pPr>
        <w:ind w:right="333"/>
        <w:jc w:val="both"/>
        <w:rPr>
          <w:rFonts w:ascii="Arial" w:eastAsia="HelveticaNeue-Light" w:hAnsi="Arial" w:cs="Arial"/>
          <w:color w:val="333333"/>
        </w:rPr>
      </w:pPr>
      <w:r w:rsidRPr="006A4D31">
        <w:rPr>
          <w:rFonts w:ascii="Arial" w:eastAsia="HelveticaNeue-Light" w:hAnsi="Arial" w:cs="Arial"/>
          <w:color w:val="333333"/>
        </w:rPr>
        <w:t>Esto con el fin de continuar con “</w:t>
      </w:r>
      <w:r w:rsidRPr="006A4D31">
        <w:rPr>
          <w:rFonts w:ascii="Arial" w:eastAsia="HelveticaNeue-Light" w:hAnsi="Arial" w:cs="Arial"/>
          <w:i/>
          <w:color w:val="333333"/>
        </w:rPr>
        <w:t>las buenas prácticas en materia de promoción de la competencia en la contratación pública</w:t>
      </w:r>
      <w:r w:rsidRPr="006A4D31">
        <w:rPr>
          <w:rFonts w:ascii="Arial" w:eastAsia="HelveticaNeue-Light" w:hAnsi="Arial" w:cs="Arial"/>
          <w:color w:val="333333"/>
        </w:rPr>
        <w:t>”</w:t>
      </w:r>
      <w:r w:rsidRPr="006A4D31">
        <w:rPr>
          <w:rStyle w:val="Refdenotaalpie"/>
          <w:rFonts w:ascii="Arial" w:eastAsia="HelveticaNeue-Light" w:hAnsi="Arial" w:cs="Arial"/>
          <w:color w:val="333333"/>
        </w:rPr>
        <w:footnoteReference w:id="1"/>
      </w:r>
      <w:r w:rsidRPr="006A4D31">
        <w:rPr>
          <w:rFonts w:ascii="Arial" w:eastAsia="HelveticaNeue-Light" w:hAnsi="Arial" w:cs="Arial"/>
          <w:color w:val="333333"/>
        </w:rPr>
        <w:t>. Confirmando una vez más el compromiso de la Aeronáutica Civil con la transparencia.</w:t>
      </w:r>
    </w:p>
    <w:p w:rsidR="00B7535F" w:rsidRPr="006A4D31" w:rsidRDefault="00B7535F" w:rsidP="00B7535F">
      <w:pPr>
        <w:ind w:right="333"/>
        <w:jc w:val="both"/>
        <w:rPr>
          <w:rFonts w:ascii="Arial" w:eastAsia="HelveticaNeue-Light" w:hAnsi="Arial" w:cs="Arial"/>
          <w:color w:val="333333"/>
        </w:rPr>
      </w:pPr>
      <w:r w:rsidRPr="006A4D31">
        <w:rPr>
          <w:rFonts w:ascii="Arial" w:eastAsia="HelveticaNeue-Light" w:hAnsi="Arial" w:cs="Arial"/>
          <w:color w:val="333333"/>
        </w:rPr>
        <w:t>Además, pretende orientar la función de compra de bienes, obras y servicios de la entidad de una forma eficiente; y con ello obtener el mayor número de ofertas racionales, que permitan cubrir las demandas de la entidad frente a cantidad y calidad.</w:t>
      </w:r>
    </w:p>
    <w:p w:rsidR="00543F02" w:rsidRPr="00BE1346" w:rsidRDefault="00543F02" w:rsidP="00543F02">
      <w:pPr>
        <w:spacing w:line="276" w:lineRule="auto"/>
        <w:jc w:val="both"/>
        <w:rPr>
          <w:rFonts w:ascii="Arial" w:hAnsi="Arial" w:cs="Arial"/>
        </w:rPr>
      </w:pPr>
      <w:r w:rsidRPr="00BE1346">
        <w:rPr>
          <w:rFonts w:ascii="Arial" w:hAnsi="Arial" w:cs="Arial"/>
        </w:rPr>
        <w:t>El resultado del análisis debe plasmarse en los estudios y documentos previos del proceso de contratación. La importancia de realizar este análisis ha sido recalcada en las recomendaciones que la Organización de Cooperación y de Desarrollo Económicos (OCDE) le ha formulado al Gobierno Nacional, las cuales constituyen buenas prácticas en materia de promoción de la competencia en la contratación pública</w:t>
      </w:r>
      <w:r w:rsidRPr="00BE1346">
        <w:rPr>
          <w:rStyle w:val="Refdenotaalpie"/>
          <w:rFonts w:ascii="Arial" w:hAnsi="Arial" w:cs="Arial"/>
        </w:rPr>
        <w:footnoteReference w:id="2"/>
      </w:r>
      <w:r w:rsidRPr="00BE1346">
        <w:rPr>
          <w:rFonts w:ascii="Arial" w:hAnsi="Arial" w:cs="Arial"/>
        </w:rPr>
        <w:t>.</w:t>
      </w:r>
    </w:p>
    <w:p w:rsidR="00543F02" w:rsidRPr="00BE1346" w:rsidRDefault="00543F02" w:rsidP="00543F02">
      <w:pPr>
        <w:spacing w:line="276" w:lineRule="auto"/>
        <w:jc w:val="both"/>
        <w:rPr>
          <w:rFonts w:ascii="Arial" w:hAnsi="Arial" w:cs="Arial"/>
        </w:rPr>
      </w:pPr>
      <w:r w:rsidRPr="00BE1346">
        <w:rPr>
          <w:rFonts w:ascii="Arial" w:hAnsi="Arial" w:cs="Arial"/>
        </w:rPr>
        <w:t xml:space="preserve">El presente análisis del sector ofrece herramientas para establecer el contexto del Proceso de Contratación, identificar algunos de los </w:t>
      </w:r>
      <w:r>
        <w:rPr>
          <w:rFonts w:ascii="Arial" w:hAnsi="Arial" w:cs="Arial"/>
        </w:rPr>
        <w:t>r</w:t>
      </w:r>
      <w:r w:rsidRPr="00BE1346">
        <w:rPr>
          <w:rFonts w:ascii="Arial" w:hAnsi="Arial" w:cs="Arial"/>
        </w:rPr>
        <w:t>iesgos, determinar los requisitos habilitantes y la forma de evaluar las ofertas”</w:t>
      </w:r>
      <w:r w:rsidRPr="00BE1346">
        <w:rPr>
          <w:rStyle w:val="Refdenotaalpie"/>
          <w:rFonts w:ascii="Arial" w:hAnsi="Arial" w:cs="Arial"/>
        </w:rPr>
        <w:footnoteReference w:id="3"/>
      </w:r>
      <w:r w:rsidRPr="00BE1346">
        <w:rPr>
          <w:rFonts w:ascii="Arial" w:hAnsi="Arial" w:cs="Arial"/>
        </w:rPr>
        <w:t>.</w:t>
      </w:r>
    </w:p>
    <w:p w:rsidR="00743CBB" w:rsidRPr="001D5DE8" w:rsidRDefault="003542C2" w:rsidP="009F6738">
      <w:pPr>
        <w:pStyle w:val="Default"/>
        <w:jc w:val="both"/>
        <w:rPr>
          <w:b/>
          <w:bCs/>
          <w:sz w:val="20"/>
          <w:szCs w:val="20"/>
        </w:rPr>
      </w:pPr>
      <w:r>
        <w:rPr>
          <w:b/>
          <w:bCs/>
          <w:sz w:val="22"/>
          <w:szCs w:val="20"/>
        </w:rPr>
        <w:t xml:space="preserve">1.1 </w:t>
      </w:r>
      <w:r w:rsidR="00743CBB" w:rsidRPr="009672C8">
        <w:rPr>
          <w:b/>
          <w:bCs/>
          <w:sz w:val="22"/>
          <w:szCs w:val="20"/>
        </w:rPr>
        <w:t xml:space="preserve">JUSTIFICACIÓN </w:t>
      </w:r>
    </w:p>
    <w:p w:rsidR="00721260" w:rsidRPr="001D5DE8" w:rsidRDefault="00721260" w:rsidP="006D20DC">
      <w:pPr>
        <w:pStyle w:val="Default"/>
        <w:jc w:val="both"/>
        <w:rPr>
          <w:sz w:val="20"/>
          <w:szCs w:val="20"/>
        </w:rPr>
      </w:pPr>
    </w:p>
    <w:p w:rsidR="004A3D9A" w:rsidRPr="004A3D9A" w:rsidRDefault="004A3D9A" w:rsidP="004A3D9A">
      <w:pPr>
        <w:tabs>
          <w:tab w:val="left" w:pos="720"/>
        </w:tabs>
        <w:jc w:val="both"/>
        <w:rPr>
          <w:rFonts w:ascii="Arial" w:hAnsi="Arial" w:cs="Arial"/>
          <w:b/>
        </w:rPr>
      </w:pPr>
      <w:r w:rsidRPr="00DC5083">
        <w:rPr>
          <w:rFonts w:ascii="Arial" w:hAnsi="Arial" w:cs="Arial"/>
        </w:rPr>
        <w:t xml:space="preserve">Con el único fin de garantizar el adecuado desarrollo y entrega de las obras objeto del contrato de </w:t>
      </w:r>
      <w:r w:rsidR="00237E6B" w:rsidRPr="00EA0A23">
        <w:rPr>
          <w:rFonts w:ascii="Arial" w:hAnsi="Arial" w:cs="Arial"/>
          <w:b/>
          <w:lang w:eastAsia="es-CO"/>
        </w:rPr>
        <w:t>“</w:t>
      </w:r>
      <w:r w:rsidR="00B7535F" w:rsidRPr="00B7535F">
        <w:rPr>
          <w:rFonts w:ascii="Arial" w:hAnsi="Arial" w:cs="Arial"/>
          <w:b/>
          <w:lang w:eastAsia="es-CO"/>
        </w:rPr>
        <w:t xml:space="preserve">INTERVENTORIA INTEGRAL PARA LOS ESTUDIOS, DISEÑOS Y CONSTRUCCIÓN DE LA PLATAFORMA EN EL APTO DE PITALITO (VIGENCIA </w:t>
      </w:r>
      <w:r w:rsidR="00B7535F" w:rsidRPr="00B7535F">
        <w:rPr>
          <w:rFonts w:ascii="Arial" w:hAnsi="Arial" w:cs="Arial"/>
          <w:b/>
          <w:lang w:eastAsia="es-CO"/>
        </w:rPr>
        <w:lastRenderedPageBreak/>
        <w:t>FUTURA)</w:t>
      </w:r>
      <w:r w:rsidR="00237E6B" w:rsidRPr="00237E6B">
        <w:rPr>
          <w:rFonts w:ascii="Arial" w:hAnsi="Arial" w:cs="Arial"/>
          <w:b/>
        </w:rPr>
        <w:t>”</w:t>
      </w:r>
      <w:r w:rsidR="00237E6B" w:rsidRPr="00237E6B">
        <w:rPr>
          <w:rFonts w:ascii="Arial" w:hAnsi="Arial" w:cs="Arial"/>
          <w:b/>
          <w:lang w:eastAsia="es-CO"/>
        </w:rPr>
        <w:t>,</w:t>
      </w:r>
      <w:r w:rsidR="00572A28">
        <w:rPr>
          <w:rFonts w:ascii="Arial" w:hAnsi="Arial" w:cs="Arial"/>
          <w:b/>
          <w:lang w:eastAsia="es-CO"/>
        </w:rPr>
        <w:t xml:space="preserve"> </w:t>
      </w:r>
      <w:r w:rsidRPr="00DC5083">
        <w:rPr>
          <w:rFonts w:ascii="Arial" w:eastAsia="Arial Unicode MS" w:hAnsi="Arial" w:cs="Arial"/>
        </w:rPr>
        <w:t xml:space="preserve">en </w:t>
      </w:r>
      <w:r w:rsidRPr="00DC5083">
        <w:rPr>
          <w:rFonts w:ascii="Arial" w:hAnsi="Arial" w:cs="Arial"/>
        </w:rPr>
        <w:t xml:space="preserve">la Dirección de Infraestructura Aeroportuaria existe la necesidad de </w:t>
      </w:r>
      <w:r w:rsidRPr="00DC5083">
        <w:rPr>
          <w:rFonts w:ascii="Arial" w:eastAsia="Arial Unicode MS" w:hAnsi="Arial" w:cs="Arial"/>
        </w:rPr>
        <w:t>contratar</w:t>
      </w:r>
      <w:r w:rsidRPr="00DC5083">
        <w:rPr>
          <w:rFonts w:ascii="Arial" w:hAnsi="Arial" w:cs="Arial"/>
        </w:rPr>
        <w:t xml:space="preserve">la </w:t>
      </w:r>
      <w:r w:rsidRPr="00DC5083">
        <w:rPr>
          <w:rFonts w:ascii="Arial" w:eastAsia="Arial Unicode MS" w:hAnsi="Arial" w:cs="Arial"/>
          <w:b/>
        </w:rPr>
        <w:t>Interventoría</w:t>
      </w:r>
      <w:r w:rsidRPr="00DC5083">
        <w:rPr>
          <w:rFonts w:ascii="Arial" w:eastAsia="Arial Unicode MS" w:hAnsi="Arial" w:cs="Arial"/>
        </w:rPr>
        <w:t xml:space="preserve"> para realizar el seguimiento a las obras antes enunciadas, a fin de mejorar y mantener condiciones adecuadas de operación en el lado aire de la infraestructura aeroportuaria del aeropuerto de </w:t>
      </w:r>
      <w:r w:rsidR="007C325A">
        <w:rPr>
          <w:rFonts w:ascii="Arial" w:eastAsia="Arial Unicode MS" w:hAnsi="Arial" w:cs="Arial"/>
          <w:b/>
        </w:rPr>
        <w:t>Pitalito</w:t>
      </w:r>
      <w:r w:rsidR="00237E6B" w:rsidRPr="00237E6B">
        <w:rPr>
          <w:rFonts w:ascii="Arial" w:eastAsia="Arial Unicode MS" w:hAnsi="Arial" w:cs="Arial"/>
          <w:b/>
        </w:rPr>
        <w:t xml:space="preserve"> – </w:t>
      </w:r>
      <w:r w:rsidR="007C325A">
        <w:rPr>
          <w:rFonts w:ascii="Arial" w:eastAsia="Arial Unicode MS" w:hAnsi="Arial" w:cs="Arial"/>
          <w:b/>
        </w:rPr>
        <w:t>Huila</w:t>
      </w:r>
      <w:r>
        <w:rPr>
          <w:rFonts w:eastAsia="Arial Unicode MS"/>
        </w:rPr>
        <w:t xml:space="preserve">.  </w:t>
      </w:r>
    </w:p>
    <w:p w:rsidR="004A3D9A" w:rsidRPr="00BE1346" w:rsidRDefault="004A3D9A" w:rsidP="004A3D9A">
      <w:pPr>
        <w:pStyle w:val="Default"/>
        <w:spacing w:line="276" w:lineRule="auto"/>
        <w:jc w:val="both"/>
        <w:rPr>
          <w:sz w:val="22"/>
          <w:szCs w:val="22"/>
        </w:rPr>
      </w:pPr>
    </w:p>
    <w:p w:rsidR="003542C2" w:rsidRPr="00BE1346" w:rsidRDefault="003542C2" w:rsidP="003542C2">
      <w:pPr>
        <w:pStyle w:val="Default"/>
        <w:spacing w:line="276" w:lineRule="auto"/>
        <w:jc w:val="both"/>
        <w:rPr>
          <w:b/>
          <w:bCs/>
          <w:sz w:val="22"/>
          <w:szCs w:val="22"/>
        </w:rPr>
      </w:pPr>
      <w:r w:rsidRPr="00BE1346">
        <w:rPr>
          <w:color w:val="auto"/>
          <w:sz w:val="22"/>
          <w:szCs w:val="22"/>
        </w:rPr>
        <w:t xml:space="preserve">De conformidad con lo anterior, en la Dirección de Infraestructura Aeroportuaria existe la necesidad de </w:t>
      </w:r>
      <w:r w:rsidRPr="00BE1346">
        <w:rPr>
          <w:rFonts w:eastAsia="Arial Unicode MS"/>
          <w:sz w:val="22"/>
          <w:szCs w:val="22"/>
        </w:rPr>
        <w:t>contratar</w:t>
      </w:r>
      <w:r w:rsidR="009379D6">
        <w:rPr>
          <w:rFonts w:eastAsia="Arial Unicode MS"/>
          <w:sz w:val="22"/>
          <w:szCs w:val="22"/>
        </w:rPr>
        <w:t xml:space="preserve"> </w:t>
      </w:r>
      <w:r>
        <w:rPr>
          <w:sz w:val="22"/>
          <w:szCs w:val="22"/>
        </w:rPr>
        <w:t xml:space="preserve">la </w:t>
      </w:r>
      <w:r w:rsidRPr="009C3C45">
        <w:rPr>
          <w:rFonts w:eastAsia="Arial Unicode MS"/>
          <w:b/>
          <w:sz w:val="22"/>
          <w:szCs w:val="22"/>
        </w:rPr>
        <w:t xml:space="preserve">Interventoría al Contrato </w:t>
      </w:r>
      <w:r w:rsidR="007C325A" w:rsidRPr="009C3C45">
        <w:rPr>
          <w:rFonts w:eastAsia="Arial Unicode MS"/>
          <w:b/>
          <w:sz w:val="22"/>
          <w:szCs w:val="22"/>
        </w:rPr>
        <w:t>de</w:t>
      </w:r>
      <w:r w:rsidR="007C325A">
        <w:rPr>
          <w:rFonts w:eastAsia="Arial Unicode MS"/>
          <w:b/>
          <w:sz w:val="22"/>
          <w:szCs w:val="22"/>
        </w:rPr>
        <w:t xml:space="preserve"> </w:t>
      </w:r>
      <w:r w:rsidR="00CD156E">
        <w:rPr>
          <w:rFonts w:eastAsia="Arial Unicode MS"/>
          <w:b/>
          <w:sz w:val="22"/>
          <w:szCs w:val="22"/>
        </w:rPr>
        <w:t xml:space="preserve">obra con objeto: </w:t>
      </w:r>
      <w:r w:rsidR="007C325A">
        <w:rPr>
          <w:rFonts w:eastAsia="Arial Unicode MS"/>
          <w:b/>
          <w:sz w:val="22"/>
          <w:szCs w:val="22"/>
        </w:rPr>
        <w:t>“</w:t>
      </w:r>
      <w:r w:rsidR="00CD156E" w:rsidRPr="00CD156E">
        <w:rPr>
          <w:b/>
          <w:sz w:val="22"/>
          <w:szCs w:val="22"/>
          <w:lang w:eastAsia="es-CO"/>
        </w:rPr>
        <w:t>ESTUDIOS, DISEÑOS Y CONSTRUCCIÓN DE LA PLATAFORMA EN EL APTO DE PITALITO (VIGENCIA FUTURA)</w:t>
      </w:r>
      <w:r w:rsidR="00EA0A23">
        <w:rPr>
          <w:b/>
        </w:rPr>
        <w:t>”</w:t>
      </w:r>
      <w:r>
        <w:rPr>
          <w:sz w:val="22"/>
          <w:szCs w:val="22"/>
        </w:rPr>
        <w:t xml:space="preserve">, donde se realice el seguimiento al desarrollo de obras y actividades de Mantenimiento. </w:t>
      </w:r>
    </w:p>
    <w:p w:rsidR="003542C2" w:rsidRDefault="003542C2" w:rsidP="003542C2">
      <w:pPr>
        <w:pStyle w:val="Default"/>
        <w:spacing w:line="276" w:lineRule="auto"/>
        <w:jc w:val="both"/>
        <w:rPr>
          <w:color w:val="auto"/>
          <w:sz w:val="22"/>
          <w:szCs w:val="22"/>
        </w:rPr>
      </w:pPr>
    </w:p>
    <w:p w:rsidR="003542C2" w:rsidRPr="00DC5083" w:rsidRDefault="003542C2" w:rsidP="003542C2">
      <w:pPr>
        <w:pStyle w:val="Default"/>
        <w:spacing w:line="276" w:lineRule="auto"/>
        <w:jc w:val="both"/>
        <w:rPr>
          <w:color w:val="auto"/>
          <w:sz w:val="22"/>
          <w:szCs w:val="22"/>
        </w:rPr>
      </w:pPr>
      <w:r w:rsidRPr="00BE1346">
        <w:rPr>
          <w:color w:val="auto"/>
          <w:sz w:val="22"/>
          <w:szCs w:val="22"/>
        </w:rPr>
        <w:t>Para efectos de llevar a cabo l</w:t>
      </w:r>
      <w:r>
        <w:rPr>
          <w:color w:val="auto"/>
          <w:sz w:val="22"/>
          <w:szCs w:val="22"/>
        </w:rPr>
        <w:t xml:space="preserve">a </w:t>
      </w:r>
      <w:r w:rsidRPr="00A57964">
        <w:rPr>
          <w:b/>
          <w:color w:val="auto"/>
          <w:sz w:val="22"/>
          <w:szCs w:val="22"/>
        </w:rPr>
        <w:t>Interventoría</w:t>
      </w:r>
      <w:r>
        <w:rPr>
          <w:color w:val="auto"/>
          <w:sz w:val="22"/>
          <w:szCs w:val="22"/>
        </w:rPr>
        <w:t xml:space="preserve">, </w:t>
      </w:r>
      <w:r w:rsidRPr="00BE1346">
        <w:rPr>
          <w:color w:val="auto"/>
          <w:sz w:val="22"/>
          <w:szCs w:val="22"/>
        </w:rPr>
        <w:t xml:space="preserve">es de exigencia legal adelantar un proceso contractual que le permita a la entidad escoger el ofrecimiento más favorable en términos </w:t>
      </w:r>
      <w:r w:rsidRPr="00DC5083">
        <w:rPr>
          <w:color w:val="auto"/>
          <w:sz w:val="22"/>
          <w:szCs w:val="22"/>
        </w:rPr>
        <w:t xml:space="preserve">de calidad de la </w:t>
      </w:r>
      <w:r w:rsidRPr="00DC5083">
        <w:rPr>
          <w:b/>
          <w:color w:val="auto"/>
          <w:sz w:val="22"/>
          <w:szCs w:val="22"/>
        </w:rPr>
        <w:t>Interventoría</w:t>
      </w:r>
      <w:r w:rsidRPr="00DC5083">
        <w:rPr>
          <w:color w:val="auto"/>
          <w:sz w:val="22"/>
          <w:szCs w:val="22"/>
        </w:rPr>
        <w:t>, cumpliendo cabalmente con los principios de transparencia y selección objetiva, procedimiento contractual que hace obligatorio realizar el estudio del sector, que sirva como soporte y complemento del Estudio Previo para iniciar el proceso de contratación, en observancia de lo contenido en el artículo 2.2.1.1.1.6.1 del Decreto 1082 de 2015 y Guía para la elaboración de Estudio de Sector de Colombia Compra Eficiente.</w:t>
      </w:r>
    </w:p>
    <w:p w:rsidR="003542C2" w:rsidRDefault="003542C2" w:rsidP="004A3D9A">
      <w:pPr>
        <w:pStyle w:val="Default"/>
        <w:spacing w:line="276" w:lineRule="auto"/>
        <w:jc w:val="both"/>
        <w:rPr>
          <w:color w:val="auto"/>
          <w:sz w:val="22"/>
          <w:szCs w:val="22"/>
        </w:rPr>
      </w:pPr>
    </w:p>
    <w:p w:rsidR="00745F8E" w:rsidRDefault="00745F8E" w:rsidP="00CD156E">
      <w:pPr>
        <w:pStyle w:val="Default"/>
        <w:numPr>
          <w:ilvl w:val="0"/>
          <w:numId w:val="5"/>
        </w:numPr>
        <w:spacing w:line="276" w:lineRule="auto"/>
        <w:rPr>
          <w:b/>
          <w:color w:val="auto"/>
          <w:szCs w:val="22"/>
        </w:rPr>
      </w:pPr>
      <w:r w:rsidRPr="009672C8">
        <w:rPr>
          <w:b/>
          <w:color w:val="auto"/>
          <w:szCs w:val="22"/>
        </w:rPr>
        <w:t xml:space="preserve">Aspectos Generales </w:t>
      </w:r>
    </w:p>
    <w:p w:rsidR="00CD156E" w:rsidRDefault="00CD156E" w:rsidP="00CD156E">
      <w:pPr>
        <w:pStyle w:val="Default"/>
        <w:spacing w:line="276" w:lineRule="auto"/>
        <w:jc w:val="both"/>
        <w:rPr>
          <w:b/>
          <w:color w:val="auto"/>
          <w:szCs w:val="22"/>
        </w:rPr>
      </w:pPr>
    </w:p>
    <w:p w:rsidR="00CD156E" w:rsidRDefault="00CD156E" w:rsidP="00CD156E">
      <w:pPr>
        <w:autoSpaceDE w:val="0"/>
        <w:autoSpaceDN w:val="0"/>
        <w:adjustRightInd w:val="0"/>
        <w:spacing w:before="100"/>
        <w:jc w:val="both"/>
        <w:rPr>
          <w:rFonts w:ascii="Arial" w:hAnsi="Arial" w:cs="Arial"/>
          <w:lang w:eastAsia="es-CO"/>
        </w:rPr>
      </w:pPr>
      <w:r w:rsidRPr="00093D9A">
        <w:rPr>
          <w:rFonts w:ascii="Arial" w:hAnsi="Arial" w:cs="Arial"/>
          <w:lang w:eastAsia="es-CO"/>
        </w:rPr>
        <w:t xml:space="preserve">La Unidad Administrativa Especial de la Aeronáutica Civil – UAEAC -, es la entidad del Ministerio de Transporte que tiene la responsabilidad de la gestión y regulación </w:t>
      </w:r>
      <w:r>
        <w:rPr>
          <w:rFonts w:ascii="Arial" w:hAnsi="Arial" w:cs="Arial"/>
          <w:lang w:eastAsia="es-CO"/>
        </w:rPr>
        <w:t xml:space="preserve">del modo aéreo; esto incluye todos </w:t>
      </w:r>
      <w:r w:rsidRPr="00093D9A">
        <w:rPr>
          <w:rFonts w:ascii="Arial" w:hAnsi="Arial" w:cs="Arial"/>
          <w:lang w:eastAsia="es-CO"/>
        </w:rPr>
        <w:t>los aeropuertos del país y de la infraestructura aeronáutica, sin perjuicio de que estos sean administrados y operados por el sector privado</w:t>
      </w:r>
      <w:r>
        <w:rPr>
          <w:rFonts w:ascii="Arial" w:hAnsi="Arial" w:cs="Arial"/>
          <w:lang w:eastAsia="es-CO"/>
        </w:rPr>
        <w:t xml:space="preserve">, además de </w:t>
      </w:r>
      <w:r w:rsidRPr="00093D9A">
        <w:rPr>
          <w:rFonts w:ascii="Arial" w:hAnsi="Arial" w:cs="Arial"/>
          <w:lang w:eastAsia="es-CO"/>
        </w:rPr>
        <w:t>la planificación aeroportuaria</w:t>
      </w:r>
      <w:r>
        <w:rPr>
          <w:rFonts w:ascii="Arial" w:hAnsi="Arial" w:cs="Arial"/>
          <w:lang w:eastAsia="es-CO"/>
        </w:rPr>
        <w:t>.</w:t>
      </w:r>
    </w:p>
    <w:p w:rsidR="00CD156E" w:rsidRDefault="00CD156E" w:rsidP="00CD156E">
      <w:pPr>
        <w:pStyle w:val="NormalWeb"/>
        <w:spacing w:before="0" w:beforeAutospacing="0" w:after="0" w:afterAutospacing="0"/>
        <w:jc w:val="both"/>
        <w:rPr>
          <w:rFonts w:ascii="Arial" w:hAnsi="Arial" w:cs="Arial"/>
          <w:sz w:val="22"/>
          <w:szCs w:val="22"/>
        </w:rPr>
      </w:pPr>
      <w:r>
        <w:rPr>
          <w:rFonts w:ascii="Arial" w:hAnsi="Arial" w:cs="Arial"/>
          <w:sz w:val="22"/>
          <w:szCs w:val="22"/>
        </w:rPr>
        <w:t xml:space="preserve">Dentro de los ejes temáticos del Plan Estratégico de la Aerocivil visión 2030, se encuentra objetivos estratégicos: </w:t>
      </w:r>
    </w:p>
    <w:p w:rsidR="00CD156E" w:rsidRPr="005F3716" w:rsidRDefault="00CD156E" w:rsidP="00CD156E">
      <w:pPr>
        <w:pStyle w:val="NormalWeb"/>
        <w:jc w:val="both"/>
        <w:rPr>
          <w:rFonts w:ascii="Arial" w:hAnsi="Arial" w:cs="Arial"/>
          <w:sz w:val="22"/>
          <w:szCs w:val="22"/>
        </w:rPr>
      </w:pPr>
      <w:r w:rsidRPr="005F3716">
        <w:rPr>
          <w:rFonts w:ascii="Arial" w:hAnsi="Arial" w:cs="Arial"/>
          <w:b/>
          <w:sz w:val="22"/>
          <w:szCs w:val="22"/>
        </w:rPr>
        <w:t>Institucionalidad:</w:t>
      </w:r>
      <w:r>
        <w:rPr>
          <w:rFonts w:ascii="Arial" w:hAnsi="Arial" w:cs="Arial"/>
          <w:sz w:val="22"/>
          <w:szCs w:val="22"/>
        </w:rPr>
        <w:t xml:space="preserve"> </w:t>
      </w:r>
      <w:r w:rsidRPr="005F3716">
        <w:rPr>
          <w:rFonts w:ascii="Arial" w:hAnsi="Arial" w:cs="Arial"/>
          <w:sz w:val="22"/>
          <w:szCs w:val="22"/>
        </w:rPr>
        <w:t xml:space="preserve">Consolidar los roles de autoridad, de prestación del servicio y de investigación de accidentes para dinamizar el crecimiento del transporte aéreo, contribuyendo así a la aviación civil colombiana. </w:t>
      </w:r>
    </w:p>
    <w:p w:rsidR="00CD156E" w:rsidRPr="005F3716" w:rsidRDefault="00CD156E" w:rsidP="00CD156E">
      <w:pPr>
        <w:pStyle w:val="NormalWeb"/>
        <w:jc w:val="both"/>
        <w:rPr>
          <w:rFonts w:ascii="Arial" w:hAnsi="Arial" w:cs="Arial"/>
          <w:sz w:val="22"/>
          <w:szCs w:val="22"/>
        </w:rPr>
      </w:pPr>
      <w:r w:rsidRPr="005F3716">
        <w:rPr>
          <w:rFonts w:ascii="Arial" w:hAnsi="Arial" w:cs="Arial"/>
          <w:b/>
          <w:sz w:val="22"/>
          <w:szCs w:val="22"/>
        </w:rPr>
        <w:t xml:space="preserve">Conectividad: </w:t>
      </w:r>
      <w:r w:rsidRPr="005F3716">
        <w:rPr>
          <w:rFonts w:ascii="Arial" w:hAnsi="Arial" w:cs="Arial"/>
          <w:sz w:val="22"/>
          <w:szCs w:val="22"/>
        </w:rPr>
        <w:t>Desarrollar políticas públicas y estrategias que fortalezcan el factor de productividad del transporte aéreo y estimulen los servicios para el crecimiento de la aviación civil en Colombia.</w:t>
      </w:r>
    </w:p>
    <w:p w:rsidR="00CD156E" w:rsidRPr="004A509C" w:rsidRDefault="00CD156E" w:rsidP="00CD156E">
      <w:pPr>
        <w:pStyle w:val="NormalWeb"/>
        <w:spacing w:before="0" w:beforeAutospacing="0" w:after="0" w:afterAutospacing="0"/>
        <w:jc w:val="both"/>
        <w:rPr>
          <w:rFonts w:ascii="Arial" w:hAnsi="Arial" w:cs="Arial"/>
          <w:sz w:val="22"/>
          <w:szCs w:val="22"/>
        </w:rPr>
      </w:pPr>
      <w:r w:rsidRPr="00EE61C0">
        <w:rPr>
          <w:rFonts w:ascii="Arial" w:hAnsi="Arial" w:cs="Arial"/>
          <w:b/>
          <w:sz w:val="22"/>
          <w:szCs w:val="22"/>
          <w:lang w:val="es-ES" w:eastAsia="es-ES"/>
        </w:rPr>
        <w:t>Infraestructura y sostenibilidad ambiental</w:t>
      </w:r>
      <w:r>
        <w:rPr>
          <w:rFonts w:ascii="Arial" w:hAnsi="Arial" w:cs="Arial"/>
          <w:sz w:val="22"/>
          <w:szCs w:val="22"/>
          <w:lang w:val="es-ES" w:eastAsia="es-ES"/>
        </w:rPr>
        <w:t xml:space="preserve">: </w:t>
      </w:r>
      <w:r w:rsidRPr="004A509C">
        <w:rPr>
          <w:rFonts w:ascii="Arial" w:hAnsi="Arial" w:cs="Arial"/>
          <w:sz w:val="22"/>
          <w:szCs w:val="22"/>
        </w:rPr>
        <w:t>Lograr que la infraestructura, los servicios aeroportuarios, de navegación aérea y la intermodalidad, cuenten con capacidad y eficiencia para atender el crecimiento de la demanda del sector en un contexto ambientalmente sostenible.</w:t>
      </w:r>
    </w:p>
    <w:p w:rsidR="00CD156E" w:rsidRPr="00035AE8" w:rsidRDefault="00CD156E" w:rsidP="00CD156E">
      <w:pPr>
        <w:pStyle w:val="NormalWeb"/>
        <w:jc w:val="both"/>
        <w:rPr>
          <w:rFonts w:ascii="Arial" w:hAnsi="Arial" w:cs="Arial"/>
          <w:sz w:val="22"/>
          <w:szCs w:val="22"/>
        </w:rPr>
      </w:pPr>
      <w:r w:rsidRPr="00035AE8">
        <w:rPr>
          <w:rFonts w:ascii="Arial" w:hAnsi="Arial" w:cs="Arial"/>
          <w:b/>
          <w:sz w:val="22"/>
          <w:szCs w:val="22"/>
        </w:rPr>
        <w:lastRenderedPageBreak/>
        <w:t>Industria Aeronáutica y Cadena de Suministro:</w:t>
      </w:r>
      <w:r>
        <w:rPr>
          <w:rFonts w:ascii="Arial" w:hAnsi="Arial" w:cs="Arial"/>
          <w:sz w:val="22"/>
          <w:szCs w:val="22"/>
        </w:rPr>
        <w:t xml:space="preserve"> </w:t>
      </w:r>
      <w:r w:rsidRPr="00035AE8">
        <w:rPr>
          <w:rFonts w:ascii="Arial" w:hAnsi="Arial" w:cs="Arial"/>
          <w:sz w:val="22"/>
          <w:szCs w:val="22"/>
        </w:rPr>
        <w:t>Potenciar la industria aeronáutica como un importante proveedor de piezas, partes y componentes aeronáuticos certificados para la región y como punto focal en la producción de aeronaves livianas (ALS) y no tripuladas (UAS - RPAS), impulsando a su vez servicios de mantenimiento y reparación de aeronaves.</w:t>
      </w:r>
    </w:p>
    <w:p w:rsidR="00CD156E" w:rsidRPr="00035AE8" w:rsidRDefault="00CD156E" w:rsidP="00CD156E">
      <w:pPr>
        <w:pStyle w:val="NormalWeb"/>
        <w:jc w:val="both"/>
        <w:rPr>
          <w:rFonts w:ascii="Arial" w:hAnsi="Arial" w:cs="Arial"/>
          <w:sz w:val="22"/>
          <w:szCs w:val="22"/>
        </w:rPr>
      </w:pPr>
      <w:r w:rsidRPr="00035AE8">
        <w:rPr>
          <w:rFonts w:ascii="Arial" w:hAnsi="Arial" w:cs="Arial"/>
          <w:b/>
          <w:sz w:val="22"/>
          <w:szCs w:val="22"/>
        </w:rPr>
        <w:t xml:space="preserve">Seguridad Operacional y de la Aviación civil: </w:t>
      </w:r>
      <w:r w:rsidRPr="00035AE8">
        <w:rPr>
          <w:rFonts w:ascii="Arial" w:hAnsi="Arial" w:cs="Arial"/>
          <w:sz w:val="22"/>
          <w:szCs w:val="22"/>
        </w:rPr>
        <w:t>Posicionar a Colombia como el país con el mayor nivel de implementación efectiva de estándares y mejores prácticas en seguridad operacional (safety), seguridad de la aviación civil (security) y facilitación, en un entorno de confianza y de cultura justa en compañía del sector.</w:t>
      </w:r>
    </w:p>
    <w:p w:rsidR="00CD156E" w:rsidRPr="004A509C" w:rsidRDefault="00CD156E" w:rsidP="00CD156E">
      <w:pPr>
        <w:pStyle w:val="NormalWeb"/>
        <w:spacing w:before="0" w:beforeAutospacing="0" w:after="0" w:afterAutospacing="0"/>
        <w:jc w:val="both"/>
        <w:rPr>
          <w:rFonts w:ascii="Arial" w:hAnsi="Arial" w:cs="Arial"/>
          <w:sz w:val="22"/>
          <w:szCs w:val="22"/>
        </w:rPr>
      </w:pPr>
      <w:r w:rsidRPr="00EE61C0">
        <w:rPr>
          <w:rFonts w:ascii="Arial" w:hAnsi="Arial" w:cs="Arial"/>
          <w:b/>
          <w:sz w:val="22"/>
          <w:szCs w:val="22"/>
          <w:lang w:val="es-ES" w:eastAsia="es-ES"/>
        </w:rPr>
        <w:t>Desarrollo del talento humano en el sector</w:t>
      </w:r>
      <w:r>
        <w:rPr>
          <w:rFonts w:ascii="Arial" w:hAnsi="Arial" w:cs="Arial"/>
          <w:sz w:val="22"/>
          <w:szCs w:val="22"/>
          <w:lang w:val="es-ES" w:eastAsia="es-ES"/>
        </w:rPr>
        <w:t>: Fortalecer</w:t>
      </w:r>
      <w:r w:rsidRPr="004A509C">
        <w:rPr>
          <w:rFonts w:ascii="Arial" w:hAnsi="Arial" w:cs="Arial"/>
          <w:sz w:val="22"/>
          <w:szCs w:val="22"/>
        </w:rPr>
        <w:t xml:space="preserve"> la gestión del conocimiento para lograr el desarrollo integral y sostenible del talento humano, de la mano con el crecimiento de la aviación civil colombiana.</w:t>
      </w:r>
    </w:p>
    <w:p w:rsidR="00CD156E" w:rsidRDefault="00CD156E" w:rsidP="00CD156E">
      <w:pPr>
        <w:pStyle w:val="NormalWeb"/>
        <w:spacing w:before="0" w:beforeAutospacing="0" w:after="0" w:afterAutospacing="0"/>
        <w:jc w:val="both"/>
        <w:rPr>
          <w:rFonts w:ascii="Arial" w:hAnsi="Arial" w:cs="Arial"/>
          <w:sz w:val="22"/>
          <w:szCs w:val="22"/>
        </w:rPr>
      </w:pPr>
    </w:p>
    <w:p w:rsidR="00CD156E" w:rsidRDefault="00CD156E" w:rsidP="00CD156E">
      <w:pPr>
        <w:autoSpaceDE w:val="0"/>
        <w:autoSpaceDN w:val="0"/>
        <w:adjustRightInd w:val="0"/>
        <w:spacing w:before="100"/>
        <w:jc w:val="both"/>
        <w:rPr>
          <w:rFonts w:ascii="Arial" w:hAnsi="Arial" w:cs="Arial"/>
          <w:lang w:eastAsia="es-CO"/>
        </w:rPr>
      </w:pPr>
      <w:r>
        <w:rPr>
          <w:rFonts w:ascii="Arial" w:hAnsi="Arial" w:cs="Arial"/>
          <w:lang w:eastAsia="es-CO"/>
        </w:rPr>
        <w:t xml:space="preserve">Para el logro de los objetivos propuestos la Aerocivil emprendió desde el inicio de la vigencia 2018 la reformulación de los proyectos de inversión, pensados para cumplir la visión 2030: </w:t>
      </w:r>
      <w:r w:rsidRPr="00EE5857">
        <w:rPr>
          <w:rFonts w:ascii="Arial" w:hAnsi="Arial" w:cs="Arial"/>
          <w:lang w:eastAsia="es-CO"/>
        </w:rPr>
        <w:t>Movilizar 100 millones de pasajeros y duplicar</w:t>
      </w:r>
      <w:r>
        <w:rPr>
          <w:rFonts w:ascii="Arial" w:hAnsi="Arial" w:cs="Arial"/>
          <w:lang w:eastAsia="es-CO"/>
        </w:rPr>
        <w:t xml:space="preserve"> </w:t>
      </w:r>
      <w:r w:rsidRPr="00EE5857">
        <w:rPr>
          <w:rFonts w:ascii="Arial" w:hAnsi="Arial" w:cs="Arial"/>
          <w:lang w:eastAsia="es-CO"/>
        </w:rPr>
        <w:t>el transporte de carga en un entorno</w:t>
      </w:r>
      <w:r>
        <w:rPr>
          <w:rFonts w:ascii="Arial" w:hAnsi="Arial" w:cs="Arial"/>
          <w:lang w:eastAsia="es-CO"/>
        </w:rPr>
        <w:t xml:space="preserve"> </w:t>
      </w:r>
      <w:r w:rsidRPr="00EE5857">
        <w:rPr>
          <w:rFonts w:ascii="Arial" w:hAnsi="Arial" w:cs="Arial"/>
          <w:lang w:eastAsia="es-CO"/>
        </w:rPr>
        <w:t>institucional claro, competitivo, conectado,</w:t>
      </w:r>
      <w:r>
        <w:rPr>
          <w:rFonts w:ascii="Arial" w:hAnsi="Arial" w:cs="Arial"/>
          <w:lang w:eastAsia="es-CO"/>
        </w:rPr>
        <w:t xml:space="preserve"> </w:t>
      </w:r>
      <w:r w:rsidRPr="00EE5857">
        <w:rPr>
          <w:rFonts w:ascii="Arial" w:hAnsi="Arial" w:cs="Arial"/>
          <w:lang w:eastAsia="es-CO"/>
        </w:rPr>
        <w:t>seguro y sostenible, soportado en una</w:t>
      </w:r>
      <w:r>
        <w:rPr>
          <w:rFonts w:ascii="Arial" w:hAnsi="Arial" w:cs="Arial"/>
          <w:lang w:eastAsia="es-CO"/>
        </w:rPr>
        <w:t xml:space="preserve"> </w:t>
      </w:r>
      <w:r w:rsidRPr="00EE5857">
        <w:rPr>
          <w:rFonts w:ascii="Arial" w:hAnsi="Arial" w:cs="Arial"/>
          <w:lang w:eastAsia="es-CO"/>
        </w:rPr>
        <w:t>infraestructura renovada, una industria</w:t>
      </w:r>
      <w:r>
        <w:rPr>
          <w:rFonts w:ascii="Arial" w:hAnsi="Arial" w:cs="Arial"/>
          <w:lang w:eastAsia="es-CO"/>
        </w:rPr>
        <w:t xml:space="preserve"> </w:t>
      </w:r>
      <w:r w:rsidRPr="00EE5857">
        <w:rPr>
          <w:rFonts w:ascii="Arial" w:hAnsi="Arial" w:cs="Arial"/>
          <w:lang w:eastAsia="es-CO"/>
        </w:rPr>
        <w:t>robustecida y un talento humano de</w:t>
      </w:r>
      <w:r>
        <w:rPr>
          <w:rFonts w:ascii="Arial" w:hAnsi="Arial" w:cs="Arial"/>
          <w:lang w:eastAsia="es-CO"/>
        </w:rPr>
        <w:t xml:space="preserve"> </w:t>
      </w:r>
      <w:r w:rsidRPr="00EE5857">
        <w:rPr>
          <w:rFonts w:ascii="Arial" w:hAnsi="Arial" w:cs="Arial"/>
          <w:lang w:eastAsia="es-CO"/>
        </w:rPr>
        <w:t>excelencia.</w:t>
      </w:r>
      <w:r>
        <w:rPr>
          <w:rFonts w:ascii="Arial" w:hAnsi="Arial" w:cs="Arial"/>
          <w:lang w:eastAsia="es-CO"/>
        </w:rPr>
        <w:t xml:space="preserve"> </w:t>
      </w:r>
    </w:p>
    <w:p w:rsidR="00CD156E" w:rsidRDefault="00CD156E" w:rsidP="00CD156E">
      <w:pPr>
        <w:autoSpaceDE w:val="0"/>
        <w:autoSpaceDN w:val="0"/>
        <w:adjustRightInd w:val="0"/>
        <w:spacing w:before="100"/>
        <w:jc w:val="both"/>
        <w:rPr>
          <w:rFonts w:ascii="Arial" w:hAnsi="Arial" w:cs="Arial"/>
          <w:color w:val="000000"/>
          <w:lang w:eastAsia="es-CO"/>
        </w:rPr>
      </w:pPr>
      <w:r>
        <w:rPr>
          <w:rFonts w:ascii="Arial" w:hAnsi="Arial" w:cs="Arial"/>
          <w:color w:val="000000"/>
          <w:lang w:eastAsia="es-CO"/>
        </w:rPr>
        <w:t>Dentro de la nueva metodología l</w:t>
      </w:r>
      <w:r w:rsidRPr="00093D9A">
        <w:rPr>
          <w:rFonts w:ascii="Arial" w:hAnsi="Arial" w:cs="Arial"/>
          <w:color w:val="000000"/>
          <w:lang w:eastAsia="es-CO"/>
        </w:rPr>
        <w:t xml:space="preserve">a UAEAC formuló y registró en el Banco de Proyectos del DNP el Proyecto: </w:t>
      </w:r>
      <w:r>
        <w:rPr>
          <w:rFonts w:ascii="Arial" w:hAnsi="Arial" w:cs="Arial"/>
          <w:color w:val="000000"/>
          <w:lang w:eastAsia="es-CO"/>
        </w:rPr>
        <w:t>“</w:t>
      </w:r>
      <w:r w:rsidRPr="00CD156E">
        <w:rPr>
          <w:rFonts w:ascii="Arial" w:hAnsi="Arial" w:cs="Arial"/>
          <w:b/>
          <w:color w:val="000000"/>
          <w:lang w:eastAsia="es-CO"/>
        </w:rPr>
        <w:t>INTERVENTORIA INTEGRAL PARA LOS ESTUDIOS, DISEÑOS Y CONSTRUCCIÓN DE LA PLATAFORMA EN EL APTO DE PITALITO (VIGENCIA FUTURA)</w:t>
      </w:r>
      <w:r w:rsidRPr="00271D93">
        <w:rPr>
          <w:rFonts w:ascii="Arial" w:hAnsi="Arial" w:cs="Arial"/>
          <w:b/>
          <w:color w:val="000000"/>
          <w:lang w:eastAsia="es-CO"/>
        </w:rPr>
        <w:t>”</w:t>
      </w:r>
      <w:r>
        <w:rPr>
          <w:rFonts w:ascii="Arial" w:hAnsi="Arial" w:cs="Arial"/>
          <w:b/>
          <w:color w:val="000000"/>
          <w:lang w:eastAsia="es-CO"/>
        </w:rPr>
        <w:t xml:space="preserve"> </w:t>
      </w:r>
      <w:r w:rsidRPr="00093D9A">
        <w:rPr>
          <w:rFonts w:ascii="Arial" w:hAnsi="Arial" w:cs="Arial"/>
        </w:rPr>
        <w:t xml:space="preserve">con el </w:t>
      </w:r>
      <w:r w:rsidRPr="00093D9A">
        <w:rPr>
          <w:rFonts w:ascii="Arial" w:hAnsi="Arial" w:cs="Arial"/>
          <w:color w:val="000000"/>
          <w:lang w:eastAsia="es-CO"/>
        </w:rPr>
        <w:t>objetivo de</w:t>
      </w:r>
      <w:r w:rsidRPr="00093D9A">
        <w:rPr>
          <w:rFonts w:ascii="Arial" w:hAnsi="Arial" w:cs="Arial"/>
        </w:rPr>
        <w:t xml:space="preserve"> </w:t>
      </w:r>
      <w:r w:rsidRPr="00271D93">
        <w:rPr>
          <w:rFonts w:ascii="Arial" w:hAnsi="Arial" w:cs="Arial"/>
        </w:rPr>
        <w:t>Mejorar la calidad en la prestación de los servicios de navegación aérea y aeroportuarios</w:t>
      </w:r>
      <w:r w:rsidRPr="00271D93">
        <w:rPr>
          <w:rFonts w:ascii="Arial" w:hAnsi="Arial" w:cs="Arial"/>
          <w:color w:val="000000"/>
          <w:lang w:eastAsia="es-CO"/>
        </w:rPr>
        <w:t>.</w:t>
      </w:r>
      <w:r>
        <w:rPr>
          <w:rFonts w:ascii="Arial" w:hAnsi="Arial" w:cs="Arial"/>
          <w:color w:val="000000"/>
          <w:lang w:eastAsia="es-CO"/>
        </w:rPr>
        <w:t xml:space="preserve"> </w:t>
      </w:r>
    </w:p>
    <w:p w:rsidR="00CD156E" w:rsidRDefault="00CD156E" w:rsidP="00CD156E">
      <w:pPr>
        <w:pStyle w:val="Default"/>
        <w:spacing w:line="276" w:lineRule="auto"/>
        <w:jc w:val="both"/>
        <w:rPr>
          <w:b/>
          <w:color w:val="auto"/>
          <w:szCs w:val="22"/>
        </w:rPr>
      </w:pPr>
      <w:r w:rsidRPr="00CB3EA8">
        <w:t>Con el único fin de garantizar el adecuado desarrollo y entrega de las obras objeto del contrato de</w:t>
      </w:r>
      <w:r>
        <w:t xml:space="preserve"> obra con objeto:</w:t>
      </w:r>
      <w:r w:rsidRPr="00CB3EA8">
        <w:t xml:space="preserve"> </w:t>
      </w:r>
      <w:r w:rsidRPr="00CB3EA8">
        <w:rPr>
          <w:b/>
          <w:lang w:eastAsia="es-CO"/>
        </w:rPr>
        <w:t>“</w:t>
      </w:r>
      <w:r w:rsidRPr="00CD156E">
        <w:rPr>
          <w:rFonts w:eastAsia="Arial Unicode MS"/>
          <w:b/>
          <w:i/>
          <w:sz w:val="20"/>
          <w:szCs w:val="20"/>
        </w:rPr>
        <w:t>INTERVENTORIA INTEGRAL PARA LOS ESTUDIOS, DISEÑOS Y CONSTRUCCIÓN DE LA PLATAFORMA EN EL APTO DE PITALITO (VIGENCIA FUTURA)</w:t>
      </w:r>
      <w:r w:rsidRPr="00CB3EA8">
        <w:rPr>
          <w:rFonts w:eastAsia="Arial Unicode MS"/>
          <w:b/>
          <w:i/>
          <w:sz w:val="20"/>
          <w:szCs w:val="20"/>
        </w:rPr>
        <w:t xml:space="preserve">", </w:t>
      </w:r>
      <w:r w:rsidRPr="00CB3EA8">
        <w:rPr>
          <w:rFonts w:eastAsia="Arial Unicode MS"/>
        </w:rPr>
        <w:t xml:space="preserve">en </w:t>
      </w:r>
      <w:r w:rsidRPr="00CB3EA8">
        <w:t xml:space="preserve">la Dirección de Infraestructura Aeroportuaria de la Aeronáutica Civil existe la necesidad de </w:t>
      </w:r>
      <w:r w:rsidRPr="00CB3EA8">
        <w:rPr>
          <w:rFonts w:eastAsia="Arial Unicode MS"/>
        </w:rPr>
        <w:t xml:space="preserve">contratar </w:t>
      </w:r>
      <w:r w:rsidRPr="00CB3EA8">
        <w:t xml:space="preserve">la </w:t>
      </w:r>
      <w:r w:rsidRPr="00CB3EA8">
        <w:rPr>
          <w:rFonts w:eastAsia="Arial Unicode MS"/>
          <w:b/>
        </w:rPr>
        <w:t>Interventoría</w:t>
      </w:r>
      <w:r w:rsidRPr="00CB3EA8">
        <w:rPr>
          <w:rFonts w:eastAsia="Arial Unicode MS"/>
        </w:rPr>
        <w:t xml:space="preserve"> para realizar el seguimiento a las obras antes enunciadas, a fin de mejorar y mantener condiciones adecuadas de operación en el lado aire  de la infraestructura aeroportuaria del aeropuerto de </w:t>
      </w:r>
      <w:r>
        <w:rPr>
          <w:rFonts w:eastAsia="Arial Unicode MS"/>
          <w:b/>
        </w:rPr>
        <w:t>Pitalito</w:t>
      </w:r>
      <w:r w:rsidRPr="00CB3EA8">
        <w:rPr>
          <w:rFonts w:eastAsia="Arial Unicode MS"/>
          <w:b/>
        </w:rPr>
        <w:t xml:space="preserve"> – </w:t>
      </w:r>
      <w:r>
        <w:rPr>
          <w:rFonts w:eastAsia="Arial Unicode MS"/>
          <w:b/>
        </w:rPr>
        <w:t>Huila</w:t>
      </w:r>
      <w:r w:rsidRPr="00CB3EA8">
        <w:rPr>
          <w:rFonts w:eastAsia="Arial Unicode MS"/>
        </w:rPr>
        <w:t>.</w:t>
      </w:r>
    </w:p>
    <w:p w:rsidR="00CD156E" w:rsidRDefault="00CD156E" w:rsidP="00CD156E">
      <w:pPr>
        <w:pStyle w:val="Default"/>
        <w:spacing w:line="276" w:lineRule="auto"/>
        <w:rPr>
          <w:b/>
          <w:color w:val="auto"/>
          <w:szCs w:val="22"/>
        </w:rPr>
      </w:pPr>
    </w:p>
    <w:p w:rsidR="00CD156E" w:rsidRDefault="00CD156E" w:rsidP="00CD156E">
      <w:pPr>
        <w:pStyle w:val="Default"/>
        <w:spacing w:line="276" w:lineRule="auto"/>
        <w:rPr>
          <w:b/>
          <w:color w:val="auto"/>
          <w:szCs w:val="22"/>
        </w:rPr>
      </w:pPr>
    </w:p>
    <w:p w:rsidR="00CD156E" w:rsidRDefault="00CD156E" w:rsidP="00CD156E">
      <w:pPr>
        <w:pStyle w:val="Default"/>
        <w:spacing w:line="276" w:lineRule="auto"/>
        <w:rPr>
          <w:b/>
          <w:color w:val="auto"/>
          <w:szCs w:val="22"/>
        </w:rPr>
      </w:pPr>
    </w:p>
    <w:p w:rsidR="00CD156E" w:rsidRDefault="00CD156E" w:rsidP="00CD156E">
      <w:pPr>
        <w:pStyle w:val="Default"/>
        <w:spacing w:line="276" w:lineRule="auto"/>
        <w:rPr>
          <w:b/>
          <w:color w:val="auto"/>
          <w:szCs w:val="22"/>
        </w:rPr>
      </w:pPr>
    </w:p>
    <w:p w:rsidR="00CD156E" w:rsidRDefault="00CD156E" w:rsidP="00CD156E">
      <w:pPr>
        <w:pStyle w:val="Default"/>
        <w:spacing w:line="276" w:lineRule="auto"/>
        <w:rPr>
          <w:b/>
          <w:color w:val="auto"/>
          <w:szCs w:val="22"/>
        </w:rPr>
      </w:pPr>
    </w:p>
    <w:p w:rsidR="003542C2" w:rsidRPr="009672C8" w:rsidRDefault="00CD156E" w:rsidP="00CD156E">
      <w:pPr>
        <w:pStyle w:val="Default"/>
        <w:numPr>
          <w:ilvl w:val="0"/>
          <w:numId w:val="5"/>
        </w:numPr>
        <w:spacing w:line="276" w:lineRule="auto"/>
        <w:rPr>
          <w:b/>
          <w:color w:val="auto"/>
          <w:szCs w:val="22"/>
        </w:rPr>
      </w:pPr>
      <w:r w:rsidRPr="00CD156E">
        <w:rPr>
          <w:b/>
          <w:color w:val="auto"/>
          <w:szCs w:val="22"/>
        </w:rPr>
        <w:t>ASPECTOS ECONÓMICOS:</w:t>
      </w:r>
    </w:p>
    <w:p w:rsidR="00745F8E" w:rsidRPr="009F6738" w:rsidRDefault="00745F8E" w:rsidP="00745F8E">
      <w:pPr>
        <w:pStyle w:val="Default"/>
        <w:spacing w:line="276" w:lineRule="auto"/>
        <w:rPr>
          <w:b/>
          <w:bCs/>
          <w:color w:val="000000" w:themeColor="text1"/>
          <w:sz w:val="22"/>
          <w:szCs w:val="22"/>
        </w:rPr>
      </w:pPr>
    </w:p>
    <w:p w:rsidR="00CD156E" w:rsidRDefault="00CD156E" w:rsidP="00CD156E">
      <w:pPr>
        <w:pStyle w:val="Textonotapie"/>
        <w:jc w:val="both"/>
        <w:rPr>
          <w:rFonts w:ascii="Arial" w:eastAsia="HelveticaNeue-Light" w:hAnsi="Arial" w:cs="Arial"/>
          <w:b/>
          <w:color w:val="333333"/>
          <w:sz w:val="24"/>
        </w:rPr>
      </w:pPr>
      <w:r w:rsidRPr="00D94920">
        <w:rPr>
          <w:rFonts w:ascii="Arial" w:eastAsia="HelveticaNeue-Light" w:hAnsi="Arial" w:cs="Arial"/>
          <w:b/>
          <w:color w:val="333333"/>
          <w:sz w:val="24"/>
        </w:rPr>
        <w:t>Productos del sector de la construcción:</w:t>
      </w:r>
    </w:p>
    <w:p w:rsidR="00CD156E" w:rsidRDefault="00CD156E" w:rsidP="00CD156E">
      <w:pPr>
        <w:pStyle w:val="Textonotapie"/>
        <w:jc w:val="both"/>
        <w:rPr>
          <w:rFonts w:ascii="Arial" w:eastAsia="HelveticaNeue-Light" w:hAnsi="Arial" w:cs="Arial"/>
          <w:b/>
          <w:color w:val="333333"/>
          <w:sz w:val="24"/>
        </w:rPr>
      </w:pPr>
    </w:p>
    <w:p w:rsidR="00CD156E" w:rsidRPr="00F56052" w:rsidRDefault="00CD156E" w:rsidP="00CD156E">
      <w:pPr>
        <w:pStyle w:val="Textonotapie"/>
        <w:jc w:val="both"/>
        <w:rPr>
          <w:rFonts w:ascii="Arial" w:eastAsia="HelveticaNeue-Light" w:hAnsi="Arial" w:cs="Arial"/>
          <w:color w:val="333333"/>
          <w:sz w:val="24"/>
        </w:rPr>
      </w:pPr>
      <w:r>
        <w:rPr>
          <w:rFonts w:ascii="Arial" w:eastAsia="HelveticaNeue-Light" w:hAnsi="Arial" w:cs="Arial"/>
          <w:color w:val="333333"/>
          <w:sz w:val="24"/>
        </w:rPr>
        <w:t xml:space="preserve">En Colombia según estudio realizado por </w:t>
      </w:r>
      <w:r w:rsidRPr="003E7180">
        <w:rPr>
          <w:rFonts w:ascii="Arial" w:eastAsia="HelveticaNeue-Light" w:hAnsi="Arial" w:cs="Arial"/>
          <w:b/>
          <w:color w:val="333333"/>
          <w:sz w:val="24"/>
        </w:rPr>
        <w:t>CAMACOL</w:t>
      </w:r>
      <w:r>
        <w:rPr>
          <w:rFonts w:ascii="Arial" w:eastAsia="HelveticaNeue-Light" w:hAnsi="Arial" w:cs="Arial"/>
          <w:color w:val="333333"/>
          <w:sz w:val="24"/>
        </w:rPr>
        <w:t xml:space="preserve"> el </w:t>
      </w:r>
      <w:r w:rsidRPr="00B94003">
        <w:rPr>
          <w:rFonts w:ascii="Arial" w:eastAsia="HelveticaNeue-Light" w:hAnsi="Arial" w:cs="Arial"/>
          <w:color w:val="333333"/>
          <w:sz w:val="24"/>
        </w:rPr>
        <w:t>PIB de la construcción</w:t>
      </w:r>
      <w:r>
        <w:rPr>
          <w:rFonts w:ascii="Arial" w:eastAsia="HelveticaNeue-Light" w:hAnsi="Arial" w:cs="Arial"/>
          <w:color w:val="333333"/>
          <w:sz w:val="24"/>
        </w:rPr>
        <w:t xml:space="preserve">, </w:t>
      </w:r>
      <w:r w:rsidRPr="00B94003">
        <w:rPr>
          <w:rFonts w:ascii="Arial" w:eastAsia="HelveticaNeue-Light" w:hAnsi="Arial" w:cs="Arial"/>
          <w:color w:val="333333"/>
          <w:sz w:val="24"/>
        </w:rPr>
        <w:t xml:space="preserve">está compuesto por dos grandes </w:t>
      </w:r>
      <w:r>
        <w:rPr>
          <w:rFonts w:ascii="Arial" w:eastAsia="HelveticaNeue-Light" w:hAnsi="Arial" w:cs="Arial"/>
          <w:color w:val="333333"/>
          <w:sz w:val="24"/>
        </w:rPr>
        <w:t xml:space="preserve">ramas de la actividad económica: </w:t>
      </w:r>
      <w:r w:rsidRPr="00B94003">
        <w:rPr>
          <w:rFonts w:ascii="Arial" w:eastAsia="HelveticaNeue-Light" w:hAnsi="Arial" w:cs="Arial"/>
          <w:b/>
          <w:color w:val="333333"/>
          <w:sz w:val="24"/>
        </w:rPr>
        <w:t>La primera</w:t>
      </w:r>
      <w:r>
        <w:rPr>
          <w:rFonts w:ascii="Arial" w:eastAsia="HelveticaNeue-Light" w:hAnsi="Arial" w:cs="Arial"/>
          <w:b/>
          <w:color w:val="333333"/>
          <w:sz w:val="24"/>
        </w:rPr>
        <w:t xml:space="preserve"> </w:t>
      </w:r>
      <w:r w:rsidRPr="00B94003">
        <w:rPr>
          <w:rFonts w:ascii="Arial" w:eastAsia="HelveticaNeue-Light" w:hAnsi="Arial" w:cs="Arial"/>
          <w:color w:val="333333"/>
          <w:sz w:val="24"/>
        </w:rPr>
        <w:t>está relacionada con los trabajos de construcción de edificaciones, que agrupa el valor agregado de la</w:t>
      </w:r>
      <w:r>
        <w:rPr>
          <w:rFonts w:ascii="Arial" w:eastAsia="HelveticaNeue-Light" w:hAnsi="Arial" w:cs="Arial"/>
          <w:color w:val="333333"/>
          <w:sz w:val="24"/>
        </w:rPr>
        <w:t xml:space="preserve"> </w:t>
      </w:r>
      <w:r w:rsidRPr="00B94003">
        <w:rPr>
          <w:rFonts w:ascii="Arial" w:eastAsia="HelveticaNeue-Light" w:hAnsi="Arial" w:cs="Arial"/>
          <w:color w:val="333333"/>
          <w:sz w:val="24"/>
        </w:rPr>
        <w:t>construcción de edificaciones residenciales -tanto a nivel urbano como rural-, edificios no residenciales,</w:t>
      </w:r>
      <w:r>
        <w:rPr>
          <w:rFonts w:ascii="Arial" w:eastAsia="HelveticaNeue-Light" w:hAnsi="Arial" w:cs="Arial"/>
          <w:color w:val="333333"/>
          <w:sz w:val="24"/>
        </w:rPr>
        <w:t xml:space="preserve"> </w:t>
      </w:r>
      <w:r w:rsidRPr="00B94003">
        <w:rPr>
          <w:rFonts w:ascii="Arial" w:eastAsia="HelveticaNeue-Light" w:hAnsi="Arial" w:cs="Arial"/>
          <w:color w:val="333333"/>
          <w:sz w:val="24"/>
        </w:rPr>
        <w:t xml:space="preserve">reparación de edificios y mantenimientos, y alquiler de equipos de construcción. </w:t>
      </w:r>
      <w:r w:rsidRPr="00B94003">
        <w:rPr>
          <w:rFonts w:ascii="Arial" w:eastAsia="HelveticaNeue-Light" w:hAnsi="Arial" w:cs="Arial"/>
          <w:b/>
          <w:color w:val="333333"/>
          <w:sz w:val="24"/>
        </w:rPr>
        <w:t>La segunda</w:t>
      </w:r>
      <w:r w:rsidRPr="00B94003">
        <w:rPr>
          <w:rFonts w:ascii="Arial" w:eastAsia="HelveticaNeue-Light" w:hAnsi="Arial" w:cs="Arial"/>
          <w:color w:val="333333"/>
          <w:sz w:val="24"/>
        </w:rPr>
        <w:t xml:space="preserve"> rama se</w:t>
      </w:r>
      <w:r>
        <w:rPr>
          <w:rFonts w:ascii="Arial" w:eastAsia="HelveticaNeue-Light" w:hAnsi="Arial" w:cs="Arial"/>
          <w:color w:val="333333"/>
          <w:sz w:val="24"/>
        </w:rPr>
        <w:t xml:space="preserve"> </w:t>
      </w:r>
      <w:r w:rsidRPr="00B94003">
        <w:rPr>
          <w:rFonts w:ascii="Arial" w:eastAsia="HelveticaNeue-Light" w:hAnsi="Arial" w:cs="Arial"/>
          <w:color w:val="333333"/>
          <w:sz w:val="24"/>
        </w:rPr>
        <w:t>compone de los trabajos asociados con la ingeniería civil, que abarca la construcción de carreteras, vías</w:t>
      </w:r>
      <w:r>
        <w:rPr>
          <w:rFonts w:ascii="Arial" w:eastAsia="HelveticaNeue-Light" w:hAnsi="Arial" w:cs="Arial"/>
          <w:color w:val="333333"/>
          <w:sz w:val="24"/>
        </w:rPr>
        <w:t xml:space="preserve"> férreas, puertos, </w:t>
      </w:r>
      <w:r w:rsidRPr="00EA468D">
        <w:rPr>
          <w:rFonts w:ascii="Arial" w:eastAsia="HelveticaNeue-Light" w:hAnsi="Arial" w:cs="Arial"/>
          <w:b/>
          <w:i/>
          <w:color w:val="333333"/>
          <w:sz w:val="24"/>
        </w:rPr>
        <w:t>Aeropuertos</w:t>
      </w:r>
      <w:r w:rsidRPr="00EA468D">
        <w:rPr>
          <w:rFonts w:ascii="Arial" w:eastAsia="HelveticaNeue-Light" w:hAnsi="Arial" w:cs="Arial"/>
          <w:b/>
          <w:color w:val="333333"/>
          <w:sz w:val="24"/>
        </w:rPr>
        <w:t xml:space="preserve"> </w:t>
      </w:r>
      <w:r w:rsidRPr="00B94003">
        <w:rPr>
          <w:rFonts w:ascii="Arial" w:eastAsia="HelveticaNeue-Light" w:hAnsi="Arial" w:cs="Arial"/>
          <w:color w:val="333333"/>
          <w:sz w:val="24"/>
        </w:rPr>
        <w:t>y tuberías</w:t>
      </w:r>
      <w:r>
        <w:rPr>
          <w:rFonts w:ascii="Arial" w:eastAsia="HelveticaNeue-Light" w:hAnsi="Arial" w:cs="Arial"/>
          <w:color w:val="333333"/>
          <w:sz w:val="24"/>
        </w:rPr>
        <w:t xml:space="preserve"> (</w:t>
      </w:r>
      <w:r>
        <w:rPr>
          <w:rFonts w:ascii="Arial" w:eastAsia="HelveticaNeue-Light" w:hAnsi="Arial" w:cs="Arial"/>
          <w:i/>
          <w:color w:val="333333"/>
          <w:sz w:val="24"/>
        </w:rPr>
        <w:t>negritas fuera de texto</w:t>
      </w:r>
      <w:r>
        <w:rPr>
          <w:rFonts w:ascii="Arial" w:eastAsia="HelveticaNeue-Light" w:hAnsi="Arial" w:cs="Arial"/>
          <w:color w:val="333333"/>
          <w:sz w:val="24"/>
        </w:rPr>
        <w:t xml:space="preserve">).  </w:t>
      </w:r>
    </w:p>
    <w:p w:rsidR="00CD156E" w:rsidRPr="00A6446F" w:rsidRDefault="00CD156E" w:rsidP="00CD156E">
      <w:pPr>
        <w:pStyle w:val="Textonotapie"/>
        <w:jc w:val="both"/>
        <w:rPr>
          <w:rFonts w:ascii="Arial" w:eastAsia="HelveticaNeue-Light" w:hAnsi="Arial" w:cs="Arial"/>
          <w:b/>
          <w:color w:val="333333"/>
          <w:sz w:val="24"/>
          <w:highlight w:val="yellow"/>
        </w:rPr>
      </w:pPr>
    </w:p>
    <w:p w:rsidR="00CD156E" w:rsidRPr="00FB4DDE" w:rsidRDefault="00CD156E" w:rsidP="00CD156E">
      <w:pPr>
        <w:pStyle w:val="Textonotapie"/>
        <w:jc w:val="both"/>
        <w:rPr>
          <w:rFonts w:ascii="Arial" w:eastAsia="HelveticaNeue-Light" w:hAnsi="Arial" w:cs="Arial"/>
          <w:b/>
          <w:color w:val="333333"/>
          <w:sz w:val="24"/>
        </w:rPr>
      </w:pPr>
      <w:r w:rsidRPr="00FB4DDE">
        <w:rPr>
          <w:rFonts w:ascii="Arial" w:eastAsia="HelveticaNeue-Light" w:hAnsi="Arial" w:cs="Arial"/>
          <w:b/>
          <w:color w:val="333333"/>
          <w:sz w:val="24"/>
        </w:rPr>
        <w:t>Agentes o participantes del sector:</w:t>
      </w:r>
    </w:p>
    <w:p w:rsidR="00CD156E" w:rsidRDefault="00CD156E" w:rsidP="00CD156E">
      <w:pPr>
        <w:pStyle w:val="Textonotapie"/>
        <w:jc w:val="both"/>
        <w:rPr>
          <w:rFonts w:ascii="Arial" w:eastAsia="HelveticaNeue-Light" w:hAnsi="Arial" w:cs="Arial"/>
          <w:color w:val="333333"/>
          <w:sz w:val="24"/>
        </w:rPr>
      </w:pPr>
    </w:p>
    <w:p w:rsidR="00CD156E" w:rsidRDefault="00CD156E" w:rsidP="00CD156E">
      <w:pPr>
        <w:pStyle w:val="Textonotapie"/>
        <w:jc w:val="both"/>
        <w:rPr>
          <w:rFonts w:ascii="Arial" w:eastAsia="HelveticaNeue-Light" w:hAnsi="Arial" w:cs="Arial"/>
          <w:color w:val="333333"/>
          <w:sz w:val="24"/>
        </w:rPr>
      </w:pPr>
      <w:r w:rsidRPr="00F56052">
        <w:rPr>
          <w:rFonts w:ascii="Arial" w:eastAsia="HelveticaNeue-Light" w:hAnsi="Arial" w:cs="Arial"/>
          <w:color w:val="333333"/>
          <w:sz w:val="24"/>
        </w:rPr>
        <w:t>En este sector se incluyen las empresas y organizaciones relacionadas con la construcción, al igual que los arquitectos e ingenieros, las empresas productoras de materiales para la construcción</w:t>
      </w:r>
      <w:r>
        <w:rPr>
          <w:rFonts w:ascii="Arial" w:eastAsia="HelveticaNeue-Light" w:hAnsi="Arial" w:cs="Arial"/>
          <w:color w:val="333333"/>
          <w:sz w:val="24"/>
        </w:rPr>
        <w:t>, entre otras; de las cuales se destacan:</w:t>
      </w:r>
    </w:p>
    <w:p w:rsidR="00CD156E" w:rsidRDefault="00CD156E" w:rsidP="00CD156E">
      <w:pPr>
        <w:pStyle w:val="Textonotapie"/>
        <w:jc w:val="both"/>
        <w:rPr>
          <w:rFonts w:ascii="Arial" w:eastAsia="HelveticaNeue-Light" w:hAnsi="Arial" w:cs="Arial"/>
          <w:color w:val="333333"/>
          <w:sz w:val="24"/>
        </w:rPr>
      </w:pPr>
    </w:p>
    <w:p w:rsidR="00CD156E" w:rsidRPr="004033C3" w:rsidRDefault="00CD156E" w:rsidP="00CD156E">
      <w:pPr>
        <w:pStyle w:val="Default"/>
        <w:rPr>
          <w:szCs w:val="23"/>
        </w:rPr>
      </w:pPr>
      <w:r w:rsidRPr="004033C3">
        <w:rPr>
          <w:szCs w:val="23"/>
        </w:rPr>
        <w:t>Ministerio de transporte</w:t>
      </w:r>
      <w:r>
        <w:rPr>
          <w:szCs w:val="23"/>
        </w:rPr>
        <w:t>.</w:t>
      </w:r>
    </w:p>
    <w:p w:rsidR="00CD156E" w:rsidRPr="004033C3" w:rsidRDefault="00CD156E" w:rsidP="00CD156E">
      <w:pPr>
        <w:pStyle w:val="Default"/>
        <w:rPr>
          <w:szCs w:val="23"/>
        </w:rPr>
      </w:pPr>
      <w:r w:rsidRPr="004033C3">
        <w:rPr>
          <w:szCs w:val="23"/>
        </w:rPr>
        <w:t xml:space="preserve">Instituto Nacional de Vías- INVIAS </w:t>
      </w:r>
    </w:p>
    <w:p w:rsidR="00CD156E" w:rsidRPr="004033C3" w:rsidRDefault="00CD156E" w:rsidP="00CD156E">
      <w:pPr>
        <w:pStyle w:val="Default"/>
        <w:rPr>
          <w:szCs w:val="23"/>
        </w:rPr>
      </w:pPr>
      <w:r w:rsidRPr="004033C3">
        <w:rPr>
          <w:szCs w:val="23"/>
        </w:rPr>
        <w:t xml:space="preserve">Unidad Administrativa Especial de la Aeronáutica Civil – AEROCIVIL </w:t>
      </w:r>
    </w:p>
    <w:p w:rsidR="00CD156E" w:rsidRPr="004033C3" w:rsidRDefault="00CD156E" w:rsidP="00CD156E">
      <w:pPr>
        <w:pStyle w:val="Default"/>
        <w:rPr>
          <w:szCs w:val="23"/>
        </w:rPr>
      </w:pPr>
      <w:r w:rsidRPr="004033C3">
        <w:rPr>
          <w:szCs w:val="23"/>
        </w:rPr>
        <w:t xml:space="preserve">Agencia Nacional de Infraestructura – ANI </w:t>
      </w:r>
    </w:p>
    <w:p w:rsidR="00CD156E" w:rsidRPr="004033C3" w:rsidRDefault="00CD156E" w:rsidP="00CD156E">
      <w:pPr>
        <w:pStyle w:val="Default"/>
        <w:rPr>
          <w:szCs w:val="23"/>
        </w:rPr>
      </w:pPr>
      <w:r w:rsidRPr="004033C3">
        <w:rPr>
          <w:szCs w:val="23"/>
        </w:rPr>
        <w:t>Instituto de Desarrollo Urbano – IDU.</w:t>
      </w:r>
    </w:p>
    <w:p w:rsidR="00CD156E" w:rsidRPr="004033C3" w:rsidRDefault="00CD156E" w:rsidP="00CD156E">
      <w:pPr>
        <w:pStyle w:val="Default"/>
        <w:rPr>
          <w:szCs w:val="23"/>
        </w:rPr>
      </w:pPr>
      <w:r w:rsidRPr="004033C3">
        <w:rPr>
          <w:szCs w:val="23"/>
        </w:rPr>
        <w:t xml:space="preserve">Entidades públicas departamentales y municipales (Gobernaciones, Alcaldías) </w:t>
      </w:r>
    </w:p>
    <w:p w:rsidR="00CD156E" w:rsidRPr="004033C3" w:rsidRDefault="00CD156E" w:rsidP="00CD156E">
      <w:pPr>
        <w:pStyle w:val="Default"/>
        <w:rPr>
          <w:szCs w:val="23"/>
        </w:rPr>
      </w:pPr>
      <w:r w:rsidRPr="004033C3">
        <w:rPr>
          <w:szCs w:val="23"/>
        </w:rPr>
        <w:t xml:space="preserve">Instituto Geográfico Agustín Codazzi – IGAC </w:t>
      </w:r>
    </w:p>
    <w:p w:rsidR="00CD156E" w:rsidRDefault="00CD156E" w:rsidP="00CD156E">
      <w:pPr>
        <w:pStyle w:val="Default"/>
        <w:rPr>
          <w:szCs w:val="23"/>
        </w:rPr>
      </w:pPr>
      <w:r w:rsidRPr="004033C3">
        <w:rPr>
          <w:szCs w:val="23"/>
        </w:rPr>
        <w:t xml:space="preserve">Departamento Nacional De Planeación – DNP </w:t>
      </w:r>
    </w:p>
    <w:p w:rsidR="00CD156E" w:rsidRDefault="00CD156E" w:rsidP="00CD156E">
      <w:pPr>
        <w:pStyle w:val="Default"/>
        <w:rPr>
          <w:szCs w:val="23"/>
        </w:rPr>
      </w:pPr>
      <w:r>
        <w:rPr>
          <w:szCs w:val="23"/>
        </w:rPr>
        <w:t>Agencia Nacional de Licencias ambientales – ANLA.</w:t>
      </w:r>
    </w:p>
    <w:p w:rsidR="00CD156E" w:rsidRDefault="00CD156E" w:rsidP="00CD156E">
      <w:pPr>
        <w:pStyle w:val="Default"/>
        <w:rPr>
          <w:szCs w:val="23"/>
        </w:rPr>
      </w:pPr>
      <w:r>
        <w:rPr>
          <w:szCs w:val="23"/>
        </w:rPr>
        <w:t>Fondo Nacional de Vivienda – FONVIVIENDA.</w:t>
      </w:r>
    </w:p>
    <w:p w:rsidR="00CD156E" w:rsidRDefault="00CD156E" w:rsidP="00CD156E">
      <w:pPr>
        <w:pStyle w:val="Default"/>
        <w:rPr>
          <w:szCs w:val="23"/>
        </w:rPr>
      </w:pPr>
      <w:r>
        <w:rPr>
          <w:szCs w:val="23"/>
        </w:rPr>
        <w:t xml:space="preserve">Secretarias de Planeación </w:t>
      </w:r>
    </w:p>
    <w:p w:rsidR="00CD156E" w:rsidRDefault="00CD156E" w:rsidP="00CD156E">
      <w:pPr>
        <w:pStyle w:val="Default"/>
        <w:rPr>
          <w:szCs w:val="23"/>
        </w:rPr>
      </w:pPr>
      <w:r>
        <w:rPr>
          <w:szCs w:val="23"/>
        </w:rPr>
        <w:t>Curadurías Urbanas</w:t>
      </w:r>
    </w:p>
    <w:p w:rsidR="00CD156E" w:rsidRPr="00646848" w:rsidRDefault="00CD156E" w:rsidP="00CD156E">
      <w:pPr>
        <w:pStyle w:val="Default"/>
        <w:rPr>
          <w:szCs w:val="23"/>
        </w:rPr>
      </w:pPr>
      <w:r w:rsidRPr="00646848">
        <w:rPr>
          <w:szCs w:val="23"/>
        </w:rPr>
        <w:t>Cámara</w:t>
      </w:r>
      <w:r>
        <w:rPr>
          <w:szCs w:val="23"/>
        </w:rPr>
        <w:t xml:space="preserve"> Colombiana de la Construcción – </w:t>
      </w:r>
      <w:r w:rsidRPr="00646848">
        <w:rPr>
          <w:szCs w:val="23"/>
        </w:rPr>
        <w:t>C</w:t>
      </w:r>
      <w:r>
        <w:rPr>
          <w:szCs w:val="23"/>
        </w:rPr>
        <w:t xml:space="preserve">AMACOL. </w:t>
      </w:r>
    </w:p>
    <w:p w:rsidR="00CD156E" w:rsidRDefault="00CD156E" w:rsidP="00CD156E">
      <w:pPr>
        <w:pStyle w:val="Default"/>
        <w:rPr>
          <w:szCs w:val="23"/>
        </w:rPr>
      </w:pPr>
      <w:r>
        <w:rPr>
          <w:szCs w:val="23"/>
        </w:rPr>
        <w:t>Cámara Colombiana de Infraestructura - CCI</w:t>
      </w:r>
    </w:p>
    <w:p w:rsidR="00CD156E" w:rsidRPr="00646848" w:rsidRDefault="00CD156E" w:rsidP="00CD156E">
      <w:pPr>
        <w:pStyle w:val="Default"/>
        <w:rPr>
          <w:szCs w:val="23"/>
        </w:rPr>
      </w:pPr>
      <w:r w:rsidRPr="00646848">
        <w:rPr>
          <w:szCs w:val="23"/>
        </w:rPr>
        <w:t>Asociación De Productores De Concreto – ASOCRETO</w:t>
      </w:r>
    </w:p>
    <w:p w:rsidR="00CD156E" w:rsidRPr="00646848" w:rsidRDefault="00CD156E" w:rsidP="00CD156E">
      <w:pPr>
        <w:pStyle w:val="Default"/>
        <w:rPr>
          <w:szCs w:val="23"/>
        </w:rPr>
      </w:pPr>
      <w:r w:rsidRPr="00D73494">
        <w:rPr>
          <w:szCs w:val="23"/>
        </w:rPr>
        <w:t>Asociación Colombiana de</w:t>
      </w:r>
      <w:r w:rsidRPr="00646848">
        <w:rPr>
          <w:szCs w:val="23"/>
        </w:rPr>
        <w:t xml:space="preserve"> Ingeniería Estructural</w:t>
      </w:r>
      <w:r>
        <w:rPr>
          <w:szCs w:val="23"/>
        </w:rPr>
        <w:t xml:space="preserve"> </w:t>
      </w:r>
      <w:r w:rsidRPr="00D73494">
        <w:rPr>
          <w:szCs w:val="23"/>
        </w:rPr>
        <w:t>– ACIES.</w:t>
      </w:r>
      <w:r>
        <w:rPr>
          <w:szCs w:val="23"/>
        </w:rPr>
        <w:t xml:space="preserve"> </w:t>
      </w:r>
    </w:p>
    <w:p w:rsidR="00CD156E" w:rsidRPr="00646848" w:rsidRDefault="00CD156E" w:rsidP="00CD156E">
      <w:pPr>
        <w:pStyle w:val="Default"/>
        <w:rPr>
          <w:szCs w:val="23"/>
        </w:rPr>
      </w:pPr>
      <w:r w:rsidRPr="00646848">
        <w:rPr>
          <w:szCs w:val="23"/>
        </w:rPr>
        <w:t>Consejo Profesional Nacional de Ingeniería-COPNIA</w:t>
      </w:r>
    </w:p>
    <w:p w:rsidR="00CD156E" w:rsidRPr="00646848" w:rsidRDefault="00CD156E" w:rsidP="00CD156E">
      <w:pPr>
        <w:pStyle w:val="Default"/>
        <w:rPr>
          <w:szCs w:val="23"/>
        </w:rPr>
      </w:pPr>
      <w:r w:rsidRPr="00646848">
        <w:rPr>
          <w:szCs w:val="23"/>
        </w:rPr>
        <w:t>Sociedad Colombiana de Arquitectos</w:t>
      </w:r>
    </w:p>
    <w:p w:rsidR="00CD156E" w:rsidRPr="00646848" w:rsidRDefault="00CD156E" w:rsidP="00CD156E">
      <w:pPr>
        <w:pStyle w:val="Default"/>
        <w:rPr>
          <w:szCs w:val="23"/>
        </w:rPr>
      </w:pPr>
      <w:r w:rsidRPr="00646848">
        <w:rPr>
          <w:szCs w:val="23"/>
        </w:rPr>
        <w:t>Sociedad Colombiana de Ingenieros</w:t>
      </w:r>
    </w:p>
    <w:p w:rsidR="00CD156E" w:rsidRPr="004033C3" w:rsidRDefault="00CD156E" w:rsidP="00CD156E">
      <w:pPr>
        <w:pStyle w:val="Default"/>
        <w:rPr>
          <w:szCs w:val="23"/>
        </w:rPr>
      </w:pPr>
      <w:r w:rsidRPr="00646848">
        <w:rPr>
          <w:szCs w:val="23"/>
        </w:rPr>
        <w:t>Asociación Colombiana de Constructores</w:t>
      </w:r>
    </w:p>
    <w:p w:rsidR="00CD156E" w:rsidRDefault="00CD156E" w:rsidP="00CD156E">
      <w:pPr>
        <w:tabs>
          <w:tab w:val="left" w:pos="600"/>
        </w:tabs>
        <w:spacing w:line="276" w:lineRule="auto"/>
        <w:rPr>
          <w:rFonts w:ascii="Arial" w:hAnsi="Arial" w:cs="Arial"/>
          <w:b/>
          <w:lang w:eastAsia="x-none"/>
        </w:rPr>
      </w:pPr>
    </w:p>
    <w:p w:rsidR="00CD156E" w:rsidRDefault="00CD156E" w:rsidP="00CD156E">
      <w:pPr>
        <w:pStyle w:val="Textonotapie"/>
        <w:jc w:val="both"/>
        <w:rPr>
          <w:rFonts w:ascii="Arial" w:eastAsia="HelveticaNeue-Light" w:hAnsi="Arial" w:cs="Arial"/>
          <w:b/>
          <w:color w:val="333333"/>
          <w:sz w:val="24"/>
        </w:rPr>
      </w:pPr>
      <w:r>
        <w:rPr>
          <w:rFonts w:ascii="Arial" w:eastAsia="HelveticaNeue-Light" w:hAnsi="Arial" w:cs="Arial"/>
          <w:b/>
          <w:color w:val="333333"/>
          <w:sz w:val="24"/>
        </w:rPr>
        <w:t xml:space="preserve">Variaciones Producto Interno Bruto PIB por agregados económicos. </w:t>
      </w:r>
    </w:p>
    <w:p w:rsidR="00CD156E" w:rsidRDefault="00CD156E" w:rsidP="00CD156E">
      <w:pPr>
        <w:pStyle w:val="Textonotapie"/>
        <w:jc w:val="both"/>
        <w:rPr>
          <w:rFonts w:ascii="Arial" w:eastAsia="HelveticaNeue-Light" w:hAnsi="Arial" w:cs="Arial"/>
          <w:b/>
          <w:color w:val="333333"/>
          <w:sz w:val="24"/>
        </w:rPr>
      </w:pPr>
    </w:p>
    <w:p w:rsidR="00CD156E" w:rsidRDefault="00CD156E" w:rsidP="00CD156E">
      <w:pPr>
        <w:pStyle w:val="Textonotapie"/>
        <w:jc w:val="both"/>
        <w:rPr>
          <w:rFonts w:ascii="Arial" w:eastAsia="HelveticaNeue-Light" w:hAnsi="Arial" w:cs="Arial"/>
          <w:color w:val="333333"/>
          <w:sz w:val="24"/>
        </w:rPr>
      </w:pPr>
      <w:r>
        <w:rPr>
          <w:rFonts w:ascii="Arial" w:eastAsia="HelveticaNeue-Light" w:hAnsi="Arial" w:cs="Arial"/>
          <w:color w:val="333333"/>
          <w:sz w:val="24"/>
        </w:rPr>
        <w:t xml:space="preserve">Para el segundo trimestre del 2018 el PIB de Colombia creció 2,8% con respecto al mismo periodo del año inmediatamente anterior; esto se debe al jalonamiento de la rama </w:t>
      </w:r>
      <w:r w:rsidRPr="005134C9">
        <w:rPr>
          <w:rFonts w:ascii="Arial" w:eastAsia="HelveticaNeue-Light" w:hAnsi="Arial" w:cs="Arial"/>
          <w:i/>
          <w:color w:val="333333"/>
          <w:sz w:val="24"/>
        </w:rPr>
        <w:t>Actividades profesionales, científicas y técnicas</w:t>
      </w:r>
      <w:r>
        <w:rPr>
          <w:rFonts w:ascii="Arial" w:eastAsia="HelveticaNeue-Light" w:hAnsi="Arial" w:cs="Arial"/>
          <w:i/>
          <w:color w:val="333333"/>
          <w:sz w:val="24"/>
        </w:rPr>
        <w:t xml:space="preserve"> </w:t>
      </w:r>
      <w:r>
        <w:rPr>
          <w:rFonts w:ascii="Arial" w:eastAsia="HelveticaNeue-Light" w:hAnsi="Arial" w:cs="Arial"/>
          <w:color w:val="333333"/>
          <w:sz w:val="24"/>
        </w:rPr>
        <w:t xml:space="preserve">la cual creció 6,6% y la </w:t>
      </w:r>
      <w:r w:rsidRPr="005134C9">
        <w:rPr>
          <w:rFonts w:ascii="Arial" w:eastAsia="HelveticaNeue-Light" w:hAnsi="Arial" w:cs="Arial"/>
          <w:i/>
          <w:color w:val="333333"/>
          <w:sz w:val="24"/>
        </w:rPr>
        <w:lastRenderedPageBreak/>
        <w:t>Agricultura, ganadería, caza, silvicultura y pesca</w:t>
      </w:r>
      <w:r w:rsidRPr="005134C9">
        <w:rPr>
          <w:rFonts w:ascii="Arial" w:eastAsia="HelveticaNeue-Light" w:hAnsi="Arial" w:cs="Arial"/>
          <w:color w:val="333333"/>
          <w:sz w:val="24"/>
        </w:rPr>
        <w:t xml:space="preserve"> </w:t>
      </w:r>
      <w:r>
        <w:rPr>
          <w:rFonts w:ascii="Arial" w:eastAsia="HelveticaNeue-Light" w:hAnsi="Arial" w:cs="Arial"/>
          <w:color w:val="333333"/>
          <w:sz w:val="24"/>
        </w:rPr>
        <w:t xml:space="preserve">la cual </w:t>
      </w:r>
      <w:r w:rsidRPr="005134C9">
        <w:rPr>
          <w:rFonts w:ascii="Arial" w:eastAsia="HelveticaNeue-Light" w:hAnsi="Arial" w:cs="Arial"/>
          <w:color w:val="333333"/>
          <w:sz w:val="24"/>
        </w:rPr>
        <w:t>creció 5,9%</w:t>
      </w:r>
      <w:r>
        <w:rPr>
          <w:rFonts w:ascii="Arial" w:eastAsia="HelveticaNeue-Light" w:hAnsi="Arial" w:cs="Arial"/>
          <w:color w:val="333333"/>
          <w:sz w:val="24"/>
        </w:rPr>
        <w:t xml:space="preserve">. de la </w:t>
      </w:r>
      <w:r w:rsidRPr="00F622B1">
        <w:rPr>
          <w:rFonts w:ascii="Arial" w:eastAsia="HelveticaNeue-Light" w:hAnsi="Arial" w:cs="Arial"/>
          <w:i/>
          <w:color w:val="333333"/>
          <w:sz w:val="24"/>
        </w:rPr>
        <w:t>Agricultura, ganadería, caza, silvicultura y pesca</w:t>
      </w:r>
      <w:r>
        <w:rPr>
          <w:rFonts w:ascii="Arial" w:eastAsia="HelveticaNeue-Light" w:hAnsi="Arial" w:cs="Arial"/>
          <w:color w:val="333333"/>
          <w:sz w:val="24"/>
        </w:rPr>
        <w:t xml:space="preserve">; el cual creció un 7.7%, en especial por el crecimiento de los cultivos transitorios y los cultivos de café pergamino. </w:t>
      </w:r>
    </w:p>
    <w:p w:rsidR="00CD156E" w:rsidRDefault="00CD156E" w:rsidP="00CD156E">
      <w:pPr>
        <w:pStyle w:val="Textonotapie"/>
        <w:jc w:val="both"/>
        <w:rPr>
          <w:rFonts w:ascii="Arial" w:eastAsia="HelveticaNeue-Light" w:hAnsi="Arial" w:cs="Arial"/>
          <w:color w:val="333333"/>
          <w:sz w:val="24"/>
        </w:rPr>
      </w:pPr>
    </w:p>
    <w:p w:rsidR="00CD156E" w:rsidRDefault="00CD156E" w:rsidP="00CD156E">
      <w:pPr>
        <w:pStyle w:val="Textonotapie"/>
        <w:jc w:val="both"/>
        <w:rPr>
          <w:rFonts w:ascii="Arial" w:eastAsia="HelveticaNeue-Light" w:hAnsi="Arial" w:cs="Arial"/>
          <w:color w:val="333333"/>
          <w:sz w:val="24"/>
        </w:rPr>
      </w:pPr>
      <w:r>
        <w:rPr>
          <w:rFonts w:ascii="Arial" w:eastAsia="HelveticaNeue-Light" w:hAnsi="Arial" w:cs="Arial"/>
          <w:color w:val="333333"/>
          <w:sz w:val="24"/>
        </w:rPr>
        <w:t xml:space="preserve">Otra de las ramas que presenta gran dinamismo es </w:t>
      </w:r>
      <w:r>
        <w:rPr>
          <w:rFonts w:ascii="Arial" w:eastAsia="HelveticaNeue-Light" w:hAnsi="Arial" w:cs="Arial"/>
          <w:i/>
          <w:color w:val="333333"/>
          <w:sz w:val="24"/>
        </w:rPr>
        <w:t>la administración pública, defensa, educación y salud</w:t>
      </w:r>
      <w:r w:rsidRPr="00F622B1">
        <w:rPr>
          <w:rFonts w:ascii="Arial" w:eastAsia="HelveticaNeue-Light" w:hAnsi="Arial" w:cs="Arial"/>
          <w:color w:val="333333"/>
          <w:sz w:val="24"/>
        </w:rPr>
        <w:t>;</w:t>
      </w:r>
      <w:r>
        <w:rPr>
          <w:rFonts w:ascii="Arial" w:eastAsia="HelveticaNeue-Light" w:hAnsi="Arial" w:cs="Arial"/>
          <w:color w:val="333333"/>
          <w:sz w:val="24"/>
        </w:rPr>
        <w:t xml:space="preserve"> el cual alcanzo un crecimiento 5,3% con respecto al mismo periodo del año anterior.</w:t>
      </w:r>
    </w:p>
    <w:p w:rsidR="00CD156E" w:rsidRDefault="00CD156E" w:rsidP="00CD156E">
      <w:pPr>
        <w:pStyle w:val="Textonotapie"/>
        <w:jc w:val="both"/>
        <w:rPr>
          <w:rFonts w:ascii="Arial" w:eastAsia="HelveticaNeue-Light" w:hAnsi="Arial" w:cs="Arial"/>
          <w:color w:val="333333"/>
          <w:sz w:val="24"/>
        </w:rPr>
      </w:pPr>
    </w:p>
    <w:p w:rsidR="00CD156E" w:rsidRDefault="00CD156E" w:rsidP="00CD156E">
      <w:pPr>
        <w:pStyle w:val="Textonotapie"/>
        <w:jc w:val="both"/>
        <w:rPr>
          <w:rFonts w:ascii="Arial" w:eastAsia="HelveticaNeue-Light" w:hAnsi="Arial" w:cs="Arial"/>
          <w:color w:val="333333"/>
          <w:sz w:val="24"/>
        </w:rPr>
      </w:pPr>
      <w:r>
        <w:rPr>
          <w:rFonts w:ascii="Arial" w:eastAsia="HelveticaNeue-Light" w:hAnsi="Arial" w:cs="Arial"/>
          <w:color w:val="333333"/>
          <w:sz w:val="24"/>
        </w:rPr>
        <w:t xml:space="preserve">En cuanto a la rama de menor crecimiento encontramos, la rama de la </w:t>
      </w:r>
      <w:r w:rsidRPr="00057511">
        <w:rPr>
          <w:rFonts w:ascii="Arial" w:eastAsia="HelveticaNeue-Light" w:hAnsi="Arial" w:cs="Arial"/>
          <w:i/>
          <w:color w:val="333333"/>
          <w:sz w:val="24"/>
        </w:rPr>
        <w:t>construcción</w:t>
      </w:r>
      <w:r>
        <w:rPr>
          <w:rFonts w:ascii="Arial" w:eastAsia="HelveticaNeue-Light" w:hAnsi="Arial" w:cs="Arial"/>
          <w:color w:val="333333"/>
          <w:sz w:val="24"/>
        </w:rPr>
        <w:t xml:space="preserve"> la cual decreció 7,6% con respecto al mismo periodo del año anterior. </w:t>
      </w:r>
    </w:p>
    <w:p w:rsidR="00CD156E" w:rsidRDefault="00CD156E" w:rsidP="00CD156E">
      <w:pPr>
        <w:pStyle w:val="Textonotapie"/>
        <w:jc w:val="both"/>
        <w:rPr>
          <w:rFonts w:ascii="Arial" w:eastAsia="HelveticaNeue-Light" w:hAnsi="Arial" w:cs="Arial"/>
          <w:color w:val="333333"/>
          <w:sz w:val="24"/>
        </w:rPr>
      </w:pPr>
    </w:p>
    <w:p w:rsidR="00CD156E" w:rsidRDefault="00CD156E" w:rsidP="00CD156E">
      <w:pPr>
        <w:pStyle w:val="Textonotapie"/>
        <w:jc w:val="both"/>
        <w:rPr>
          <w:rFonts w:ascii="Arial" w:eastAsia="HelveticaNeue-Light" w:hAnsi="Arial" w:cs="Arial"/>
          <w:color w:val="333333"/>
          <w:sz w:val="24"/>
        </w:rPr>
      </w:pPr>
      <w:r>
        <w:rPr>
          <w:rFonts w:ascii="Arial" w:eastAsia="HelveticaNeue-Light" w:hAnsi="Arial" w:cs="Arial"/>
          <w:color w:val="333333"/>
          <w:sz w:val="24"/>
        </w:rPr>
        <w:t xml:space="preserve">Si comparamos la variación del PIB del segundo trimestre del 2018 respecto al trimestre anterior; el PIB creció un 0,6%; siendo la agricultura la rama que más aporta para el crecimiento y las </w:t>
      </w:r>
      <w:r w:rsidRPr="002F7BE3">
        <w:rPr>
          <w:rFonts w:ascii="Arial" w:eastAsia="HelveticaNeue-Light" w:hAnsi="Arial" w:cs="Arial"/>
          <w:color w:val="333333"/>
          <w:sz w:val="24"/>
        </w:rPr>
        <w:t xml:space="preserve">Actividades artísticas, de entretenimiento y recreación </w:t>
      </w:r>
      <w:r>
        <w:rPr>
          <w:rFonts w:ascii="Arial" w:eastAsia="HelveticaNeue-Light" w:hAnsi="Arial" w:cs="Arial"/>
          <w:color w:val="333333"/>
          <w:sz w:val="24"/>
        </w:rPr>
        <w:t xml:space="preserve">para su decrecimiento.     </w:t>
      </w:r>
    </w:p>
    <w:p w:rsidR="00CD156E" w:rsidRPr="00B22912" w:rsidRDefault="00CD156E" w:rsidP="00CD156E">
      <w:pPr>
        <w:pStyle w:val="Textonotapie"/>
        <w:jc w:val="both"/>
        <w:rPr>
          <w:rFonts w:ascii="Arial" w:eastAsia="HelveticaNeue-Light" w:hAnsi="Arial" w:cs="Arial"/>
          <w:i/>
          <w:color w:val="333333"/>
          <w:sz w:val="18"/>
        </w:rPr>
      </w:pPr>
      <w:r>
        <w:rPr>
          <w:rFonts w:ascii="Arial" w:eastAsia="HelveticaNeue-Light" w:hAnsi="Arial" w:cs="Arial"/>
          <w:color w:val="333333"/>
          <w:sz w:val="24"/>
        </w:rPr>
        <w:t xml:space="preserve">  </w:t>
      </w:r>
      <w:r w:rsidRPr="00F622B1">
        <w:rPr>
          <w:rFonts w:ascii="Arial" w:eastAsia="HelveticaNeue-Light" w:hAnsi="Arial" w:cs="Arial"/>
          <w:i/>
          <w:color w:val="333333"/>
          <w:sz w:val="24"/>
        </w:rPr>
        <w:t xml:space="preserve">      </w:t>
      </w:r>
    </w:p>
    <w:p w:rsidR="00CD156E" w:rsidRPr="002F7BE3" w:rsidRDefault="00CD156E" w:rsidP="00CD156E">
      <w:pPr>
        <w:pStyle w:val="Textonotapie"/>
        <w:jc w:val="center"/>
        <w:rPr>
          <w:rFonts w:ascii="Arial" w:eastAsia="HelveticaNeue-Light" w:hAnsi="Arial" w:cs="Arial"/>
          <w:b/>
          <w:color w:val="333333"/>
          <w:sz w:val="24"/>
          <w:vertAlign w:val="superscript"/>
        </w:rPr>
      </w:pPr>
      <w:r>
        <w:rPr>
          <w:rFonts w:ascii="Arial" w:eastAsia="HelveticaNeue-Light" w:hAnsi="Arial" w:cs="Arial"/>
          <w:b/>
          <w:color w:val="333333"/>
          <w:sz w:val="24"/>
        </w:rPr>
        <w:t>PIB  - Tasa de crecimiento Anual II trimestre 2018</w:t>
      </w:r>
      <w:r>
        <w:rPr>
          <w:rFonts w:ascii="Arial" w:eastAsia="HelveticaNeue-Light" w:hAnsi="Arial" w:cs="Arial"/>
          <w:b/>
          <w:color w:val="333333"/>
          <w:sz w:val="24"/>
          <w:vertAlign w:val="superscript"/>
        </w:rPr>
        <w:t>pr</w:t>
      </w:r>
    </w:p>
    <w:p w:rsidR="00CD156E" w:rsidRDefault="00CD156E" w:rsidP="00CD156E">
      <w:pPr>
        <w:pStyle w:val="Textonotapie"/>
        <w:ind w:left="-284"/>
        <w:jc w:val="center"/>
        <w:rPr>
          <w:rFonts w:ascii="Arial" w:eastAsia="HelveticaNeue-Light" w:hAnsi="Arial" w:cs="Arial"/>
          <w:b/>
          <w:color w:val="333333"/>
          <w:sz w:val="24"/>
        </w:rPr>
      </w:pPr>
      <w:r>
        <w:rPr>
          <w:noProof/>
          <w:lang w:val="es-CO" w:eastAsia="es-CO"/>
        </w:rPr>
        <w:drawing>
          <wp:inline distT="0" distB="0" distL="0" distR="0" wp14:anchorId="30626277" wp14:editId="49682A33">
            <wp:extent cx="4648905" cy="2340482"/>
            <wp:effectExtent l="57150" t="114300" r="94615" b="412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566" t="33957" r="30820" b="27006"/>
                    <a:stretch/>
                  </pic:blipFill>
                  <pic:spPr bwMode="auto">
                    <a:xfrm>
                      <a:off x="0" y="0"/>
                      <a:ext cx="4690694" cy="2361521"/>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CD156E" w:rsidRPr="00E86997" w:rsidRDefault="00CD156E" w:rsidP="00CD156E">
      <w:pPr>
        <w:pStyle w:val="Textonotapie"/>
        <w:jc w:val="both"/>
        <w:rPr>
          <w:rFonts w:ascii="Arial" w:eastAsia="HelveticaNeue-Light" w:hAnsi="Arial" w:cs="Arial"/>
          <w:b/>
          <w:color w:val="333333"/>
          <w:sz w:val="24"/>
        </w:rPr>
      </w:pPr>
      <w:r w:rsidRPr="00E86997">
        <w:rPr>
          <w:rFonts w:ascii="Arial" w:eastAsia="HelveticaNeue-Light" w:hAnsi="Arial" w:cs="Arial"/>
          <w:b/>
          <w:color w:val="333333"/>
          <w:sz w:val="24"/>
        </w:rPr>
        <w:t xml:space="preserve"> </w:t>
      </w:r>
      <w:r>
        <w:t>Fuente: DANE, Dirección de síntesis y cuentas nacionales</w:t>
      </w:r>
    </w:p>
    <w:p w:rsidR="00CD156E" w:rsidRDefault="00CD156E" w:rsidP="00CD156E">
      <w:pPr>
        <w:pStyle w:val="Textonotapie"/>
        <w:jc w:val="both"/>
        <w:rPr>
          <w:rFonts w:ascii="Arial" w:eastAsia="HelveticaNeue-Light" w:hAnsi="Arial" w:cs="Arial"/>
          <w:b/>
          <w:color w:val="333333"/>
          <w:sz w:val="24"/>
        </w:rPr>
      </w:pPr>
    </w:p>
    <w:p w:rsidR="00CD156E" w:rsidRDefault="00CD156E" w:rsidP="00CD156E">
      <w:pPr>
        <w:pStyle w:val="Textonotapie"/>
        <w:jc w:val="both"/>
        <w:rPr>
          <w:rFonts w:ascii="Arial" w:eastAsia="HelveticaNeue-Light" w:hAnsi="Arial" w:cs="Arial"/>
          <w:b/>
          <w:color w:val="333333"/>
          <w:sz w:val="24"/>
        </w:rPr>
      </w:pPr>
      <w:r w:rsidRPr="00CE6AA8">
        <w:rPr>
          <w:rFonts w:ascii="Arial" w:eastAsia="HelveticaNeue-Light" w:hAnsi="Arial" w:cs="Arial"/>
          <w:b/>
          <w:color w:val="333333"/>
          <w:sz w:val="24"/>
        </w:rPr>
        <w:t>Algunas Cifras del sector:</w:t>
      </w:r>
    </w:p>
    <w:p w:rsidR="00CD156E" w:rsidRDefault="00CD156E" w:rsidP="00CD156E">
      <w:pPr>
        <w:pStyle w:val="Textonotapie"/>
        <w:jc w:val="both"/>
        <w:rPr>
          <w:rFonts w:ascii="Arial" w:eastAsia="HelveticaNeue-Light" w:hAnsi="Arial" w:cs="Arial"/>
          <w:color w:val="333333"/>
          <w:sz w:val="24"/>
        </w:rPr>
      </w:pPr>
    </w:p>
    <w:p w:rsidR="00CD156E" w:rsidRDefault="00CD156E" w:rsidP="00CD156E">
      <w:pPr>
        <w:pStyle w:val="Textonotapie"/>
        <w:jc w:val="both"/>
        <w:rPr>
          <w:rFonts w:ascii="Arial" w:eastAsia="HelveticaNeue-Light" w:hAnsi="Arial" w:cs="Arial"/>
          <w:color w:val="333333"/>
          <w:sz w:val="24"/>
        </w:rPr>
      </w:pPr>
      <w:r w:rsidRPr="007B2C96">
        <w:rPr>
          <w:rFonts w:ascii="Arial" w:eastAsia="HelveticaNeue-Light" w:hAnsi="Arial" w:cs="Arial"/>
          <w:color w:val="333333"/>
          <w:sz w:val="24"/>
        </w:rPr>
        <w:t>En el segundo trimestre de 2018, respecto al mismo periodo del año anterior, el valor</w:t>
      </w:r>
      <w:r>
        <w:rPr>
          <w:rFonts w:ascii="Arial" w:eastAsia="HelveticaNeue-Light" w:hAnsi="Arial" w:cs="Arial"/>
          <w:color w:val="333333"/>
          <w:sz w:val="24"/>
        </w:rPr>
        <w:t xml:space="preserve"> </w:t>
      </w:r>
      <w:r w:rsidRPr="007B2C96">
        <w:rPr>
          <w:rFonts w:ascii="Arial" w:eastAsia="HelveticaNeue-Light" w:hAnsi="Arial" w:cs="Arial"/>
          <w:color w:val="333333"/>
          <w:sz w:val="24"/>
        </w:rPr>
        <w:t>agregado de la actividad de construcción creció negativamente 7,6% en su serie original,</w:t>
      </w:r>
      <w:r>
        <w:rPr>
          <w:rFonts w:ascii="Arial" w:eastAsia="HelveticaNeue-Light" w:hAnsi="Arial" w:cs="Arial"/>
          <w:color w:val="333333"/>
          <w:sz w:val="24"/>
        </w:rPr>
        <w:t xml:space="preserve"> </w:t>
      </w:r>
      <w:r w:rsidRPr="007B2C96">
        <w:rPr>
          <w:rFonts w:ascii="Arial" w:eastAsia="HelveticaNeue-Light" w:hAnsi="Arial" w:cs="Arial"/>
          <w:color w:val="333333"/>
          <w:sz w:val="24"/>
        </w:rPr>
        <w:t>expl</w:t>
      </w:r>
      <w:r>
        <w:rPr>
          <w:rFonts w:ascii="Arial" w:eastAsia="HelveticaNeue-Light" w:hAnsi="Arial" w:cs="Arial"/>
          <w:color w:val="333333"/>
          <w:sz w:val="24"/>
        </w:rPr>
        <w:t>icada por la siguiente dinámica:</w:t>
      </w:r>
    </w:p>
    <w:p w:rsidR="00CD156E" w:rsidRDefault="00CD156E" w:rsidP="00CD156E">
      <w:pPr>
        <w:pStyle w:val="Textonotapie"/>
        <w:jc w:val="both"/>
        <w:rPr>
          <w:rFonts w:ascii="Arial" w:eastAsia="HelveticaNeue-Light" w:hAnsi="Arial" w:cs="Arial"/>
          <w:color w:val="333333"/>
          <w:sz w:val="24"/>
        </w:rPr>
      </w:pPr>
    </w:p>
    <w:p w:rsidR="00CD156E" w:rsidRDefault="00CD156E" w:rsidP="00CD156E">
      <w:pPr>
        <w:pStyle w:val="Textonotapie"/>
        <w:numPr>
          <w:ilvl w:val="0"/>
          <w:numId w:val="44"/>
        </w:numPr>
        <w:jc w:val="both"/>
        <w:rPr>
          <w:rFonts w:ascii="Arial" w:eastAsia="HelveticaNeue-Light" w:hAnsi="Arial" w:cs="Arial"/>
          <w:color w:val="333333"/>
          <w:sz w:val="24"/>
        </w:rPr>
      </w:pPr>
      <w:r w:rsidRPr="00B04A91">
        <w:rPr>
          <w:rFonts w:ascii="Arial" w:eastAsia="HelveticaNeue-Light" w:hAnsi="Arial" w:cs="Arial"/>
          <w:color w:val="333333"/>
          <w:sz w:val="24"/>
        </w:rPr>
        <w:t xml:space="preserve">Construcción de edificaciones residenciales y no residenciales </w:t>
      </w:r>
      <w:r>
        <w:rPr>
          <w:rFonts w:ascii="Arial" w:eastAsia="HelveticaNeue-Light" w:hAnsi="Arial" w:cs="Arial"/>
          <w:color w:val="333333"/>
          <w:sz w:val="24"/>
        </w:rPr>
        <w:t>de</w:t>
      </w:r>
      <w:r w:rsidRPr="00B04A91">
        <w:rPr>
          <w:rFonts w:ascii="Arial" w:eastAsia="HelveticaNeue-Light" w:hAnsi="Arial" w:cs="Arial"/>
          <w:color w:val="333333"/>
          <w:sz w:val="24"/>
        </w:rPr>
        <w:t>creció 7,6%.</w:t>
      </w:r>
    </w:p>
    <w:p w:rsidR="00CD156E" w:rsidRDefault="00CD156E" w:rsidP="00CD156E">
      <w:pPr>
        <w:pStyle w:val="Textonotapie"/>
        <w:numPr>
          <w:ilvl w:val="0"/>
          <w:numId w:val="44"/>
        </w:numPr>
        <w:jc w:val="both"/>
        <w:rPr>
          <w:rFonts w:ascii="Arial" w:eastAsia="HelveticaNeue-Light" w:hAnsi="Arial" w:cs="Arial"/>
          <w:color w:val="333333"/>
          <w:sz w:val="24"/>
        </w:rPr>
      </w:pPr>
      <w:r w:rsidRPr="00B04A91">
        <w:rPr>
          <w:rFonts w:ascii="Arial" w:eastAsia="HelveticaNeue-Light" w:hAnsi="Arial" w:cs="Arial"/>
          <w:color w:val="333333"/>
          <w:sz w:val="24"/>
        </w:rPr>
        <w:t>Construcción de carreteras y vías de ferrocarril, de proyectos de servicio público y de</w:t>
      </w:r>
      <w:r>
        <w:rPr>
          <w:rFonts w:ascii="Arial" w:eastAsia="HelveticaNeue-Light" w:hAnsi="Arial" w:cs="Arial"/>
          <w:color w:val="333333"/>
          <w:sz w:val="24"/>
        </w:rPr>
        <w:t xml:space="preserve"> </w:t>
      </w:r>
      <w:r w:rsidRPr="00B04A91">
        <w:rPr>
          <w:rFonts w:ascii="Arial" w:eastAsia="HelveticaNeue-Light" w:hAnsi="Arial" w:cs="Arial"/>
          <w:color w:val="333333"/>
          <w:sz w:val="24"/>
        </w:rPr>
        <w:t xml:space="preserve">otras obras de ingeniería civil </w:t>
      </w:r>
      <w:r>
        <w:rPr>
          <w:rFonts w:ascii="Arial" w:eastAsia="HelveticaNeue-Light" w:hAnsi="Arial" w:cs="Arial"/>
          <w:color w:val="333333"/>
          <w:sz w:val="24"/>
        </w:rPr>
        <w:t>de</w:t>
      </w:r>
      <w:r w:rsidRPr="00B04A91">
        <w:rPr>
          <w:rFonts w:ascii="Arial" w:eastAsia="HelveticaNeue-Light" w:hAnsi="Arial" w:cs="Arial"/>
          <w:color w:val="333333"/>
          <w:sz w:val="24"/>
        </w:rPr>
        <w:t>creció 5,7%.</w:t>
      </w:r>
    </w:p>
    <w:p w:rsidR="00CD156E" w:rsidRPr="00B04A91" w:rsidRDefault="00CD156E" w:rsidP="00CD156E">
      <w:pPr>
        <w:pStyle w:val="Textonotapie"/>
        <w:numPr>
          <w:ilvl w:val="0"/>
          <w:numId w:val="44"/>
        </w:numPr>
        <w:jc w:val="both"/>
        <w:rPr>
          <w:rFonts w:ascii="Arial" w:eastAsia="HelveticaNeue-Light" w:hAnsi="Arial" w:cs="Arial"/>
          <w:color w:val="333333"/>
          <w:sz w:val="24"/>
        </w:rPr>
      </w:pPr>
      <w:r w:rsidRPr="00B04A91">
        <w:rPr>
          <w:rFonts w:ascii="Arial" w:eastAsia="HelveticaNeue-Light" w:hAnsi="Arial" w:cs="Arial"/>
          <w:color w:val="333333"/>
          <w:sz w:val="24"/>
        </w:rPr>
        <w:lastRenderedPageBreak/>
        <w:t>Actividades especializadas para la construcción de edificaciones y obras de ingeniería</w:t>
      </w:r>
      <w:r>
        <w:rPr>
          <w:rFonts w:ascii="Arial" w:eastAsia="HelveticaNeue-Light" w:hAnsi="Arial" w:cs="Arial"/>
          <w:color w:val="333333"/>
          <w:sz w:val="24"/>
        </w:rPr>
        <w:t xml:space="preserve"> </w:t>
      </w:r>
      <w:r w:rsidRPr="00B04A91">
        <w:rPr>
          <w:rFonts w:ascii="Arial" w:eastAsia="HelveticaNeue-Light" w:hAnsi="Arial" w:cs="Arial"/>
          <w:color w:val="333333"/>
          <w:sz w:val="24"/>
        </w:rPr>
        <w:t xml:space="preserve">civil (alquiler de maquinaria y equipo de construcción con operadores) </w:t>
      </w:r>
      <w:r>
        <w:rPr>
          <w:rFonts w:ascii="Arial" w:eastAsia="HelveticaNeue-Light" w:hAnsi="Arial" w:cs="Arial"/>
          <w:color w:val="333333"/>
          <w:sz w:val="24"/>
        </w:rPr>
        <w:t>de</w:t>
      </w:r>
      <w:r w:rsidRPr="00B04A91">
        <w:rPr>
          <w:rFonts w:ascii="Arial" w:eastAsia="HelveticaNeue-Light" w:hAnsi="Arial" w:cs="Arial"/>
          <w:color w:val="333333"/>
          <w:sz w:val="24"/>
        </w:rPr>
        <w:t>creció</w:t>
      </w:r>
      <w:r>
        <w:rPr>
          <w:rFonts w:ascii="Arial" w:eastAsia="HelveticaNeue-Light" w:hAnsi="Arial" w:cs="Arial"/>
          <w:color w:val="333333"/>
          <w:sz w:val="24"/>
        </w:rPr>
        <w:t xml:space="preserve"> </w:t>
      </w:r>
      <w:r w:rsidRPr="00B04A91">
        <w:rPr>
          <w:rFonts w:ascii="Arial" w:eastAsia="HelveticaNeue-Light" w:hAnsi="Arial" w:cs="Arial"/>
          <w:color w:val="333333"/>
          <w:sz w:val="24"/>
        </w:rPr>
        <w:t>9,2%.</w:t>
      </w:r>
    </w:p>
    <w:p w:rsidR="00CD156E" w:rsidRDefault="00CD156E" w:rsidP="00CD156E">
      <w:pPr>
        <w:pStyle w:val="Textonotapie"/>
        <w:jc w:val="both"/>
        <w:rPr>
          <w:rFonts w:ascii="Arial" w:eastAsia="HelveticaNeue-Light" w:hAnsi="Arial" w:cs="Arial"/>
          <w:color w:val="333333"/>
          <w:sz w:val="24"/>
        </w:rPr>
      </w:pPr>
    </w:p>
    <w:p w:rsidR="00CD156E" w:rsidRPr="007B2C96" w:rsidRDefault="00CD156E" w:rsidP="00CD156E">
      <w:pPr>
        <w:pStyle w:val="Textonotapie"/>
        <w:jc w:val="both"/>
        <w:rPr>
          <w:rFonts w:ascii="Arial" w:eastAsia="HelveticaNeue-Light" w:hAnsi="Arial" w:cs="Arial"/>
          <w:color w:val="333333"/>
          <w:sz w:val="24"/>
        </w:rPr>
      </w:pPr>
      <w:r w:rsidRPr="007B2C96">
        <w:rPr>
          <w:rFonts w:ascii="Arial" w:eastAsia="HelveticaNeue-Light" w:hAnsi="Arial" w:cs="Arial"/>
          <w:color w:val="333333"/>
          <w:sz w:val="24"/>
        </w:rPr>
        <w:t>Respecto al trimestre inmediatamente anterior, el valor agregado de la actividad la actividad</w:t>
      </w:r>
      <w:r>
        <w:rPr>
          <w:rFonts w:ascii="Arial" w:eastAsia="HelveticaNeue-Light" w:hAnsi="Arial" w:cs="Arial"/>
          <w:color w:val="333333"/>
          <w:sz w:val="24"/>
        </w:rPr>
        <w:t xml:space="preserve"> </w:t>
      </w:r>
      <w:r w:rsidRPr="007B2C96">
        <w:rPr>
          <w:rFonts w:ascii="Arial" w:eastAsia="HelveticaNeue-Light" w:hAnsi="Arial" w:cs="Arial"/>
          <w:color w:val="333333"/>
          <w:sz w:val="24"/>
        </w:rPr>
        <w:t>de construcción creció negativamente 1,6% en su serie corregida de efecto estacional y</w:t>
      </w:r>
      <w:r>
        <w:rPr>
          <w:rFonts w:ascii="Arial" w:eastAsia="HelveticaNeue-Light" w:hAnsi="Arial" w:cs="Arial"/>
          <w:color w:val="333333"/>
          <w:sz w:val="24"/>
        </w:rPr>
        <w:t xml:space="preserve"> </w:t>
      </w:r>
      <w:r w:rsidRPr="007B2C96">
        <w:rPr>
          <w:rFonts w:ascii="Arial" w:eastAsia="HelveticaNeue-Light" w:hAnsi="Arial" w:cs="Arial"/>
          <w:color w:val="333333"/>
          <w:sz w:val="24"/>
        </w:rPr>
        <w:t>calendario, comportamiento explicado por la siguiente dinámica:</w:t>
      </w:r>
    </w:p>
    <w:p w:rsidR="00CD156E" w:rsidRDefault="00CD156E" w:rsidP="00CD156E">
      <w:pPr>
        <w:pStyle w:val="Textonotapie"/>
        <w:jc w:val="both"/>
        <w:rPr>
          <w:rFonts w:ascii="Arial" w:eastAsia="HelveticaNeue-Light" w:hAnsi="Arial" w:cs="Arial"/>
          <w:color w:val="333333"/>
          <w:sz w:val="24"/>
        </w:rPr>
      </w:pPr>
    </w:p>
    <w:p w:rsidR="00CD156E" w:rsidRDefault="00CD156E" w:rsidP="00CD156E">
      <w:pPr>
        <w:pStyle w:val="Textonotapie"/>
        <w:numPr>
          <w:ilvl w:val="0"/>
          <w:numId w:val="45"/>
        </w:numPr>
        <w:jc w:val="both"/>
        <w:rPr>
          <w:rFonts w:ascii="Arial" w:eastAsia="HelveticaNeue-Light" w:hAnsi="Arial" w:cs="Arial"/>
          <w:color w:val="333333"/>
          <w:sz w:val="24"/>
        </w:rPr>
      </w:pPr>
      <w:r w:rsidRPr="00B04A91">
        <w:rPr>
          <w:rFonts w:ascii="Arial" w:eastAsia="HelveticaNeue-Light" w:hAnsi="Arial" w:cs="Arial"/>
          <w:color w:val="333333"/>
          <w:sz w:val="24"/>
        </w:rPr>
        <w:t>Construcción de edificaciones residenciales y no residenciales decreció 6,9%.</w:t>
      </w:r>
    </w:p>
    <w:p w:rsidR="00CD156E" w:rsidRDefault="00CD156E" w:rsidP="00CD156E">
      <w:pPr>
        <w:pStyle w:val="Textonotapie"/>
        <w:numPr>
          <w:ilvl w:val="0"/>
          <w:numId w:val="45"/>
        </w:numPr>
        <w:jc w:val="both"/>
        <w:rPr>
          <w:rFonts w:ascii="Arial" w:eastAsia="HelveticaNeue-Light" w:hAnsi="Arial" w:cs="Arial"/>
          <w:color w:val="333333"/>
          <w:sz w:val="24"/>
        </w:rPr>
      </w:pPr>
      <w:r w:rsidRPr="00B04A91">
        <w:rPr>
          <w:rFonts w:ascii="Arial" w:eastAsia="HelveticaNeue-Light" w:hAnsi="Arial" w:cs="Arial"/>
          <w:color w:val="333333"/>
          <w:sz w:val="24"/>
        </w:rPr>
        <w:t>Construcción de carreteras y vías de ferrocarril, de proyectos de servicio público y de</w:t>
      </w:r>
      <w:r>
        <w:rPr>
          <w:rFonts w:ascii="Arial" w:eastAsia="HelveticaNeue-Light" w:hAnsi="Arial" w:cs="Arial"/>
          <w:color w:val="333333"/>
          <w:sz w:val="24"/>
        </w:rPr>
        <w:t xml:space="preserve"> </w:t>
      </w:r>
      <w:r w:rsidRPr="00B04A91">
        <w:rPr>
          <w:rFonts w:ascii="Arial" w:eastAsia="HelveticaNeue-Light" w:hAnsi="Arial" w:cs="Arial"/>
          <w:color w:val="333333"/>
          <w:sz w:val="24"/>
        </w:rPr>
        <w:t>otras obras de ingeniería civil creció 3,6%.</w:t>
      </w:r>
    </w:p>
    <w:p w:rsidR="00CD156E" w:rsidRPr="00B04A91" w:rsidRDefault="00CD156E" w:rsidP="00CD156E">
      <w:pPr>
        <w:pStyle w:val="Textonotapie"/>
        <w:numPr>
          <w:ilvl w:val="0"/>
          <w:numId w:val="45"/>
        </w:numPr>
        <w:jc w:val="both"/>
        <w:rPr>
          <w:rFonts w:ascii="Arial" w:eastAsia="HelveticaNeue-Light" w:hAnsi="Arial" w:cs="Arial"/>
          <w:b/>
          <w:color w:val="333333"/>
          <w:sz w:val="24"/>
        </w:rPr>
      </w:pPr>
      <w:r w:rsidRPr="00B04A91">
        <w:rPr>
          <w:rFonts w:ascii="Arial" w:eastAsia="HelveticaNeue-Light" w:hAnsi="Arial" w:cs="Arial"/>
          <w:color w:val="333333"/>
          <w:sz w:val="24"/>
        </w:rPr>
        <w:t>Actividades especializadas para la construcción de edificaciones y obras de ingeniería civil (alquiler de maquinaria y equipo de construcción con operadores) decreció 8,4%.</w:t>
      </w:r>
      <w:r w:rsidRPr="00B04A91">
        <w:rPr>
          <w:rFonts w:ascii="Arial" w:eastAsia="HelveticaNeue-Light" w:hAnsi="Arial" w:cs="Arial"/>
          <w:color w:val="333333"/>
          <w:sz w:val="24"/>
        </w:rPr>
        <w:cr/>
      </w:r>
    </w:p>
    <w:p w:rsidR="00CD156E" w:rsidRDefault="00CD156E" w:rsidP="00CD156E">
      <w:pPr>
        <w:pStyle w:val="Textonotapie"/>
        <w:jc w:val="center"/>
        <w:rPr>
          <w:rFonts w:ascii="Arial" w:eastAsia="HelveticaNeue-Light" w:hAnsi="Arial" w:cs="Arial"/>
          <w:b/>
          <w:color w:val="333333"/>
          <w:sz w:val="24"/>
        </w:rPr>
      </w:pPr>
      <w:r w:rsidRPr="00B04A91">
        <w:rPr>
          <w:rFonts w:ascii="Arial" w:eastAsia="HelveticaNeue-Light" w:hAnsi="Arial" w:cs="Arial"/>
          <w:b/>
          <w:color w:val="333333"/>
          <w:sz w:val="24"/>
        </w:rPr>
        <w:t xml:space="preserve">Tasas de crecimiento </w:t>
      </w:r>
      <w:r>
        <w:rPr>
          <w:rFonts w:ascii="Arial" w:eastAsia="HelveticaNeue-Light" w:hAnsi="Arial" w:cs="Arial"/>
          <w:b/>
          <w:color w:val="333333"/>
          <w:sz w:val="24"/>
        </w:rPr>
        <w:t>sector de la</w:t>
      </w:r>
      <w:r w:rsidRPr="00B04A91">
        <w:rPr>
          <w:rFonts w:ascii="Arial" w:eastAsia="HelveticaNeue-Light" w:hAnsi="Arial" w:cs="Arial"/>
          <w:b/>
          <w:color w:val="333333"/>
          <w:sz w:val="24"/>
        </w:rPr>
        <w:t xml:space="preserve"> construcción </w:t>
      </w:r>
    </w:p>
    <w:p w:rsidR="00CD156E" w:rsidRPr="00B04A91" w:rsidRDefault="00CD156E" w:rsidP="00CD156E">
      <w:pPr>
        <w:pStyle w:val="Textonotapie"/>
        <w:jc w:val="center"/>
        <w:rPr>
          <w:rFonts w:ascii="Arial" w:eastAsia="HelveticaNeue-Light" w:hAnsi="Arial" w:cs="Arial"/>
          <w:b/>
          <w:color w:val="333333"/>
          <w:sz w:val="24"/>
        </w:rPr>
      </w:pPr>
      <w:r w:rsidRPr="00B04A91">
        <w:rPr>
          <w:rFonts w:ascii="Arial" w:eastAsia="HelveticaNeue-Light" w:hAnsi="Arial" w:cs="Arial"/>
          <w:b/>
          <w:color w:val="333333"/>
          <w:sz w:val="24"/>
        </w:rPr>
        <w:t>Segundo trimestre 2018</w:t>
      </w:r>
      <w:r w:rsidRPr="00B04A91">
        <w:rPr>
          <w:rFonts w:ascii="Arial" w:eastAsia="HelveticaNeue-Light" w:hAnsi="Arial" w:cs="Arial"/>
          <w:b/>
          <w:color w:val="333333"/>
          <w:sz w:val="24"/>
          <w:vertAlign w:val="superscript"/>
        </w:rPr>
        <w:t>Pr</w:t>
      </w:r>
      <w:r>
        <w:rPr>
          <w:rFonts w:ascii="Arial" w:eastAsia="HelveticaNeue-Light" w:hAnsi="Arial" w:cs="Arial"/>
          <w:b/>
          <w:color w:val="333333"/>
          <w:sz w:val="24"/>
        </w:rPr>
        <w:t xml:space="preserve"> </w:t>
      </w:r>
    </w:p>
    <w:p w:rsidR="00CD156E" w:rsidRPr="00B04A91" w:rsidRDefault="00CD156E" w:rsidP="00CD156E">
      <w:pPr>
        <w:pStyle w:val="Textonotapie"/>
        <w:jc w:val="center"/>
        <w:rPr>
          <w:rFonts w:ascii="Arial" w:eastAsia="HelveticaNeue-Light" w:hAnsi="Arial" w:cs="Arial"/>
          <w:b/>
          <w:color w:val="333333"/>
          <w:sz w:val="24"/>
        </w:rPr>
      </w:pPr>
      <w:r>
        <w:rPr>
          <w:noProof/>
          <w:lang w:val="es-CO" w:eastAsia="es-CO"/>
        </w:rPr>
        <w:drawing>
          <wp:inline distT="0" distB="0" distL="0" distR="0" wp14:anchorId="3C27BE7E" wp14:editId="5BC3CB0D">
            <wp:extent cx="5546117" cy="2245767"/>
            <wp:effectExtent l="57150" t="114300" r="92710" b="406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3311" t="26471" r="25707" b="38503"/>
                    <a:stretch/>
                  </pic:blipFill>
                  <pic:spPr bwMode="auto">
                    <a:xfrm>
                      <a:off x="0" y="0"/>
                      <a:ext cx="5590069" cy="2263564"/>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CD156E" w:rsidRDefault="00CD156E" w:rsidP="00CD156E">
      <w:pPr>
        <w:tabs>
          <w:tab w:val="left" w:pos="600"/>
        </w:tabs>
        <w:spacing w:line="276" w:lineRule="auto"/>
      </w:pPr>
      <w:r>
        <w:t>Fuente: DANE, DSCN</w:t>
      </w:r>
    </w:p>
    <w:p w:rsidR="005D30C7" w:rsidRDefault="005D30C7" w:rsidP="005D30C7">
      <w:pPr>
        <w:spacing w:after="0"/>
        <w:jc w:val="both"/>
        <w:rPr>
          <w:rFonts w:ascii="Arial" w:hAnsi="Arial" w:cs="Arial"/>
        </w:rPr>
      </w:pPr>
    </w:p>
    <w:p w:rsidR="00CD156E" w:rsidRDefault="00CD156E" w:rsidP="005D30C7">
      <w:pPr>
        <w:spacing w:after="0"/>
        <w:jc w:val="both"/>
        <w:rPr>
          <w:rFonts w:ascii="Arial" w:hAnsi="Arial" w:cs="Arial"/>
        </w:rPr>
      </w:pPr>
    </w:p>
    <w:p w:rsidR="00CD156E" w:rsidRDefault="00CD156E" w:rsidP="005D30C7">
      <w:pPr>
        <w:spacing w:after="0"/>
        <w:jc w:val="both"/>
        <w:rPr>
          <w:rFonts w:ascii="Arial" w:hAnsi="Arial" w:cs="Arial"/>
        </w:rPr>
      </w:pPr>
    </w:p>
    <w:p w:rsidR="00CD156E" w:rsidRPr="00CD156E" w:rsidRDefault="00CD156E" w:rsidP="00CD156E">
      <w:pPr>
        <w:pStyle w:val="Prrafodelista"/>
        <w:numPr>
          <w:ilvl w:val="0"/>
          <w:numId w:val="46"/>
        </w:numPr>
        <w:jc w:val="both"/>
        <w:rPr>
          <w:rFonts w:ascii="Arial" w:hAnsi="Arial" w:cs="Arial"/>
        </w:rPr>
      </w:pPr>
      <w:r w:rsidRPr="00CD156E">
        <w:rPr>
          <w:rFonts w:ascii="Arial" w:eastAsia="HelveticaNeue-Light" w:hAnsi="Arial" w:cs="Arial"/>
          <w:b/>
          <w:color w:val="333333"/>
          <w:sz w:val="24"/>
        </w:rPr>
        <w:t>Índice De Costos de la Construcción Pesada – ICCP</w:t>
      </w:r>
    </w:p>
    <w:p w:rsidR="005D30C7" w:rsidRPr="005D30C7" w:rsidRDefault="005D30C7" w:rsidP="005D30C7">
      <w:pPr>
        <w:spacing w:after="0"/>
        <w:jc w:val="both"/>
        <w:rPr>
          <w:rFonts w:ascii="Arial" w:hAnsi="Arial" w:cs="Arial"/>
        </w:rPr>
      </w:pPr>
    </w:p>
    <w:p w:rsidR="00CD156E" w:rsidRDefault="00CD156E" w:rsidP="00CD156E">
      <w:pPr>
        <w:pStyle w:val="Textonotapie"/>
        <w:jc w:val="both"/>
        <w:rPr>
          <w:rFonts w:ascii="Arial" w:eastAsia="HelveticaNeue-Light" w:hAnsi="Arial" w:cs="Arial"/>
          <w:color w:val="333333"/>
          <w:sz w:val="24"/>
        </w:rPr>
      </w:pPr>
      <w:r>
        <w:rPr>
          <w:rFonts w:ascii="Arial" w:eastAsia="HelveticaNeue-Light" w:hAnsi="Arial" w:cs="Arial"/>
          <w:color w:val="333333"/>
          <w:sz w:val="24"/>
        </w:rPr>
        <w:t>Las obras y por ende las consultorías realizadas por la Aeronáutica Civil son consideradas como construcción pesada; por lo cual es pertinente analizar las dinámicas de estas variables, en especial las denominadas Equipo y mano de Obra. Según la metodología aplicada por el DANE en coordinación técnica con el Ministerio de transporte; se calcula el Índice de Costos de la Construcción Pesada ICCP, Teniendo en cuenta la siguiente tabla:</w:t>
      </w:r>
    </w:p>
    <w:p w:rsidR="00CD156E" w:rsidRDefault="00CD156E" w:rsidP="00CD156E">
      <w:pPr>
        <w:pStyle w:val="Textonotapie"/>
        <w:jc w:val="both"/>
        <w:rPr>
          <w:rFonts w:ascii="Arial" w:eastAsia="HelveticaNeue-Light" w:hAnsi="Arial" w:cs="Arial"/>
          <w:color w:val="333333"/>
          <w:sz w:val="24"/>
        </w:rPr>
      </w:pPr>
    </w:p>
    <w:tbl>
      <w:tblPr>
        <w:tblStyle w:val="Tabladelista4-nfasis61"/>
        <w:tblW w:w="0" w:type="auto"/>
        <w:jc w:val="center"/>
        <w:tblLook w:val="04A0" w:firstRow="1" w:lastRow="0" w:firstColumn="1" w:lastColumn="0" w:noHBand="0" w:noVBand="1"/>
      </w:tblPr>
      <w:tblGrid>
        <w:gridCol w:w="3478"/>
        <w:gridCol w:w="4502"/>
      </w:tblGrid>
      <w:tr w:rsidR="00CD156E" w:rsidTr="007120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80" w:type="dxa"/>
            <w:gridSpan w:val="2"/>
          </w:tcPr>
          <w:p w:rsidR="00CD156E" w:rsidRDefault="00CD156E" w:rsidP="00712042">
            <w:pPr>
              <w:pStyle w:val="Textonotapie"/>
              <w:jc w:val="center"/>
              <w:rPr>
                <w:rFonts w:ascii="Arial" w:eastAsia="HelveticaNeue-Light" w:hAnsi="Arial" w:cs="Arial"/>
                <w:color w:val="333333"/>
                <w:sz w:val="24"/>
              </w:rPr>
            </w:pPr>
            <w:r>
              <w:rPr>
                <w:rFonts w:ascii="Arial" w:eastAsia="HelveticaNeue-Light" w:hAnsi="Arial" w:cs="Arial"/>
                <w:sz w:val="24"/>
              </w:rPr>
              <w:t>Peso Porcentual de</w:t>
            </w:r>
            <w:r w:rsidRPr="00C07A57">
              <w:rPr>
                <w:rFonts w:ascii="Arial" w:eastAsia="HelveticaNeue-Light" w:hAnsi="Arial" w:cs="Arial"/>
                <w:sz w:val="24"/>
              </w:rPr>
              <w:t xml:space="preserve"> Grupos de Costos en la Construcción Pesada</w:t>
            </w:r>
          </w:p>
        </w:tc>
      </w:tr>
      <w:tr w:rsidR="00CD156E" w:rsidTr="007120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8" w:type="dxa"/>
          </w:tcPr>
          <w:p w:rsidR="00CD156E" w:rsidRDefault="00CD156E" w:rsidP="00712042">
            <w:pPr>
              <w:pStyle w:val="Textonotapie"/>
              <w:jc w:val="center"/>
              <w:rPr>
                <w:rFonts w:ascii="Arial" w:eastAsia="HelveticaNeue-Light" w:hAnsi="Arial" w:cs="Arial"/>
                <w:color w:val="333333"/>
                <w:sz w:val="24"/>
              </w:rPr>
            </w:pPr>
            <w:r>
              <w:rPr>
                <w:rFonts w:ascii="Arial" w:eastAsia="HelveticaNeue-Light" w:hAnsi="Arial" w:cs="Arial"/>
                <w:color w:val="333333"/>
                <w:sz w:val="24"/>
              </w:rPr>
              <w:t>Materiales</w:t>
            </w:r>
          </w:p>
        </w:tc>
        <w:tc>
          <w:tcPr>
            <w:tcW w:w="4502" w:type="dxa"/>
          </w:tcPr>
          <w:p w:rsidR="00CD156E" w:rsidRPr="00C07A57" w:rsidRDefault="00CD156E" w:rsidP="00712042">
            <w:pPr>
              <w:pStyle w:val="Textonotapie"/>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b/>
                <w:color w:val="333333"/>
                <w:sz w:val="24"/>
              </w:rPr>
            </w:pPr>
            <w:r w:rsidRPr="00C07A57">
              <w:rPr>
                <w:rFonts w:ascii="Arial" w:eastAsia="HelveticaNeue-Light" w:hAnsi="Arial" w:cs="Arial"/>
                <w:b/>
                <w:color w:val="333333"/>
                <w:sz w:val="24"/>
              </w:rPr>
              <w:t>57.89%</w:t>
            </w:r>
          </w:p>
        </w:tc>
      </w:tr>
      <w:tr w:rsidR="00CD156E" w:rsidTr="00712042">
        <w:trPr>
          <w:jc w:val="center"/>
        </w:trPr>
        <w:tc>
          <w:tcPr>
            <w:cnfStyle w:val="001000000000" w:firstRow="0" w:lastRow="0" w:firstColumn="1" w:lastColumn="0" w:oddVBand="0" w:evenVBand="0" w:oddHBand="0" w:evenHBand="0" w:firstRowFirstColumn="0" w:firstRowLastColumn="0" w:lastRowFirstColumn="0" w:lastRowLastColumn="0"/>
            <w:tcW w:w="3478" w:type="dxa"/>
          </w:tcPr>
          <w:p w:rsidR="00CD156E" w:rsidRDefault="00CD156E" w:rsidP="00712042">
            <w:pPr>
              <w:pStyle w:val="Textonotapie"/>
              <w:jc w:val="center"/>
              <w:rPr>
                <w:rFonts w:ascii="Arial" w:eastAsia="HelveticaNeue-Light" w:hAnsi="Arial" w:cs="Arial"/>
                <w:color w:val="333333"/>
                <w:sz w:val="24"/>
              </w:rPr>
            </w:pPr>
            <w:r>
              <w:rPr>
                <w:rFonts w:ascii="Arial" w:eastAsia="HelveticaNeue-Light" w:hAnsi="Arial" w:cs="Arial"/>
                <w:color w:val="333333"/>
                <w:sz w:val="24"/>
              </w:rPr>
              <w:t>Transporte</w:t>
            </w:r>
          </w:p>
        </w:tc>
        <w:tc>
          <w:tcPr>
            <w:tcW w:w="4502" w:type="dxa"/>
          </w:tcPr>
          <w:p w:rsidR="00CD156E" w:rsidRPr="00C07A57" w:rsidRDefault="00CD156E" w:rsidP="00712042">
            <w:pPr>
              <w:pStyle w:val="Textonotapie"/>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color w:val="333333"/>
                <w:sz w:val="24"/>
              </w:rPr>
            </w:pPr>
            <w:r w:rsidRPr="00C07A57">
              <w:rPr>
                <w:rFonts w:ascii="Arial" w:eastAsia="HelveticaNeue-Light" w:hAnsi="Arial" w:cs="Arial"/>
                <w:b/>
                <w:color w:val="333333"/>
                <w:sz w:val="24"/>
              </w:rPr>
              <w:t>00.40%</w:t>
            </w:r>
          </w:p>
        </w:tc>
      </w:tr>
      <w:tr w:rsidR="00CD156E" w:rsidTr="007120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8" w:type="dxa"/>
          </w:tcPr>
          <w:p w:rsidR="00CD156E" w:rsidRDefault="00CD156E" w:rsidP="00712042">
            <w:pPr>
              <w:pStyle w:val="Textonotapie"/>
              <w:jc w:val="center"/>
              <w:rPr>
                <w:rFonts w:ascii="Arial" w:eastAsia="HelveticaNeue-Light" w:hAnsi="Arial" w:cs="Arial"/>
                <w:color w:val="333333"/>
                <w:sz w:val="24"/>
              </w:rPr>
            </w:pPr>
            <w:r>
              <w:rPr>
                <w:rFonts w:ascii="Arial" w:eastAsia="HelveticaNeue-Light" w:hAnsi="Arial" w:cs="Arial"/>
                <w:color w:val="333333"/>
                <w:sz w:val="24"/>
              </w:rPr>
              <w:t>Equipo</w:t>
            </w:r>
          </w:p>
        </w:tc>
        <w:tc>
          <w:tcPr>
            <w:tcW w:w="4502" w:type="dxa"/>
          </w:tcPr>
          <w:p w:rsidR="00CD156E" w:rsidRPr="00C07A57" w:rsidRDefault="00CD156E" w:rsidP="00712042">
            <w:pPr>
              <w:pStyle w:val="Textonotapie"/>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b/>
                <w:color w:val="333333"/>
                <w:sz w:val="24"/>
              </w:rPr>
            </w:pPr>
            <w:r w:rsidRPr="00C07A57">
              <w:rPr>
                <w:rFonts w:ascii="Arial" w:eastAsia="HelveticaNeue-Light" w:hAnsi="Arial" w:cs="Arial"/>
                <w:b/>
                <w:color w:val="333333"/>
                <w:sz w:val="24"/>
              </w:rPr>
              <w:t>14.56%</w:t>
            </w:r>
          </w:p>
        </w:tc>
      </w:tr>
      <w:tr w:rsidR="00CD156E" w:rsidTr="00712042">
        <w:trPr>
          <w:jc w:val="center"/>
        </w:trPr>
        <w:tc>
          <w:tcPr>
            <w:cnfStyle w:val="001000000000" w:firstRow="0" w:lastRow="0" w:firstColumn="1" w:lastColumn="0" w:oddVBand="0" w:evenVBand="0" w:oddHBand="0" w:evenHBand="0" w:firstRowFirstColumn="0" w:firstRowLastColumn="0" w:lastRowFirstColumn="0" w:lastRowLastColumn="0"/>
            <w:tcW w:w="3478" w:type="dxa"/>
          </w:tcPr>
          <w:p w:rsidR="00CD156E" w:rsidRDefault="00CD156E" w:rsidP="00712042">
            <w:pPr>
              <w:pStyle w:val="Textonotapie"/>
              <w:jc w:val="center"/>
              <w:rPr>
                <w:rFonts w:ascii="Arial" w:eastAsia="HelveticaNeue-Light" w:hAnsi="Arial" w:cs="Arial"/>
                <w:color w:val="333333"/>
                <w:sz w:val="24"/>
              </w:rPr>
            </w:pPr>
            <w:r>
              <w:rPr>
                <w:rFonts w:ascii="Arial" w:eastAsia="HelveticaNeue-Light" w:hAnsi="Arial" w:cs="Arial"/>
                <w:color w:val="333333"/>
                <w:sz w:val="24"/>
              </w:rPr>
              <w:t>Costos directos</w:t>
            </w:r>
          </w:p>
        </w:tc>
        <w:tc>
          <w:tcPr>
            <w:tcW w:w="4502" w:type="dxa"/>
          </w:tcPr>
          <w:p w:rsidR="00CD156E" w:rsidRPr="00C07A57" w:rsidRDefault="00CD156E" w:rsidP="00712042">
            <w:pPr>
              <w:pStyle w:val="Textonotapie"/>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color w:val="333333"/>
                <w:sz w:val="24"/>
              </w:rPr>
            </w:pPr>
            <w:r w:rsidRPr="00C07A57">
              <w:rPr>
                <w:rFonts w:ascii="Arial" w:eastAsia="HelveticaNeue-Light" w:hAnsi="Arial" w:cs="Arial"/>
                <w:b/>
                <w:color w:val="333333"/>
                <w:sz w:val="24"/>
              </w:rPr>
              <w:t>16.36%</w:t>
            </w:r>
          </w:p>
        </w:tc>
      </w:tr>
      <w:tr w:rsidR="00CD156E" w:rsidTr="007120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478" w:type="dxa"/>
          </w:tcPr>
          <w:p w:rsidR="00CD156E" w:rsidRDefault="00CD156E" w:rsidP="00712042">
            <w:pPr>
              <w:pStyle w:val="Textonotapie"/>
              <w:jc w:val="center"/>
              <w:rPr>
                <w:rFonts w:ascii="Arial" w:eastAsia="HelveticaNeue-Light" w:hAnsi="Arial" w:cs="Arial"/>
                <w:color w:val="333333"/>
                <w:sz w:val="24"/>
              </w:rPr>
            </w:pPr>
            <w:r>
              <w:rPr>
                <w:rFonts w:ascii="Arial" w:eastAsia="HelveticaNeue-Light" w:hAnsi="Arial" w:cs="Arial"/>
                <w:color w:val="333333"/>
                <w:sz w:val="24"/>
              </w:rPr>
              <w:t>Mano de Obra</w:t>
            </w:r>
          </w:p>
        </w:tc>
        <w:tc>
          <w:tcPr>
            <w:tcW w:w="4502" w:type="dxa"/>
          </w:tcPr>
          <w:p w:rsidR="00CD156E" w:rsidRPr="00C07A57" w:rsidRDefault="00CD156E" w:rsidP="00712042">
            <w:pPr>
              <w:pStyle w:val="Textonotapie"/>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b/>
                <w:color w:val="333333"/>
                <w:sz w:val="24"/>
              </w:rPr>
            </w:pPr>
            <w:r w:rsidRPr="00C07A57">
              <w:rPr>
                <w:rFonts w:ascii="Arial" w:eastAsia="HelveticaNeue-Light" w:hAnsi="Arial" w:cs="Arial"/>
                <w:b/>
                <w:color w:val="333333"/>
                <w:sz w:val="24"/>
              </w:rPr>
              <w:t>10.80%</w:t>
            </w:r>
          </w:p>
        </w:tc>
      </w:tr>
      <w:tr w:rsidR="00CD156E" w:rsidTr="00712042">
        <w:trPr>
          <w:jc w:val="center"/>
        </w:trPr>
        <w:tc>
          <w:tcPr>
            <w:cnfStyle w:val="001000000000" w:firstRow="0" w:lastRow="0" w:firstColumn="1" w:lastColumn="0" w:oddVBand="0" w:evenVBand="0" w:oddHBand="0" w:evenHBand="0" w:firstRowFirstColumn="0" w:firstRowLastColumn="0" w:lastRowFirstColumn="0" w:lastRowLastColumn="0"/>
            <w:tcW w:w="3478" w:type="dxa"/>
          </w:tcPr>
          <w:p w:rsidR="00CD156E" w:rsidRDefault="00CD156E" w:rsidP="00712042">
            <w:pPr>
              <w:pStyle w:val="Textonotapie"/>
              <w:jc w:val="center"/>
              <w:rPr>
                <w:rFonts w:ascii="Arial" w:eastAsia="HelveticaNeue-Light" w:hAnsi="Arial" w:cs="Arial"/>
                <w:color w:val="333333"/>
                <w:sz w:val="24"/>
              </w:rPr>
            </w:pPr>
            <w:r w:rsidRPr="00C07A57">
              <w:rPr>
                <w:rFonts w:ascii="Arial" w:eastAsia="HelveticaNeue-Light" w:hAnsi="Arial" w:cs="Arial"/>
                <w:color w:val="333333"/>
                <w:sz w:val="28"/>
              </w:rPr>
              <w:t>TOTAL</w:t>
            </w:r>
          </w:p>
        </w:tc>
        <w:tc>
          <w:tcPr>
            <w:tcW w:w="4502" w:type="dxa"/>
          </w:tcPr>
          <w:p w:rsidR="00CD156E" w:rsidRPr="00C07A57" w:rsidRDefault="00CD156E" w:rsidP="00712042">
            <w:pPr>
              <w:pStyle w:val="Textonotapie"/>
              <w:jc w:val="right"/>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color w:val="333333"/>
                <w:sz w:val="24"/>
              </w:rPr>
            </w:pPr>
            <w:r w:rsidRPr="00C07A57">
              <w:rPr>
                <w:rFonts w:ascii="Arial" w:eastAsia="HelveticaNeue-Light" w:hAnsi="Arial" w:cs="Arial"/>
                <w:b/>
                <w:color w:val="333333"/>
                <w:sz w:val="28"/>
              </w:rPr>
              <w:t>100.00%</w:t>
            </w:r>
          </w:p>
        </w:tc>
      </w:tr>
    </w:tbl>
    <w:p w:rsidR="00CD156E" w:rsidRDefault="00CD156E" w:rsidP="00CD156E">
      <w:pPr>
        <w:tabs>
          <w:tab w:val="left" w:pos="600"/>
        </w:tabs>
        <w:spacing w:line="276" w:lineRule="auto"/>
        <w:rPr>
          <w:rFonts w:ascii="Arial" w:hAnsi="Arial" w:cs="Arial"/>
          <w:b/>
          <w:lang w:eastAsia="x-none"/>
        </w:rPr>
      </w:pPr>
    </w:p>
    <w:p w:rsidR="00CD156E" w:rsidRDefault="00CD156E" w:rsidP="00CD156E">
      <w:pPr>
        <w:pStyle w:val="Textonotapie"/>
        <w:jc w:val="both"/>
        <w:rPr>
          <w:rFonts w:ascii="Arial" w:eastAsia="HelveticaNeue-Light" w:hAnsi="Arial" w:cs="Arial"/>
          <w:color w:val="333333"/>
          <w:sz w:val="24"/>
        </w:rPr>
      </w:pPr>
      <w:r w:rsidRPr="00A542B6">
        <w:rPr>
          <w:rFonts w:ascii="Arial" w:eastAsia="HelveticaNeue-Light" w:hAnsi="Arial" w:cs="Arial"/>
          <w:color w:val="333333"/>
          <w:sz w:val="24"/>
        </w:rPr>
        <w:t>En julio de 2018, la variación mensual del Índice de Costos de la Construcción Pesada - ICCP fue de 0,07%, esta tasa es superior en 0,04 puntos porcentuales con respecto al mismo mes del año anterior (0,03%) y superior en 0,20 puntos porcentuales con relación al índice de precios al consumidor de julio de 2018 (-0,13%).</w:t>
      </w:r>
    </w:p>
    <w:p w:rsidR="00CD156E" w:rsidRDefault="00CD156E" w:rsidP="00CD156E">
      <w:pPr>
        <w:pStyle w:val="Textonotapie"/>
        <w:jc w:val="both"/>
        <w:rPr>
          <w:rFonts w:ascii="Arial" w:eastAsia="HelveticaNeue-Light" w:hAnsi="Arial" w:cs="Arial"/>
          <w:color w:val="333333"/>
          <w:sz w:val="24"/>
        </w:rPr>
      </w:pPr>
    </w:p>
    <w:p w:rsidR="00CD156E" w:rsidRDefault="00CD156E" w:rsidP="00CD156E">
      <w:pPr>
        <w:pStyle w:val="Textonotapie"/>
        <w:jc w:val="both"/>
        <w:rPr>
          <w:rFonts w:ascii="Arial" w:eastAsia="HelveticaNeue-Light" w:hAnsi="Arial" w:cs="Arial"/>
          <w:color w:val="333333"/>
          <w:sz w:val="24"/>
        </w:rPr>
      </w:pPr>
      <w:r>
        <w:rPr>
          <w:rFonts w:ascii="Arial" w:eastAsia="HelveticaNeue-Light" w:hAnsi="Arial" w:cs="Arial"/>
          <w:color w:val="333333"/>
          <w:sz w:val="24"/>
        </w:rPr>
        <w:t>En cuanto a la variación porcentual de los grupos; los materiales fueron los que presentaron la mayor variación (0,11%), seguido de equipo con (0,08%) y nuestro otro interesado mano de obra no presentó ninguna variación.</w:t>
      </w:r>
    </w:p>
    <w:p w:rsidR="00CD156E" w:rsidRDefault="00CD156E" w:rsidP="00CD156E">
      <w:pPr>
        <w:pStyle w:val="Textonotapie"/>
        <w:jc w:val="both"/>
        <w:rPr>
          <w:rFonts w:ascii="Arial" w:eastAsia="HelveticaNeue-Light" w:hAnsi="Arial" w:cs="Arial"/>
          <w:color w:val="333333"/>
          <w:sz w:val="24"/>
        </w:rPr>
      </w:pPr>
    </w:p>
    <w:p w:rsidR="00CD156E" w:rsidRPr="00133AA1" w:rsidRDefault="00CD156E" w:rsidP="00CD156E">
      <w:pPr>
        <w:pStyle w:val="Textonotapie"/>
        <w:jc w:val="center"/>
        <w:rPr>
          <w:rFonts w:ascii="Arial" w:eastAsia="HelveticaNeue-Light" w:hAnsi="Arial" w:cs="Arial"/>
          <w:b/>
          <w:color w:val="333333"/>
          <w:sz w:val="24"/>
        </w:rPr>
      </w:pPr>
      <w:r w:rsidRPr="00133AA1">
        <w:rPr>
          <w:rFonts w:ascii="Arial" w:eastAsia="HelveticaNeue-Light" w:hAnsi="Arial" w:cs="Arial"/>
          <w:b/>
          <w:color w:val="333333"/>
          <w:sz w:val="24"/>
        </w:rPr>
        <w:t>Índices de costo de la Construcción Pesadas</w:t>
      </w:r>
      <w:r>
        <w:rPr>
          <w:rFonts w:ascii="Arial" w:eastAsia="HelveticaNeue-Light" w:hAnsi="Arial" w:cs="Arial"/>
          <w:b/>
          <w:color w:val="333333"/>
          <w:sz w:val="24"/>
        </w:rPr>
        <w:t xml:space="preserve"> – Julio 2018</w:t>
      </w:r>
    </w:p>
    <w:p w:rsidR="00CD156E" w:rsidRDefault="00CD156E" w:rsidP="00CD156E">
      <w:pPr>
        <w:pStyle w:val="Textonotapie"/>
        <w:jc w:val="both"/>
        <w:rPr>
          <w:rFonts w:ascii="Arial" w:eastAsia="HelveticaNeue-Light" w:hAnsi="Arial" w:cs="Arial"/>
          <w:color w:val="333333"/>
          <w:sz w:val="24"/>
        </w:rPr>
      </w:pPr>
      <w:r>
        <w:rPr>
          <w:noProof/>
          <w:lang w:val="es-CO" w:eastAsia="es-CO"/>
        </w:rPr>
        <w:drawing>
          <wp:inline distT="0" distB="0" distL="0" distR="0" wp14:anchorId="2B8CF84B" wp14:editId="5A1E1FE0">
            <wp:extent cx="5819775" cy="2007870"/>
            <wp:effectExtent l="57150" t="114300" r="123825" b="4953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537" t="37701" r="34881" b="37433"/>
                    <a:stretch/>
                  </pic:blipFill>
                  <pic:spPr bwMode="auto">
                    <a:xfrm>
                      <a:off x="0" y="0"/>
                      <a:ext cx="5832778" cy="2012356"/>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CD156E" w:rsidRPr="00EC0482" w:rsidRDefault="00CD156E" w:rsidP="00CD156E">
      <w:pPr>
        <w:tabs>
          <w:tab w:val="left" w:pos="600"/>
        </w:tabs>
        <w:spacing w:line="276" w:lineRule="auto"/>
        <w:rPr>
          <w:rFonts w:ascii="Arial" w:hAnsi="Arial" w:cs="Arial"/>
          <w:b/>
          <w:lang w:eastAsia="x-none"/>
        </w:rPr>
      </w:pPr>
      <w:r>
        <w:t>Fuente: DANE, ICCP</w:t>
      </w:r>
    </w:p>
    <w:p w:rsidR="00CD156E" w:rsidRPr="00B56D1B" w:rsidRDefault="00CD156E" w:rsidP="00CD156E">
      <w:pPr>
        <w:pStyle w:val="Textonotapie"/>
        <w:jc w:val="center"/>
        <w:rPr>
          <w:rFonts w:ascii="Arial" w:eastAsia="HelveticaNeue-Light" w:hAnsi="Arial" w:cs="Arial"/>
          <w:b/>
          <w:color w:val="333333"/>
          <w:sz w:val="24"/>
        </w:rPr>
      </w:pPr>
      <w:r w:rsidRPr="00B56D1B">
        <w:rPr>
          <w:rFonts w:ascii="Arial" w:eastAsia="HelveticaNeue-Light" w:hAnsi="Arial" w:cs="Arial"/>
          <w:b/>
          <w:color w:val="333333"/>
          <w:sz w:val="24"/>
        </w:rPr>
        <w:t>Comparativo mensual ICCP</w:t>
      </w:r>
    </w:p>
    <w:p w:rsidR="00CD156E" w:rsidRPr="00A542B6" w:rsidRDefault="00CD156E" w:rsidP="00CD156E">
      <w:pPr>
        <w:pStyle w:val="Textonotapie"/>
        <w:jc w:val="both"/>
        <w:rPr>
          <w:rFonts w:ascii="Arial" w:eastAsia="HelveticaNeue-Light" w:hAnsi="Arial" w:cs="Arial"/>
          <w:color w:val="333333"/>
          <w:sz w:val="24"/>
        </w:rPr>
      </w:pPr>
      <w:r>
        <w:rPr>
          <w:noProof/>
          <w:lang w:val="es-CO" w:eastAsia="es-CO"/>
        </w:rPr>
        <w:drawing>
          <wp:inline distT="0" distB="0" distL="0" distR="0" wp14:anchorId="50B9AAEB" wp14:editId="7DDECB57">
            <wp:extent cx="6353175" cy="1876105"/>
            <wp:effectExtent l="57150" t="114300" r="104775" b="4826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543" t="33422" r="16232" b="31284"/>
                    <a:stretch/>
                  </pic:blipFill>
                  <pic:spPr bwMode="auto">
                    <a:xfrm>
                      <a:off x="0" y="0"/>
                      <a:ext cx="6372331" cy="1881762"/>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CD156E" w:rsidRPr="00EC0482" w:rsidRDefault="00CD156E" w:rsidP="00CD156E">
      <w:pPr>
        <w:tabs>
          <w:tab w:val="left" w:pos="600"/>
        </w:tabs>
        <w:spacing w:line="276" w:lineRule="auto"/>
        <w:rPr>
          <w:rFonts w:ascii="Arial" w:hAnsi="Arial" w:cs="Arial"/>
          <w:b/>
          <w:lang w:eastAsia="x-none"/>
        </w:rPr>
      </w:pPr>
      <w:r>
        <w:t>Fuente: DANE, ICCP</w:t>
      </w:r>
    </w:p>
    <w:p w:rsidR="00CD156E" w:rsidRDefault="00CD156E" w:rsidP="00CD156E">
      <w:pPr>
        <w:pStyle w:val="Default"/>
        <w:spacing w:line="276" w:lineRule="auto"/>
        <w:rPr>
          <w:rFonts w:eastAsia="Calibri"/>
        </w:rPr>
      </w:pPr>
      <w:r w:rsidRPr="00223187">
        <w:rPr>
          <w:rFonts w:eastAsia="Calibri"/>
        </w:rPr>
        <w:t xml:space="preserve">Al analizar el comparativo histórico por mes; se observa que en el mes de abril persiste la tendencia a la baja de los últimos cuatro años, también se puede observar que el valor del ICCP en el presente año es el más bajo para </w:t>
      </w:r>
      <w:r>
        <w:rPr>
          <w:rFonts w:eastAsia="Calibri"/>
        </w:rPr>
        <w:t>los</w:t>
      </w:r>
      <w:r w:rsidRPr="00223187">
        <w:rPr>
          <w:rFonts w:eastAsia="Calibri"/>
        </w:rPr>
        <w:t xml:space="preserve"> mes</w:t>
      </w:r>
      <w:r>
        <w:rPr>
          <w:rFonts w:eastAsia="Calibri"/>
        </w:rPr>
        <w:t>es de enero, febrero y marzo; observándose una disminución de la estacionalidad, la cual persiste.</w:t>
      </w:r>
    </w:p>
    <w:p w:rsidR="00CD156E" w:rsidRDefault="00CD156E" w:rsidP="00CD156E">
      <w:pPr>
        <w:pStyle w:val="Default"/>
        <w:spacing w:line="276" w:lineRule="auto"/>
        <w:rPr>
          <w:b/>
          <w:bCs/>
          <w:szCs w:val="22"/>
        </w:rPr>
      </w:pPr>
    </w:p>
    <w:p w:rsidR="00CD156E" w:rsidRDefault="00CD156E" w:rsidP="00CD156E">
      <w:pPr>
        <w:pStyle w:val="Default"/>
        <w:numPr>
          <w:ilvl w:val="0"/>
          <w:numId w:val="46"/>
        </w:numPr>
        <w:spacing w:line="276" w:lineRule="auto"/>
        <w:rPr>
          <w:b/>
          <w:bCs/>
          <w:szCs w:val="22"/>
        </w:rPr>
      </w:pPr>
      <w:r>
        <w:rPr>
          <w:rFonts w:eastAsia="HelveticaNeue-Light"/>
          <w:b/>
          <w:color w:val="333333"/>
        </w:rPr>
        <w:t>Indicadores de Inversión en O</w:t>
      </w:r>
      <w:r w:rsidRPr="000C4647">
        <w:rPr>
          <w:rFonts w:eastAsia="HelveticaNeue-Light"/>
          <w:b/>
          <w:color w:val="333333"/>
        </w:rPr>
        <w:t>b</w:t>
      </w:r>
      <w:r>
        <w:rPr>
          <w:rFonts w:eastAsia="HelveticaNeue-Light"/>
          <w:b/>
          <w:color w:val="333333"/>
        </w:rPr>
        <w:t>ras C</w:t>
      </w:r>
      <w:r w:rsidRPr="000C4647">
        <w:rPr>
          <w:rFonts w:eastAsia="HelveticaNeue-Light"/>
          <w:b/>
          <w:color w:val="333333"/>
        </w:rPr>
        <w:t>iviles</w:t>
      </w:r>
      <w:r>
        <w:rPr>
          <w:rFonts w:eastAsia="HelveticaNeue-Light"/>
          <w:b/>
          <w:color w:val="333333"/>
        </w:rPr>
        <w:t xml:space="preserve"> – IIOC.</w:t>
      </w:r>
    </w:p>
    <w:p w:rsidR="00CD156E" w:rsidRDefault="00CD156E" w:rsidP="00CD156E">
      <w:pPr>
        <w:pStyle w:val="Default"/>
        <w:spacing w:line="276" w:lineRule="auto"/>
        <w:rPr>
          <w:b/>
          <w:bCs/>
          <w:szCs w:val="22"/>
        </w:rPr>
      </w:pPr>
    </w:p>
    <w:p w:rsidR="00CD156E" w:rsidRDefault="00CD156E" w:rsidP="00CD156E">
      <w:pPr>
        <w:spacing w:line="276" w:lineRule="auto"/>
        <w:contextualSpacing/>
        <w:jc w:val="both"/>
        <w:rPr>
          <w:rFonts w:ascii="Arial" w:eastAsia="Calibri" w:hAnsi="Arial" w:cs="Arial"/>
        </w:rPr>
      </w:pPr>
      <w:r w:rsidRPr="00047A49">
        <w:rPr>
          <w:rFonts w:ascii="Arial" w:eastAsia="Calibri" w:hAnsi="Arial" w:cs="Arial"/>
        </w:rPr>
        <w:t>En el primer trimestre de 2018 (enero – marzo), los pagos efectuados para la construcción de</w:t>
      </w:r>
      <w:r>
        <w:rPr>
          <w:rFonts w:ascii="Arial" w:eastAsia="Calibri" w:hAnsi="Arial" w:cs="Arial"/>
        </w:rPr>
        <w:t xml:space="preserve"> </w:t>
      </w:r>
      <w:r w:rsidRPr="00047A49">
        <w:rPr>
          <w:rFonts w:ascii="Arial" w:eastAsia="Calibri" w:hAnsi="Arial" w:cs="Arial"/>
        </w:rPr>
        <w:t>obras civiles registraron una disminución de -7,1%, con relación al mismo trimestre del año</w:t>
      </w:r>
      <w:r>
        <w:rPr>
          <w:rFonts w:ascii="Arial" w:eastAsia="Calibri" w:hAnsi="Arial" w:cs="Arial"/>
        </w:rPr>
        <w:t xml:space="preserve"> </w:t>
      </w:r>
      <w:r w:rsidRPr="00047A49">
        <w:rPr>
          <w:rFonts w:ascii="Arial" w:eastAsia="Calibri" w:hAnsi="Arial" w:cs="Arial"/>
        </w:rPr>
        <w:t>anterior. Las obligaciones adquiridas en obras civiles en el primer trimestre de 2018</w:t>
      </w:r>
      <w:r>
        <w:rPr>
          <w:rFonts w:ascii="Arial" w:eastAsia="Calibri" w:hAnsi="Arial" w:cs="Arial"/>
        </w:rPr>
        <w:t xml:space="preserve"> </w:t>
      </w:r>
      <w:r w:rsidRPr="00047A49">
        <w:rPr>
          <w:rFonts w:ascii="Arial" w:eastAsia="Calibri" w:hAnsi="Arial" w:cs="Arial"/>
        </w:rPr>
        <w:t>registraron un decrecimiento de 11,7% frente al mismo periodo del año anterior.</w:t>
      </w:r>
    </w:p>
    <w:p w:rsidR="00CD156E" w:rsidRPr="00047A49" w:rsidRDefault="00CD156E" w:rsidP="00CD156E">
      <w:pPr>
        <w:spacing w:line="276" w:lineRule="auto"/>
        <w:contextualSpacing/>
        <w:jc w:val="both"/>
        <w:rPr>
          <w:rFonts w:ascii="Arial" w:eastAsia="Calibri" w:hAnsi="Arial" w:cs="Arial"/>
        </w:rPr>
      </w:pPr>
    </w:p>
    <w:p w:rsidR="00CD156E" w:rsidRPr="00047A49" w:rsidRDefault="00CD156E" w:rsidP="00CD156E">
      <w:pPr>
        <w:spacing w:line="276" w:lineRule="auto"/>
        <w:contextualSpacing/>
        <w:jc w:val="both"/>
        <w:rPr>
          <w:rFonts w:ascii="Arial" w:eastAsia="Calibri" w:hAnsi="Arial" w:cs="Arial"/>
        </w:rPr>
      </w:pPr>
      <w:r w:rsidRPr="00047A49">
        <w:rPr>
          <w:rFonts w:ascii="Arial" w:eastAsia="Calibri" w:hAnsi="Arial" w:cs="Arial"/>
        </w:rPr>
        <w:t>La disminución en los pagos efectuados obedece principalmente al comportamiento del</w:t>
      </w:r>
      <w:r>
        <w:rPr>
          <w:rFonts w:ascii="Arial" w:eastAsia="Calibri" w:hAnsi="Arial" w:cs="Arial"/>
        </w:rPr>
        <w:t xml:space="preserve"> </w:t>
      </w:r>
      <w:r w:rsidRPr="00047A49">
        <w:rPr>
          <w:rFonts w:ascii="Arial" w:eastAsia="Calibri" w:hAnsi="Arial" w:cs="Arial"/>
        </w:rPr>
        <w:t>grupo construcciones para la minería y tuberías para el transporte, que decreció 10,1% y</w:t>
      </w:r>
      <w:r>
        <w:rPr>
          <w:rFonts w:ascii="Arial" w:eastAsia="Calibri" w:hAnsi="Arial" w:cs="Arial"/>
        </w:rPr>
        <w:t xml:space="preserve"> </w:t>
      </w:r>
      <w:r w:rsidRPr="00047A49">
        <w:rPr>
          <w:rFonts w:ascii="Arial" w:eastAsia="Calibri" w:hAnsi="Arial" w:cs="Arial"/>
        </w:rPr>
        <w:t>restó 2,7 puntos porcentuales a la variación total de los pagos. Así mismo, el grupo vías</w:t>
      </w:r>
      <w:r>
        <w:rPr>
          <w:rFonts w:ascii="Arial" w:eastAsia="Calibri" w:hAnsi="Arial" w:cs="Arial"/>
        </w:rPr>
        <w:t xml:space="preserve"> </w:t>
      </w:r>
      <w:r w:rsidRPr="00047A49">
        <w:rPr>
          <w:rFonts w:ascii="Arial" w:eastAsia="Calibri" w:hAnsi="Arial" w:cs="Arial"/>
        </w:rPr>
        <w:t>férreas, pistas de aterrizaje y sistemas de transporte masivo disminuyó 43,2% y restó 2,6</w:t>
      </w:r>
      <w:r>
        <w:rPr>
          <w:rFonts w:ascii="Arial" w:eastAsia="Calibri" w:hAnsi="Arial" w:cs="Arial"/>
        </w:rPr>
        <w:t xml:space="preserve"> </w:t>
      </w:r>
      <w:r w:rsidRPr="00047A49">
        <w:rPr>
          <w:rFonts w:ascii="Arial" w:eastAsia="Calibri" w:hAnsi="Arial" w:cs="Arial"/>
        </w:rPr>
        <w:t>puntos porcentuales a la variación total de pagos</w:t>
      </w:r>
      <w:r>
        <w:rPr>
          <w:rFonts w:ascii="Arial" w:eastAsia="Calibri" w:hAnsi="Arial" w:cs="Arial"/>
        </w:rPr>
        <w:t>.</w:t>
      </w:r>
    </w:p>
    <w:p w:rsidR="00CD156E" w:rsidRDefault="00CD156E" w:rsidP="00CD156E">
      <w:pPr>
        <w:pStyle w:val="Textonotapie"/>
        <w:jc w:val="center"/>
        <w:rPr>
          <w:rFonts w:ascii="Arial" w:eastAsia="HelveticaNeue-Light" w:hAnsi="Arial" w:cs="Arial"/>
          <w:b/>
          <w:color w:val="333333"/>
          <w:sz w:val="24"/>
        </w:rPr>
      </w:pPr>
      <w:r w:rsidRPr="00AF1544">
        <w:rPr>
          <w:rFonts w:ascii="Arial" w:eastAsia="HelveticaNeue-Light" w:hAnsi="Arial" w:cs="Arial"/>
          <w:b/>
          <w:color w:val="333333"/>
          <w:sz w:val="24"/>
        </w:rPr>
        <w:t xml:space="preserve">Variación anual del IIOC de los pagos y obligaciones en obras civiles </w:t>
      </w:r>
    </w:p>
    <w:p w:rsidR="00CD156E" w:rsidRPr="00AF1544" w:rsidRDefault="00CD156E" w:rsidP="00CD156E">
      <w:pPr>
        <w:pStyle w:val="Textonotapie"/>
        <w:jc w:val="center"/>
        <w:rPr>
          <w:rFonts w:ascii="Arial" w:eastAsia="HelveticaNeue-Light" w:hAnsi="Arial" w:cs="Arial"/>
          <w:b/>
          <w:color w:val="333333"/>
          <w:sz w:val="24"/>
        </w:rPr>
      </w:pPr>
      <w:r>
        <w:rPr>
          <w:rFonts w:ascii="Arial" w:eastAsia="HelveticaNeue-Light" w:hAnsi="Arial" w:cs="Arial"/>
          <w:b/>
          <w:color w:val="333333"/>
          <w:sz w:val="24"/>
        </w:rPr>
        <w:t xml:space="preserve">(serie empalmada) </w:t>
      </w:r>
      <w:r w:rsidRPr="00AF1544">
        <w:rPr>
          <w:rFonts w:ascii="Arial" w:eastAsia="HelveticaNeue-Light" w:hAnsi="Arial" w:cs="Arial"/>
          <w:b/>
          <w:color w:val="333333"/>
          <w:sz w:val="24"/>
        </w:rPr>
        <w:t>2012 - 2018 (I trimestre)</w:t>
      </w:r>
    </w:p>
    <w:p w:rsidR="00CD156E" w:rsidRDefault="00CD156E" w:rsidP="00CD156E">
      <w:pPr>
        <w:spacing w:line="276" w:lineRule="auto"/>
        <w:contextualSpacing/>
        <w:jc w:val="both"/>
        <w:rPr>
          <w:rFonts w:ascii="Arial" w:hAnsi="Arial" w:cs="Arial"/>
          <w:b/>
        </w:rPr>
      </w:pPr>
    </w:p>
    <w:p w:rsidR="00CD156E" w:rsidRDefault="00CD156E" w:rsidP="00CD156E">
      <w:pPr>
        <w:spacing w:line="276" w:lineRule="auto"/>
        <w:contextualSpacing/>
        <w:jc w:val="both"/>
        <w:rPr>
          <w:rFonts w:ascii="Arial" w:hAnsi="Arial" w:cs="Arial"/>
          <w:b/>
        </w:rPr>
      </w:pPr>
      <w:r>
        <w:rPr>
          <w:noProof/>
          <w:lang w:eastAsia="es-CO"/>
        </w:rPr>
        <w:drawing>
          <wp:inline distT="0" distB="0" distL="0" distR="0" wp14:anchorId="2E0C517A" wp14:editId="299E8EA3">
            <wp:extent cx="5755895" cy="1754403"/>
            <wp:effectExtent l="57150" t="114300" r="92710" b="3683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461" t="47593" r="24955" b="18717"/>
                    <a:stretch/>
                  </pic:blipFill>
                  <pic:spPr bwMode="auto">
                    <a:xfrm>
                      <a:off x="0" y="0"/>
                      <a:ext cx="5805585" cy="1769549"/>
                    </a:xfrm>
                    <a:prstGeom prst="rect">
                      <a:avLst/>
                    </a:prstGeom>
                    <a:ln w="19050">
                      <a:solidFill>
                        <a:schemeClr val="tx1"/>
                      </a:solidFill>
                    </a:ln>
                    <a:effectLst>
                      <a:outerShdw blurRad="50800" dist="38100" dir="18900000" algn="bl"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CD156E" w:rsidRDefault="00CD156E" w:rsidP="00CD156E">
      <w:pPr>
        <w:spacing w:line="276" w:lineRule="auto"/>
        <w:contextualSpacing/>
        <w:jc w:val="both"/>
        <w:rPr>
          <w:rFonts w:ascii="Arial" w:hAnsi="Arial" w:cs="Arial"/>
          <w:b/>
        </w:rPr>
      </w:pPr>
      <w:r>
        <w:t>Fuente: DANE, IIOC</w:t>
      </w:r>
    </w:p>
    <w:p w:rsidR="00CD156E" w:rsidRDefault="00CD156E" w:rsidP="00CD156E">
      <w:pPr>
        <w:spacing w:line="276" w:lineRule="auto"/>
        <w:contextualSpacing/>
        <w:jc w:val="both"/>
        <w:rPr>
          <w:rFonts w:ascii="Arial" w:hAnsi="Arial" w:cs="Arial"/>
          <w:b/>
        </w:rPr>
      </w:pPr>
    </w:p>
    <w:p w:rsidR="00CD156E" w:rsidRPr="00BE1346" w:rsidRDefault="00CD156E" w:rsidP="00CD156E">
      <w:pPr>
        <w:autoSpaceDE w:val="0"/>
        <w:autoSpaceDN w:val="0"/>
        <w:adjustRightInd w:val="0"/>
        <w:spacing w:after="0" w:line="276" w:lineRule="auto"/>
        <w:jc w:val="both"/>
        <w:rPr>
          <w:rFonts w:ascii="Arial" w:hAnsi="Arial" w:cs="Arial"/>
        </w:rPr>
      </w:pPr>
      <w:r w:rsidRPr="00BE1346">
        <w:rPr>
          <w:rFonts w:ascii="Arial" w:hAnsi="Arial" w:cs="Arial"/>
        </w:rPr>
        <w:t>El sector de la construcción mueve cerca de 29 subsectores en Colombia, uno de ellos el de las</w:t>
      </w:r>
      <w:r>
        <w:rPr>
          <w:rFonts w:ascii="Arial" w:hAnsi="Arial" w:cs="Arial"/>
        </w:rPr>
        <w:t xml:space="preserve"> Interventorías y Consultorías</w:t>
      </w:r>
      <w:r w:rsidRPr="00BE1346">
        <w:rPr>
          <w:rFonts w:ascii="Arial" w:hAnsi="Arial" w:cs="Arial"/>
        </w:rPr>
        <w:t xml:space="preserve"> </w:t>
      </w:r>
      <w:r>
        <w:rPr>
          <w:rFonts w:ascii="Arial" w:hAnsi="Arial" w:cs="Arial"/>
        </w:rPr>
        <w:t>T</w:t>
      </w:r>
      <w:r w:rsidRPr="00BE1346">
        <w:rPr>
          <w:rFonts w:ascii="Arial" w:hAnsi="Arial" w:cs="Arial"/>
        </w:rPr>
        <w:t>écnica</w:t>
      </w:r>
      <w:r>
        <w:rPr>
          <w:rFonts w:ascii="Arial" w:hAnsi="Arial" w:cs="Arial"/>
        </w:rPr>
        <w:t>s, las cuales</w:t>
      </w:r>
      <w:r w:rsidRPr="00BE1346">
        <w:rPr>
          <w:rFonts w:ascii="Arial" w:hAnsi="Arial" w:cs="Arial"/>
        </w:rPr>
        <w:t xml:space="preserve"> se encarga</w:t>
      </w:r>
      <w:r>
        <w:rPr>
          <w:rFonts w:ascii="Arial" w:hAnsi="Arial" w:cs="Arial"/>
        </w:rPr>
        <w:t>n</w:t>
      </w:r>
      <w:r w:rsidRPr="00BE1346">
        <w:rPr>
          <w:rFonts w:ascii="Arial" w:hAnsi="Arial" w:cs="Arial"/>
        </w:rPr>
        <w:t xml:space="preserve"> de dimensionar los proyectos a desarrollar, se establece un campo de acción fundamental en el desarrollo económico del sector, pero del cual pocos datos de crecimiento se tienen frente a los demás factores materiales que intervienen en los índices de crecimiento de la obra civil.</w:t>
      </w:r>
    </w:p>
    <w:p w:rsidR="00CD156E" w:rsidRPr="00BE1346" w:rsidRDefault="00CD156E" w:rsidP="00CD156E">
      <w:pPr>
        <w:autoSpaceDE w:val="0"/>
        <w:autoSpaceDN w:val="0"/>
        <w:adjustRightInd w:val="0"/>
        <w:spacing w:after="0" w:line="276" w:lineRule="auto"/>
        <w:jc w:val="both"/>
        <w:rPr>
          <w:rFonts w:ascii="Arial" w:hAnsi="Arial" w:cs="Arial"/>
        </w:rPr>
      </w:pPr>
    </w:p>
    <w:p w:rsidR="00CD156E" w:rsidRPr="00BE1346" w:rsidRDefault="00CD156E" w:rsidP="00CD156E">
      <w:pPr>
        <w:autoSpaceDE w:val="0"/>
        <w:autoSpaceDN w:val="0"/>
        <w:adjustRightInd w:val="0"/>
        <w:spacing w:after="0" w:line="276" w:lineRule="auto"/>
        <w:jc w:val="both"/>
        <w:rPr>
          <w:rFonts w:ascii="Arial" w:hAnsi="Arial" w:cs="Arial"/>
        </w:rPr>
      </w:pPr>
      <w:r w:rsidRPr="00BE1346">
        <w:rPr>
          <w:rFonts w:ascii="Arial" w:hAnsi="Arial" w:cs="Arial"/>
        </w:rPr>
        <w:t xml:space="preserve">Teniendo en cuenta lo anterior, no se ofrece una visión detallada del mercado de las </w:t>
      </w:r>
      <w:r>
        <w:rPr>
          <w:rFonts w:ascii="Arial" w:hAnsi="Arial" w:cs="Arial"/>
        </w:rPr>
        <w:t>Interventorías de C</w:t>
      </w:r>
      <w:r w:rsidRPr="00BE1346">
        <w:rPr>
          <w:rFonts w:ascii="Arial" w:hAnsi="Arial" w:cs="Arial"/>
        </w:rPr>
        <w:t>onsultorías y menos en el sector técnico de obra, siendo aún menor la intervención o relevancia de la especialidad hidráulica, lo que restringe la posibilidad de llevar registro sobre la oferta y la demanda, así como el factor económico que afecta el sector en mención.</w:t>
      </w:r>
    </w:p>
    <w:p w:rsidR="00CD156E" w:rsidRPr="00BE1346" w:rsidRDefault="00CD156E" w:rsidP="00CD156E">
      <w:pPr>
        <w:autoSpaceDE w:val="0"/>
        <w:autoSpaceDN w:val="0"/>
        <w:adjustRightInd w:val="0"/>
        <w:spacing w:after="0" w:line="276" w:lineRule="auto"/>
        <w:jc w:val="both"/>
        <w:rPr>
          <w:rFonts w:ascii="Arial" w:hAnsi="Arial" w:cs="Arial"/>
        </w:rPr>
      </w:pPr>
    </w:p>
    <w:p w:rsidR="00CD156E" w:rsidRPr="00BE1346" w:rsidRDefault="00CD156E" w:rsidP="00CD156E">
      <w:pPr>
        <w:autoSpaceDE w:val="0"/>
        <w:autoSpaceDN w:val="0"/>
        <w:adjustRightInd w:val="0"/>
        <w:spacing w:after="0" w:line="276" w:lineRule="auto"/>
        <w:jc w:val="both"/>
        <w:rPr>
          <w:rFonts w:ascii="Arial" w:hAnsi="Arial" w:cs="Arial"/>
        </w:rPr>
      </w:pPr>
      <w:r w:rsidRPr="00BE1346">
        <w:rPr>
          <w:rFonts w:ascii="Arial" w:hAnsi="Arial" w:cs="Arial"/>
        </w:rPr>
        <w:t xml:space="preserve">Existen en Colombia organizaciones encargadas de reunir los empresarios que se desarrollan en el sector de la </w:t>
      </w:r>
      <w:r>
        <w:rPr>
          <w:rFonts w:ascii="Arial" w:hAnsi="Arial" w:cs="Arial"/>
        </w:rPr>
        <w:t>C</w:t>
      </w:r>
      <w:r w:rsidRPr="00BE1346">
        <w:rPr>
          <w:rFonts w:ascii="Arial" w:hAnsi="Arial" w:cs="Arial"/>
        </w:rPr>
        <w:t>onsultoría, siendo uno de los casos la Cámara Colombiana de la Infraestructura, que apoya no solo al área de consultorías, sino que involucra a constructores, proveedores y concesionarios del país, colocando al servicio de estos herramientas de consulta para quienes se afilian, como directorios para el contacto entre estos y observatorios como el de contratación que tiene como objetivo recoger los comentarios de sus afiliados, sobre las inconsistencias encontradas en los distintos procesos de contratación, las cuales pueden estar referidas a temas de normatividad vigente, solicitudes exorbitantes a la hora de contratar, requisitos absurdos en los pliegos de condiciones, entre otras.</w:t>
      </w:r>
    </w:p>
    <w:p w:rsidR="00CD156E" w:rsidRPr="00BE1346" w:rsidRDefault="00CD156E" w:rsidP="00CD156E">
      <w:pPr>
        <w:autoSpaceDE w:val="0"/>
        <w:autoSpaceDN w:val="0"/>
        <w:adjustRightInd w:val="0"/>
        <w:spacing w:after="0" w:line="276" w:lineRule="auto"/>
        <w:jc w:val="both"/>
        <w:rPr>
          <w:rFonts w:ascii="Arial" w:hAnsi="Arial" w:cs="Arial"/>
        </w:rPr>
      </w:pPr>
    </w:p>
    <w:p w:rsidR="00CD156E" w:rsidRDefault="00CD156E" w:rsidP="00CD156E">
      <w:pPr>
        <w:autoSpaceDE w:val="0"/>
        <w:autoSpaceDN w:val="0"/>
        <w:adjustRightInd w:val="0"/>
        <w:spacing w:after="0" w:line="276" w:lineRule="auto"/>
        <w:jc w:val="both"/>
        <w:rPr>
          <w:rFonts w:ascii="Arial" w:hAnsi="Arial" w:cs="Arial"/>
        </w:rPr>
      </w:pPr>
      <w:r w:rsidRPr="00BE1346">
        <w:rPr>
          <w:rFonts w:ascii="Arial" w:hAnsi="Arial" w:cs="Arial"/>
        </w:rPr>
        <w:t>Sin embargo, los datos oficiales especializados sobre el sector son escasos y no son de publicación masiva al público, o de fácil adquisición.</w:t>
      </w:r>
    </w:p>
    <w:p w:rsidR="00CD156E" w:rsidRDefault="00CD156E" w:rsidP="00CD156E">
      <w:pPr>
        <w:pStyle w:val="Default"/>
        <w:spacing w:line="276" w:lineRule="auto"/>
        <w:rPr>
          <w:b/>
          <w:bCs/>
          <w:szCs w:val="22"/>
        </w:rPr>
      </w:pPr>
    </w:p>
    <w:p w:rsidR="00CD156E" w:rsidRDefault="00CD156E" w:rsidP="00CD156E">
      <w:pPr>
        <w:pStyle w:val="Default"/>
        <w:spacing w:line="276" w:lineRule="auto"/>
        <w:rPr>
          <w:b/>
          <w:bCs/>
          <w:szCs w:val="22"/>
        </w:rPr>
      </w:pPr>
    </w:p>
    <w:p w:rsidR="00CD156E" w:rsidRDefault="00CD156E" w:rsidP="00CD156E">
      <w:pPr>
        <w:pStyle w:val="Default"/>
        <w:spacing w:line="276" w:lineRule="auto"/>
        <w:rPr>
          <w:b/>
          <w:bCs/>
          <w:szCs w:val="22"/>
        </w:rPr>
      </w:pPr>
    </w:p>
    <w:p w:rsidR="00CD156E" w:rsidRDefault="00CD156E" w:rsidP="00CD156E">
      <w:pPr>
        <w:pStyle w:val="Default"/>
        <w:spacing w:line="276" w:lineRule="auto"/>
        <w:rPr>
          <w:b/>
          <w:bCs/>
          <w:szCs w:val="22"/>
        </w:rPr>
      </w:pPr>
    </w:p>
    <w:p w:rsidR="007D64DA" w:rsidRDefault="00CD156E" w:rsidP="00CD156E">
      <w:pPr>
        <w:pStyle w:val="Default"/>
        <w:numPr>
          <w:ilvl w:val="0"/>
          <w:numId w:val="45"/>
        </w:numPr>
        <w:spacing w:line="276" w:lineRule="auto"/>
        <w:rPr>
          <w:b/>
          <w:bCs/>
          <w:szCs w:val="22"/>
        </w:rPr>
      </w:pPr>
      <w:r>
        <w:rPr>
          <w:b/>
          <w:bCs/>
          <w:szCs w:val="22"/>
        </w:rPr>
        <w:t>ASPECTOS TECNICOS</w:t>
      </w:r>
    </w:p>
    <w:p w:rsidR="00CD156E" w:rsidRPr="009672C8" w:rsidRDefault="00CD156E" w:rsidP="00CD156E">
      <w:pPr>
        <w:pStyle w:val="Default"/>
        <w:spacing w:line="276" w:lineRule="auto"/>
        <w:rPr>
          <w:b/>
          <w:bCs/>
          <w:szCs w:val="22"/>
        </w:rPr>
      </w:pPr>
    </w:p>
    <w:p w:rsidR="007D64DA" w:rsidRPr="00BE1346" w:rsidRDefault="007D64DA" w:rsidP="007D64DA">
      <w:pPr>
        <w:pStyle w:val="Default"/>
        <w:spacing w:line="276" w:lineRule="auto"/>
        <w:rPr>
          <w:color w:val="auto"/>
          <w:sz w:val="22"/>
          <w:szCs w:val="22"/>
        </w:rPr>
      </w:pPr>
    </w:p>
    <w:p w:rsidR="003542C2" w:rsidRDefault="003542C2" w:rsidP="003542C2">
      <w:pPr>
        <w:autoSpaceDE w:val="0"/>
        <w:autoSpaceDN w:val="0"/>
        <w:adjustRightInd w:val="0"/>
        <w:spacing w:after="0" w:line="276" w:lineRule="auto"/>
        <w:jc w:val="both"/>
        <w:rPr>
          <w:rFonts w:ascii="Arial" w:hAnsi="Arial" w:cs="Arial"/>
          <w:color w:val="000000"/>
        </w:rPr>
      </w:pPr>
      <w:r w:rsidRPr="00BE1346">
        <w:rPr>
          <w:rFonts w:ascii="Arial" w:hAnsi="Arial" w:cs="Arial"/>
          <w:color w:val="000000"/>
        </w:rPr>
        <w:t>La entidad, a través de la Dirección de Infraestructura</w:t>
      </w:r>
      <w:r w:rsidR="00321DC4">
        <w:rPr>
          <w:rFonts w:ascii="Arial" w:hAnsi="Arial" w:cs="Arial"/>
          <w:color w:val="000000"/>
        </w:rPr>
        <w:t xml:space="preserve"> </w:t>
      </w:r>
      <w:r w:rsidRPr="00BE1346">
        <w:rPr>
          <w:rFonts w:ascii="Arial" w:hAnsi="Arial" w:cs="Arial"/>
          <w:color w:val="000000"/>
        </w:rPr>
        <w:t>Aeroportuaria,</w:t>
      </w:r>
      <w:r w:rsidR="00321DC4">
        <w:rPr>
          <w:rFonts w:ascii="Arial" w:hAnsi="Arial" w:cs="Arial"/>
          <w:color w:val="000000"/>
        </w:rPr>
        <w:t xml:space="preserve"> </w:t>
      </w:r>
      <w:r w:rsidRPr="00BE1346">
        <w:rPr>
          <w:rFonts w:ascii="Arial" w:hAnsi="Arial" w:cs="Arial"/>
          <w:color w:val="000000"/>
        </w:rPr>
        <w:t xml:space="preserve">establece criterios de calidad y experiencia para la contratación de </w:t>
      </w:r>
      <w:r w:rsidRPr="00A57964">
        <w:rPr>
          <w:rFonts w:ascii="Arial" w:hAnsi="Arial" w:cs="Arial"/>
          <w:b/>
          <w:color w:val="000000"/>
        </w:rPr>
        <w:t>Consultorías de Interventoría</w:t>
      </w:r>
      <w:r>
        <w:rPr>
          <w:rFonts w:ascii="Arial" w:hAnsi="Arial" w:cs="Arial"/>
          <w:b/>
          <w:color w:val="000000"/>
        </w:rPr>
        <w:t>,</w:t>
      </w:r>
      <w:r w:rsidRPr="00BE1346">
        <w:rPr>
          <w:rFonts w:ascii="Arial" w:hAnsi="Arial" w:cs="Arial"/>
          <w:color w:val="000000"/>
        </w:rPr>
        <w:t xml:space="preserve"> que garanticen la mayor efectividad sobre los temas de interés que promueve dicha contratación. </w:t>
      </w:r>
    </w:p>
    <w:p w:rsidR="003542C2" w:rsidRDefault="003542C2" w:rsidP="003542C2">
      <w:pPr>
        <w:autoSpaceDE w:val="0"/>
        <w:autoSpaceDN w:val="0"/>
        <w:adjustRightInd w:val="0"/>
        <w:spacing w:after="0" w:line="276" w:lineRule="auto"/>
        <w:jc w:val="both"/>
        <w:rPr>
          <w:rFonts w:ascii="Arial" w:hAnsi="Arial" w:cs="Arial"/>
        </w:rPr>
      </w:pPr>
      <w:r w:rsidRPr="00BE1346">
        <w:rPr>
          <w:rFonts w:ascii="Arial" w:hAnsi="Arial" w:cs="Arial"/>
          <w:color w:val="000000"/>
        </w:rPr>
        <w:t xml:space="preserve">Estos criterios de calidad y experiencia son de estricto cumplimiento por parte de los proponentes. </w:t>
      </w:r>
      <w:r w:rsidRPr="00BE1346">
        <w:rPr>
          <w:rFonts w:ascii="Arial" w:hAnsi="Arial" w:cs="Arial"/>
        </w:rPr>
        <w:t>Poseer la experiencia, el personal especialista y los equipos para el cumplimiento de los requerimientos técnicos plasmados en las especificaciones técnicas y demás pliegos suministrados en los concursos para la contratación, son requisitos no subsanable</w:t>
      </w:r>
      <w:r>
        <w:rPr>
          <w:rFonts w:ascii="Arial" w:hAnsi="Arial" w:cs="Arial"/>
        </w:rPr>
        <w:t>s al momento de contratar dicha</w:t>
      </w:r>
      <w:r w:rsidR="00321DC4">
        <w:rPr>
          <w:rFonts w:ascii="Arial" w:hAnsi="Arial" w:cs="Arial"/>
        </w:rPr>
        <w:t xml:space="preserve"> </w:t>
      </w:r>
      <w:r>
        <w:rPr>
          <w:rFonts w:ascii="Arial" w:hAnsi="Arial" w:cs="Arial"/>
          <w:b/>
        </w:rPr>
        <w:t>Interventoría</w:t>
      </w:r>
      <w:r>
        <w:rPr>
          <w:rFonts w:ascii="Arial" w:hAnsi="Arial" w:cs="Arial"/>
        </w:rPr>
        <w:t>.</w:t>
      </w:r>
    </w:p>
    <w:p w:rsidR="003542C2" w:rsidRDefault="003542C2" w:rsidP="003542C2">
      <w:pPr>
        <w:autoSpaceDE w:val="0"/>
        <w:autoSpaceDN w:val="0"/>
        <w:adjustRightInd w:val="0"/>
        <w:spacing w:after="0" w:line="276" w:lineRule="auto"/>
        <w:jc w:val="both"/>
        <w:rPr>
          <w:rFonts w:ascii="Arial" w:hAnsi="Arial" w:cs="Arial"/>
        </w:rPr>
      </w:pPr>
    </w:p>
    <w:p w:rsidR="003542C2" w:rsidRPr="00742C0B" w:rsidRDefault="003542C2" w:rsidP="003542C2">
      <w:pPr>
        <w:autoSpaceDE w:val="0"/>
        <w:autoSpaceDN w:val="0"/>
        <w:adjustRightInd w:val="0"/>
        <w:spacing w:after="0" w:line="276" w:lineRule="auto"/>
        <w:jc w:val="both"/>
        <w:rPr>
          <w:rFonts w:ascii="Arial" w:hAnsi="Arial" w:cs="Arial"/>
        </w:rPr>
      </w:pPr>
      <w:r w:rsidRPr="00742C0B">
        <w:rPr>
          <w:rFonts w:ascii="Arial" w:hAnsi="Arial" w:cs="Arial"/>
        </w:rPr>
        <w:t xml:space="preserve">En el caso de las </w:t>
      </w:r>
      <w:r>
        <w:rPr>
          <w:rFonts w:ascii="Arial" w:hAnsi="Arial" w:cs="Arial"/>
        </w:rPr>
        <w:t xml:space="preserve">obras de mantenimiento </w:t>
      </w:r>
      <w:r w:rsidRPr="00742C0B">
        <w:rPr>
          <w:rFonts w:ascii="Arial" w:hAnsi="Arial" w:cs="Arial"/>
        </w:rPr>
        <w:t>para obras civiles</w:t>
      </w:r>
      <w:r>
        <w:rPr>
          <w:rFonts w:ascii="Arial" w:hAnsi="Arial" w:cs="Arial"/>
        </w:rPr>
        <w:t xml:space="preserve">, y en especial para infraestructura Aeroportuaria Lado Aire, </w:t>
      </w:r>
      <w:r w:rsidRPr="00742C0B">
        <w:rPr>
          <w:rFonts w:ascii="Arial" w:hAnsi="Arial" w:cs="Arial"/>
        </w:rPr>
        <w:t xml:space="preserve">se realizan </w:t>
      </w:r>
      <w:r>
        <w:rPr>
          <w:rFonts w:ascii="Arial" w:hAnsi="Arial" w:cs="Arial"/>
        </w:rPr>
        <w:t xml:space="preserve">actividades </w:t>
      </w:r>
      <w:r w:rsidRPr="00742C0B">
        <w:rPr>
          <w:rFonts w:ascii="Arial" w:hAnsi="Arial" w:cs="Arial"/>
        </w:rPr>
        <w:t xml:space="preserve">con el fin de </w:t>
      </w:r>
      <w:r>
        <w:rPr>
          <w:rFonts w:ascii="Arial" w:hAnsi="Arial" w:cs="Arial"/>
        </w:rPr>
        <w:t>mantener o mejorar la prestación del servicio y mantener la seguridad aeroportuaria</w:t>
      </w:r>
      <w:r w:rsidRPr="00742C0B">
        <w:rPr>
          <w:rFonts w:ascii="Arial" w:hAnsi="Arial" w:cs="Arial"/>
        </w:rPr>
        <w:t xml:space="preserve">; de acuerdo a lo anterior, la entidad </w:t>
      </w:r>
      <w:r>
        <w:rPr>
          <w:rFonts w:ascii="Arial" w:hAnsi="Arial" w:cs="Arial"/>
        </w:rPr>
        <w:t>ha requ</w:t>
      </w:r>
      <w:r w:rsidRPr="00742C0B">
        <w:rPr>
          <w:rFonts w:ascii="Arial" w:hAnsi="Arial" w:cs="Arial"/>
        </w:rPr>
        <w:t>er</w:t>
      </w:r>
      <w:r>
        <w:rPr>
          <w:rFonts w:ascii="Arial" w:hAnsi="Arial" w:cs="Arial"/>
        </w:rPr>
        <w:t>ido</w:t>
      </w:r>
      <w:r w:rsidRPr="00742C0B">
        <w:rPr>
          <w:rFonts w:ascii="Arial" w:hAnsi="Arial" w:cs="Arial"/>
        </w:rPr>
        <w:t xml:space="preserve"> los servicios de </w:t>
      </w:r>
      <w:r>
        <w:rPr>
          <w:rFonts w:ascii="Arial" w:hAnsi="Arial" w:cs="Arial"/>
        </w:rPr>
        <w:t>un contratista de Obras de mantenimiento que realice el mantenimiento la pista, plataformas, calles de  rodamiento, drenajes y cerramiento perimetral</w:t>
      </w:r>
      <w:r w:rsidRPr="00742C0B">
        <w:rPr>
          <w:rFonts w:ascii="Arial" w:hAnsi="Arial" w:cs="Arial"/>
        </w:rPr>
        <w:t xml:space="preserve">; </w:t>
      </w:r>
      <w:r>
        <w:rPr>
          <w:rFonts w:ascii="Arial" w:hAnsi="Arial" w:cs="Arial"/>
        </w:rPr>
        <w:t xml:space="preserve">por lo cual también se desarrolla el proceso de estructuración de la Interventoría que realice el seguimiento a las actividades de mantenimiento a desarrollar, dentro de lo cual se deben tener en cuenta factores y actividades como: </w:t>
      </w:r>
    </w:p>
    <w:p w:rsidR="003542C2" w:rsidRDefault="003542C2" w:rsidP="003542C2">
      <w:pPr>
        <w:pStyle w:val="Textonotapie"/>
        <w:jc w:val="both"/>
        <w:rPr>
          <w:rFonts w:ascii="Arial" w:eastAsia="HelveticaNeue-Light" w:hAnsi="Arial" w:cs="Arial"/>
          <w:color w:val="333333"/>
          <w:sz w:val="24"/>
        </w:rPr>
      </w:pPr>
    </w:p>
    <w:p w:rsidR="003542C2" w:rsidRPr="00A84D2B" w:rsidRDefault="003542C2" w:rsidP="003542C2">
      <w:pPr>
        <w:pStyle w:val="Prrafodelista"/>
        <w:numPr>
          <w:ilvl w:val="0"/>
          <w:numId w:val="40"/>
        </w:numPr>
        <w:spacing w:after="160" w:line="259" w:lineRule="auto"/>
        <w:jc w:val="both"/>
        <w:rPr>
          <w:rFonts w:ascii="Arial" w:hAnsi="Arial" w:cs="Arial"/>
          <w:sz w:val="22"/>
          <w:szCs w:val="22"/>
        </w:rPr>
      </w:pPr>
      <w:r w:rsidRPr="00A84D2B">
        <w:rPr>
          <w:rFonts w:ascii="Arial" w:eastAsia="HelveticaNeue-Light" w:hAnsi="Arial" w:cs="Arial"/>
          <w:color w:val="333333"/>
          <w:sz w:val="22"/>
          <w:szCs w:val="22"/>
          <w:u w:val="single"/>
        </w:rPr>
        <w:t xml:space="preserve">Levantamiento Topográfico: </w:t>
      </w:r>
      <w:r w:rsidRPr="00A84D2B">
        <w:rPr>
          <w:rFonts w:ascii="Arial" w:eastAsia="HelveticaNeue-Light" w:hAnsi="Arial" w:cs="Arial"/>
          <w:color w:val="333333"/>
          <w:sz w:val="22"/>
          <w:szCs w:val="22"/>
        </w:rPr>
        <w:t>Para los sitios críticos se realizará el levantamiento topográfico, que abarque la zona afectada y se presentarán planos con curvas de nivel entre uno y cinco metros o a mayor detalle, según sea el caso, con el fin de representar gráficamente las características del relieve del área de estudio.</w:t>
      </w:r>
    </w:p>
    <w:p w:rsidR="003542C2" w:rsidRPr="00A84D2B" w:rsidRDefault="003542C2" w:rsidP="003542C2">
      <w:pPr>
        <w:pStyle w:val="Prrafodelista"/>
        <w:ind w:left="780"/>
        <w:jc w:val="both"/>
        <w:rPr>
          <w:rFonts w:ascii="Arial" w:hAnsi="Arial" w:cs="Arial"/>
          <w:sz w:val="22"/>
          <w:szCs w:val="22"/>
        </w:rPr>
      </w:pPr>
    </w:p>
    <w:p w:rsidR="003542C2" w:rsidRPr="00A84D2B" w:rsidRDefault="003542C2" w:rsidP="003542C2">
      <w:pPr>
        <w:pStyle w:val="Prrafodelista"/>
        <w:numPr>
          <w:ilvl w:val="0"/>
          <w:numId w:val="40"/>
        </w:numPr>
        <w:spacing w:after="160" w:line="259" w:lineRule="auto"/>
        <w:jc w:val="both"/>
        <w:rPr>
          <w:rFonts w:ascii="Arial" w:eastAsia="HelveticaNeue-Light" w:hAnsi="Arial" w:cs="Arial"/>
          <w:color w:val="333333"/>
          <w:sz w:val="22"/>
          <w:szCs w:val="22"/>
        </w:rPr>
      </w:pPr>
      <w:r w:rsidRPr="00A84D2B">
        <w:rPr>
          <w:rFonts w:ascii="Arial" w:eastAsia="HelveticaNeue-Light" w:hAnsi="Arial" w:cs="Arial"/>
          <w:color w:val="333333"/>
          <w:sz w:val="22"/>
          <w:szCs w:val="22"/>
          <w:u w:val="single"/>
        </w:rPr>
        <w:t>Hidráulica, hidróloga y socavación:</w:t>
      </w:r>
      <w:r w:rsidRPr="00A84D2B">
        <w:rPr>
          <w:rFonts w:ascii="Arial" w:eastAsia="HelveticaNeue-Light" w:hAnsi="Arial" w:cs="Arial"/>
          <w:color w:val="333333"/>
          <w:sz w:val="22"/>
          <w:szCs w:val="22"/>
        </w:rPr>
        <w:t xml:space="preserve"> Se debe realizar el análisis de las obras de drenaje superficial y sub-superficial, de forma cualitativa y cuantitativamente la cantidad de agua superficial y sub-superficial del área de influencia directa e indirecta del proyecto para realizar los respectivos análisis y diseños. </w:t>
      </w:r>
    </w:p>
    <w:p w:rsidR="003542C2" w:rsidRPr="00A84D2B" w:rsidRDefault="003542C2" w:rsidP="003542C2">
      <w:pPr>
        <w:pStyle w:val="Prrafodelista"/>
        <w:rPr>
          <w:rFonts w:ascii="Arial" w:eastAsia="HelveticaNeue-Light" w:hAnsi="Arial" w:cs="Arial"/>
          <w:color w:val="333333"/>
          <w:sz w:val="22"/>
          <w:szCs w:val="22"/>
        </w:rPr>
      </w:pPr>
    </w:p>
    <w:p w:rsidR="003542C2" w:rsidRDefault="003542C2" w:rsidP="003542C2">
      <w:pPr>
        <w:pStyle w:val="Prrafodelista"/>
        <w:numPr>
          <w:ilvl w:val="0"/>
          <w:numId w:val="40"/>
        </w:numPr>
        <w:spacing w:after="160" w:line="259" w:lineRule="auto"/>
        <w:jc w:val="both"/>
        <w:rPr>
          <w:rFonts w:ascii="Arial" w:eastAsia="HelveticaNeue-Light" w:hAnsi="Arial" w:cs="Arial"/>
          <w:color w:val="333333"/>
          <w:sz w:val="22"/>
          <w:szCs w:val="22"/>
        </w:rPr>
      </w:pPr>
      <w:r w:rsidRPr="00A84D2B">
        <w:rPr>
          <w:rFonts w:ascii="Arial" w:eastAsia="HelveticaNeue-Light" w:hAnsi="Arial" w:cs="Arial"/>
          <w:color w:val="333333"/>
          <w:sz w:val="22"/>
          <w:szCs w:val="22"/>
          <w:u w:val="single"/>
        </w:rPr>
        <w:t xml:space="preserve">Estudio Hidrológico: </w:t>
      </w:r>
      <w:r w:rsidRPr="00A84D2B">
        <w:rPr>
          <w:rFonts w:ascii="Arial" w:eastAsia="HelveticaNeue-Light" w:hAnsi="Arial" w:cs="Arial"/>
          <w:color w:val="333333"/>
          <w:sz w:val="22"/>
          <w:szCs w:val="22"/>
        </w:rPr>
        <w:t>La finalidad es el diseño para la construcción de estructuras de capacidad apropiada utilizando los caudales generados en el estudio hidrológico. Las estructuras pueden ser de desvío, control, protección y remoción.</w:t>
      </w:r>
    </w:p>
    <w:p w:rsidR="003542C2" w:rsidRPr="00B70262" w:rsidRDefault="003542C2" w:rsidP="003542C2">
      <w:pPr>
        <w:pStyle w:val="Prrafodelista"/>
        <w:rPr>
          <w:rFonts w:ascii="Arial" w:eastAsia="HelveticaNeue-Light" w:hAnsi="Arial" w:cs="Arial"/>
          <w:color w:val="333333"/>
          <w:sz w:val="22"/>
          <w:szCs w:val="22"/>
        </w:rPr>
      </w:pPr>
    </w:p>
    <w:p w:rsidR="003542C2" w:rsidRDefault="003542C2" w:rsidP="003542C2">
      <w:pPr>
        <w:pStyle w:val="Prrafodelista"/>
        <w:numPr>
          <w:ilvl w:val="0"/>
          <w:numId w:val="40"/>
        </w:numPr>
        <w:spacing w:after="160" w:line="259" w:lineRule="auto"/>
        <w:jc w:val="both"/>
        <w:rPr>
          <w:rFonts w:ascii="Arial" w:eastAsia="HelveticaNeue-Light" w:hAnsi="Arial" w:cs="Arial"/>
          <w:color w:val="333333"/>
          <w:sz w:val="22"/>
          <w:szCs w:val="22"/>
        </w:rPr>
      </w:pPr>
      <w:r w:rsidRPr="00131FE8">
        <w:rPr>
          <w:rFonts w:ascii="Arial" w:eastAsia="HelveticaNeue-Light" w:hAnsi="Arial" w:cs="Arial"/>
          <w:color w:val="333333"/>
          <w:sz w:val="22"/>
          <w:szCs w:val="22"/>
          <w:u w:val="single"/>
        </w:rPr>
        <w:t>Pavimento</w:t>
      </w:r>
      <w:r>
        <w:rPr>
          <w:rFonts w:ascii="Arial" w:eastAsia="HelveticaNeue-Light" w:hAnsi="Arial" w:cs="Arial"/>
          <w:color w:val="333333"/>
          <w:sz w:val="22"/>
          <w:szCs w:val="22"/>
        </w:rPr>
        <w:t>: conjunto racional de capas granulares, protegidas de la intemperie por una capa de rodadura que permiten ofrecer unas condiciones de transito seguras al tránsito y circulación de vehículos en este caso aeronaves.</w:t>
      </w:r>
    </w:p>
    <w:p w:rsidR="003542C2" w:rsidRPr="00692E7A" w:rsidRDefault="003542C2" w:rsidP="003542C2">
      <w:pPr>
        <w:pStyle w:val="Prrafodelista"/>
        <w:rPr>
          <w:rFonts w:ascii="Arial" w:eastAsia="HelveticaNeue-Light" w:hAnsi="Arial" w:cs="Arial"/>
          <w:color w:val="333333"/>
          <w:sz w:val="22"/>
          <w:szCs w:val="22"/>
        </w:rPr>
      </w:pPr>
    </w:p>
    <w:p w:rsidR="003542C2" w:rsidRDefault="003542C2" w:rsidP="003542C2">
      <w:pPr>
        <w:pStyle w:val="Prrafodelista"/>
        <w:numPr>
          <w:ilvl w:val="0"/>
          <w:numId w:val="40"/>
        </w:numPr>
        <w:spacing w:after="160" w:line="259" w:lineRule="auto"/>
        <w:jc w:val="both"/>
        <w:rPr>
          <w:rFonts w:ascii="Arial" w:eastAsia="HelveticaNeue-Light" w:hAnsi="Arial" w:cs="Arial"/>
          <w:color w:val="333333"/>
          <w:sz w:val="22"/>
          <w:szCs w:val="22"/>
        </w:rPr>
      </w:pPr>
      <w:r w:rsidRPr="00131FE8">
        <w:rPr>
          <w:rFonts w:ascii="Arial" w:eastAsia="HelveticaNeue-Light" w:hAnsi="Arial" w:cs="Arial"/>
          <w:color w:val="333333"/>
          <w:sz w:val="22"/>
          <w:szCs w:val="22"/>
          <w:u w:val="single"/>
        </w:rPr>
        <w:t>Demarcación;</w:t>
      </w:r>
      <w:r>
        <w:rPr>
          <w:rFonts w:ascii="Arial" w:eastAsia="HelveticaNeue-Light" w:hAnsi="Arial" w:cs="Arial"/>
          <w:color w:val="333333"/>
          <w:sz w:val="22"/>
          <w:szCs w:val="22"/>
        </w:rPr>
        <w:t xml:space="preserve"> señalización con al que debe contar una estructura de circulación para orientar al usuario.</w:t>
      </w:r>
    </w:p>
    <w:p w:rsidR="003542C2" w:rsidRPr="008212A1" w:rsidRDefault="003542C2" w:rsidP="003542C2">
      <w:pPr>
        <w:pStyle w:val="Prrafodelista"/>
        <w:rPr>
          <w:rFonts w:ascii="Arial" w:eastAsia="HelveticaNeue-Light" w:hAnsi="Arial" w:cs="Arial"/>
          <w:color w:val="333333"/>
          <w:sz w:val="22"/>
          <w:szCs w:val="22"/>
        </w:rPr>
      </w:pPr>
    </w:p>
    <w:p w:rsidR="003542C2" w:rsidRPr="00131FE8" w:rsidRDefault="003542C2" w:rsidP="003542C2">
      <w:pPr>
        <w:pStyle w:val="Prrafodelista"/>
        <w:numPr>
          <w:ilvl w:val="0"/>
          <w:numId w:val="40"/>
        </w:numPr>
        <w:spacing w:after="160" w:line="259" w:lineRule="auto"/>
        <w:jc w:val="both"/>
        <w:rPr>
          <w:rFonts w:ascii="Arial" w:eastAsia="HelveticaNeue-Light" w:hAnsi="Arial" w:cs="Arial"/>
          <w:color w:val="333333"/>
          <w:sz w:val="22"/>
          <w:szCs w:val="22"/>
        </w:rPr>
      </w:pPr>
      <w:r w:rsidRPr="00131FE8">
        <w:rPr>
          <w:rFonts w:ascii="Arial" w:eastAsia="HelveticaNeue-Light" w:hAnsi="Arial" w:cs="Arial"/>
          <w:color w:val="333333"/>
          <w:sz w:val="22"/>
          <w:szCs w:val="22"/>
          <w:u w:val="single"/>
        </w:rPr>
        <w:t>Personal Requerido:</w:t>
      </w:r>
      <w:r w:rsidRPr="00131FE8">
        <w:rPr>
          <w:rFonts w:ascii="Arial" w:eastAsia="HelveticaNeue-Light" w:hAnsi="Arial" w:cs="Arial"/>
          <w:color w:val="333333"/>
          <w:sz w:val="22"/>
          <w:szCs w:val="22"/>
        </w:rPr>
        <w:t xml:space="preserve"> Para el desarrollo de cada actividad, es necesario contar con un equipo de personal que tenga conocimientos o experticia relacionada en el área del conocimiento a intervenir, a fin de garantizar el logro del objetivo; para el caso de la Interventoría de obras de Mantenimiento, es de vital importancia que el equipo orientado por un Director de proyecto, cuente con un Ing. Especialista en Pavimentos y acompañado por un Especialista Hidráulico, los cuales</w:t>
      </w:r>
      <w:r>
        <w:rPr>
          <w:rFonts w:ascii="Arial" w:eastAsia="HelveticaNeue-Light" w:hAnsi="Arial" w:cs="Arial"/>
          <w:color w:val="333333"/>
          <w:sz w:val="22"/>
          <w:szCs w:val="22"/>
        </w:rPr>
        <w:t xml:space="preserve"> complementan</w:t>
      </w:r>
      <w:r w:rsidRPr="00131FE8">
        <w:rPr>
          <w:rFonts w:ascii="Arial" w:eastAsia="HelveticaNeue-Light" w:hAnsi="Arial" w:cs="Arial"/>
          <w:color w:val="333333"/>
          <w:sz w:val="22"/>
          <w:szCs w:val="22"/>
        </w:rPr>
        <w:t xml:space="preserve"> su conocimiento con la experticia de un ing. Residente y un Ing. Ambiental, los cuales realizaran el seguimiento en campo, apoyados de un</w:t>
      </w:r>
      <w:r>
        <w:rPr>
          <w:rFonts w:ascii="Arial" w:eastAsia="HelveticaNeue-Light" w:hAnsi="Arial" w:cs="Arial"/>
          <w:color w:val="333333"/>
          <w:sz w:val="22"/>
          <w:szCs w:val="22"/>
        </w:rPr>
        <w:t>a comisión de T</w:t>
      </w:r>
      <w:r w:rsidRPr="00131FE8">
        <w:rPr>
          <w:rFonts w:ascii="Arial" w:eastAsia="HelveticaNeue-Light" w:hAnsi="Arial" w:cs="Arial"/>
          <w:color w:val="333333"/>
          <w:sz w:val="22"/>
          <w:szCs w:val="22"/>
        </w:rPr>
        <w:t>opografía</w:t>
      </w:r>
      <w:r>
        <w:rPr>
          <w:rFonts w:ascii="Arial" w:eastAsia="HelveticaNeue-Light" w:hAnsi="Arial" w:cs="Arial"/>
          <w:color w:val="333333"/>
          <w:sz w:val="22"/>
          <w:szCs w:val="22"/>
        </w:rPr>
        <w:t xml:space="preserve"> y</w:t>
      </w:r>
      <w:r w:rsidRPr="00131FE8">
        <w:rPr>
          <w:rFonts w:ascii="Arial" w:eastAsia="HelveticaNeue-Light" w:hAnsi="Arial" w:cs="Arial"/>
          <w:color w:val="333333"/>
          <w:sz w:val="22"/>
          <w:szCs w:val="22"/>
        </w:rPr>
        <w:t xml:space="preserve"> un inspector SISOMA</w:t>
      </w:r>
      <w:r>
        <w:rPr>
          <w:rFonts w:ascii="Arial" w:eastAsia="HelveticaNeue-Light" w:hAnsi="Arial" w:cs="Arial"/>
          <w:color w:val="333333"/>
          <w:sz w:val="22"/>
          <w:szCs w:val="22"/>
        </w:rPr>
        <w:t>, con sustento de un Ingeniero Auxiliar</w:t>
      </w:r>
      <w:r w:rsidRPr="00131FE8">
        <w:rPr>
          <w:rFonts w:ascii="Arial" w:eastAsia="HelveticaNeue-Light" w:hAnsi="Arial" w:cs="Arial"/>
          <w:color w:val="333333"/>
          <w:sz w:val="22"/>
          <w:szCs w:val="22"/>
        </w:rPr>
        <w:t xml:space="preserve">. </w:t>
      </w:r>
    </w:p>
    <w:p w:rsidR="003542C2" w:rsidRDefault="003542C2" w:rsidP="003542C2">
      <w:pPr>
        <w:pStyle w:val="Prrafodelista"/>
        <w:numPr>
          <w:ilvl w:val="0"/>
          <w:numId w:val="40"/>
        </w:numPr>
        <w:spacing w:after="160" w:line="259" w:lineRule="auto"/>
        <w:jc w:val="both"/>
        <w:rPr>
          <w:rFonts w:ascii="Arial" w:eastAsia="HelveticaNeue-Light" w:hAnsi="Arial" w:cs="Arial"/>
          <w:color w:val="333333"/>
          <w:sz w:val="22"/>
          <w:szCs w:val="22"/>
        </w:rPr>
      </w:pPr>
      <w:r w:rsidRPr="00E23A59">
        <w:rPr>
          <w:rFonts w:ascii="Arial" w:eastAsia="HelveticaNeue-Light" w:hAnsi="Arial" w:cs="Arial"/>
          <w:color w:val="333333"/>
          <w:sz w:val="22"/>
          <w:szCs w:val="22"/>
          <w:u w:val="single"/>
        </w:rPr>
        <w:t>Equipos requeridos</w:t>
      </w:r>
      <w:r>
        <w:rPr>
          <w:rFonts w:ascii="Arial" w:eastAsia="HelveticaNeue-Light" w:hAnsi="Arial" w:cs="Arial"/>
          <w:color w:val="333333"/>
          <w:sz w:val="22"/>
          <w:szCs w:val="22"/>
        </w:rPr>
        <w:t>, el Control básica de campo debe desarrollarse mediante la inspección de infraestructura existente y a intervenir, mediante control de le levantamientos Topográficos y ensayos de Laboratorio a cada uno de los materiales utilizar.</w:t>
      </w:r>
    </w:p>
    <w:p w:rsidR="005D30C7" w:rsidRDefault="005D30C7" w:rsidP="005D30C7">
      <w:pPr>
        <w:pStyle w:val="Prrafodelista"/>
        <w:spacing w:after="160" w:line="259" w:lineRule="auto"/>
        <w:ind w:left="780"/>
        <w:jc w:val="both"/>
        <w:rPr>
          <w:rFonts w:ascii="Arial" w:eastAsia="HelveticaNeue-Light" w:hAnsi="Arial" w:cs="Arial"/>
          <w:color w:val="333333"/>
          <w:sz w:val="22"/>
          <w:szCs w:val="22"/>
          <w:u w:val="single"/>
        </w:rPr>
      </w:pPr>
    </w:p>
    <w:p w:rsidR="00CD156E" w:rsidRDefault="00CD156E" w:rsidP="00CD156E">
      <w:pPr>
        <w:jc w:val="both"/>
        <w:rPr>
          <w:rFonts w:ascii="Arial" w:eastAsia="HelveticaNeue-Light" w:hAnsi="Arial" w:cs="Arial"/>
          <w:color w:val="333333"/>
        </w:rPr>
      </w:pPr>
      <w:r>
        <w:rPr>
          <w:rFonts w:ascii="Arial" w:eastAsia="HelveticaNeue-Light" w:hAnsi="Arial" w:cs="Arial"/>
          <w:color w:val="333333"/>
        </w:rPr>
        <w:t>La conectividad que tiene el Municipio de Pitalito es óptima, actualmente cuenta con una vía Nacional en buenas condiciones y acceso de llegadas por medio aéreo.</w:t>
      </w:r>
    </w:p>
    <w:p w:rsidR="005D30C7" w:rsidRPr="00CD156E" w:rsidRDefault="00CD156E" w:rsidP="00CD156E">
      <w:pPr>
        <w:jc w:val="both"/>
        <w:rPr>
          <w:rFonts w:ascii="Arial" w:eastAsia="HelveticaNeue-Light" w:hAnsi="Arial" w:cs="Arial"/>
          <w:color w:val="333333"/>
        </w:rPr>
      </w:pPr>
      <w:r>
        <w:rPr>
          <w:rFonts w:ascii="Arial" w:eastAsia="HelveticaNeue-Light" w:hAnsi="Arial" w:cs="Arial"/>
          <w:color w:val="333333"/>
        </w:rPr>
        <w:t>En cuanto a equipos por las actividades propias del sector</w:t>
      </w:r>
      <w:r w:rsidR="00B10975">
        <w:rPr>
          <w:rFonts w:ascii="Arial" w:eastAsia="HelveticaNeue-Light" w:hAnsi="Arial" w:cs="Arial"/>
          <w:color w:val="333333"/>
        </w:rPr>
        <w:t>,</w:t>
      </w:r>
      <w:r>
        <w:rPr>
          <w:rFonts w:ascii="Arial" w:eastAsia="HelveticaNeue-Light" w:hAnsi="Arial" w:cs="Arial"/>
          <w:color w:val="333333"/>
        </w:rPr>
        <w:t xml:space="preserve"> se espera contar con un adecuado alquiler </w:t>
      </w:r>
      <w:r w:rsidR="00B10975">
        <w:rPr>
          <w:rFonts w:ascii="Arial" w:eastAsia="HelveticaNeue-Light" w:hAnsi="Arial" w:cs="Arial"/>
          <w:color w:val="333333"/>
        </w:rPr>
        <w:t>de transporte</w:t>
      </w:r>
      <w:r>
        <w:rPr>
          <w:rFonts w:ascii="Arial" w:eastAsia="HelveticaNeue-Light" w:hAnsi="Arial" w:cs="Arial"/>
          <w:color w:val="333333"/>
        </w:rPr>
        <w:t xml:space="preserve"> y equipos de Topografía.</w:t>
      </w:r>
    </w:p>
    <w:p w:rsidR="005D30C7" w:rsidRPr="00A84D2B" w:rsidRDefault="005D30C7" w:rsidP="005D30C7">
      <w:pPr>
        <w:pStyle w:val="Prrafodelista"/>
        <w:spacing w:after="160" w:line="259" w:lineRule="auto"/>
        <w:ind w:left="780"/>
        <w:jc w:val="both"/>
        <w:rPr>
          <w:rFonts w:ascii="Arial" w:eastAsia="HelveticaNeue-Light" w:hAnsi="Arial" w:cs="Arial"/>
          <w:color w:val="333333"/>
          <w:sz w:val="22"/>
          <w:szCs w:val="22"/>
        </w:rPr>
      </w:pPr>
    </w:p>
    <w:p w:rsidR="007D64DA" w:rsidRPr="00CD156E" w:rsidRDefault="00CD156E" w:rsidP="00CD156E">
      <w:pPr>
        <w:pStyle w:val="Prrafodelista"/>
        <w:numPr>
          <w:ilvl w:val="0"/>
          <w:numId w:val="45"/>
        </w:numPr>
        <w:autoSpaceDE w:val="0"/>
        <w:autoSpaceDN w:val="0"/>
        <w:adjustRightInd w:val="0"/>
        <w:spacing w:line="276" w:lineRule="auto"/>
        <w:jc w:val="both"/>
        <w:rPr>
          <w:rFonts w:ascii="Arial" w:hAnsi="Arial" w:cs="Arial"/>
          <w:b/>
          <w:bCs/>
        </w:rPr>
      </w:pPr>
      <w:r>
        <w:rPr>
          <w:rFonts w:ascii="Arial" w:hAnsi="Arial" w:cs="Arial"/>
          <w:b/>
          <w:bCs/>
        </w:rPr>
        <w:t>ASPECTOS LEGALES O REGULATORIOS</w:t>
      </w:r>
    </w:p>
    <w:p w:rsidR="007D64DA" w:rsidRPr="00BE1346" w:rsidRDefault="007D64DA" w:rsidP="007D64DA">
      <w:pPr>
        <w:autoSpaceDE w:val="0"/>
        <w:autoSpaceDN w:val="0"/>
        <w:adjustRightInd w:val="0"/>
        <w:spacing w:after="0" w:line="276" w:lineRule="auto"/>
        <w:jc w:val="both"/>
        <w:rPr>
          <w:rFonts w:ascii="Arial" w:hAnsi="Arial" w:cs="Arial"/>
        </w:rPr>
      </w:pPr>
    </w:p>
    <w:p w:rsidR="00B10975" w:rsidRDefault="00B10975" w:rsidP="00B10975">
      <w:pPr>
        <w:pStyle w:val="Textonotapie"/>
        <w:jc w:val="both"/>
        <w:rPr>
          <w:rFonts w:ascii="Arial" w:eastAsia="HelveticaNeue-Light" w:hAnsi="Arial" w:cs="Arial"/>
          <w:color w:val="333333"/>
          <w:sz w:val="24"/>
        </w:rPr>
      </w:pPr>
      <w:r>
        <w:rPr>
          <w:rFonts w:ascii="Arial" w:eastAsia="HelveticaNeue-Light" w:hAnsi="Arial" w:cs="Arial"/>
          <w:color w:val="333333"/>
          <w:sz w:val="24"/>
        </w:rPr>
        <w:t xml:space="preserve">Es esta sesión solo se retomará los requisitos legales que rigen la industria de la construcción y Consultoría; ya que las demás normas que aplican a las empresas que pretenden realizar actividades económicas en Colombia son abordadas en los requisitos habilitantes y en la sesión de acuerdos internacionales.  </w:t>
      </w:r>
    </w:p>
    <w:p w:rsidR="00B10975" w:rsidRDefault="00B10975" w:rsidP="00B10975">
      <w:pPr>
        <w:pStyle w:val="Textonotapie"/>
        <w:jc w:val="both"/>
        <w:rPr>
          <w:rFonts w:ascii="Arial" w:eastAsia="HelveticaNeue-Light" w:hAnsi="Arial" w:cs="Arial"/>
          <w:color w:val="333333"/>
          <w:sz w:val="24"/>
        </w:rPr>
      </w:pPr>
    </w:p>
    <w:p w:rsidR="00B10975" w:rsidRDefault="00B10975" w:rsidP="00B10975">
      <w:pPr>
        <w:pStyle w:val="Textonotapie"/>
        <w:jc w:val="both"/>
        <w:rPr>
          <w:rFonts w:ascii="Arial" w:eastAsia="HelveticaNeue-Light" w:hAnsi="Arial" w:cs="Arial"/>
          <w:color w:val="333333"/>
          <w:sz w:val="24"/>
        </w:rPr>
      </w:pPr>
      <w:r>
        <w:rPr>
          <w:rFonts w:ascii="Arial" w:eastAsia="HelveticaNeue-Light" w:hAnsi="Arial" w:cs="Arial"/>
          <w:color w:val="333333"/>
          <w:sz w:val="24"/>
        </w:rPr>
        <w:t xml:space="preserve">La aeronáutica civil, destaca el siguiente compendio de normas en sus procesos de construcción, mantenimiento y/o adecuación de infraestructura aeroportuaria: </w:t>
      </w:r>
    </w:p>
    <w:p w:rsidR="00B10975" w:rsidRDefault="00B10975" w:rsidP="00B10975">
      <w:pPr>
        <w:pStyle w:val="Textonotapie"/>
        <w:jc w:val="center"/>
        <w:rPr>
          <w:rFonts w:ascii="Arial" w:eastAsia="HelveticaNeue-Light" w:hAnsi="Arial" w:cs="Arial"/>
          <w:color w:val="333333"/>
          <w:sz w:val="24"/>
        </w:rPr>
      </w:pPr>
    </w:p>
    <w:tbl>
      <w:tblPr>
        <w:tblStyle w:val="Tabladecuadrcula4-nfasis61"/>
        <w:tblW w:w="8926" w:type="dxa"/>
        <w:tblLook w:val="04A0" w:firstRow="1" w:lastRow="0" w:firstColumn="1" w:lastColumn="0" w:noHBand="0" w:noVBand="1"/>
      </w:tblPr>
      <w:tblGrid>
        <w:gridCol w:w="461"/>
        <w:gridCol w:w="8465"/>
      </w:tblGrid>
      <w:tr w:rsidR="00B10975" w:rsidRPr="004B769A" w:rsidTr="00712042">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8926" w:type="dxa"/>
            <w:gridSpan w:val="2"/>
          </w:tcPr>
          <w:p w:rsidR="00B10975" w:rsidRPr="004B769A" w:rsidRDefault="00B10975" w:rsidP="00712042">
            <w:pPr>
              <w:pStyle w:val="Textonotapie"/>
              <w:jc w:val="center"/>
              <w:rPr>
                <w:rFonts w:ascii="Arial" w:eastAsia="HelveticaNeue-Light" w:hAnsi="Arial" w:cs="Arial"/>
                <w:color w:val="333333"/>
                <w:sz w:val="8"/>
                <w:szCs w:val="22"/>
              </w:rPr>
            </w:pPr>
          </w:p>
          <w:p w:rsidR="00B10975" w:rsidRPr="004B769A" w:rsidRDefault="00B10975" w:rsidP="00712042">
            <w:pPr>
              <w:pStyle w:val="Textonotapie"/>
              <w:jc w:val="center"/>
              <w:rPr>
                <w:rFonts w:ascii="Arial" w:eastAsia="HelveticaNeue-Light" w:hAnsi="Arial" w:cs="Arial"/>
                <w:color w:val="333333"/>
                <w:sz w:val="22"/>
                <w:szCs w:val="22"/>
              </w:rPr>
            </w:pPr>
            <w:r w:rsidRPr="004B769A">
              <w:rPr>
                <w:rFonts w:ascii="Arial" w:eastAsia="HelveticaNeue-Light" w:hAnsi="Arial" w:cs="Arial"/>
                <w:color w:val="333333"/>
                <w:sz w:val="22"/>
                <w:szCs w:val="22"/>
              </w:rPr>
              <w:t xml:space="preserve">Compendio de normas </w:t>
            </w:r>
            <w:r>
              <w:rPr>
                <w:rFonts w:ascii="Arial" w:eastAsia="HelveticaNeue-Light" w:hAnsi="Arial" w:cs="Arial"/>
                <w:color w:val="333333"/>
                <w:sz w:val="22"/>
                <w:szCs w:val="22"/>
              </w:rPr>
              <w:t xml:space="preserve">– </w:t>
            </w:r>
            <w:r w:rsidRPr="004B769A">
              <w:rPr>
                <w:rFonts w:ascii="Arial" w:eastAsia="HelveticaNeue-Light" w:hAnsi="Arial" w:cs="Arial"/>
                <w:color w:val="333333"/>
                <w:sz w:val="22"/>
                <w:szCs w:val="22"/>
              </w:rPr>
              <w:t>Industria</w:t>
            </w:r>
            <w:r>
              <w:rPr>
                <w:rFonts w:ascii="Arial" w:eastAsia="HelveticaNeue-Light" w:hAnsi="Arial" w:cs="Arial"/>
                <w:color w:val="333333"/>
                <w:sz w:val="22"/>
                <w:szCs w:val="22"/>
              </w:rPr>
              <w:t xml:space="preserve"> </w:t>
            </w:r>
            <w:r w:rsidRPr="004B769A">
              <w:rPr>
                <w:rFonts w:ascii="Arial" w:eastAsia="HelveticaNeue-Light" w:hAnsi="Arial" w:cs="Arial"/>
                <w:color w:val="333333"/>
                <w:sz w:val="22"/>
                <w:szCs w:val="22"/>
              </w:rPr>
              <w:t>de la Construcción</w:t>
            </w:r>
          </w:p>
        </w:tc>
      </w:tr>
      <w:tr w:rsidR="00B10975" w:rsidRPr="004B769A" w:rsidTr="00712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tcPr>
          <w:p w:rsidR="00B10975" w:rsidRPr="004B769A" w:rsidRDefault="00B10975" w:rsidP="00712042">
            <w:pPr>
              <w:pStyle w:val="Default"/>
              <w:jc w:val="right"/>
              <w:rPr>
                <w:sz w:val="22"/>
                <w:szCs w:val="22"/>
              </w:rPr>
            </w:pPr>
            <w:r w:rsidRPr="004B769A">
              <w:rPr>
                <w:bCs w:val="0"/>
                <w:sz w:val="22"/>
                <w:szCs w:val="22"/>
              </w:rPr>
              <w:t xml:space="preserve">1 </w:t>
            </w:r>
          </w:p>
        </w:tc>
        <w:tc>
          <w:tcPr>
            <w:tcW w:w="8505" w:type="dxa"/>
          </w:tcPr>
          <w:p w:rsidR="00B10975" w:rsidRPr="004B769A" w:rsidRDefault="00B10975" w:rsidP="00712042">
            <w:pPr>
              <w:pStyle w:val="Default"/>
              <w:jc w:val="both"/>
              <w:cnfStyle w:val="000000100000" w:firstRow="0" w:lastRow="0" w:firstColumn="0" w:lastColumn="0" w:oddVBand="0" w:evenVBand="0" w:oddHBand="1" w:evenHBand="0" w:firstRowFirstColumn="0" w:firstRowLastColumn="0" w:lastRowFirstColumn="0" w:lastRowLastColumn="0"/>
              <w:rPr>
                <w:sz w:val="22"/>
                <w:szCs w:val="22"/>
              </w:rPr>
            </w:pPr>
            <w:r w:rsidRPr="004B769A">
              <w:rPr>
                <w:sz w:val="22"/>
                <w:szCs w:val="22"/>
              </w:rPr>
              <w:t xml:space="preserve">Ley 400 de 1997 - Por el cual se adoptan normas sobre construcciones sismo resistente. </w:t>
            </w:r>
          </w:p>
        </w:tc>
      </w:tr>
      <w:tr w:rsidR="00B10975" w:rsidRPr="004B769A" w:rsidTr="00712042">
        <w:tc>
          <w:tcPr>
            <w:cnfStyle w:val="001000000000" w:firstRow="0" w:lastRow="0" w:firstColumn="1" w:lastColumn="0" w:oddVBand="0" w:evenVBand="0" w:oddHBand="0" w:evenHBand="0" w:firstRowFirstColumn="0" w:firstRowLastColumn="0" w:lastRowFirstColumn="0" w:lastRowLastColumn="0"/>
            <w:tcW w:w="421" w:type="dxa"/>
          </w:tcPr>
          <w:p w:rsidR="00B10975" w:rsidRPr="004B769A" w:rsidRDefault="00B10975" w:rsidP="00712042">
            <w:pPr>
              <w:pStyle w:val="Default"/>
              <w:jc w:val="right"/>
              <w:rPr>
                <w:sz w:val="22"/>
                <w:szCs w:val="22"/>
              </w:rPr>
            </w:pPr>
            <w:r w:rsidRPr="004B769A">
              <w:rPr>
                <w:bCs w:val="0"/>
                <w:sz w:val="22"/>
                <w:szCs w:val="22"/>
              </w:rPr>
              <w:t xml:space="preserve">2 </w:t>
            </w:r>
          </w:p>
        </w:tc>
        <w:tc>
          <w:tcPr>
            <w:tcW w:w="8505" w:type="dxa"/>
          </w:tcPr>
          <w:p w:rsidR="00B10975" w:rsidRPr="004B769A" w:rsidRDefault="00B10975" w:rsidP="00712042">
            <w:pPr>
              <w:pStyle w:val="Default"/>
              <w:jc w:val="both"/>
              <w:cnfStyle w:val="000000000000" w:firstRow="0" w:lastRow="0" w:firstColumn="0" w:lastColumn="0" w:oddVBand="0" w:evenVBand="0" w:oddHBand="0" w:evenHBand="0" w:firstRowFirstColumn="0" w:firstRowLastColumn="0" w:lastRowFirstColumn="0" w:lastRowLastColumn="0"/>
              <w:rPr>
                <w:sz w:val="22"/>
                <w:szCs w:val="22"/>
              </w:rPr>
            </w:pPr>
            <w:r w:rsidRPr="004B769A">
              <w:rPr>
                <w:sz w:val="22"/>
                <w:szCs w:val="22"/>
              </w:rPr>
              <w:t xml:space="preserve">Ley 1229 de 2008- Por la cual se modifica y adiciona la Ley 400 del 19 de agosto de 1997. </w:t>
            </w:r>
          </w:p>
        </w:tc>
      </w:tr>
      <w:tr w:rsidR="00B10975" w:rsidRPr="004B769A" w:rsidTr="007120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 w:type="dxa"/>
          </w:tcPr>
          <w:p w:rsidR="00B10975" w:rsidRPr="004B769A" w:rsidRDefault="00B10975" w:rsidP="00712042">
            <w:pPr>
              <w:pStyle w:val="Default"/>
              <w:jc w:val="right"/>
              <w:rPr>
                <w:sz w:val="22"/>
                <w:szCs w:val="22"/>
              </w:rPr>
            </w:pPr>
            <w:r w:rsidRPr="004B769A">
              <w:rPr>
                <w:bCs w:val="0"/>
                <w:sz w:val="22"/>
                <w:szCs w:val="22"/>
              </w:rPr>
              <w:t xml:space="preserve">3 </w:t>
            </w:r>
          </w:p>
        </w:tc>
        <w:tc>
          <w:tcPr>
            <w:tcW w:w="8505" w:type="dxa"/>
          </w:tcPr>
          <w:p w:rsidR="00B10975" w:rsidRPr="004B769A" w:rsidRDefault="00B10975" w:rsidP="00712042">
            <w:pPr>
              <w:pStyle w:val="Default"/>
              <w:jc w:val="both"/>
              <w:cnfStyle w:val="000000100000" w:firstRow="0" w:lastRow="0" w:firstColumn="0" w:lastColumn="0" w:oddVBand="0" w:evenVBand="0" w:oddHBand="1" w:evenHBand="0" w:firstRowFirstColumn="0" w:firstRowLastColumn="0" w:lastRowFirstColumn="0" w:lastRowLastColumn="0"/>
              <w:rPr>
                <w:sz w:val="22"/>
                <w:szCs w:val="22"/>
              </w:rPr>
            </w:pPr>
            <w:r w:rsidRPr="004B769A">
              <w:rPr>
                <w:sz w:val="22"/>
                <w:szCs w:val="22"/>
              </w:rPr>
              <w:t xml:space="preserve">NSR-2010 - Reglamento colombiano de Construcciones Sismo Resistentes. </w:t>
            </w:r>
          </w:p>
        </w:tc>
      </w:tr>
      <w:tr w:rsidR="00B10975" w:rsidRPr="006C2B8C" w:rsidTr="00712042">
        <w:trPr>
          <w:trHeight w:val="197"/>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4 </w:t>
            </w:r>
          </w:p>
        </w:tc>
        <w:tc>
          <w:tcPr>
            <w:tcW w:w="0" w:type="auto"/>
          </w:tcPr>
          <w:p w:rsidR="00B10975" w:rsidRPr="006C2B8C" w:rsidRDefault="00B10975" w:rsidP="0071204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2B8C">
              <w:rPr>
                <w:rFonts w:ascii="Arial" w:hAnsi="Arial" w:cs="Arial"/>
                <w:color w:val="000000"/>
              </w:rPr>
              <w:t xml:space="preserve">Las resoluciones expedidas por la “Comisión Asesora Permanente del Régimen de Construcciones Sismo Resistentes” - Ministerio de Ambiente, Vivienda y Desarrollo Territorial, y creada por el Artículo 39 de la Ley 400 de 1997. </w:t>
            </w:r>
          </w:p>
        </w:tc>
      </w:tr>
      <w:tr w:rsidR="00B10975" w:rsidRPr="006C2B8C" w:rsidTr="00712042">
        <w:trPr>
          <w:cnfStyle w:val="000000100000" w:firstRow="0" w:lastRow="0" w:firstColumn="0" w:lastColumn="0" w:oddVBand="0" w:evenVBand="0" w:oddHBand="1"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5 </w:t>
            </w:r>
          </w:p>
        </w:tc>
        <w:tc>
          <w:tcPr>
            <w:tcW w:w="0" w:type="auto"/>
          </w:tcPr>
          <w:p w:rsidR="00B10975" w:rsidRPr="006C2B8C" w:rsidRDefault="00B10975" w:rsidP="0071204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6C2B8C">
              <w:rPr>
                <w:rFonts w:ascii="Arial" w:hAnsi="Arial" w:cs="Arial"/>
                <w:color w:val="000000"/>
              </w:rPr>
              <w:t xml:space="preserve">RETIE - Reglamento Técnico de Instalaciones Eléctricas – RETIE- Ministerio de Minas. </w:t>
            </w:r>
          </w:p>
        </w:tc>
      </w:tr>
      <w:tr w:rsidR="00B10975" w:rsidRPr="006C2B8C" w:rsidTr="00712042">
        <w:trPr>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6 </w:t>
            </w:r>
          </w:p>
        </w:tc>
        <w:tc>
          <w:tcPr>
            <w:tcW w:w="0" w:type="auto"/>
          </w:tcPr>
          <w:p w:rsidR="00B10975" w:rsidRPr="006C2B8C" w:rsidRDefault="00B10975" w:rsidP="0071204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2B8C">
              <w:rPr>
                <w:rFonts w:ascii="Arial" w:hAnsi="Arial" w:cs="Arial"/>
                <w:color w:val="000000"/>
              </w:rPr>
              <w:t>RETILAP - Reglamento técnico de iluminación y alumbrado público.</w:t>
            </w:r>
          </w:p>
        </w:tc>
      </w:tr>
      <w:tr w:rsidR="00B10975" w:rsidRPr="006C2B8C" w:rsidTr="00712042">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7 </w:t>
            </w:r>
          </w:p>
        </w:tc>
        <w:tc>
          <w:tcPr>
            <w:tcW w:w="0" w:type="auto"/>
          </w:tcPr>
          <w:p w:rsidR="00B10975" w:rsidRPr="006C2B8C" w:rsidRDefault="00B10975" w:rsidP="0071204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6C2B8C">
              <w:rPr>
                <w:rFonts w:ascii="Arial" w:hAnsi="Arial" w:cs="Arial"/>
                <w:color w:val="000000"/>
              </w:rPr>
              <w:t xml:space="preserve">Acuerdo 323 de 2088, por el cual se autoriza la inclusión del estándar único de construcción sostenible en el CCDC. </w:t>
            </w:r>
          </w:p>
        </w:tc>
      </w:tr>
      <w:tr w:rsidR="00B10975" w:rsidRPr="006C2B8C" w:rsidTr="00712042">
        <w:trPr>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8 </w:t>
            </w:r>
          </w:p>
        </w:tc>
        <w:tc>
          <w:tcPr>
            <w:tcW w:w="0" w:type="auto"/>
          </w:tcPr>
          <w:p w:rsidR="00B10975" w:rsidRPr="006C2B8C" w:rsidRDefault="00B10975" w:rsidP="0071204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4B769A">
              <w:rPr>
                <w:rFonts w:ascii="Arial" w:hAnsi="Arial" w:cs="Arial"/>
                <w:color w:val="000000"/>
              </w:rPr>
              <w:t>NTC 4143 Accesibilidad de las personas al medio físico.</w:t>
            </w:r>
          </w:p>
        </w:tc>
      </w:tr>
      <w:tr w:rsidR="00B10975" w:rsidRPr="006C2B8C" w:rsidTr="00712042">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9 </w:t>
            </w:r>
          </w:p>
        </w:tc>
        <w:tc>
          <w:tcPr>
            <w:tcW w:w="0" w:type="auto"/>
          </w:tcPr>
          <w:p w:rsidR="00B10975" w:rsidRPr="006C2B8C" w:rsidRDefault="00B10975" w:rsidP="0071204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6C2B8C">
              <w:rPr>
                <w:rFonts w:ascii="Arial" w:hAnsi="Arial" w:cs="Arial"/>
                <w:color w:val="000000"/>
              </w:rPr>
              <w:t xml:space="preserve">NTC 1867 Y 1868 sistema contra incendio. </w:t>
            </w:r>
          </w:p>
        </w:tc>
      </w:tr>
      <w:tr w:rsidR="00B10975" w:rsidRPr="00B76D15" w:rsidTr="00712042">
        <w:trPr>
          <w:trHeight w:val="91"/>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10 </w:t>
            </w:r>
          </w:p>
        </w:tc>
        <w:tc>
          <w:tcPr>
            <w:tcW w:w="0" w:type="auto"/>
          </w:tcPr>
          <w:p w:rsidR="00B10975" w:rsidRPr="006C2B8C" w:rsidRDefault="00B10975" w:rsidP="0071204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lang w:val="en-US"/>
              </w:rPr>
            </w:pPr>
            <w:r w:rsidRPr="006C2B8C">
              <w:rPr>
                <w:rFonts w:ascii="Arial" w:hAnsi="Arial" w:cs="Arial"/>
                <w:color w:val="000000"/>
                <w:lang w:val="en-US"/>
              </w:rPr>
              <w:t xml:space="preserve">NFPA - National Fire Protection Administration. </w:t>
            </w:r>
          </w:p>
        </w:tc>
      </w:tr>
      <w:tr w:rsidR="00B10975" w:rsidRPr="00B76D15" w:rsidTr="00712042">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11 </w:t>
            </w:r>
          </w:p>
        </w:tc>
        <w:tc>
          <w:tcPr>
            <w:tcW w:w="0" w:type="auto"/>
          </w:tcPr>
          <w:p w:rsidR="00B10975" w:rsidRPr="006C2B8C" w:rsidRDefault="00B10975" w:rsidP="0071204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lang w:val="en-US"/>
              </w:rPr>
            </w:pPr>
            <w:r w:rsidRPr="006C2B8C">
              <w:rPr>
                <w:rFonts w:ascii="Arial" w:hAnsi="Arial" w:cs="Arial"/>
                <w:color w:val="000000"/>
                <w:lang w:val="en-US"/>
              </w:rPr>
              <w:t xml:space="preserve">ASTM - American Society for Testing Materials. </w:t>
            </w:r>
          </w:p>
        </w:tc>
      </w:tr>
      <w:tr w:rsidR="00B10975" w:rsidRPr="006C2B8C" w:rsidTr="00712042">
        <w:trPr>
          <w:trHeight w:val="317"/>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12 </w:t>
            </w:r>
          </w:p>
        </w:tc>
        <w:tc>
          <w:tcPr>
            <w:tcW w:w="0" w:type="auto"/>
          </w:tcPr>
          <w:p w:rsidR="00B10975" w:rsidRPr="006C2B8C" w:rsidRDefault="00B10975" w:rsidP="0071204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6C2B8C">
              <w:rPr>
                <w:rFonts w:ascii="Arial" w:hAnsi="Arial" w:cs="Arial"/>
                <w:color w:val="000000"/>
              </w:rPr>
              <w:t xml:space="preserve">Estándares internacionales actuales, tales como AABC, ACGIH, AMCA, ANSI, ARI, ASME, IAI, OSHA, SMACNA, así como los reglamentos y normas establecidas por el Ministerio del Medio Ambiente y Protección Social, y la secretaría Distrital de Ambiente. </w:t>
            </w:r>
          </w:p>
        </w:tc>
      </w:tr>
      <w:tr w:rsidR="00B10975" w:rsidRPr="00B76D15" w:rsidTr="00712042">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13 </w:t>
            </w:r>
          </w:p>
        </w:tc>
        <w:tc>
          <w:tcPr>
            <w:tcW w:w="0" w:type="auto"/>
          </w:tcPr>
          <w:p w:rsidR="00B10975" w:rsidRPr="006C2B8C" w:rsidRDefault="00B10975" w:rsidP="0071204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lang w:val="en-US"/>
              </w:rPr>
            </w:pPr>
            <w:r w:rsidRPr="006C2B8C">
              <w:rPr>
                <w:rFonts w:ascii="Arial" w:hAnsi="Arial" w:cs="Arial"/>
                <w:color w:val="000000"/>
                <w:lang w:val="en-US"/>
              </w:rPr>
              <w:t xml:space="preserve">ISO/IEC 11801. The international Organization for Standardization/the international Electrotechnical Commission. </w:t>
            </w:r>
          </w:p>
        </w:tc>
      </w:tr>
      <w:tr w:rsidR="00B10975" w:rsidRPr="006C2B8C" w:rsidTr="00712042">
        <w:trPr>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14 </w:t>
            </w:r>
          </w:p>
        </w:tc>
        <w:tc>
          <w:tcPr>
            <w:tcW w:w="0" w:type="auto"/>
          </w:tcPr>
          <w:p w:rsidR="00B10975" w:rsidRPr="006C2B8C" w:rsidRDefault="00B10975" w:rsidP="0071204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lang w:val="en-US"/>
              </w:rPr>
            </w:pPr>
            <w:r w:rsidRPr="006C2B8C">
              <w:rPr>
                <w:rFonts w:ascii="Arial" w:hAnsi="Arial" w:cs="Arial"/>
                <w:color w:val="000000"/>
                <w:lang w:val="en-US"/>
              </w:rPr>
              <w:t xml:space="preserve">Specifies generic cabling for use within commercial premises. Single or multiple. </w:t>
            </w:r>
          </w:p>
        </w:tc>
      </w:tr>
      <w:tr w:rsidR="00B10975" w:rsidRPr="00B76D15" w:rsidTr="00712042">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15 </w:t>
            </w:r>
          </w:p>
        </w:tc>
        <w:tc>
          <w:tcPr>
            <w:tcW w:w="0" w:type="auto"/>
          </w:tcPr>
          <w:p w:rsidR="00B10975" w:rsidRPr="006C2B8C" w:rsidRDefault="00B10975" w:rsidP="0071204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lang w:val="en-US"/>
              </w:rPr>
            </w:pPr>
            <w:r w:rsidRPr="006C2B8C">
              <w:rPr>
                <w:rFonts w:ascii="Arial" w:hAnsi="Arial" w:cs="Arial"/>
                <w:color w:val="000000"/>
                <w:lang w:val="en-US"/>
              </w:rPr>
              <w:t xml:space="preserve">ANSI/TIA-568-C.0 Generic Telecommunications Cabling for Customer Premises. </w:t>
            </w:r>
          </w:p>
        </w:tc>
      </w:tr>
      <w:tr w:rsidR="00B10975" w:rsidRPr="00B76D15" w:rsidTr="00712042">
        <w:trPr>
          <w:trHeight w:val="91"/>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16 </w:t>
            </w:r>
          </w:p>
        </w:tc>
        <w:tc>
          <w:tcPr>
            <w:tcW w:w="0" w:type="auto"/>
          </w:tcPr>
          <w:p w:rsidR="00B10975" w:rsidRPr="006C2B8C" w:rsidRDefault="00B10975" w:rsidP="0071204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lang w:val="en-US"/>
              </w:rPr>
            </w:pPr>
            <w:r w:rsidRPr="006C2B8C">
              <w:rPr>
                <w:rFonts w:ascii="Arial" w:hAnsi="Arial" w:cs="Arial"/>
                <w:color w:val="000000"/>
                <w:lang w:val="en-US"/>
              </w:rPr>
              <w:t xml:space="preserve">ANSI/TIA Building Automation Systems Cabling Standard for Commercial Buildings. </w:t>
            </w:r>
          </w:p>
        </w:tc>
      </w:tr>
      <w:tr w:rsidR="00B10975" w:rsidRPr="006C2B8C" w:rsidTr="00712042">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17 </w:t>
            </w:r>
          </w:p>
        </w:tc>
        <w:tc>
          <w:tcPr>
            <w:tcW w:w="0" w:type="auto"/>
          </w:tcPr>
          <w:p w:rsidR="00B10975" w:rsidRPr="006C2B8C" w:rsidRDefault="00B10975" w:rsidP="0071204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176E4F">
              <w:rPr>
                <w:rFonts w:ascii="Arial" w:hAnsi="Arial" w:cs="Arial"/>
                <w:b/>
                <w:color w:val="000000"/>
              </w:rPr>
              <w:t>RAC 14</w:t>
            </w:r>
            <w:r w:rsidRPr="004B769A">
              <w:rPr>
                <w:rFonts w:ascii="Arial" w:hAnsi="Arial" w:cs="Arial"/>
                <w:color w:val="000000"/>
              </w:rPr>
              <w:t xml:space="preserve"> - AERÓDROMOS, AEROPUERTOS Y HELIPUERTOS</w:t>
            </w:r>
          </w:p>
        </w:tc>
      </w:tr>
      <w:tr w:rsidR="00B10975" w:rsidRPr="006C2B8C" w:rsidTr="00712042">
        <w:trPr>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color w:val="000000"/>
              </w:rPr>
            </w:pPr>
            <w:r w:rsidRPr="006C2B8C">
              <w:rPr>
                <w:rFonts w:ascii="Arial" w:hAnsi="Arial" w:cs="Arial"/>
                <w:color w:val="000000"/>
              </w:rPr>
              <w:t xml:space="preserve">18 </w:t>
            </w:r>
          </w:p>
        </w:tc>
        <w:tc>
          <w:tcPr>
            <w:tcW w:w="0" w:type="auto"/>
          </w:tcPr>
          <w:p w:rsidR="00B10975" w:rsidRPr="006C2B8C" w:rsidRDefault="00B10975" w:rsidP="00712042">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sidRPr="004B769A">
              <w:rPr>
                <w:rFonts w:ascii="Arial" w:hAnsi="Arial" w:cs="Arial"/>
                <w:color w:val="000000"/>
              </w:rPr>
              <w:t>Decreto 2041 de 2014, por el cual se reglamente el título VIII de la Ley 99 de 1993; sobre licencias ambientales</w:t>
            </w:r>
          </w:p>
        </w:tc>
      </w:tr>
      <w:tr w:rsidR="00B10975" w:rsidRPr="006C2B8C" w:rsidTr="00712042">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0" w:type="auto"/>
          </w:tcPr>
          <w:p w:rsidR="00B10975" w:rsidRPr="006C2B8C" w:rsidRDefault="00B10975" w:rsidP="00712042">
            <w:pPr>
              <w:autoSpaceDE w:val="0"/>
              <w:autoSpaceDN w:val="0"/>
              <w:adjustRightInd w:val="0"/>
              <w:jc w:val="right"/>
              <w:rPr>
                <w:rFonts w:ascii="Arial" w:hAnsi="Arial" w:cs="Arial"/>
                <w:bCs w:val="0"/>
                <w:color w:val="000000"/>
              </w:rPr>
            </w:pPr>
            <w:r>
              <w:rPr>
                <w:rFonts w:ascii="Arial" w:hAnsi="Arial" w:cs="Arial"/>
                <w:bCs w:val="0"/>
                <w:color w:val="000000"/>
              </w:rPr>
              <w:t>19</w:t>
            </w:r>
          </w:p>
        </w:tc>
        <w:tc>
          <w:tcPr>
            <w:tcW w:w="0" w:type="auto"/>
          </w:tcPr>
          <w:p w:rsidR="00B10975" w:rsidRPr="004B769A" w:rsidRDefault="00B10975" w:rsidP="00712042">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sidRPr="003C0969">
              <w:rPr>
                <w:rFonts w:ascii="Arial" w:hAnsi="Arial" w:cs="Arial"/>
                <w:color w:val="000000"/>
              </w:rPr>
              <w:t>Ley 1682 de 2013</w:t>
            </w:r>
            <w:r>
              <w:rPr>
                <w:rFonts w:ascii="Arial" w:hAnsi="Arial" w:cs="Arial"/>
                <w:color w:val="000000"/>
              </w:rPr>
              <w:t xml:space="preserve">, </w:t>
            </w:r>
            <w:r w:rsidRPr="003C0969">
              <w:rPr>
                <w:rFonts w:ascii="Arial" w:hAnsi="Arial" w:cs="Arial"/>
                <w:color w:val="000000"/>
              </w:rPr>
              <w:t>Por la cual se adoptan medidas y disposiciones para los proyectos de infraestructura de transporte y se conceden facultades extraordinarias.</w:t>
            </w:r>
          </w:p>
        </w:tc>
      </w:tr>
    </w:tbl>
    <w:p w:rsidR="00B10975" w:rsidRDefault="00B10975" w:rsidP="00B10975">
      <w:pPr>
        <w:spacing w:line="276" w:lineRule="auto"/>
        <w:jc w:val="both"/>
        <w:rPr>
          <w:rFonts w:ascii="Arial" w:hAnsi="Arial" w:cs="Arial"/>
          <w:b/>
        </w:rPr>
      </w:pPr>
    </w:p>
    <w:p w:rsidR="00B10975" w:rsidRDefault="00B10975" w:rsidP="00B10975">
      <w:pPr>
        <w:autoSpaceDE w:val="0"/>
        <w:autoSpaceDN w:val="0"/>
        <w:adjustRightInd w:val="0"/>
        <w:spacing w:after="0" w:line="276" w:lineRule="auto"/>
        <w:jc w:val="both"/>
        <w:rPr>
          <w:rFonts w:ascii="Arial" w:hAnsi="Arial" w:cs="Arial"/>
        </w:rPr>
      </w:pPr>
      <w:r w:rsidRPr="00BE1346">
        <w:rPr>
          <w:rFonts w:ascii="Arial" w:hAnsi="Arial" w:cs="Arial"/>
        </w:rPr>
        <w:t xml:space="preserve">El proceso contractual para la contratación de </w:t>
      </w:r>
      <w:r w:rsidRPr="00947311">
        <w:rPr>
          <w:rFonts w:ascii="Arial" w:hAnsi="Arial" w:cs="Arial"/>
          <w:b/>
        </w:rPr>
        <w:t>Consultorías</w:t>
      </w:r>
      <w:r>
        <w:rPr>
          <w:rFonts w:ascii="Arial" w:hAnsi="Arial" w:cs="Arial"/>
          <w:b/>
        </w:rPr>
        <w:t xml:space="preserve"> </w:t>
      </w:r>
      <w:r w:rsidRPr="00947311">
        <w:rPr>
          <w:rFonts w:ascii="Arial" w:hAnsi="Arial" w:cs="Arial"/>
          <w:b/>
        </w:rPr>
        <w:t>de Interventoría</w:t>
      </w:r>
      <w:r w:rsidRPr="00BE1346">
        <w:rPr>
          <w:rFonts w:ascii="Arial" w:hAnsi="Arial" w:cs="Arial"/>
        </w:rPr>
        <w:t xml:space="preserve"> se debe efectuar </w:t>
      </w:r>
      <w:r>
        <w:rPr>
          <w:rFonts w:ascii="Arial" w:hAnsi="Arial" w:cs="Arial"/>
        </w:rPr>
        <w:t xml:space="preserve">por intermedio de un </w:t>
      </w:r>
      <w:r w:rsidRPr="00C919D1">
        <w:rPr>
          <w:rFonts w:ascii="Arial" w:hAnsi="Arial" w:cs="Arial"/>
          <w:b/>
        </w:rPr>
        <w:t>Concurso de Méritos</w:t>
      </w:r>
      <w:r>
        <w:rPr>
          <w:rFonts w:ascii="Arial" w:hAnsi="Arial" w:cs="Arial"/>
        </w:rPr>
        <w:t xml:space="preserve">, </w:t>
      </w:r>
      <w:r w:rsidRPr="00BE1346">
        <w:rPr>
          <w:rFonts w:ascii="Arial" w:hAnsi="Arial" w:cs="Arial"/>
        </w:rPr>
        <w:t xml:space="preserve">con una empresa </w:t>
      </w:r>
      <w:r>
        <w:rPr>
          <w:rFonts w:ascii="Arial" w:hAnsi="Arial" w:cs="Arial"/>
        </w:rPr>
        <w:t xml:space="preserve">o firma consultora </w:t>
      </w:r>
      <w:r w:rsidRPr="00BE1346">
        <w:rPr>
          <w:rFonts w:ascii="Arial" w:hAnsi="Arial" w:cs="Arial"/>
        </w:rPr>
        <w:t>que cumpla todos los requisitos determinados en la ley</w:t>
      </w:r>
      <w:r>
        <w:rPr>
          <w:rFonts w:ascii="Arial" w:hAnsi="Arial" w:cs="Arial"/>
        </w:rPr>
        <w:t>.</w:t>
      </w:r>
    </w:p>
    <w:p w:rsidR="00B10975" w:rsidRDefault="00B10975" w:rsidP="00B10975">
      <w:pPr>
        <w:autoSpaceDE w:val="0"/>
        <w:autoSpaceDN w:val="0"/>
        <w:adjustRightInd w:val="0"/>
        <w:spacing w:after="0" w:line="276" w:lineRule="auto"/>
        <w:jc w:val="both"/>
        <w:rPr>
          <w:rFonts w:ascii="Arial" w:hAnsi="Arial" w:cs="Arial"/>
        </w:rPr>
      </w:pPr>
    </w:p>
    <w:p w:rsidR="003542C2" w:rsidRPr="00BE1346" w:rsidRDefault="00B10975" w:rsidP="00B10975">
      <w:pPr>
        <w:autoSpaceDE w:val="0"/>
        <w:autoSpaceDN w:val="0"/>
        <w:adjustRightInd w:val="0"/>
        <w:spacing w:after="0" w:line="276" w:lineRule="auto"/>
        <w:jc w:val="both"/>
        <w:rPr>
          <w:rFonts w:ascii="Arial" w:hAnsi="Arial" w:cs="Arial"/>
        </w:rPr>
      </w:pPr>
      <w:r w:rsidRPr="00BE1346">
        <w:rPr>
          <w:rFonts w:ascii="Arial" w:hAnsi="Arial" w:cs="Arial"/>
        </w:rPr>
        <w:t xml:space="preserve">Acorde con la normatividad vigente se describen los documentos legales </w:t>
      </w:r>
      <w:r>
        <w:rPr>
          <w:rFonts w:ascii="Arial" w:hAnsi="Arial" w:cs="Arial"/>
        </w:rPr>
        <w:t xml:space="preserve">más conocidos con </w:t>
      </w:r>
      <w:r w:rsidRPr="00BE1346">
        <w:rPr>
          <w:rFonts w:ascii="Arial" w:hAnsi="Arial" w:cs="Arial"/>
        </w:rPr>
        <w:t>que debe poseer toda empresa para funcionar de manera legal en Colombia a la fecha: RUT Registro único tributario, Asignación del NIT (número de Identificación Tributaria), Registro de la Cámara de Comercio, Certificado de existencia y representación legal de la compañía, registrar a la empresa en el sistema de Seguridad Social</w:t>
      </w:r>
      <w:r>
        <w:rPr>
          <w:rFonts w:ascii="Arial" w:hAnsi="Arial" w:cs="Arial"/>
        </w:rPr>
        <w:t xml:space="preserve"> </w:t>
      </w:r>
      <w:r w:rsidRPr="00BE1346">
        <w:rPr>
          <w:rFonts w:ascii="Arial" w:hAnsi="Arial" w:cs="Arial"/>
        </w:rPr>
        <w:t>del personal contratado, paz y salvo de aportes para fiscales y seguridad social, Registro de Industria y Comercio</w:t>
      </w:r>
      <w:r>
        <w:rPr>
          <w:rFonts w:ascii="Arial" w:hAnsi="Arial" w:cs="Arial"/>
        </w:rPr>
        <w:t>, así como la experiencia mínima requerida</w:t>
      </w:r>
      <w:r w:rsidRPr="00BE1346">
        <w:rPr>
          <w:rFonts w:ascii="Arial" w:hAnsi="Arial" w:cs="Arial"/>
        </w:rPr>
        <w:t>.</w:t>
      </w:r>
    </w:p>
    <w:p w:rsidR="003542C2" w:rsidRPr="00B10975" w:rsidRDefault="003542C2" w:rsidP="00BE5364">
      <w:pPr>
        <w:autoSpaceDE w:val="0"/>
        <w:autoSpaceDN w:val="0"/>
        <w:adjustRightInd w:val="0"/>
        <w:spacing w:after="0" w:line="276" w:lineRule="auto"/>
        <w:jc w:val="both"/>
        <w:rPr>
          <w:rFonts w:ascii="Arial" w:hAnsi="Arial" w:cs="Arial"/>
        </w:rPr>
      </w:pPr>
    </w:p>
    <w:p w:rsidR="00B10975" w:rsidRPr="00B10975" w:rsidRDefault="00B10975" w:rsidP="00B10975">
      <w:pPr>
        <w:pStyle w:val="Prrafodelista"/>
        <w:numPr>
          <w:ilvl w:val="0"/>
          <w:numId w:val="45"/>
        </w:numPr>
        <w:autoSpaceDE w:val="0"/>
        <w:autoSpaceDN w:val="0"/>
        <w:adjustRightInd w:val="0"/>
        <w:spacing w:line="276" w:lineRule="auto"/>
        <w:jc w:val="both"/>
        <w:rPr>
          <w:rFonts w:ascii="Arial" w:hAnsi="Arial" w:cs="Arial"/>
        </w:rPr>
      </w:pPr>
      <w:r w:rsidRPr="00B10975">
        <w:rPr>
          <w:rFonts w:ascii="Arial" w:hAnsi="Arial" w:cs="Arial"/>
          <w:b/>
          <w:bCs/>
        </w:rPr>
        <w:t>ESTUDIO DEL MERCADO</w:t>
      </w:r>
    </w:p>
    <w:p w:rsidR="00B10975" w:rsidRDefault="00B10975" w:rsidP="00BE5364">
      <w:pPr>
        <w:autoSpaceDE w:val="0"/>
        <w:autoSpaceDN w:val="0"/>
        <w:adjustRightInd w:val="0"/>
        <w:spacing w:after="0" w:line="276" w:lineRule="auto"/>
        <w:jc w:val="both"/>
        <w:rPr>
          <w:rFonts w:ascii="Arial" w:hAnsi="Arial" w:cs="Arial"/>
        </w:rPr>
      </w:pPr>
    </w:p>
    <w:p w:rsidR="007D64DA" w:rsidRPr="00B10975" w:rsidRDefault="007D64DA" w:rsidP="00B10975">
      <w:pPr>
        <w:pStyle w:val="Prrafodelista"/>
        <w:numPr>
          <w:ilvl w:val="1"/>
          <w:numId w:val="45"/>
        </w:numPr>
        <w:autoSpaceDE w:val="0"/>
        <w:autoSpaceDN w:val="0"/>
        <w:adjustRightInd w:val="0"/>
        <w:spacing w:line="276" w:lineRule="auto"/>
        <w:jc w:val="both"/>
        <w:rPr>
          <w:rFonts w:ascii="Arial" w:hAnsi="Arial" w:cs="Arial"/>
          <w:b/>
          <w:bCs/>
          <w:sz w:val="24"/>
        </w:rPr>
      </w:pPr>
      <w:r w:rsidRPr="00B10975">
        <w:rPr>
          <w:rFonts w:ascii="Arial" w:hAnsi="Arial" w:cs="Arial"/>
          <w:b/>
          <w:bCs/>
          <w:sz w:val="24"/>
        </w:rPr>
        <w:t xml:space="preserve">Estudios de la Oferta </w:t>
      </w:r>
    </w:p>
    <w:p w:rsidR="007D64DA" w:rsidRPr="00BE1346" w:rsidRDefault="007D64DA" w:rsidP="007D64DA">
      <w:pPr>
        <w:autoSpaceDE w:val="0"/>
        <w:autoSpaceDN w:val="0"/>
        <w:adjustRightInd w:val="0"/>
        <w:spacing w:after="0" w:line="276" w:lineRule="auto"/>
        <w:jc w:val="both"/>
        <w:rPr>
          <w:rFonts w:ascii="Arial" w:hAnsi="Arial" w:cs="Arial"/>
          <w:color w:val="000000"/>
        </w:rPr>
      </w:pPr>
    </w:p>
    <w:p w:rsidR="00B10975" w:rsidRPr="00AD5819" w:rsidRDefault="00B10975" w:rsidP="00B10975">
      <w:pPr>
        <w:jc w:val="both"/>
        <w:rPr>
          <w:rFonts w:ascii="Arial" w:eastAsia="HelveticaNeue-Light" w:hAnsi="Arial" w:cs="Arial"/>
          <w:color w:val="333333"/>
          <w:sz w:val="24"/>
          <w:szCs w:val="24"/>
        </w:rPr>
      </w:pPr>
      <w:r w:rsidRPr="00AD5819">
        <w:rPr>
          <w:rFonts w:ascii="Arial" w:eastAsia="HelveticaNeue-Light" w:hAnsi="Arial" w:cs="Arial"/>
          <w:color w:val="333333"/>
          <w:sz w:val="24"/>
          <w:szCs w:val="24"/>
        </w:rPr>
        <w:t>Según información del portal de la cámara de comercio de Bogotá en el 2017 en Colombia existen 73.065</w:t>
      </w:r>
      <w:r w:rsidRPr="00AD5819">
        <w:rPr>
          <w:rStyle w:val="Refdenotaalpie"/>
          <w:rFonts w:ascii="Arial" w:eastAsia="HelveticaNeue-Light" w:hAnsi="Arial" w:cs="Arial"/>
          <w:color w:val="333333"/>
          <w:sz w:val="24"/>
          <w:szCs w:val="24"/>
        </w:rPr>
        <w:footnoteReference w:id="4"/>
      </w:r>
      <w:r w:rsidRPr="00AD5819">
        <w:rPr>
          <w:rFonts w:ascii="Arial" w:eastAsia="HelveticaNeue-Light" w:hAnsi="Arial" w:cs="Arial"/>
          <w:color w:val="333333"/>
          <w:sz w:val="24"/>
          <w:szCs w:val="24"/>
        </w:rPr>
        <w:t xml:space="preserve"> empresas registradas en la industria de la construcción, las cuales se clasifican así:  </w:t>
      </w:r>
    </w:p>
    <w:p w:rsidR="00B10975" w:rsidRDefault="00B10975" w:rsidP="00B10975">
      <w:pPr>
        <w:pStyle w:val="Prrafodelista"/>
        <w:numPr>
          <w:ilvl w:val="0"/>
          <w:numId w:val="20"/>
        </w:numPr>
        <w:spacing w:after="160" w:line="259" w:lineRule="auto"/>
        <w:jc w:val="both"/>
        <w:rPr>
          <w:rFonts w:ascii="Arial" w:eastAsia="HelveticaNeue-Light" w:hAnsi="Arial" w:cs="Arial"/>
          <w:color w:val="333333"/>
          <w:sz w:val="24"/>
          <w:szCs w:val="24"/>
        </w:rPr>
      </w:pPr>
      <w:r w:rsidRPr="00853FC6">
        <w:rPr>
          <w:rFonts w:ascii="Arial" w:eastAsia="HelveticaNeue-Light" w:hAnsi="Arial" w:cs="Arial"/>
          <w:color w:val="333333"/>
          <w:sz w:val="24"/>
          <w:szCs w:val="24"/>
        </w:rPr>
        <w:t>Por actividad según códigos CIIU:</w:t>
      </w:r>
    </w:p>
    <w:p w:rsidR="00B10975" w:rsidRPr="00847EAE" w:rsidRDefault="00B10975" w:rsidP="00B10975">
      <w:pPr>
        <w:pStyle w:val="Prrafodelista"/>
        <w:jc w:val="both"/>
        <w:rPr>
          <w:rFonts w:ascii="Arial" w:eastAsia="HelveticaNeue-Light" w:hAnsi="Arial" w:cs="Arial"/>
          <w:b/>
          <w:color w:val="333333"/>
          <w:sz w:val="12"/>
          <w:szCs w:val="24"/>
        </w:rPr>
      </w:pPr>
    </w:p>
    <w:tbl>
      <w:tblPr>
        <w:tblStyle w:val="Tabladecuadrcula4-nfasis61"/>
        <w:tblW w:w="8221" w:type="dxa"/>
        <w:jc w:val="center"/>
        <w:tblLook w:val="04A0" w:firstRow="1" w:lastRow="0" w:firstColumn="1" w:lastColumn="0" w:noHBand="0" w:noVBand="1"/>
      </w:tblPr>
      <w:tblGrid>
        <w:gridCol w:w="1043"/>
        <w:gridCol w:w="5335"/>
        <w:gridCol w:w="1843"/>
      </w:tblGrid>
      <w:tr w:rsidR="00B10975" w:rsidRPr="00853FC6" w:rsidTr="007120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3" w:type="dxa"/>
          </w:tcPr>
          <w:p w:rsidR="00B10975" w:rsidRPr="00847EAE" w:rsidRDefault="00B10975" w:rsidP="00712042">
            <w:pPr>
              <w:pStyle w:val="Prrafodelista"/>
              <w:ind w:left="0"/>
              <w:jc w:val="both"/>
              <w:rPr>
                <w:rFonts w:ascii="Arial" w:eastAsia="HelveticaNeue-Light" w:hAnsi="Arial" w:cs="Arial"/>
                <w:i/>
                <w:color w:val="333333"/>
              </w:rPr>
            </w:pPr>
            <w:r w:rsidRPr="00847EAE">
              <w:rPr>
                <w:rFonts w:ascii="Arial" w:eastAsia="HelveticaNeue-Light" w:hAnsi="Arial" w:cs="Arial"/>
                <w:i/>
                <w:color w:val="333333"/>
              </w:rPr>
              <w:t xml:space="preserve">Código </w:t>
            </w:r>
          </w:p>
        </w:tc>
        <w:tc>
          <w:tcPr>
            <w:tcW w:w="5335" w:type="dxa"/>
          </w:tcPr>
          <w:p w:rsidR="00B10975" w:rsidRPr="00847EAE" w:rsidRDefault="00B10975" w:rsidP="00712042">
            <w:pPr>
              <w:pStyle w:val="Prrafodelista"/>
              <w:ind w:left="0"/>
              <w:jc w:val="both"/>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333333"/>
              </w:rPr>
            </w:pPr>
            <w:r w:rsidRPr="00847EAE">
              <w:rPr>
                <w:rFonts w:ascii="Arial" w:eastAsia="HelveticaNeue-Light" w:hAnsi="Arial" w:cs="Arial"/>
                <w:i/>
                <w:color w:val="333333"/>
              </w:rPr>
              <w:t xml:space="preserve">Descripción </w:t>
            </w:r>
          </w:p>
        </w:tc>
        <w:tc>
          <w:tcPr>
            <w:tcW w:w="1843" w:type="dxa"/>
          </w:tcPr>
          <w:p w:rsidR="00B10975" w:rsidRPr="00847EAE" w:rsidRDefault="00B10975" w:rsidP="00712042">
            <w:pPr>
              <w:pStyle w:val="Prrafodelista"/>
              <w:ind w:left="0"/>
              <w:jc w:val="both"/>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333333"/>
              </w:rPr>
            </w:pPr>
            <w:r w:rsidRPr="00847EAE">
              <w:rPr>
                <w:rFonts w:ascii="Arial" w:eastAsia="HelveticaNeue-Light" w:hAnsi="Arial" w:cs="Arial"/>
                <w:i/>
                <w:color w:val="333333"/>
              </w:rPr>
              <w:t>No. Empresas</w:t>
            </w:r>
          </w:p>
        </w:tc>
      </w:tr>
      <w:tr w:rsidR="00B10975" w:rsidRPr="00853FC6" w:rsidTr="007120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3" w:type="dxa"/>
          </w:tcPr>
          <w:p w:rsidR="00B10975" w:rsidRPr="00853FC6" w:rsidRDefault="00B10975" w:rsidP="00712042">
            <w:pPr>
              <w:pStyle w:val="Prrafodelista"/>
              <w:ind w:left="0"/>
              <w:jc w:val="center"/>
              <w:rPr>
                <w:rFonts w:ascii="Arial" w:eastAsia="HelveticaNeue-Light" w:hAnsi="Arial" w:cs="Arial"/>
                <w:color w:val="333333"/>
                <w:szCs w:val="24"/>
              </w:rPr>
            </w:pPr>
            <w:r w:rsidRPr="00853FC6">
              <w:rPr>
                <w:rFonts w:ascii="Arial" w:eastAsia="HelveticaNeue-Light" w:hAnsi="Arial" w:cs="Arial"/>
                <w:color w:val="333333"/>
                <w:szCs w:val="24"/>
              </w:rPr>
              <w:t>F41</w:t>
            </w:r>
          </w:p>
        </w:tc>
        <w:tc>
          <w:tcPr>
            <w:tcW w:w="5335" w:type="dxa"/>
          </w:tcPr>
          <w:p w:rsidR="00B10975" w:rsidRPr="00853FC6" w:rsidRDefault="00B10975" w:rsidP="00712042">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color w:val="333333"/>
                <w:szCs w:val="24"/>
              </w:rPr>
            </w:pPr>
            <w:r w:rsidRPr="00853FC6">
              <w:rPr>
                <w:rFonts w:ascii="Arial" w:eastAsia="HelveticaNeue-Light" w:hAnsi="Arial" w:cs="Arial"/>
                <w:color w:val="333333"/>
                <w:szCs w:val="24"/>
              </w:rPr>
              <w:t>Construcción de edificios</w:t>
            </w:r>
          </w:p>
        </w:tc>
        <w:tc>
          <w:tcPr>
            <w:tcW w:w="1843" w:type="dxa"/>
          </w:tcPr>
          <w:p w:rsidR="00B10975" w:rsidRPr="00853FC6" w:rsidRDefault="00B10975" w:rsidP="00712042">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color w:val="333333"/>
                <w:szCs w:val="24"/>
              </w:rPr>
            </w:pPr>
            <w:r w:rsidRPr="00853FC6">
              <w:rPr>
                <w:rFonts w:ascii="Arial" w:eastAsia="HelveticaNeue-Light" w:hAnsi="Arial" w:cs="Arial"/>
                <w:color w:val="333333"/>
                <w:szCs w:val="24"/>
              </w:rPr>
              <w:t>19.957</w:t>
            </w:r>
          </w:p>
        </w:tc>
      </w:tr>
      <w:tr w:rsidR="00B10975" w:rsidRPr="00853FC6" w:rsidTr="00712042">
        <w:trPr>
          <w:jc w:val="center"/>
        </w:trPr>
        <w:tc>
          <w:tcPr>
            <w:cnfStyle w:val="001000000000" w:firstRow="0" w:lastRow="0" w:firstColumn="1" w:lastColumn="0" w:oddVBand="0" w:evenVBand="0" w:oddHBand="0" w:evenHBand="0" w:firstRowFirstColumn="0" w:firstRowLastColumn="0" w:lastRowFirstColumn="0" w:lastRowLastColumn="0"/>
            <w:tcW w:w="1043" w:type="dxa"/>
          </w:tcPr>
          <w:p w:rsidR="00B10975" w:rsidRPr="00853FC6" w:rsidRDefault="00B10975" w:rsidP="00712042">
            <w:pPr>
              <w:pStyle w:val="Prrafodelista"/>
              <w:ind w:left="0"/>
              <w:jc w:val="center"/>
              <w:rPr>
                <w:rFonts w:ascii="Arial" w:eastAsia="HelveticaNeue-Light" w:hAnsi="Arial" w:cs="Arial"/>
                <w:color w:val="333333"/>
                <w:szCs w:val="24"/>
              </w:rPr>
            </w:pPr>
            <w:r w:rsidRPr="00853FC6">
              <w:rPr>
                <w:rFonts w:ascii="Arial" w:eastAsia="HelveticaNeue-Light" w:hAnsi="Arial" w:cs="Arial"/>
                <w:color w:val="333333"/>
                <w:szCs w:val="24"/>
              </w:rPr>
              <w:t>F42</w:t>
            </w:r>
          </w:p>
        </w:tc>
        <w:tc>
          <w:tcPr>
            <w:tcW w:w="5335" w:type="dxa"/>
          </w:tcPr>
          <w:p w:rsidR="00B10975" w:rsidRPr="00853FC6" w:rsidRDefault="00B10975" w:rsidP="00712042">
            <w:pPr>
              <w:pStyle w:val="Prrafodelista"/>
              <w:ind w:left="0"/>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color w:val="333333"/>
                <w:szCs w:val="24"/>
              </w:rPr>
            </w:pPr>
            <w:r w:rsidRPr="00853FC6">
              <w:rPr>
                <w:rFonts w:ascii="Arial" w:eastAsia="HelveticaNeue-Light" w:hAnsi="Arial" w:cs="Arial"/>
                <w:color w:val="333333"/>
                <w:szCs w:val="24"/>
              </w:rPr>
              <w:t>Obras de ingeniería civil</w:t>
            </w:r>
          </w:p>
        </w:tc>
        <w:tc>
          <w:tcPr>
            <w:tcW w:w="1843" w:type="dxa"/>
          </w:tcPr>
          <w:p w:rsidR="00B10975" w:rsidRPr="00853FC6" w:rsidRDefault="00B10975" w:rsidP="00712042">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color w:val="333333"/>
                <w:szCs w:val="24"/>
              </w:rPr>
            </w:pPr>
            <w:r w:rsidRPr="00853FC6">
              <w:rPr>
                <w:rFonts w:ascii="Arial" w:eastAsia="HelveticaNeue-Light" w:hAnsi="Arial" w:cs="Arial"/>
                <w:color w:val="333333"/>
                <w:szCs w:val="24"/>
              </w:rPr>
              <w:t>22.876</w:t>
            </w:r>
          </w:p>
        </w:tc>
      </w:tr>
      <w:tr w:rsidR="00B10975" w:rsidRPr="00853FC6" w:rsidTr="007120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3" w:type="dxa"/>
          </w:tcPr>
          <w:p w:rsidR="00B10975" w:rsidRPr="00853FC6" w:rsidRDefault="00B10975" w:rsidP="00712042">
            <w:pPr>
              <w:pStyle w:val="Prrafodelista"/>
              <w:ind w:left="0"/>
              <w:jc w:val="center"/>
              <w:rPr>
                <w:rFonts w:ascii="Arial" w:eastAsia="HelveticaNeue-Light" w:hAnsi="Arial" w:cs="Arial"/>
                <w:color w:val="333333"/>
                <w:szCs w:val="24"/>
              </w:rPr>
            </w:pPr>
            <w:r w:rsidRPr="00853FC6">
              <w:rPr>
                <w:rFonts w:ascii="Arial" w:eastAsia="HelveticaNeue-Light" w:hAnsi="Arial" w:cs="Arial"/>
                <w:color w:val="333333"/>
                <w:szCs w:val="24"/>
              </w:rPr>
              <w:t>F43</w:t>
            </w:r>
          </w:p>
        </w:tc>
        <w:tc>
          <w:tcPr>
            <w:tcW w:w="5335" w:type="dxa"/>
          </w:tcPr>
          <w:p w:rsidR="00B10975" w:rsidRPr="00853FC6" w:rsidRDefault="00B10975" w:rsidP="00712042">
            <w:pPr>
              <w:pStyle w:val="Prrafodelista"/>
              <w:ind w:left="0"/>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color w:val="333333"/>
                <w:szCs w:val="24"/>
              </w:rPr>
            </w:pPr>
            <w:r w:rsidRPr="00853FC6">
              <w:rPr>
                <w:rFonts w:ascii="Arial" w:eastAsia="HelveticaNeue-Light" w:hAnsi="Arial" w:cs="Arial"/>
                <w:color w:val="333333"/>
                <w:szCs w:val="24"/>
              </w:rPr>
              <w:t>Actividades especializadas para la construcción de edificios y obras de ingeniería civil</w:t>
            </w:r>
          </w:p>
        </w:tc>
        <w:tc>
          <w:tcPr>
            <w:tcW w:w="1843" w:type="dxa"/>
          </w:tcPr>
          <w:p w:rsidR="00B10975" w:rsidRPr="00853FC6" w:rsidRDefault="00B10975" w:rsidP="00712042">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color w:val="333333"/>
                <w:szCs w:val="24"/>
              </w:rPr>
            </w:pPr>
            <w:r w:rsidRPr="00853FC6">
              <w:rPr>
                <w:rFonts w:ascii="Arial" w:eastAsia="HelveticaNeue-Light" w:hAnsi="Arial" w:cs="Arial"/>
                <w:color w:val="333333"/>
                <w:szCs w:val="24"/>
              </w:rPr>
              <w:t>30.232</w:t>
            </w:r>
          </w:p>
        </w:tc>
      </w:tr>
      <w:tr w:rsidR="00B10975" w:rsidRPr="00853FC6" w:rsidTr="00712042">
        <w:trPr>
          <w:jc w:val="center"/>
        </w:trPr>
        <w:tc>
          <w:tcPr>
            <w:cnfStyle w:val="001000000000" w:firstRow="0" w:lastRow="0" w:firstColumn="1" w:lastColumn="0" w:oddVBand="0" w:evenVBand="0" w:oddHBand="0" w:evenHBand="0" w:firstRowFirstColumn="0" w:firstRowLastColumn="0" w:lastRowFirstColumn="0" w:lastRowLastColumn="0"/>
            <w:tcW w:w="6378" w:type="dxa"/>
            <w:gridSpan w:val="2"/>
          </w:tcPr>
          <w:p w:rsidR="00B10975" w:rsidRPr="00853FC6" w:rsidRDefault="00B10975" w:rsidP="00712042">
            <w:pPr>
              <w:pStyle w:val="Prrafodelista"/>
              <w:ind w:left="0"/>
              <w:jc w:val="center"/>
              <w:rPr>
                <w:rFonts w:ascii="Arial" w:eastAsia="HelveticaNeue-Light" w:hAnsi="Arial" w:cs="Arial"/>
                <w:i/>
                <w:color w:val="333333"/>
                <w:szCs w:val="24"/>
              </w:rPr>
            </w:pPr>
            <w:r>
              <w:rPr>
                <w:rFonts w:ascii="Arial" w:eastAsia="HelveticaNeue-Light" w:hAnsi="Arial" w:cs="Arial"/>
                <w:i/>
                <w:color w:val="333333"/>
                <w:szCs w:val="24"/>
              </w:rPr>
              <w:t>Total d</w:t>
            </w:r>
            <w:r w:rsidRPr="00853FC6">
              <w:rPr>
                <w:rFonts w:ascii="Arial" w:eastAsia="HelveticaNeue-Light" w:hAnsi="Arial" w:cs="Arial"/>
                <w:i/>
                <w:color w:val="333333"/>
                <w:szCs w:val="24"/>
              </w:rPr>
              <w:t>e Empresas</w:t>
            </w:r>
            <w:r>
              <w:rPr>
                <w:rFonts w:ascii="Arial" w:eastAsia="HelveticaNeue-Light" w:hAnsi="Arial" w:cs="Arial"/>
                <w:i/>
                <w:color w:val="333333"/>
                <w:szCs w:val="24"/>
              </w:rPr>
              <w:t xml:space="preserve"> Encontradas </w:t>
            </w:r>
          </w:p>
        </w:tc>
        <w:tc>
          <w:tcPr>
            <w:tcW w:w="1843" w:type="dxa"/>
          </w:tcPr>
          <w:p w:rsidR="00B10975" w:rsidRPr="00853FC6" w:rsidRDefault="00B10975" w:rsidP="00712042">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b/>
                <w:color w:val="333333"/>
                <w:szCs w:val="24"/>
              </w:rPr>
            </w:pPr>
            <w:r>
              <w:rPr>
                <w:rFonts w:ascii="Arial" w:eastAsia="HelveticaNeue-Light" w:hAnsi="Arial" w:cs="Arial"/>
                <w:b/>
                <w:color w:val="333333"/>
                <w:sz w:val="24"/>
                <w:szCs w:val="24"/>
              </w:rPr>
              <w:t>73.065</w:t>
            </w:r>
          </w:p>
        </w:tc>
      </w:tr>
    </w:tbl>
    <w:p w:rsidR="00B10975" w:rsidRDefault="00B10975" w:rsidP="00B10975">
      <w:pPr>
        <w:jc w:val="both"/>
        <w:rPr>
          <w:rFonts w:ascii="Arial" w:eastAsia="HelveticaNeue-Light" w:hAnsi="Arial" w:cs="Arial"/>
          <w:color w:val="333333"/>
          <w:sz w:val="14"/>
          <w:szCs w:val="24"/>
        </w:rPr>
      </w:pPr>
    </w:p>
    <w:p w:rsidR="00B10975" w:rsidRDefault="00B10975" w:rsidP="00B10975">
      <w:pPr>
        <w:pStyle w:val="Textonotapie"/>
        <w:jc w:val="both"/>
        <w:rPr>
          <w:rFonts w:ascii="Arial" w:eastAsia="HelveticaNeue-Light" w:hAnsi="Arial" w:cs="Arial"/>
          <w:color w:val="333333"/>
          <w:sz w:val="24"/>
        </w:rPr>
      </w:pPr>
      <w:r w:rsidRPr="00AF1544">
        <w:rPr>
          <w:rFonts w:ascii="Arial" w:eastAsia="HelveticaNeue-Light" w:hAnsi="Arial" w:cs="Arial"/>
          <w:color w:val="333333"/>
          <w:sz w:val="24"/>
        </w:rPr>
        <w:t>En la construcción de edificaciones F41 se divide en residenciales y no residenciales; en el ítem F42 Obras de Ingeniera civil se divide en; Construcción de carreteras y vías de ferrocarril, Construcción de proyectos de servicio público y Construcción de otras obras de ingeniería civil. Y para ítem F43 Actividades especializadas para la construcción de edificios y obras de ingeniería civil se encuentran; Demolición, Preparación del terreno, Instalaciones eléctricas, de fontanería y otras instalaciones especializadas; Terminación y acabado de edificios y obras de ingeniería civil.</w:t>
      </w:r>
    </w:p>
    <w:p w:rsidR="00B10975" w:rsidRDefault="00B10975" w:rsidP="00B10975">
      <w:pPr>
        <w:pStyle w:val="Textonotapie"/>
        <w:jc w:val="both"/>
        <w:rPr>
          <w:rFonts w:ascii="Arial" w:eastAsia="HelveticaNeue-Light" w:hAnsi="Arial" w:cs="Arial"/>
          <w:color w:val="333333"/>
          <w:sz w:val="24"/>
        </w:rPr>
      </w:pPr>
    </w:p>
    <w:p w:rsidR="00B10975" w:rsidRDefault="00B10975" w:rsidP="00B10975">
      <w:pPr>
        <w:jc w:val="both"/>
        <w:rPr>
          <w:rFonts w:ascii="Arial" w:eastAsia="HelveticaNeue-Light" w:hAnsi="Arial" w:cs="Arial"/>
          <w:color w:val="333333"/>
          <w:sz w:val="24"/>
          <w:szCs w:val="24"/>
        </w:rPr>
      </w:pPr>
      <w:r>
        <w:rPr>
          <w:rFonts w:ascii="Arial" w:eastAsia="HelveticaNeue-Light" w:hAnsi="Arial" w:cs="Arial"/>
          <w:color w:val="333333"/>
          <w:sz w:val="24"/>
          <w:szCs w:val="24"/>
        </w:rPr>
        <w:t>Las cuales a su vez se pueden clasificar por su tamaño en consideración a la siguiente tabla:</w:t>
      </w:r>
    </w:p>
    <w:tbl>
      <w:tblPr>
        <w:tblStyle w:val="Tabladecuadrcula4-nfasis61"/>
        <w:tblW w:w="8746" w:type="dxa"/>
        <w:jc w:val="center"/>
        <w:tblLook w:val="04A0" w:firstRow="1" w:lastRow="0" w:firstColumn="1" w:lastColumn="0" w:noHBand="0" w:noVBand="1"/>
      </w:tblPr>
      <w:tblGrid>
        <w:gridCol w:w="1831"/>
        <w:gridCol w:w="5736"/>
        <w:gridCol w:w="1179"/>
      </w:tblGrid>
      <w:tr w:rsidR="00B10975" w:rsidRPr="00853FC6" w:rsidTr="007120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1" w:type="dxa"/>
          </w:tcPr>
          <w:p w:rsidR="00B10975" w:rsidRPr="00847EAE" w:rsidRDefault="00B10975" w:rsidP="00712042">
            <w:pPr>
              <w:pStyle w:val="Prrafodelista"/>
              <w:ind w:left="0"/>
              <w:jc w:val="both"/>
              <w:rPr>
                <w:rFonts w:ascii="Arial" w:eastAsia="HelveticaNeue-Light" w:hAnsi="Arial" w:cs="Arial"/>
                <w:i/>
                <w:color w:val="333333"/>
              </w:rPr>
            </w:pPr>
            <w:r w:rsidRPr="00847EAE">
              <w:rPr>
                <w:rFonts w:ascii="Arial" w:eastAsia="HelveticaNeue-Light" w:hAnsi="Arial" w:cs="Arial"/>
                <w:i/>
                <w:color w:val="333333"/>
              </w:rPr>
              <w:t>Tamaño</w:t>
            </w:r>
          </w:p>
        </w:tc>
        <w:tc>
          <w:tcPr>
            <w:tcW w:w="5736" w:type="dxa"/>
          </w:tcPr>
          <w:p w:rsidR="00B10975" w:rsidRPr="00847EAE" w:rsidRDefault="00B10975" w:rsidP="00712042">
            <w:pPr>
              <w:pStyle w:val="Prrafodelista"/>
              <w:ind w:left="0"/>
              <w:jc w:val="both"/>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333333"/>
              </w:rPr>
            </w:pPr>
            <w:r w:rsidRPr="00847EAE">
              <w:rPr>
                <w:rFonts w:ascii="Arial" w:eastAsia="HelveticaNeue-Light" w:hAnsi="Arial" w:cs="Arial"/>
                <w:i/>
                <w:color w:val="333333"/>
              </w:rPr>
              <w:t xml:space="preserve">Descripción </w:t>
            </w:r>
          </w:p>
        </w:tc>
        <w:tc>
          <w:tcPr>
            <w:tcW w:w="1179" w:type="dxa"/>
          </w:tcPr>
          <w:p w:rsidR="00B10975" w:rsidRPr="00847EAE" w:rsidRDefault="00B10975" w:rsidP="00712042">
            <w:pPr>
              <w:pStyle w:val="Prrafodelista"/>
              <w:ind w:left="0"/>
              <w:jc w:val="both"/>
              <w:cnfStyle w:val="100000000000" w:firstRow="1" w:lastRow="0" w:firstColumn="0" w:lastColumn="0" w:oddVBand="0" w:evenVBand="0" w:oddHBand="0" w:evenHBand="0" w:firstRowFirstColumn="0" w:firstRowLastColumn="0" w:lastRowFirstColumn="0" w:lastRowLastColumn="0"/>
              <w:rPr>
                <w:rFonts w:ascii="Arial" w:eastAsia="HelveticaNeue-Light" w:hAnsi="Arial" w:cs="Arial"/>
                <w:i/>
                <w:color w:val="333333"/>
              </w:rPr>
            </w:pPr>
            <w:r w:rsidRPr="00847EAE">
              <w:rPr>
                <w:rFonts w:ascii="Arial" w:eastAsia="HelveticaNeue-Light" w:hAnsi="Arial" w:cs="Arial"/>
                <w:i/>
                <w:color w:val="333333"/>
              </w:rPr>
              <w:t>No. Empresas</w:t>
            </w:r>
          </w:p>
        </w:tc>
      </w:tr>
      <w:tr w:rsidR="00B10975" w:rsidRPr="00853FC6" w:rsidTr="007120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1" w:type="dxa"/>
          </w:tcPr>
          <w:p w:rsidR="00B10975" w:rsidRPr="00853FC6" w:rsidRDefault="00B10975" w:rsidP="00712042">
            <w:pPr>
              <w:pStyle w:val="Prrafodelista"/>
              <w:ind w:left="0"/>
              <w:jc w:val="center"/>
              <w:rPr>
                <w:rFonts w:ascii="Arial" w:eastAsia="HelveticaNeue-Light" w:hAnsi="Arial" w:cs="Arial"/>
                <w:color w:val="333333"/>
                <w:szCs w:val="24"/>
              </w:rPr>
            </w:pPr>
            <w:r>
              <w:rPr>
                <w:rFonts w:ascii="Arial" w:eastAsia="HelveticaNeue-Light" w:hAnsi="Arial" w:cs="Arial"/>
                <w:color w:val="333333"/>
                <w:szCs w:val="24"/>
              </w:rPr>
              <w:t>Microempresas</w:t>
            </w:r>
          </w:p>
        </w:tc>
        <w:tc>
          <w:tcPr>
            <w:tcW w:w="5736" w:type="dxa"/>
          </w:tcPr>
          <w:p w:rsidR="00B10975" w:rsidRPr="00853FC6" w:rsidRDefault="00B10975" w:rsidP="00712042">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color w:val="333333"/>
                <w:szCs w:val="24"/>
              </w:rPr>
            </w:pPr>
            <w:r w:rsidRPr="00847EAE">
              <w:rPr>
                <w:rFonts w:ascii="Arial" w:eastAsia="HelveticaNeue-Light" w:hAnsi="Arial" w:cs="Arial"/>
                <w:color w:val="333333"/>
                <w:szCs w:val="24"/>
              </w:rPr>
              <w:t xml:space="preserve">Activos totales por valor inferior a quinientos (500) salarios mínimos mensuales legales vigentes </w:t>
            </w:r>
          </w:p>
        </w:tc>
        <w:tc>
          <w:tcPr>
            <w:tcW w:w="1179" w:type="dxa"/>
          </w:tcPr>
          <w:p w:rsidR="00B10975" w:rsidRPr="00853FC6" w:rsidRDefault="00B10975" w:rsidP="00712042">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color w:val="333333"/>
                <w:szCs w:val="24"/>
              </w:rPr>
            </w:pPr>
            <w:r w:rsidRPr="00847EAE">
              <w:rPr>
                <w:rFonts w:ascii="Arial" w:eastAsia="HelveticaNeue-Light" w:hAnsi="Arial" w:cs="Arial"/>
                <w:color w:val="333333"/>
                <w:szCs w:val="24"/>
              </w:rPr>
              <w:t>57</w:t>
            </w:r>
            <w:r>
              <w:rPr>
                <w:rFonts w:ascii="Arial" w:eastAsia="HelveticaNeue-Light" w:hAnsi="Arial" w:cs="Arial"/>
                <w:color w:val="333333"/>
                <w:szCs w:val="24"/>
              </w:rPr>
              <w:t>.</w:t>
            </w:r>
            <w:r w:rsidRPr="00847EAE">
              <w:rPr>
                <w:rFonts w:ascii="Arial" w:eastAsia="HelveticaNeue-Light" w:hAnsi="Arial" w:cs="Arial"/>
                <w:color w:val="333333"/>
                <w:szCs w:val="24"/>
              </w:rPr>
              <w:t>829</w:t>
            </w:r>
          </w:p>
        </w:tc>
      </w:tr>
      <w:tr w:rsidR="00B10975" w:rsidRPr="00853FC6" w:rsidTr="00712042">
        <w:trPr>
          <w:jc w:val="center"/>
        </w:trPr>
        <w:tc>
          <w:tcPr>
            <w:cnfStyle w:val="001000000000" w:firstRow="0" w:lastRow="0" w:firstColumn="1" w:lastColumn="0" w:oddVBand="0" w:evenVBand="0" w:oddHBand="0" w:evenHBand="0" w:firstRowFirstColumn="0" w:firstRowLastColumn="0" w:lastRowFirstColumn="0" w:lastRowLastColumn="0"/>
            <w:tcW w:w="1831" w:type="dxa"/>
          </w:tcPr>
          <w:p w:rsidR="00B10975" w:rsidRDefault="00B10975" w:rsidP="00712042">
            <w:pPr>
              <w:pStyle w:val="Prrafodelista"/>
              <w:ind w:left="0"/>
              <w:jc w:val="center"/>
              <w:rPr>
                <w:rFonts w:ascii="Arial" w:eastAsia="HelveticaNeue-Light" w:hAnsi="Arial" w:cs="Arial"/>
                <w:color w:val="333333"/>
                <w:szCs w:val="24"/>
              </w:rPr>
            </w:pPr>
          </w:p>
          <w:p w:rsidR="00B10975" w:rsidRPr="00853FC6" w:rsidRDefault="00B10975" w:rsidP="00712042">
            <w:pPr>
              <w:pStyle w:val="Prrafodelista"/>
              <w:ind w:left="0"/>
              <w:jc w:val="center"/>
              <w:rPr>
                <w:rFonts w:ascii="Arial" w:eastAsia="HelveticaNeue-Light" w:hAnsi="Arial" w:cs="Arial"/>
                <w:color w:val="333333"/>
                <w:szCs w:val="24"/>
              </w:rPr>
            </w:pPr>
            <w:r>
              <w:rPr>
                <w:rFonts w:ascii="Arial" w:eastAsia="HelveticaNeue-Light" w:hAnsi="Arial" w:cs="Arial"/>
                <w:color w:val="333333"/>
                <w:szCs w:val="24"/>
              </w:rPr>
              <w:t>Pequeñas</w:t>
            </w:r>
          </w:p>
        </w:tc>
        <w:tc>
          <w:tcPr>
            <w:tcW w:w="5736" w:type="dxa"/>
          </w:tcPr>
          <w:p w:rsidR="00B10975" w:rsidRPr="00853FC6" w:rsidRDefault="00B10975" w:rsidP="00712042">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color w:val="333333"/>
                <w:szCs w:val="24"/>
              </w:rPr>
            </w:pPr>
            <w:r w:rsidRPr="00847EAE">
              <w:rPr>
                <w:rFonts w:ascii="Arial" w:eastAsia="HelveticaNeue-Light" w:hAnsi="Arial" w:cs="Arial"/>
                <w:color w:val="333333"/>
                <w:szCs w:val="24"/>
              </w:rPr>
              <w:t>Activos totales por valor entre quinientos uno (501) y menos de cinco mil (5.000) salarios mínimos mensuales legales vigentes</w:t>
            </w:r>
            <w:r>
              <w:rPr>
                <w:rFonts w:ascii="Arial" w:eastAsia="HelveticaNeue-Light" w:hAnsi="Arial" w:cs="Arial"/>
                <w:color w:val="333333"/>
                <w:szCs w:val="24"/>
              </w:rPr>
              <w:t>.</w:t>
            </w:r>
          </w:p>
        </w:tc>
        <w:tc>
          <w:tcPr>
            <w:tcW w:w="1179" w:type="dxa"/>
          </w:tcPr>
          <w:p w:rsidR="00B10975" w:rsidRPr="00853FC6" w:rsidRDefault="00B10975" w:rsidP="00712042">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color w:val="333333"/>
                <w:szCs w:val="24"/>
              </w:rPr>
            </w:pPr>
            <w:r>
              <w:rPr>
                <w:rFonts w:ascii="Arial" w:eastAsia="HelveticaNeue-Light" w:hAnsi="Arial" w:cs="Arial"/>
                <w:color w:val="333333"/>
                <w:szCs w:val="24"/>
              </w:rPr>
              <w:t>7</w:t>
            </w:r>
            <w:r w:rsidRPr="00853FC6">
              <w:rPr>
                <w:rFonts w:ascii="Arial" w:eastAsia="HelveticaNeue-Light" w:hAnsi="Arial" w:cs="Arial"/>
                <w:color w:val="333333"/>
                <w:szCs w:val="24"/>
              </w:rPr>
              <w:t>.</w:t>
            </w:r>
            <w:r>
              <w:rPr>
                <w:rFonts w:ascii="Arial" w:eastAsia="HelveticaNeue-Light" w:hAnsi="Arial" w:cs="Arial"/>
                <w:color w:val="333333"/>
                <w:szCs w:val="24"/>
              </w:rPr>
              <w:t>933</w:t>
            </w:r>
          </w:p>
        </w:tc>
      </w:tr>
      <w:tr w:rsidR="00B10975" w:rsidRPr="00853FC6" w:rsidTr="007120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31" w:type="dxa"/>
          </w:tcPr>
          <w:p w:rsidR="00B10975" w:rsidRPr="00853FC6" w:rsidRDefault="00B10975" w:rsidP="00712042">
            <w:pPr>
              <w:pStyle w:val="Prrafodelista"/>
              <w:ind w:left="0"/>
              <w:jc w:val="center"/>
              <w:rPr>
                <w:rFonts w:ascii="Arial" w:eastAsia="HelveticaNeue-Light" w:hAnsi="Arial" w:cs="Arial"/>
                <w:color w:val="333333"/>
                <w:szCs w:val="24"/>
              </w:rPr>
            </w:pPr>
            <w:r>
              <w:rPr>
                <w:rFonts w:ascii="Arial" w:eastAsia="HelveticaNeue-Light" w:hAnsi="Arial" w:cs="Arial"/>
                <w:color w:val="333333"/>
                <w:szCs w:val="24"/>
              </w:rPr>
              <w:t>Medianas</w:t>
            </w:r>
          </w:p>
        </w:tc>
        <w:tc>
          <w:tcPr>
            <w:tcW w:w="5736" w:type="dxa"/>
          </w:tcPr>
          <w:p w:rsidR="00B10975" w:rsidRPr="00853FC6" w:rsidRDefault="00B10975" w:rsidP="00712042">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color w:val="333333"/>
                <w:szCs w:val="24"/>
              </w:rPr>
            </w:pPr>
            <w:r w:rsidRPr="00847EAE">
              <w:rPr>
                <w:rFonts w:ascii="Arial" w:eastAsia="HelveticaNeue-Light" w:hAnsi="Arial" w:cs="Arial"/>
                <w:color w:val="333333"/>
                <w:szCs w:val="24"/>
              </w:rPr>
              <w:t>Activos totales por valor entre cinco mil uno (5.001) a treinta mil (30.000) salarios mínimos mensuales legales vigentes.</w:t>
            </w:r>
          </w:p>
        </w:tc>
        <w:tc>
          <w:tcPr>
            <w:tcW w:w="1179" w:type="dxa"/>
          </w:tcPr>
          <w:p w:rsidR="00B10975" w:rsidRPr="00853FC6" w:rsidRDefault="00B10975" w:rsidP="00712042">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Arial" w:eastAsia="HelveticaNeue-Light" w:hAnsi="Arial" w:cs="Arial"/>
                <w:color w:val="333333"/>
                <w:szCs w:val="24"/>
              </w:rPr>
            </w:pPr>
            <w:r>
              <w:rPr>
                <w:rFonts w:ascii="Arial" w:eastAsia="HelveticaNeue-Light" w:hAnsi="Arial" w:cs="Arial"/>
                <w:color w:val="333333"/>
                <w:szCs w:val="24"/>
              </w:rPr>
              <w:t>2</w:t>
            </w:r>
            <w:r w:rsidRPr="00853FC6">
              <w:rPr>
                <w:rFonts w:ascii="Arial" w:eastAsia="HelveticaNeue-Light" w:hAnsi="Arial" w:cs="Arial"/>
                <w:color w:val="333333"/>
                <w:szCs w:val="24"/>
              </w:rPr>
              <w:t>.</w:t>
            </w:r>
            <w:r>
              <w:rPr>
                <w:rFonts w:ascii="Arial" w:eastAsia="HelveticaNeue-Light" w:hAnsi="Arial" w:cs="Arial"/>
                <w:color w:val="333333"/>
                <w:szCs w:val="24"/>
              </w:rPr>
              <w:t>415</w:t>
            </w:r>
          </w:p>
        </w:tc>
      </w:tr>
      <w:tr w:rsidR="00B10975" w:rsidRPr="00853FC6" w:rsidTr="00712042">
        <w:trPr>
          <w:jc w:val="center"/>
        </w:trPr>
        <w:tc>
          <w:tcPr>
            <w:cnfStyle w:val="001000000000" w:firstRow="0" w:lastRow="0" w:firstColumn="1" w:lastColumn="0" w:oddVBand="0" w:evenVBand="0" w:oddHBand="0" w:evenHBand="0" w:firstRowFirstColumn="0" w:firstRowLastColumn="0" w:lastRowFirstColumn="0" w:lastRowLastColumn="0"/>
            <w:tcW w:w="1831" w:type="dxa"/>
          </w:tcPr>
          <w:p w:rsidR="00B10975" w:rsidRPr="00853FC6" w:rsidRDefault="00B10975" w:rsidP="00712042">
            <w:pPr>
              <w:pStyle w:val="Prrafodelista"/>
              <w:ind w:left="0"/>
              <w:jc w:val="center"/>
              <w:rPr>
                <w:rFonts w:ascii="Arial" w:eastAsia="HelveticaNeue-Light" w:hAnsi="Arial" w:cs="Arial"/>
                <w:b w:val="0"/>
                <w:bCs w:val="0"/>
                <w:i/>
                <w:color w:val="333333"/>
                <w:szCs w:val="24"/>
              </w:rPr>
            </w:pPr>
            <w:r>
              <w:rPr>
                <w:rFonts w:ascii="Arial" w:eastAsia="HelveticaNeue-Light" w:hAnsi="Arial" w:cs="Arial"/>
                <w:color w:val="333333"/>
                <w:szCs w:val="24"/>
              </w:rPr>
              <w:t xml:space="preserve">Grandes </w:t>
            </w:r>
          </w:p>
        </w:tc>
        <w:tc>
          <w:tcPr>
            <w:tcW w:w="5736" w:type="dxa"/>
          </w:tcPr>
          <w:p w:rsidR="00B10975" w:rsidRPr="00847EAE" w:rsidRDefault="00B10975" w:rsidP="00712042">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color w:val="333333"/>
                <w:szCs w:val="24"/>
              </w:rPr>
            </w:pPr>
            <w:r w:rsidRPr="00847EAE">
              <w:rPr>
                <w:rFonts w:ascii="Arial" w:eastAsia="HelveticaNeue-Light" w:hAnsi="Arial" w:cs="Arial"/>
                <w:i/>
                <w:color w:val="333333"/>
                <w:szCs w:val="24"/>
              </w:rPr>
              <w:t>Activos totales superiores a treinta mil (30.000) salarios mínimos mensuales legales vigentes.</w:t>
            </w:r>
          </w:p>
        </w:tc>
        <w:tc>
          <w:tcPr>
            <w:tcW w:w="1179" w:type="dxa"/>
          </w:tcPr>
          <w:p w:rsidR="00B10975" w:rsidRPr="00847EAE" w:rsidRDefault="00B10975" w:rsidP="00712042">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Arial" w:eastAsia="HelveticaNeue-Light" w:hAnsi="Arial" w:cs="Arial"/>
                <w:color w:val="333333"/>
                <w:szCs w:val="24"/>
              </w:rPr>
            </w:pPr>
            <w:r w:rsidRPr="00847EAE">
              <w:rPr>
                <w:rFonts w:ascii="Arial" w:eastAsia="HelveticaNeue-Light" w:hAnsi="Arial" w:cs="Arial"/>
                <w:color w:val="333333"/>
                <w:sz w:val="24"/>
                <w:szCs w:val="24"/>
              </w:rPr>
              <w:t>786</w:t>
            </w:r>
          </w:p>
        </w:tc>
      </w:tr>
    </w:tbl>
    <w:p w:rsidR="00B10975" w:rsidRPr="00277111" w:rsidRDefault="00B10975" w:rsidP="00B10975">
      <w:pPr>
        <w:jc w:val="both"/>
        <w:rPr>
          <w:rFonts w:ascii="Arial" w:eastAsia="HelveticaNeue-Light" w:hAnsi="Arial" w:cs="Arial"/>
          <w:color w:val="333333"/>
          <w:szCs w:val="24"/>
        </w:rPr>
      </w:pPr>
      <w:r>
        <w:rPr>
          <w:rFonts w:ascii="Arial" w:eastAsia="HelveticaNeue-Light" w:hAnsi="Arial" w:cs="Arial"/>
          <w:color w:val="333333"/>
          <w:szCs w:val="24"/>
        </w:rPr>
        <w:t xml:space="preserve">      </w:t>
      </w:r>
      <w:r w:rsidRPr="00277111">
        <w:rPr>
          <w:rFonts w:ascii="Arial" w:eastAsia="HelveticaNeue-Light" w:hAnsi="Arial" w:cs="Arial"/>
          <w:color w:val="333333"/>
          <w:szCs w:val="24"/>
        </w:rPr>
        <w:t xml:space="preserve">Nota: Las restan (4.102) se encuentran aun sin clasificar. </w:t>
      </w:r>
    </w:p>
    <w:p w:rsidR="00B10975" w:rsidRDefault="00B10975" w:rsidP="00B10975">
      <w:pPr>
        <w:pStyle w:val="Textonotapie"/>
        <w:jc w:val="both"/>
        <w:rPr>
          <w:rFonts w:ascii="Arial" w:eastAsia="HelveticaNeue-Light" w:hAnsi="Arial" w:cs="Arial"/>
          <w:color w:val="333333"/>
          <w:sz w:val="24"/>
          <w:szCs w:val="24"/>
        </w:rPr>
      </w:pPr>
    </w:p>
    <w:p w:rsidR="00B10975" w:rsidRDefault="00B10975" w:rsidP="00B10975">
      <w:pPr>
        <w:pStyle w:val="Textonotapie"/>
        <w:jc w:val="both"/>
        <w:rPr>
          <w:rFonts w:ascii="Arial" w:eastAsia="HelveticaNeue-Light" w:hAnsi="Arial" w:cs="Arial"/>
          <w:color w:val="333333"/>
          <w:sz w:val="24"/>
          <w:szCs w:val="24"/>
        </w:rPr>
      </w:pPr>
      <w:r>
        <w:rPr>
          <w:rFonts w:ascii="Arial" w:eastAsia="HelveticaNeue-Light" w:hAnsi="Arial" w:cs="Arial"/>
          <w:color w:val="333333"/>
          <w:sz w:val="24"/>
          <w:szCs w:val="24"/>
        </w:rPr>
        <w:t xml:space="preserve">De esto se puede concluir que en el mercado colombiano hay más de 3.000 empresas que prestan servicios de construcción, mantenimiento, reparación y/o actividades especializadas; las cuales pueden participar como oferente en los diferentes procesos de contratación realizados por la entidad. Creando un mercado dinámico y competitivo en los eslabones finales de la cadena. </w:t>
      </w:r>
    </w:p>
    <w:p w:rsidR="00B10975" w:rsidRDefault="00B10975" w:rsidP="00B10975">
      <w:pPr>
        <w:pStyle w:val="Textonotapie"/>
        <w:jc w:val="both"/>
        <w:rPr>
          <w:rFonts w:ascii="Arial" w:eastAsia="HelveticaNeue-Light" w:hAnsi="Arial" w:cs="Arial"/>
          <w:color w:val="333333"/>
          <w:sz w:val="24"/>
          <w:szCs w:val="24"/>
        </w:rPr>
      </w:pPr>
    </w:p>
    <w:p w:rsidR="00B10975" w:rsidRDefault="00B10975" w:rsidP="00B10975">
      <w:pPr>
        <w:pStyle w:val="Default"/>
        <w:jc w:val="both"/>
      </w:pPr>
      <w:r>
        <w:t>En los casos de las consultorías los resultados se consideran únicos; ya que comprenden estudios específicos con resultados disimiles; ya sea por su resultado final, o por las técnicas utilizadas, que determinan costos diferentes para su ejecución. Estas consultorías se pueden clasificar en dos grupos:</w:t>
      </w:r>
    </w:p>
    <w:p w:rsidR="00B10975" w:rsidRDefault="00B10975" w:rsidP="00B10975">
      <w:pPr>
        <w:pStyle w:val="Default"/>
        <w:jc w:val="both"/>
      </w:pPr>
    </w:p>
    <w:p w:rsidR="00B10975" w:rsidRDefault="00B10975" w:rsidP="00B10975">
      <w:pPr>
        <w:pStyle w:val="Default"/>
        <w:numPr>
          <w:ilvl w:val="0"/>
          <w:numId w:val="47"/>
        </w:numPr>
        <w:spacing w:line="360" w:lineRule="auto"/>
        <w:jc w:val="both"/>
      </w:pPr>
      <w:r>
        <w:t>Estudios y diseños.</w:t>
      </w:r>
    </w:p>
    <w:p w:rsidR="00B10975" w:rsidRDefault="00B10975" w:rsidP="00B10975">
      <w:pPr>
        <w:pStyle w:val="Default"/>
        <w:numPr>
          <w:ilvl w:val="0"/>
          <w:numId w:val="47"/>
        </w:numPr>
        <w:spacing w:line="360" w:lineRule="auto"/>
        <w:jc w:val="both"/>
      </w:pPr>
      <w:r>
        <w:t>Trabajos de Interventoría.</w:t>
      </w:r>
    </w:p>
    <w:p w:rsidR="00B10975" w:rsidRDefault="00B10975" w:rsidP="00B10975">
      <w:pPr>
        <w:pStyle w:val="Default"/>
        <w:jc w:val="both"/>
        <w:rPr>
          <w:highlight w:val="yellow"/>
        </w:rPr>
      </w:pPr>
    </w:p>
    <w:p w:rsidR="00B10975" w:rsidRPr="00DC5159" w:rsidRDefault="00B10975" w:rsidP="00B10975">
      <w:pPr>
        <w:autoSpaceDE w:val="0"/>
        <w:autoSpaceDN w:val="0"/>
        <w:adjustRightInd w:val="0"/>
        <w:spacing w:after="0" w:line="276" w:lineRule="auto"/>
        <w:jc w:val="both"/>
        <w:rPr>
          <w:rFonts w:ascii="Arial" w:hAnsi="Arial" w:cs="Arial"/>
          <w:color w:val="000000"/>
        </w:rPr>
      </w:pPr>
      <w:r w:rsidRPr="00DC5159">
        <w:rPr>
          <w:rFonts w:ascii="Arial" w:hAnsi="Arial" w:cs="Arial"/>
          <w:color w:val="000000"/>
        </w:rPr>
        <w:t xml:space="preserve">La </w:t>
      </w:r>
      <w:r w:rsidRPr="00DC5159">
        <w:rPr>
          <w:rFonts w:ascii="Arial" w:hAnsi="Arial" w:cs="Arial"/>
          <w:b/>
        </w:rPr>
        <w:t xml:space="preserve">Consultoría </w:t>
      </w:r>
      <w:r>
        <w:rPr>
          <w:rFonts w:ascii="Arial" w:hAnsi="Arial" w:cs="Arial"/>
          <w:b/>
        </w:rPr>
        <w:t xml:space="preserve">Técnica e </w:t>
      </w:r>
      <w:r w:rsidRPr="00DC5159">
        <w:rPr>
          <w:rFonts w:ascii="Arial" w:hAnsi="Arial" w:cs="Arial"/>
          <w:b/>
        </w:rPr>
        <w:t>Interventoría</w:t>
      </w:r>
      <w:r>
        <w:rPr>
          <w:rFonts w:ascii="Arial" w:hAnsi="Arial" w:cs="Arial"/>
          <w:b/>
        </w:rPr>
        <w:t>s</w:t>
      </w:r>
      <w:r w:rsidRPr="00DC5159">
        <w:rPr>
          <w:rFonts w:ascii="Arial" w:hAnsi="Arial" w:cs="Arial"/>
          <w:b/>
        </w:rPr>
        <w:t xml:space="preserve"> </w:t>
      </w:r>
      <w:r w:rsidRPr="00DC5159">
        <w:rPr>
          <w:rFonts w:ascii="Arial" w:hAnsi="Arial" w:cs="Arial"/>
          <w:color w:val="000000"/>
        </w:rPr>
        <w:t xml:space="preserve">para el seguimiento a proyectos de obras de </w:t>
      </w:r>
      <w:r>
        <w:rPr>
          <w:rFonts w:ascii="Arial" w:hAnsi="Arial" w:cs="Arial"/>
          <w:color w:val="000000"/>
        </w:rPr>
        <w:t xml:space="preserve">Construcción, </w:t>
      </w:r>
      <w:r w:rsidRPr="00DC5159">
        <w:rPr>
          <w:rFonts w:ascii="Arial" w:hAnsi="Arial" w:cs="Arial"/>
          <w:color w:val="000000"/>
        </w:rPr>
        <w:t xml:space="preserve">Mantenimiento </w:t>
      </w:r>
      <w:r>
        <w:rPr>
          <w:rFonts w:ascii="Arial" w:hAnsi="Arial" w:cs="Arial"/>
          <w:color w:val="000000"/>
        </w:rPr>
        <w:t xml:space="preserve">o mejoramiento </w:t>
      </w:r>
      <w:r w:rsidRPr="00DC5159">
        <w:rPr>
          <w:rFonts w:ascii="Arial" w:hAnsi="Arial" w:cs="Arial"/>
          <w:color w:val="000000"/>
        </w:rPr>
        <w:t xml:space="preserve">de </w:t>
      </w:r>
      <w:r>
        <w:rPr>
          <w:rFonts w:ascii="Arial" w:hAnsi="Arial" w:cs="Arial"/>
          <w:color w:val="000000"/>
        </w:rPr>
        <w:t xml:space="preserve">la </w:t>
      </w:r>
      <w:r w:rsidRPr="00DC5159">
        <w:rPr>
          <w:rFonts w:ascii="Arial" w:hAnsi="Arial" w:cs="Arial"/>
          <w:color w:val="000000"/>
        </w:rPr>
        <w:t>infraestructura de tipo aeronáutico, no cuenta</w:t>
      </w:r>
      <w:r>
        <w:rPr>
          <w:rFonts w:ascii="Arial" w:hAnsi="Arial" w:cs="Arial"/>
          <w:color w:val="000000"/>
        </w:rPr>
        <w:t>n</w:t>
      </w:r>
      <w:r w:rsidRPr="00DC5159">
        <w:rPr>
          <w:rFonts w:ascii="Arial" w:hAnsi="Arial" w:cs="Arial"/>
          <w:color w:val="000000"/>
        </w:rPr>
        <w:t xml:space="preserve"> con gran cantidad de proveedores a nivel nacional, debido a especificidad y magnitud de las obras, así como a la baja frecuencia de las mismas, lo que limita la posibilidad de adquisición de experiencia especifica en este campo, permitiendo la participación de pocas empresas especializadas, con una oferta escasa, con las condiciones y exigencias requeridas para garantizar productos asertivos en el campo contratado.</w:t>
      </w:r>
    </w:p>
    <w:p w:rsidR="00B10975" w:rsidRPr="00BE1346" w:rsidRDefault="00B10975" w:rsidP="00B10975">
      <w:pPr>
        <w:autoSpaceDE w:val="0"/>
        <w:autoSpaceDN w:val="0"/>
        <w:adjustRightInd w:val="0"/>
        <w:spacing w:after="0" w:line="276" w:lineRule="auto"/>
        <w:jc w:val="both"/>
        <w:rPr>
          <w:rFonts w:ascii="Arial" w:hAnsi="Arial" w:cs="Arial"/>
          <w:color w:val="000000"/>
        </w:rPr>
      </w:pPr>
    </w:p>
    <w:p w:rsidR="00B367ED" w:rsidRDefault="00B10975" w:rsidP="00B10975">
      <w:pPr>
        <w:spacing w:line="276" w:lineRule="auto"/>
        <w:jc w:val="both"/>
        <w:rPr>
          <w:rFonts w:ascii="Arial" w:hAnsi="Arial" w:cs="Arial"/>
          <w:color w:val="000000"/>
        </w:rPr>
      </w:pPr>
      <w:r w:rsidRPr="00BE1346">
        <w:rPr>
          <w:rFonts w:ascii="Arial" w:hAnsi="Arial" w:cs="Arial"/>
          <w:color w:val="000000"/>
        </w:rPr>
        <w:t xml:space="preserve">La entidad no restringe ninguna participación de agentes presentes en el canal de </w:t>
      </w:r>
      <w:r w:rsidRPr="00440C33">
        <w:rPr>
          <w:rFonts w:ascii="Arial" w:hAnsi="Arial" w:cs="Arial"/>
          <w:color w:val="000000"/>
        </w:rPr>
        <w:t>Consultoría de Interventoría</w:t>
      </w:r>
      <w:r w:rsidRPr="00BE1346">
        <w:rPr>
          <w:rFonts w:ascii="Arial" w:hAnsi="Arial" w:cs="Arial"/>
          <w:color w:val="000000"/>
        </w:rPr>
        <w:t xml:space="preserve">, pero </w:t>
      </w:r>
      <w:r w:rsidRPr="00553CB5">
        <w:rPr>
          <w:rFonts w:ascii="Arial" w:hAnsi="Arial" w:cs="Arial"/>
          <w:color w:val="000000"/>
        </w:rPr>
        <w:t xml:space="preserve">si enfoco el estudio del sector y sondeo de mercado a empresas con experiencia en </w:t>
      </w:r>
      <w:r w:rsidRPr="0003520F">
        <w:rPr>
          <w:rFonts w:ascii="Arial" w:hAnsi="Arial" w:cs="Arial"/>
          <w:b/>
          <w:color w:val="000000"/>
        </w:rPr>
        <w:t xml:space="preserve">Interventorías a </w:t>
      </w:r>
      <w:r>
        <w:rPr>
          <w:rFonts w:ascii="Arial" w:hAnsi="Arial" w:cs="Arial"/>
          <w:b/>
          <w:color w:val="000000"/>
        </w:rPr>
        <w:t xml:space="preserve">Obras de mantenimiento y mejoramiento de infraestructura aeroportuario en el lado Aire, Pistas, Plataformas y calles de rodaje. </w:t>
      </w:r>
      <w:r w:rsidRPr="0003520F">
        <w:rPr>
          <w:rFonts w:ascii="Arial" w:hAnsi="Arial" w:cs="Arial"/>
          <w:b/>
          <w:color w:val="000000"/>
        </w:rPr>
        <w:t>Estudios y D</w:t>
      </w:r>
      <w:r w:rsidRPr="0003520F">
        <w:rPr>
          <w:rFonts w:ascii="Arial" w:hAnsi="Arial" w:cs="Arial"/>
          <w:b/>
        </w:rPr>
        <w:t>iseños</w:t>
      </w:r>
      <w:r>
        <w:rPr>
          <w:rFonts w:ascii="Arial" w:hAnsi="Arial" w:cs="Arial"/>
          <w:b/>
        </w:rPr>
        <w:t>;</w:t>
      </w:r>
      <w:r w:rsidRPr="00BE1346">
        <w:rPr>
          <w:rFonts w:ascii="Arial" w:hAnsi="Arial" w:cs="Arial"/>
          <w:color w:val="000000"/>
        </w:rPr>
        <w:t xml:space="preserve"> sin que ello sea excluyente de nuevos oferentes, siempre que logren cumplir con el objetivo de la contratación y especialmente el cumplimiento de los requisitos técnicos.</w:t>
      </w:r>
    </w:p>
    <w:p w:rsidR="00B10975" w:rsidRPr="00BE1346" w:rsidRDefault="00B10975" w:rsidP="00B10975">
      <w:pPr>
        <w:spacing w:line="276" w:lineRule="auto"/>
        <w:jc w:val="both"/>
        <w:rPr>
          <w:rFonts w:ascii="Arial" w:hAnsi="Arial" w:cs="Arial"/>
        </w:rPr>
      </w:pPr>
    </w:p>
    <w:p w:rsidR="007D64DA" w:rsidRPr="00B10975" w:rsidRDefault="00B10975" w:rsidP="00B10975">
      <w:pPr>
        <w:pStyle w:val="Default"/>
        <w:numPr>
          <w:ilvl w:val="2"/>
          <w:numId w:val="45"/>
        </w:numPr>
        <w:spacing w:line="276" w:lineRule="auto"/>
        <w:rPr>
          <w:color w:val="auto"/>
          <w:szCs w:val="22"/>
        </w:rPr>
      </w:pPr>
      <w:r w:rsidRPr="00B10975">
        <w:rPr>
          <w:b/>
          <w:bCs/>
          <w:color w:val="auto"/>
          <w:szCs w:val="22"/>
        </w:rPr>
        <w:t>Estudio del mercado</w:t>
      </w:r>
    </w:p>
    <w:p w:rsidR="00B10975" w:rsidRPr="00B10975" w:rsidRDefault="00B10975" w:rsidP="00B10975">
      <w:pPr>
        <w:pStyle w:val="Default"/>
        <w:spacing w:line="276" w:lineRule="auto"/>
        <w:ind w:left="1080"/>
        <w:rPr>
          <w:color w:val="auto"/>
          <w:szCs w:val="22"/>
        </w:rPr>
      </w:pPr>
    </w:p>
    <w:p w:rsidR="00B10975" w:rsidRPr="00B5062F" w:rsidRDefault="00B10975" w:rsidP="00B10975">
      <w:pPr>
        <w:pStyle w:val="Default"/>
        <w:numPr>
          <w:ilvl w:val="3"/>
          <w:numId w:val="45"/>
        </w:numPr>
        <w:spacing w:line="276" w:lineRule="auto"/>
        <w:rPr>
          <w:color w:val="auto"/>
          <w:szCs w:val="22"/>
        </w:rPr>
      </w:pPr>
      <w:r w:rsidRPr="00C919D1">
        <w:rPr>
          <w:rFonts w:eastAsia="HelveticaNeue-Light"/>
          <w:b/>
          <w:i/>
          <w:color w:val="333333"/>
          <w:sz w:val="28"/>
          <w:szCs w:val="25"/>
        </w:rPr>
        <w:t>Personal</w:t>
      </w:r>
    </w:p>
    <w:p w:rsidR="00B5062F" w:rsidRPr="00B5062F" w:rsidRDefault="00B5062F" w:rsidP="00B5062F">
      <w:pPr>
        <w:pStyle w:val="Default"/>
        <w:spacing w:line="276" w:lineRule="auto"/>
        <w:ind w:left="720"/>
        <w:rPr>
          <w:color w:val="auto"/>
          <w:szCs w:val="22"/>
        </w:rPr>
      </w:pPr>
    </w:p>
    <w:p w:rsidR="00B240E4" w:rsidRPr="00163ACB" w:rsidRDefault="00B240E4" w:rsidP="00B240E4">
      <w:pPr>
        <w:spacing w:line="276" w:lineRule="auto"/>
        <w:jc w:val="both"/>
        <w:rPr>
          <w:rFonts w:ascii="Arial" w:hAnsi="Arial" w:cs="Arial"/>
          <w:color w:val="000000"/>
        </w:rPr>
      </w:pPr>
      <w:r w:rsidRPr="00163ACB">
        <w:rPr>
          <w:rFonts w:ascii="Arial" w:hAnsi="Arial" w:cs="Arial"/>
          <w:color w:val="000000"/>
        </w:rPr>
        <w:t>Se realizó una revisión de las Propuestas Económicas de los oferentes seleccionados en los principales procesos de concursos de méritos de consultorías de Interventoría en los años 2015, 2016 y 2017.</w:t>
      </w:r>
    </w:p>
    <w:p w:rsidR="00B240E4" w:rsidRPr="00163ACB" w:rsidRDefault="00B240E4" w:rsidP="00B240E4">
      <w:pPr>
        <w:spacing w:line="276" w:lineRule="auto"/>
        <w:jc w:val="both"/>
        <w:rPr>
          <w:rFonts w:ascii="Arial" w:hAnsi="Arial" w:cs="Arial"/>
          <w:color w:val="000000"/>
        </w:rPr>
      </w:pPr>
      <w:r w:rsidRPr="00163ACB">
        <w:rPr>
          <w:rFonts w:ascii="Arial" w:hAnsi="Arial" w:cs="Arial"/>
          <w:color w:val="000000"/>
        </w:rPr>
        <w:t>Las ofertas económicas de los procesos de Consultoría seleccionados por medio de Muestreo Aleatorio Simple MAS con un tamaño de Muestra de Treinta y Cinco (35), utilizados para el ejercicio piloto de estimar precios de referencia para el principal personal de las Consultorías.</w:t>
      </w:r>
    </w:p>
    <w:p w:rsidR="00B240E4" w:rsidRPr="00163ACB" w:rsidRDefault="00B240E4" w:rsidP="00B240E4">
      <w:pPr>
        <w:spacing w:line="276" w:lineRule="auto"/>
        <w:jc w:val="both"/>
        <w:rPr>
          <w:rFonts w:ascii="Arial" w:hAnsi="Arial" w:cs="Arial"/>
          <w:color w:val="000000"/>
        </w:rPr>
      </w:pPr>
      <w:r w:rsidRPr="00163ACB">
        <w:rPr>
          <w:rFonts w:ascii="Arial" w:hAnsi="Arial" w:cs="Arial"/>
          <w:color w:val="000000"/>
        </w:rPr>
        <w:t>A fin de tener una diferenciación, acorde a la realidad de los procesos, desde la coordinación se determinaron cuatro grupos G1, G2, G3 y G4, atendiendo los criterios de Monto contratado y ubicación del aeropuerto donde se desarrollarían las actividades, así:</w:t>
      </w:r>
    </w:p>
    <w:tbl>
      <w:tblPr>
        <w:tblStyle w:val="Tablaconcuadrcula"/>
        <w:tblW w:w="0" w:type="auto"/>
        <w:jc w:val="center"/>
        <w:tblLook w:val="04A0" w:firstRow="1" w:lastRow="0" w:firstColumn="1" w:lastColumn="0" w:noHBand="0" w:noVBand="1"/>
      </w:tblPr>
      <w:tblGrid>
        <w:gridCol w:w="3275"/>
        <w:gridCol w:w="1757"/>
        <w:gridCol w:w="1985"/>
      </w:tblGrid>
      <w:tr w:rsidR="00B240E4" w:rsidTr="009C259C">
        <w:trPr>
          <w:jc w:val="center"/>
        </w:trPr>
        <w:tc>
          <w:tcPr>
            <w:tcW w:w="3275" w:type="dxa"/>
            <w:vMerge w:val="restart"/>
          </w:tcPr>
          <w:p w:rsidR="00B240E4" w:rsidRDefault="00B240E4" w:rsidP="009C259C">
            <w:pPr>
              <w:jc w:val="center"/>
              <w:rPr>
                <w:rFonts w:ascii="Arial" w:eastAsia="HelveticaNeue-Light" w:hAnsi="Arial" w:cs="Arial"/>
                <w:color w:val="333333"/>
                <w:sz w:val="24"/>
                <w:szCs w:val="24"/>
              </w:rPr>
            </w:pPr>
          </w:p>
          <w:p w:rsidR="00B240E4" w:rsidRDefault="00B240E4" w:rsidP="009C259C">
            <w:pPr>
              <w:jc w:val="center"/>
              <w:rPr>
                <w:rFonts w:ascii="Arial" w:eastAsia="HelveticaNeue-Light" w:hAnsi="Arial" w:cs="Arial"/>
                <w:color w:val="333333"/>
                <w:sz w:val="24"/>
                <w:szCs w:val="24"/>
              </w:rPr>
            </w:pPr>
            <w:r>
              <w:rPr>
                <w:rFonts w:ascii="Arial" w:eastAsia="HelveticaNeue-Light" w:hAnsi="Arial" w:cs="Arial"/>
                <w:color w:val="333333"/>
                <w:sz w:val="24"/>
                <w:szCs w:val="24"/>
              </w:rPr>
              <w:t>Valor de la Consultoría</w:t>
            </w:r>
          </w:p>
        </w:tc>
        <w:tc>
          <w:tcPr>
            <w:tcW w:w="3742" w:type="dxa"/>
            <w:gridSpan w:val="2"/>
          </w:tcPr>
          <w:p w:rsidR="00B240E4" w:rsidRDefault="00B240E4" w:rsidP="009C259C">
            <w:pPr>
              <w:jc w:val="center"/>
              <w:rPr>
                <w:rFonts w:ascii="Arial" w:eastAsia="HelveticaNeue-Light" w:hAnsi="Arial" w:cs="Arial"/>
                <w:color w:val="333333"/>
                <w:sz w:val="24"/>
                <w:szCs w:val="24"/>
              </w:rPr>
            </w:pPr>
            <w:r>
              <w:rPr>
                <w:rFonts w:ascii="Arial" w:eastAsia="HelveticaNeue-Light" w:hAnsi="Arial" w:cs="Arial"/>
                <w:color w:val="333333"/>
                <w:sz w:val="24"/>
                <w:szCs w:val="24"/>
              </w:rPr>
              <w:t>Ubicación</w:t>
            </w:r>
          </w:p>
        </w:tc>
      </w:tr>
      <w:tr w:rsidR="00B240E4" w:rsidTr="009C259C">
        <w:trPr>
          <w:jc w:val="center"/>
        </w:trPr>
        <w:tc>
          <w:tcPr>
            <w:tcW w:w="3275" w:type="dxa"/>
            <w:vMerge/>
          </w:tcPr>
          <w:p w:rsidR="00B240E4" w:rsidRDefault="00B240E4" w:rsidP="009C259C">
            <w:pPr>
              <w:rPr>
                <w:rFonts w:ascii="Arial" w:eastAsia="HelveticaNeue-Light" w:hAnsi="Arial" w:cs="Arial"/>
                <w:color w:val="333333"/>
                <w:sz w:val="24"/>
                <w:szCs w:val="24"/>
              </w:rPr>
            </w:pPr>
          </w:p>
        </w:tc>
        <w:tc>
          <w:tcPr>
            <w:tcW w:w="1757" w:type="dxa"/>
          </w:tcPr>
          <w:p w:rsidR="00B240E4" w:rsidRDefault="00B240E4" w:rsidP="009C259C">
            <w:pPr>
              <w:jc w:val="center"/>
              <w:rPr>
                <w:rFonts w:ascii="Arial" w:eastAsia="HelveticaNeue-Light" w:hAnsi="Arial" w:cs="Arial"/>
                <w:color w:val="333333"/>
                <w:sz w:val="24"/>
                <w:szCs w:val="24"/>
              </w:rPr>
            </w:pPr>
            <w:r>
              <w:rPr>
                <w:rFonts w:ascii="Arial" w:eastAsia="HelveticaNeue-Light" w:hAnsi="Arial" w:cs="Arial"/>
                <w:color w:val="333333"/>
                <w:sz w:val="24"/>
                <w:szCs w:val="24"/>
              </w:rPr>
              <w:t>Difícil Acceso</w:t>
            </w:r>
          </w:p>
        </w:tc>
        <w:tc>
          <w:tcPr>
            <w:tcW w:w="1985" w:type="dxa"/>
          </w:tcPr>
          <w:p w:rsidR="00B240E4" w:rsidRDefault="00B240E4" w:rsidP="009C259C">
            <w:pPr>
              <w:jc w:val="center"/>
              <w:rPr>
                <w:rFonts w:ascii="Arial" w:eastAsia="HelveticaNeue-Light" w:hAnsi="Arial" w:cs="Arial"/>
                <w:color w:val="333333"/>
                <w:sz w:val="24"/>
                <w:szCs w:val="24"/>
              </w:rPr>
            </w:pPr>
            <w:r>
              <w:rPr>
                <w:rFonts w:ascii="Arial" w:eastAsia="HelveticaNeue-Light" w:hAnsi="Arial" w:cs="Arial"/>
                <w:color w:val="333333"/>
                <w:sz w:val="24"/>
                <w:szCs w:val="24"/>
              </w:rPr>
              <w:t>Fácil Acceso</w:t>
            </w:r>
          </w:p>
        </w:tc>
      </w:tr>
      <w:tr w:rsidR="00B240E4" w:rsidTr="009C259C">
        <w:trPr>
          <w:jc w:val="center"/>
        </w:trPr>
        <w:tc>
          <w:tcPr>
            <w:tcW w:w="3275" w:type="dxa"/>
          </w:tcPr>
          <w:p w:rsidR="00B240E4" w:rsidRDefault="00B240E4" w:rsidP="009C259C">
            <w:pPr>
              <w:rPr>
                <w:rFonts w:ascii="Arial" w:eastAsia="HelveticaNeue-Light" w:hAnsi="Arial" w:cs="Arial"/>
                <w:color w:val="333333"/>
                <w:sz w:val="24"/>
                <w:szCs w:val="24"/>
              </w:rPr>
            </w:pPr>
            <w:r>
              <w:rPr>
                <w:rFonts w:ascii="Arial" w:eastAsia="HelveticaNeue-Light" w:hAnsi="Arial" w:cs="Arial"/>
                <w:color w:val="333333"/>
                <w:sz w:val="24"/>
                <w:szCs w:val="24"/>
              </w:rPr>
              <w:t>Mayor a Mil Millones de $</w:t>
            </w:r>
          </w:p>
        </w:tc>
        <w:tc>
          <w:tcPr>
            <w:tcW w:w="1757" w:type="dxa"/>
          </w:tcPr>
          <w:p w:rsidR="00B240E4" w:rsidRPr="00C46AB1" w:rsidRDefault="00B240E4" w:rsidP="009C259C">
            <w:pPr>
              <w:jc w:val="center"/>
              <w:rPr>
                <w:rFonts w:ascii="Arial" w:eastAsia="HelveticaNeue-Light" w:hAnsi="Arial" w:cs="Arial"/>
                <w:color w:val="333333"/>
                <w:sz w:val="24"/>
                <w:szCs w:val="24"/>
              </w:rPr>
            </w:pPr>
            <w:r w:rsidRPr="00C46AB1">
              <w:rPr>
                <w:rFonts w:ascii="Arial" w:eastAsia="HelveticaNeue-Light" w:hAnsi="Arial" w:cs="Arial"/>
                <w:color w:val="333333"/>
                <w:sz w:val="24"/>
                <w:szCs w:val="24"/>
              </w:rPr>
              <w:t>1</w:t>
            </w:r>
          </w:p>
        </w:tc>
        <w:tc>
          <w:tcPr>
            <w:tcW w:w="1985" w:type="dxa"/>
          </w:tcPr>
          <w:p w:rsidR="00B240E4" w:rsidRPr="00C46AB1" w:rsidRDefault="00B240E4" w:rsidP="009C259C">
            <w:pPr>
              <w:jc w:val="center"/>
              <w:rPr>
                <w:rFonts w:ascii="Arial" w:eastAsia="HelveticaNeue-Light" w:hAnsi="Arial" w:cs="Arial"/>
                <w:color w:val="333333"/>
                <w:sz w:val="24"/>
                <w:szCs w:val="24"/>
              </w:rPr>
            </w:pPr>
            <w:r w:rsidRPr="00C46AB1">
              <w:rPr>
                <w:rFonts w:ascii="Arial" w:eastAsia="HelveticaNeue-Light" w:hAnsi="Arial" w:cs="Arial"/>
                <w:color w:val="333333"/>
                <w:sz w:val="24"/>
                <w:szCs w:val="24"/>
              </w:rPr>
              <w:t>2</w:t>
            </w:r>
          </w:p>
        </w:tc>
      </w:tr>
      <w:tr w:rsidR="00B240E4" w:rsidTr="009C259C">
        <w:trPr>
          <w:jc w:val="center"/>
        </w:trPr>
        <w:tc>
          <w:tcPr>
            <w:tcW w:w="3275" w:type="dxa"/>
          </w:tcPr>
          <w:p w:rsidR="00B240E4" w:rsidRDefault="00B240E4" w:rsidP="009C259C">
            <w:pPr>
              <w:rPr>
                <w:rFonts w:ascii="Arial" w:eastAsia="HelveticaNeue-Light" w:hAnsi="Arial" w:cs="Arial"/>
                <w:color w:val="333333"/>
                <w:sz w:val="24"/>
                <w:szCs w:val="24"/>
              </w:rPr>
            </w:pPr>
            <w:r>
              <w:rPr>
                <w:rFonts w:ascii="Arial" w:eastAsia="HelveticaNeue-Light" w:hAnsi="Arial" w:cs="Arial"/>
                <w:color w:val="333333"/>
                <w:sz w:val="24"/>
                <w:szCs w:val="24"/>
              </w:rPr>
              <w:t>Menor a Mil Millones de $</w:t>
            </w:r>
          </w:p>
        </w:tc>
        <w:tc>
          <w:tcPr>
            <w:tcW w:w="1757" w:type="dxa"/>
          </w:tcPr>
          <w:p w:rsidR="00B240E4" w:rsidRPr="00C46AB1" w:rsidRDefault="00B240E4" w:rsidP="009C259C">
            <w:pPr>
              <w:jc w:val="center"/>
              <w:rPr>
                <w:rFonts w:ascii="Arial" w:eastAsia="HelveticaNeue-Light" w:hAnsi="Arial" w:cs="Arial"/>
                <w:color w:val="333333"/>
                <w:sz w:val="24"/>
                <w:szCs w:val="24"/>
              </w:rPr>
            </w:pPr>
            <w:r w:rsidRPr="00C46AB1">
              <w:rPr>
                <w:rFonts w:ascii="Arial" w:eastAsia="HelveticaNeue-Light" w:hAnsi="Arial" w:cs="Arial"/>
                <w:color w:val="333333"/>
                <w:sz w:val="24"/>
                <w:szCs w:val="24"/>
              </w:rPr>
              <w:t>3</w:t>
            </w:r>
          </w:p>
        </w:tc>
        <w:tc>
          <w:tcPr>
            <w:tcW w:w="1985" w:type="dxa"/>
          </w:tcPr>
          <w:p w:rsidR="00B240E4" w:rsidRPr="00C46AB1" w:rsidRDefault="00B240E4" w:rsidP="009C259C">
            <w:pPr>
              <w:jc w:val="center"/>
              <w:rPr>
                <w:rFonts w:ascii="Arial" w:eastAsia="HelveticaNeue-Light" w:hAnsi="Arial" w:cs="Arial"/>
                <w:color w:val="333333"/>
                <w:sz w:val="24"/>
                <w:szCs w:val="24"/>
              </w:rPr>
            </w:pPr>
            <w:r w:rsidRPr="00C46AB1">
              <w:rPr>
                <w:rFonts w:ascii="Arial" w:eastAsia="HelveticaNeue-Light" w:hAnsi="Arial" w:cs="Arial"/>
                <w:color w:val="333333"/>
                <w:sz w:val="24"/>
                <w:szCs w:val="24"/>
              </w:rPr>
              <w:t>4</w:t>
            </w:r>
          </w:p>
        </w:tc>
      </w:tr>
    </w:tbl>
    <w:p w:rsidR="00B240E4" w:rsidRPr="00C46AB1" w:rsidRDefault="00B240E4" w:rsidP="00B240E4">
      <w:pPr>
        <w:rPr>
          <w:rFonts w:ascii="Arial" w:eastAsia="HelveticaNeue-Light" w:hAnsi="Arial" w:cs="Arial"/>
          <w:color w:val="333333"/>
          <w:sz w:val="24"/>
          <w:szCs w:val="24"/>
        </w:rPr>
      </w:pPr>
    </w:p>
    <w:p w:rsidR="00B10975" w:rsidRPr="00163ACB" w:rsidRDefault="00B10975" w:rsidP="00B10975">
      <w:pPr>
        <w:spacing w:line="276" w:lineRule="auto"/>
        <w:jc w:val="both"/>
        <w:rPr>
          <w:rFonts w:ascii="Arial" w:hAnsi="Arial" w:cs="Arial"/>
          <w:color w:val="000000"/>
        </w:rPr>
      </w:pPr>
      <w:r w:rsidRPr="00163ACB">
        <w:rPr>
          <w:rFonts w:ascii="Arial" w:hAnsi="Arial" w:cs="Arial"/>
          <w:color w:val="000000"/>
        </w:rPr>
        <w:t>El criterio de difícil acceso, se condiciono a sitios donde no se puede llegar fácilmente por carretera, en algunos de ellos se accede solo por aire o por río, de la misma forma influyeron condiciones de orden público.</w:t>
      </w:r>
    </w:p>
    <w:p w:rsidR="00B10975" w:rsidRDefault="00B10975" w:rsidP="00B10975">
      <w:pPr>
        <w:spacing w:line="276" w:lineRule="auto"/>
        <w:jc w:val="both"/>
        <w:rPr>
          <w:rFonts w:ascii="Arial" w:hAnsi="Arial" w:cs="Arial"/>
          <w:color w:val="000000"/>
        </w:rPr>
      </w:pPr>
      <w:r w:rsidRPr="00163ACB">
        <w:rPr>
          <w:rFonts w:ascii="Arial" w:hAnsi="Arial" w:cs="Arial"/>
          <w:color w:val="000000"/>
        </w:rPr>
        <w:t>El criterio de Fácil Acceso obedece a una llegada por diferentes modos de transporte incluyendo sobre todo vías terrestres principales y en buenas condiciones.</w:t>
      </w:r>
    </w:p>
    <w:p w:rsidR="00B10975" w:rsidRDefault="00B10975" w:rsidP="00B10975">
      <w:pPr>
        <w:spacing w:line="276" w:lineRule="auto"/>
        <w:jc w:val="both"/>
        <w:rPr>
          <w:rFonts w:ascii="Arial" w:hAnsi="Arial" w:cs="Arial"/>
          <w:color w:val="000000"/>
        </w:rPr>
      </w:pPr>
      <w:r>
        <w:rPr>
          <w:rFonts w:ascii="Arial" w:hAnsi="Arial" w:cs="Arial"/>
          <w:color w:val="000000"/>
        </w:rPr>
        <w:t>Aeropuerto Pitalito</w:t>
      </w:r>
    </w:p>
    <w:p w:rsidR="00B10975" w:rsidRDefault="00B10975" w:rsidP="00B10975">
      <w:pPr>
        <w:spacing w:line="276" w:lineRule="auto"/>
        <w:jc w:val="both"/>
        <w:rPr>
          <w:rFonts w:ascii="Arial" w:hAnsi="Arial" w:cs="Arial"/>
          <w:color w:val="000000"/>
        </w:rPr>
      </w:pPr>
      <w:r>
        <w:rPr>
          <w:rFonts w:ascii="Arial" w:hAnsi="Arial" w:cs="Arial"/>
          <w:color w:val="000000"/>
        </w:rPr>
        <w:t xml:space="preserve">Aeropuerto Bogotá – Pitalito </w:t>
      </w:r>
    </w:p>
    <w:p w:rsidR="00B10975" w:rsidRDefault="00B10975" w:rsidP="00B10975">
      <w:pPr>
        <w:spacing w:line="276" w:lineRule="auto"/>
        <w:jc w:val="both"/>
        <w:rPr>
          <w:rFonts w:ascii="Arial" w:hAnsi="Arial" w:cs="Arial"/>
          <w:color w:val="000000"/>
        </w:rPr>
      </w:pPr>
      <w:r>
        <w:rPr>
          <w:rFonts w:ascii="Arial" w:hAnsi="Arial" w:cs="Arial"/>
          <w:color w:val="000000"/>
        </w:rPr>
        <w:t>Aeropuerto Cali – Pitalito</w:t>
      </w:r>
    </w:p>
    <w:p w:rsidR="00B10975" w:rsidRDefault="00B10975" w:rsidP="00B10975">
      <w:pPr>
        <w:spacing w:line="276" w:lineRule="auto"/>
        <w:jc w:val="both"/>
        <w:rPr>
          <w:rFonts w:ascii="Arial" w:hAnsi="Arial" w:cs="Arial"/>
          <w:color w:val="000000"/>
        </w:rPr>
      </w:pPr>
      <w:r>
        <w:rPr>
          <w:rFonts w:ascii="Arial" w:hAnsi="Arial" w:cs="Arial"/>
          <w:color w:val="000000"/>
        </w:rPr>
        <w:t>También hay en fácil acceso por ruta de transporte terrestre de pasajeros, así:</w:t>
      </w:r>
    </w:p>
    <w:p w:rsidR="00B10975" w:rsidRDefault="00B10975" w:rsidP="00B10975">
      <w:pPr>
        <w:spacing w:line="276" w:lineRule="auto"/>
        <w:jc w:val="both"/>
        <w:rPr>
          <w:rFonts w:ascii="Arial" w:hAnsi="Arial" w:cs="Arial"/>
          <w:color w:val="000000"/>
        </w:rPr>
      </w:pPr>
      <w:r>
        <w:rPr>
          <w:rFonts w:ascii="Arial" w:hAnsi="Arial" w:cs="Arial"/>
          <w:color w:val="000000"/>
        </w:rPr>
        <w:t>Neiva – Pitalito (3 h)</w:t>
      </w:r>
    </w:p>
    <w:p w:rsidR="00B10975" w:rsidRDefault="00B10975" w:rsidP="00B10975">
      <w:pPr>
        <w:spacing w:line="276" w:lineRule="auto"/>
        <w:jc w:val="both"/>
        <w:rPr>
          <w:rFonts w:ascii="Arial" w:hAnsi="Arial" w:cs="Arial"/>
          <w:color w:val="000000"/>
        </w:rPr>
      </w:pPr>
      <w:r>
        <w:rPr>
          <w:rFonts w:ascii="Arial" w:hAnsi="Arial" w:cs="Arial"/>
          <w:color w:val="000000"/>
        </w:rPr>
        <w:t>Bogotá – Pitalito (10 h)</w:t>
      </w:r>
    </w:p>
    <w:p w:rsidR="00B10975" w:rsidRPr="00163ACB" w:rsidRDefault="00B10975" w:rsidP="00B10975">
      <w:pPr>
        <w:spacing w:line="276" w:lineRule="auto"/>
        <w:jc w:val="both"/>
        <w:rPr>
          <w:rFonts w:ascii="Arial" w:hAnsi="Arial" w:cs="Arial"/>
          <w:color w:val="000000"/>
        </w:rPr>
      </w:pPr>
      <w:r w:rsidRPr="00163ACB">
        <w:rPr>
          <w:rFonts w:ascii="Arial" w:hAnsi="Arial" w:cs="Arial"/>
          <w:color w:val="000000"/>
        </w:rPr>
        <w:t>El caso del presente proceso de Interv</w:t>
      </w:r>
      <w:r>
        <w:rPr>
          <w:rFonts w:ascii="Arial" w:hAnsi="Arial" w:cs="Arial"/>
          <w:color w:val="000000"/>
        </w:rPr>
        <w:t>entoría se enmarca en el Grupo 4 (G4</w:t>
      </w:r>
      <w:r w:rsidRPr="00163ACB">
        <w:rPr>
          <w:rFonts w:ascii="Arial" w:hAnsi="Arial" w:cs="Arial"/>
          <w:color w:val="000000"/>
        </w:rPr>
        <w:t xml:space="preserve">) por ser menor a los mil millones de pesos y estar en un área de </w:t>
      </w:r>
      <w:r>
        <w:rPr>
          <w:rFonts w:ascii="Arial" w:hAnsi="Arial" w:cs="Arial"/>
          <w:color w:val="000000"/>
        </w:rPr>
        <w:t>Fácil A</w:t>
      </w:r>
      <w:r w:rsidRPr="00163ACB">
        <w:rPr>
          <w:rFonts w:ascii="Arial" w:hAnsi="Arial" w:cs="Arial"/>
          <w:color w:val="000000"/>
        </w:rPr>
        <w:t>cceso</w:t>
      </w:r>
      <w:r>
        <w:rPr>
          <w:rFonts w:ascii="Arial" w:hAnsi="Arial" w:cs="Arial"/>
          <w:color w:val="000000"/>
        </w:rPr>
        <w:t>, entre otros por condiciones de seguridad, distancia al centro del país y limitadas frecuencias de acceso.</w:t>
      </w:r>
    </w:p>
    <w:p w:rsidR="00B10975" w:rsidRPr="00163ACB" w:rsidRDefault="00B10975" w:rsidP="00B10975">
      <w:pPr>
        <w:spacing w:line="276" w:lineRule="auto"/>
        <w:jc w:val="both"/>
        <w:rPr>
          <w:rFonts w:ascii="Arial" w:hAnsi="Arial" w:cs="Arial"/>
          <w:color w:val="000000"/>
        </w:rPr>
      </w:pPr>
      <w:r w:rsidRPr="00163ACB">
        <w:rPr>
          <w:rFonts w:ascii="Arial" w:hAnsi="Arial" w:cs="Arial"/>
          <w:color w:val="000000"/>
        </w:rPr>
        <w:t>Los cargos de constante uso y adecuados para este tipo de procesos contractuales, son: Director, Ingeniero Residente, Inspector, Topógrafo, Especialistas, Ingeniero Ambiental</w:t>
      </w:r>
      <w:r>
        <w:rPr>
          <w:rFonts w:ascii="Arial" w:hAnsi="Arial" w:cs="Arial"/>
          <w:color w:val="000000"/>
        </w:rPr>
        <w:t>, I</w:t>
      </w:r>
      <w:r w:rsidRPr="00163ACB">
        <w:rPr>
          <w:rFonts w:ascii="Arial" w:hAnsi="Arial" w:cs="Arial"/>
          <w:color w:val="000000"/>
        </w:rPr>
        <w:t>nspector SISOM</w:t>
      </w:r>
      <w:r>
        <w:rPr>
          <w:rFonts w:ascii="Arial" w:hAnsi="Arial" w:cs="Arial"/>
          <w:color w:val="000000"/>
        </w:rPr>
        <w:t>A.</w:t>
      </w:r>
    </w:p>
    <w:p w:rsidR="00B7535F" w:rsidRDefault="00B10975" w:rsidP="00B10975">
      <w:pPr>
        <w:spacing w:after="0" w:line="276" w:lineRule="auto"/>
        <w:jc w:val="both"/>
        <w:rPr>
          <w:rFonts w:ascii="Arial" w:hAnsi="Arial" w:cs="Arial"/>
          <w:color w:val="000000"/>
        </w:rPr>
      </w:pPr>
      <w:r w:rsidRPr="00163ACB">
        <w:rPr>
          <w:rFonts w:ascii="Arial" w:hAnsi="Arial" w:cs="Arial"/>
          <w:color w:val="000000"/>
        </w:rPr>
        <w:t>Una vez identificados los valores asignados a los cargos en cada uno de los contratos previamente agrupados por los criterios de valor y ubicación, se aplicó un promedio simple para determinar el valor promedio de cada año, el cual posteriormente se ajustó con los índices de Precios al Consumidor (IPC) generados anualmente por el DANE.</w:t>
      </w:r>
    </w:p>
    <w:p w:rsidR="00B10975" w:rsidRDefault="00B10975" w:rsidP="00B7535F">
      <w:pPr>
        <w:spacing w:after="0" w:line="276" w:lineRule="auto"/>
        <w:jc w:val="both"/>
        <w:rPr>
          <w:rFonts w:ascii="Arial" w:hAnsi="Arial" w:cs="Arial"/>
          <w:color w:val="000000"/>
        </w:rPr>
      </w:pPr>
    </w:p>
    <w:p w:rsidR="00B10975" w:rsidRPr="00F57F61" w:rsidRDefault="00B10975" w:rsidP="00B10975">
      <w:pPr>
        <w:autoSpaceDE w:val="0"/>
        <w:autoSpaceDN w:val="0"/>
        <w:adjustRightInd w:val="0"/>
        <w:spacing w:line="276" w:lineRule="auto"/>
        <w:jc w:val="both"/>
        <w:rPr>
          <w:rFonts w:ascii="Arial" w:hAnsi="Arial" w:cs="Arial"/>
        </w:rPr>
      </w:pPr>
      <w:r w:rsidRPr="00F57F61">
        <w:rPr>
          <w:rFonts w:ascii="Arial" w:eastAsia="Arial Unicode MS" w:hAnsi="Arial" w:cs="Arial"/>
          <w:bCs/>
          <w:spacing w:val="-3"/>
        </w:rPr>
        <w:t xml:space="preserve">Para fijar el presupuesto oficial de este proceso de contratación, para el ítem de personal, se determinó </w:t>
      </w:r>
      <w:r w:rsidRPr="00F57F61">
        <w:rPr>
          <w:rFonts w:ascii="Arial" w:hAnsi="Arial" w:cs="Arial"/>
        </w:rPr>
        <w:t xml:space="preserve">el comportamiento histórico de los pagos de </w:t>
      </w:r>
      <w:r w:rsidRPr="00F57F61">
        <w:rPr>
          <w:rFonts w:ascii="Arial" w:hAnsi="Arial" w:cs="Arial"/>
          <w:color w:val="000000"/>
        </w:rPr>
        <w:t xml:space="preserve">profesionales, técnicos y tecnólogos, </w:t>
      </w:r>
      <w:r w:rsidRPr="00F57F61">
        <w:rPr>
          <w:rFonts w:ascii="Arial" w:hAnsi="Arial" w:cs="Arial"/>
        </w:rPr>
        <w:t>actualizados con las variaciones anuales del IPC, de una muestra de los contratos de Interventoría relacionados, realizados por la entidad en las vigencias</w:t>
      </w:r>
      <w:r>
        <w:rPr>
          <w:rFonts w:ascii="Arial" w:hAnsi="Arial" w:cs="Arial"/>
        </w:rPr>
        <w:t xml:space="preserve"> </w:t>
      </w:r>
      <w:r w:rsidRPr="00F57F61">
        <w:rPr>
          <w:rFonts w:ascii="Arial" w:hAnsi="Arial" w:cs="Arial"/>
        </w:rPr>
        <w:t>2016 y 2017</w:t>
      </w:r>
      <w:r w:rsidRPr="00F57F61">
        <w:rPr>
          <w:rFonts w:ascii="Arial" w:eastAsia="HelveticaNeue-Light" w:hAnsi="Arial" w:cs="Arial"/>
          <w:color w:val="333333"/>
          <w:sz w:val="24"/>
          <w:szCs w:val="24"/>
        </w:rPr>
        <w:t xml:space="preserve">, </w:t>
      </w:r>
      <w:r w:rsidRPr="00F57F61">
        <w:rPr>
          <w:rFonts w:ascii="Arial" w:hAnsi="Arial" w:cs="Arial"/>
          <w:lang w:val="es-ES_tradnl"/>
        </w:rPr>
        <w:t xml:space="preserve">en cuenta </w:t>
      </w:r>
      <w:r w:rsidRPr="00F57F61">
        <w:rPr>
          <w:rFonts w:ascii="Arial" w:hAnsi="Arial" w:cs="Arial"/>
        </w:rPr>
        <w:t>proyectos de similares características y requerimientos de formación académica y experiencia relacionada en infraestructura aeroportuaria:</w:t>
      </w:r>
    </w:p>
    <w:p w:rsidR="00B10975" w:rsidRDefault="00B10975" w:rsidP="00B10975">
      <w:pPr>
        <w:spacing w:after="0" w:line="276" w:lineRule="auto"/>
        <w:jc w:val="both"/>
        <w:rPr>
          <w:rFonts w:ascii="Arial" w:hAnsi="Arial" w:cs="Arial"/>
          <w:color w:val="000000"/>
        </w:rPr>
      </w:pPr>
      <w:r w:rsidRPr="00F57F61">
        <w:rPr>
          <w:rFonts w:ascii="Arial" w:hAnsi="Arial" w:cs="Arial"/>
        </w:rPr>
        <w:t xml:space="preserve">Análisis de </w:t>
      </w:r>
      <w:r>
        <w:rPr>
          <w:rFonts w:ascii="Arial" w:hAnsi="Arial" w:cs="Arial"/>
        </w:rPr>
        <w:t xml:space="preserve">12 contratos con </w:t>
      </w:r>
      <w:r w:rsidRPr="00F57F61">
        <w:rPr>
          <w:rFonts w:ascii="Arial" w:hAnsi="Arial" w:cs="Arial"/>
        </w:rPr>
        <w:t>pago de profesionales en contratos de la Aeronáutica Civil, en los años, 2016 y 2017.</w:t>
      </w:r>
    </w:p>
    <w:p w:rsidR="00B240E4" w:rsidRDefault="00B240E4" w:rsidP="00B240E4">
      <w:pPr>
        <w:autoSpaceDE w:val="0"/>
        <w:autoSpaceDN w:val="0"/>
        <w:adjustRightInd w:val="0"/>
        <w:spacing w:line="276" w:lineRule="auto"/>
        <w:jc w:val="both"/>
        <w:rPr>
          <w:rFonts w:ascii="Arial" w:hAnsi="Arial" w:cs="Arial"/>
        </w:rPr>
      </w:pPr>
    </w:p>
    <w:p w:rsidR="00B240E4" w:rsidRDefault="00EF3AA0" w:rsidP="00E95AE2">
      <w:pPr>
        <w:autoSpaceDE w:val="0"/>
        <w:autoSpaceDN w:val="0"/>
        <w:adjustRightInd w:val="0"/>
        <w:spacing w:line="276" w:lineRule="auto"/>
        <w:jc w:val="center"/>
        <w:rPr>
          <w:rFonts w:ascii="Arial" w:hAnsi="Arial" w:cs="Arial"/>
        </w:rPr>
      </w:pPr>
      <w:r w:rsidRPr="00EF3AA0">
        <w:rPr>
          <w:noProof/>
          <w:lang w:eastAsia="es-CO"/>
        </w:rPr>
        <w:drawing>
          <wp:inline distT="0" distB="0" distL="0" distR="0">
            <wp:extent cx="6267450" cy="174289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57679" cy="1767986"/>
                    </a:xfrm>
                    <a:prstGeom prst="rect">
                      <a:avLst/>
                    </a:prstGeom>
                    <a:noFill/>
                    <a:ln>
                      <a:noFill/>
                    </a:ln>
                  </pic:spPr>
                </pic:pic>
              </a:graphicData>
            </a:graphic>
          </wp:inline>
        </w:drawing>
      </w:r>
    </w:p>
    <w:p w:rsidR="00B240E4" w:rsidRDefault="00B240E4" w:rsidP="00E95AE2">
      <w:pPr>
        <w:autoSpaceDE w:val="0"/>
        <w:autoSpaceDN w:val="0"/>
        <w:adjustRightInd w:val="0"/>
        <w:spacing w:line="276" w:lineRule="auto"/>
        <w:jc w:val="center"/>
        <w:rPr>
          <w:noProof/>
          <w:lang w:eastAsia="es-CO"/>
        </w:rPr>
      </w:pPr>
    </w:p>
    <w:p w:rsidR="00EF3AA0" w:rsidRDefault="00EF3AA0" w:rsidP="00EF3AA0">
      <w:pPr>
        <w:autoSpaceDE w:val="0"/>
        <w:autoSpaceDN w:val="0"/>
        <w:adjustRightInd w:val="0"/>
        <w:spacing w:line="276" w:lineRule="auto"/>
        <w:jc w:val="center"/>
        <w:rPr>
          <w:noProof/>
          <w:lang w:eastAsia="es-CO"/>
        </w:rPr>
      </w:pPr>
      <w:r w:rsidRPr="00EF3AA0">
        <w:rPr>
          <w:noProof/>
          <w:lang w:eastAsia="es-CO"/>
        </w:rPr>
        <w:drawing>
          <wp:inline distT="0" distB="0" distL="0" distR="0">
            <wp:extent cx="6267450" cy="189547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68257" cy="1895719"/>
                    </a:xfrm>
                    <a:prstGeom prst="rect">
                      <a:avLst/>
                    </a:prstGeom>
                    <a:noFill/>
                    <a:ln>
                      <a:noFill/>
                    </a:ln>
                  </pic:spPr>
                </pic:pic>
              </a:graphicData>
            </a:graphic>
          </wp:inline>
        </w:drawing>
      </w:r>
    </w:p>
    <w:p w:rsidR="00B240E4" w:rsidRDefault="00B240E4" w:rsidP="00B240E4">
      <w:pPr>
        <w:autoSpaceDE w:val="0"/>
        <w:autoSpaceDN w:val="0"/>
        <w:adjustRightInd w:val="0"/>
        <w:spacing w:line="276" w:lineRule="auto"/>
        <w:jc w:val="both"/>
        <w:rPr>
          <w:rFonts w:ascii="Arial" w:hAnsi="Arial" w:cs="Arial"/>
        </w:rPr>
      </w:pPr>
      <w:r>
        <w:rPr>
          <w:rFonts w:ascii="Arial" w:hAnsi="Arial" w:cs="Arial"/>
        </w:rPr>
        <w:t>Obteniéndose los siguientes valores, los cuales serán un estimativo para adelantar el proceso de estructuración:</w:t>
      </w:r>
    </w:p>
    <w:tbl>
      <w:tblPr>
        <w:tblW w:w="5900" w:type="dxa"/>
        <w:jc w:val="center"/>
        <w:tblCellMar>
          <w:left w:w="70" w:type="dxa"/>
          <w:right w:w="70" w:type="dxa"/>
        </w:tblCellMar>
        <w:tblLook w:val="04A0" w:firstRow="1" w:lastRow="0" w:firstColumn="1" w:lastColumn="0" w:noHBand="0" w:noVBand="1"/>
      </w:tblPr>
      <w:tblGrid>
        <w:gridCol w:w="3805"/>
        <w:gridCol w:w="2095"/>
      </w:tblGrid>
      <w:tr w:rsidR="00EF3AA0" w:rsidRPr="00EF3AA0" w:rsidTr="00EF3AA0">
        <w:trPr>
          <w:trHeight w:val="219"/>
          <w:jc w:val="center"/>
        </w:trPr>
        <w:tc>
          <w:tcPr>
            <w:tcW w:w="38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3AA0" w:rsidRPr="00EF3AA0" w:rsidRDefault="00EF3AA0" w:rsidP="00EF3AA0">
            <w:pPr>
              <w:spacing w:after="0" w:line="240" w:lineRule="auto"/>
              <w:rPr>
                <w:rFonts w:ascii="Arial" w:eastAsia="Times New Roman" w:hAnsi="Arial" w:cs="Arial"/>
                <w:b/>
                <w:bCs/>
                <w:color w:val="000000"/>
                <w:sz w:val="20"/>
                <w:szCs w:val="20"/>
                <w:lang w:eastAsia="es-CO"/>
              </w:rPr>
            </w:pPr>
            <w:r w:rsidRPr="00EF3AA0">
              <w:rPr>
                <w:rFonts w:ascii="Arial" w:eastAsia="Times New Roman" w:hAnsi="Arial" w:cs="Arial"/>
                <w:b/>
                <w:bCs/>
                <w:color w:val="000000"/>
                <w:sz w:val="20"/>
                <w:szCs w:val="20"/>
                <w:lang w:eastAsia="es-CO"/>
              </w:rPr>
              <w:t>DIRECTOR DE INTERVENTORIA</w:t>
            </w:r>
          </w:p>
        </w:tc>
        <w:tc>
          <w:tcPr>
            <w:tcW w:w="2095" w:type="dxa"/>
            <w:tcBorders>
              <w:top w:val="single" w:sz="4" w:space="0" w:color="auto"/>
              <w:left w:val="nil"/>
              <w:bottom w:val="single" w:sz="4" w:space="0" w:color="auto"/>
              <w:right w:val="single" w:sz="4" w:space="0" w:color="auto"/>
            </w:tcBorders>
            <w:shd w:val="clear" w:color="auto" w:fill="auto"/>
            <w:noWrap/>
            <w:vAlign w:val="bottom"/>
            <w:hideMark/>
          </w:tcPr>
          <w:p w:rsidR="00EF3AA0" w:rsidRPr="00EF3AA0" w:rsidRDefault="00EF3AA0" w:rsidP="00EF3AA0">
            <w:pPr>
              <w:spacing w:after="0" w:line="240" w:lineRule="auto"/>
              <w:rPr>
                <w:rFonts w:ascii="Calibri" w:eastAsia="Times New Roman" w:hAnsi="Calibri" w:cs="Calibri"/>
                <w:color w:val="000000"/>
                <w:lang w:eastAsia="es-CO"/>
              </w:rPr>
            </w:pPr>
            <w:r w:rsidRPr="00EF3AA0">
              <w:rPr>
                <w:rFonts w:ascii="Calibri" w:eastAsia="Times New Roman" w:hAnsi="Calibri" w:cs="Calibri"/>
                <w:color w:val="000000"/>
                <w:lang w:eastAsia="es-CO"/>
              </w:rPr>
              <w:t xml:space="preserve">                  8.213.312,24 </w:t>
            </w:r>
          </w:p>
        </w:tc>
      </w:tr>
      <w:tr w:rsidR="00EF3AA0" w:rsidRPr="00EF3AA0" w:rsidTr="00EF3AA0">
        <w:trPr>
          <w:trHeight w:val="420"/>
          <w:jc w:val="center"/>
        </w:trPr>
        <w:tc>
          <w:tcPr>
            <w:tcW w:w="3805" w:type="dxa"/>
            <w:tcBorders>
              <w:top w:val="nil"/>
              <w:left w:val="single" w:sz="4" w:space="0" w:color="auto"/>
              <w:bottom w:val="single" w:sz="4" w:space="0" w:color="auto"/>
              <w:right w:val="single" w:sz="4" w:space="0" w:color="auto"/>
            </w:tcBorders>
            <w:shd w:val="clear" w:color="auto" w:fill="auto"/>
            <w:vAlign w:val="center"/>
            <w:hideMark/>
          </w:tcPr>
          <w:p w:rsidR="00EF3AA0" w:rsidRPr="00EF3AA0" w:rsidRDefault="00EF3AA0" w:rsidP="00EF3AA0">
            <w:pPr>
              <w:spacing w:after="0" w:line="240" w:lineRule="auto"/>
              <w:rPr>
                <w:rFonts w:ascii="Arial" w:eastAsia="Times New Roman" w:hAnsi="Arial" w:cs="Arial"/>
                <w:b/>
                <w:bCs/>
                <w:color w:val="000000"/>
                <w:sz w:val="20"/>
                <w:szCs w:val="20"/>
                <w:lang w:eastAsia="es-CO"/>
              </w:rPr>
            </w:pPr>
            <w:r w:rsidRPr="00EF3AA0">
              <w:rPr>
                <w:rFonts w:ascii="Arial" w:eastAsia="Times New Roman" w:hAnsi="Arial" w:cs="Arial"/>
                <w:b/>
                <w:bCs/>
                <w:color w:val="000000"/>
                <w:sz w:val="20"/>
                <w:szCs w:val="20"/>
                <w:lang w:eastAsia="es-CO"/>
              </w:rPr>
              <w:t>RESIDENTE DE INTERVENTORIA</w:t>
            </w:r>
          </w:p>
        </w:tc>
        <w:tc>
          <w:tcPr>
            <w:tcW w:w="2095" w:type="dxa"/>
            <w:tcBorders>
              <w:top w:val="nil"/>
              <w:left w:val="nil"/>
              <w:bottom w:val="single" w:sz="4" w:space="0" w:color="auto"/>
              <w:right w:val="single" w:sz="4" w:space="0" w:color="auto"/>
            </w:tcBorders>
            <w:shd w:val="clear" w:color="auto" w:fill="auto"/>
            <w:noWrap/>
            <w:vAlign w:val="bottom"/>
            <w:hideMark/>
          </w:tcPr>
          <w:p w:rsidR="00EF3AA0" w:rsidRPr="00EF3AA0" w:rsidRDefault="00EF3AA0" w:rsidP="00EF3AA0">
            <w:pPr>
              <w:spacing w:after="0" w:line="240" w:lineRule="auto"/>
              <w:rPr>
                <w:rFonts w:ascii="Calibri" w:eastAsia="Times New Roman" w:hAnsi="Calibri" w:cs="Calibri"/>
                <w:color w:val="000000"/>
                <w:lang w:eastAsia="es-CO"/>
              </w:rPr>
            </w:pPr>
            <w:r w:rsidRPr="00EF3AA0">
              <w:rPr>
                <w:rFonts w:ascii="Calibri" w:eastAsia="Times New Roman" w:hAnsi="Calibri" w:cs="Calibri"/>
                <w:color w:val="000000"/>
                <w:lang w:eastAsia="es-CO"/>
              </w:rPr>
              <w:t xml:space="preserve">                  5.135.631,38 </w:t>
            </w:r>
          </w:p>
        </w:tc>
      </w:tr>
      <w:tr w:rsidR="00EF3AA0" w:rsidRPr="00EF3AA0" w:rsidTr="00EF3AA0">
        <w:trPr>
          <w:trHeight w:val="345"/>
          <w:jc w:val="center"/>
        </w:trPr>
        <w:tc>
          <w:tcPr>
            <w:tcW w:w="3805" w:type="dxa"/>
            <w:tcBorders>
              <w:top w:val="nil"/>
              <w:left w:val="single" w:sz="4" w:space="0" w:color="auto"/>
              <w:bottom w:val="single" w:sz="4" w:space="0" w:color="auto"/>
              <w:right w:val="single" w:sz="4" w:space="0" w:color="auto"/>
            </w:tcBorders>
            <w:shd w:val="clear" w:color="auto" w:fill="auto"/>
            <w:vAlign w:val="center"/>
            <w:hideMark/>
          </w:tcPr>
          <w:p w:rsidR="00EF3AA0" w:rsidRPr="00EF3AA0" w:rsidRDefault="00EF3AA0" w:rsidP="00EF3AA0">
            <w:pPr>
              <w:spacing w:after="0" w:line="240" w:lineRule="auto"/>
              <w:rPr>
                <w:rFonts w:ascii="Arial" w:eastAsia="Times New Roman" w:hAnsi="Arial" w:cs="Arial"/>
                <w:b/>
                <w:bCs/>
                <w:color w:val="000000"/>
                <w:sz w:val="20"/>
                <w:szCs w:val="20"/>
                <w:lang w:eastAsia="es-CO"/>
              </w:rPr>
            </w:pPr>
            <w:r w:rsidRPr="00EF3AA0">
              <w:rPr>
                <w:rFonts w:ascii="Arial" w:eastAsia="Times New Roman" w:hAnsi="Arial" w:cs="Arial"/>
                <w:b/>
                <w:bCs/>
                <w:color w:val="000000"/>
                <w:sz w:val="20"/>
                <w:szCs w:val="20"/>
                <w:lang w:eastAsia="es-CO"/>
              </w:rPr>
              <w:t>INSPECTOR DE INTERVENTORIA</w:t>
            </w:r>
          </w:p>
        </w:tc>
        <w:tc>
          <w:tcPr>
            <w:tcW w:w="2095" w:type="dxa"/>
            <w:tcBorders>
              <w:top w:val="nil"/>
              <w:left w:val="nil"/>
              <w:bottom w:val="single" w:sz="4" w:space="0" w:color="auto"/>
              <w:right w:val="single" w:sz="4" w:space="0" w:color="auto"/>
            </w:tcBorders>
            <w:shd w:val="clear" w:color="auto" w:fill="auto"/>
            <w:noWrap/>
            <w:vAlign w:val="bottom"/>
            <w:hideMark/>
          </w:tcPr>
          <w:p w:rsidR="00EF3AA0" w:rsidRPr="00EF3AA0" w:rsidRDefault="00EF3AA0" w:rsidP="00EF3AA0">
            <w:pPr>
              <w:spacing w:after="0" w:line="240" w:lineRule="auto"/>
              <w:rPr>
                <w:rFonts w:ascii="Calibri" w:eastAsia="Times New Roman" w:hAnsi="Calibri" w:cs="Calibri"/>
                <w:color w:val="000000"/>
                <w:lang w:eastAsia="es-CO"/>
              </w:rPr>
            </w:pPr>
            <w:r w:rsidRPr="00EF3AA0">
              <w:rPr>
                <w:rFonts w:ascii="Calibri" w:eastAsia="Times New Roman" w:hAnsi="Calibri" w:cs="Calibri"/>
                <w:color w:val="000000"/>
                <w:lang w:eastAsia="es-CO"/>
              </w:rPr>
              <w:t xml:space="preserve">                  2.426.150,54 </w:t>
            </w:r>
          </w:p>
        </w:tc>
      </w:tr>
      <w:tr w:rsidR="00EF3AA0" w:rsidRPr="00EF3AA0" w:rsidTr="00EF3AA0">
        <w:trPr>
          <w:trHeight w:val="345"/>
          <w:jc w:val="center"/>
        </w:trPr>
        <w:tc>
          <w:tcPr>
            <w:tcW w:w="3805" w:type="dxa"/>
            <w:tcBorders>
              <w:top w:val="nil"/>
              <w:left w:val="single" w:sz="4" w:space="0" w:color="auto"/>
              <w:bottom w:val="single" w:sz="4" w:space="0" w:color="auto"/>
              <w:right w:val="single" w:sz="4" w:space="0" w:color="auto"/>
            </w:tcBorders>
            <w:shd w:val="clear" w:color="auto" w:fill="auto"/>
            <w:vAlign w:val="center"/>
            <w:hideMark/>
          </w:tcPr>
          <w:p w:rsidR="00EF3AA0" w:rsidRPr="00EF3AA0" w:rsidRDefault="00EF3AA0" w:rsidP="00EF3AA0">
            <w:pPr>
              <w:spacing w:after="0" w:line="240" w:lineRule="auto"/>
              <w:rPr>
                <w:rFonts w:ascii="Arial" w:eastAsia="Times New Roman" w:hAnsi="Arial" w:cs="Arial"/>
                <w:b/>
                <w:bCs/>
                <w:color w:val="000000"/>
                <w:sz w:val="20"/>
                <w:szCs w:val="20"/>
                <w:lang w:eastAsia="es-CO"/>
              </w:rPr>
            </w:pPr>
            <w:r w:rsidRPr="00EF3AA0">
              <w:rPr>
                <w:rFonts w:ascii="Arial" w:eastAsia="Times New Roman" w:hAnsi="Arial" w:cs="Arial"/>
                <w:b/>
                <w:bCs/>
                <w:color w:val="000000"/>
                <w:sz w:val="20"/>
                <w:szCs w:val="20"/>
                <w:lang w:eastAsia="es-CO"/>
              </w:rPr>
              <w:t>TOPOGRAFO INTERVENTORIA</w:t>
            </w:r>
          </w:p>
        </w:tc>
        <w:tc>
          <w:tcPr>
            <w:tcW w:w="2095" w:type="dxa"/>
            <w:tcBorders>
              <w:top w:val="nil"/>
              <w:left w:val="nil"/>
              <w:bottom w:val="single" w:sz="4" w:space="0" w:color="auto"/>
              <w:right w:val="single" w:sz="4" w:space="0" w:color="auto"/>
            </w:tcBorders>
            <w:shd w:val="clear" w:color="auto" w:fill="auto"/>
            <w:noWrap/>
            <w:vAlign w:val="bottom"/>
            <w:hideMark/>
          </w:tcPr>
          <w:p w:rsidR="00EF3AA0" w:rsidRPr="00EF3AA0" w:rsidRDefault="00EF3AA0" w:rsidP="00EF3AA0">
            <w:pPr>
              <w:spacing w:after="0" w:line="240" w:lineRule="auto"/>
              <w:rPr>
                <w:rFonts w:ascii="Calibri" w:eastAsia="Times New Roman" w:hAnsi="Calibri" w:cs="Calibri"/>
                <w:color w:val="000000"/>
                <w:lang w:eastAsia="es-CO"/>
              </w:rPr>
            </w:pPr>
            <w:r w:rsidRPr="00EF3AA0">
              <w:rPr>
                <w:rFonts w:ascii="Calibri" w:eastAsia="Times New Roman" w:hAnsi="Calibri" w:cs="Calibri"/>
                <w:color w:val="000000"/>
                <w:lang w:eastAsia="es-CO"/>
              </w:rPr>
              <w:t xml:space="preserve">                  2.928.832,73 </w:t>
            </w:r>
          </w:p>
        </w:tc>
      </w:tr>
      <w:tr w:rsidR="00EF3AA0" w:rsidRPr="00EF3AA0" w:rsidTr="00EF3AA0">
        <w:trPr>
          <w:trHeight w:val="300"/>
          <w:jc w:val="center"/>
        </w:trPr>
        <w:tc>
          <w:tcPr>
            <w:tcW w:w="3805" w:type="dxa"/>
            <w:tcBorders>
              <w:top w:val="nil"/>
              <w:left w:val="single" w:sz="4" w:space="0" w:color="auto"/>
              <w:bottom w:val="single" w:sz="4" w:space="0" w:color="auto"/>
              <w:right w:val="single" w:sz="4" w:space="0" w:color="auto"/>
            </w:tcBorders>
            <w:shd w:val="clear" w:color="auto" w:fill="auto"/>
            <w:vAlign w:val="center"/>
            <w:hideMark/>
          </w:tcPr>
          <w:p w:rsidR="00EF3AA0" w:rsidRPr="00EF3AA0" w:rsidRDefault="00EF3AA0" w:rsidP="00EF3AA0">
            <w:pPr>
              <w:spacing w:after="0" w:line="240" w:lineRule="auto"/>
              <w:rPr>
                <w:rFonts w:ascii="Arial" w:eastAsia="Times New Roman" w:hAnsi="Arial" w:cs="Arial"/>
                <w:b/>
                <w:bCs/>
                <w:color w:val="000000"/>
                <w:sz w:val="20"/>
                <w:szCs w:val="20"/>
                <w:lang w:eastAsia="es-CO"/>
              </w:rPr>
            </w:pPr>
            <w:r w:rsidRPr="00EF3AA0">
              <w:rPr>
                <w:rFonts w:ascii="Arial" w:eastAsia="Times New Roman" w:hAnsi="Arial" w:cs="Arial"/>
                <w:b/>
                <w:bCs/>
                <w:color w:val="000000"/>
                <w:sz w:val="20"/>
                <w:szCs w:val="20"/>
                <w:lang w:eastAsia="es-CO"/>
              </w:rPr>
              <w:t>ESPECIALISTAS</w:t>
            </w:r>
          </w:p>
        </w:tc>
        <w:tc>
          <w:tcPr>
            <w:tcW w:w="2095" w:type="dxa"/>
            <w:tcBorders>
              <w:top w:val="nil"/>
              <w:left w:val="nil"/>
              <w:bottom w:val="single" w:sz="4" w:space="0" w:color="auto"/>
              <w:right w:val="single" w:sz="4" w:space="0" w:color="auto"/>
            </w:tcBorders>
            <w:shd w:val="clear" w:color="auto" w:fill="auto"/>
            <w:noWrap/>
            <w:vAlign w:val="bottom"/>
            <w:hideMark/>
          </w:tcPr>
          <w:p w:rsidR="00EF3AA0" w:rsidRPr="00EF3AA0" w:rsidRDefault="00EF3AA0" w:rsidP="00EF3AA0">
            <w:pPr>
              <w:spacing w:after="0" w:line="240" w:lineRule="auto"/>
              <w:rPr>
                <w:rFonts w:ascii="Calibri" w:eastAsia="Times New Roman" w:hAnsi="Calibri" w:cs="Calibri"/>
                <w:color w:val="000000"/>
                <w:lang w:eastAsia="es-CO"/>
              </w:rPr>
            </w:pPr>
            <w:r w:rsidRPr="00EF3AA0">
              <w:rPr>
                <w:rFonts w:ascii="Calibri" w:eastAsia="Times New Roman" w:hAnsi="Calibri" w:cs="Calibri"/>
                <w:color w:val="000000"/>
                <w:lang w:eastAsia="es-CO"/>
              </w:rPr>
              <w:t xml:space="preserve">                  6.071.337,16 </w:t>
            </w:r>
          </w:p>
        </w:tc>
      </w:tr>
      <w:tr w:rsidR="00EF3AA0" w:rsidRPr="00EF3AA0" w:rsidTr="00EF3AA0">
        <w:trPr>
          <w:trHeight w:val="390"/>
          <w:jc w:val="center"/>
        </w:trPr>
        <w:tc>
          <w:tcPr>
            <w:tcW w:w="3805" w:type="dxa"/>
            <w:tcBorders>
              <w:top w:val="nil"/>
              <w:left w:val="single" w:sz="4" w:space="0" w:color="auto"/>
              <w:bottom w:val="single" w:sz="4" w:space="0" w:color="auto"/>
              <w:right w:val="single" w:sz="4" w:space="0" w:color="auto"/>
            </w:tcBorders>
            <w:shd w:val="clear" w:color="auto" w:fill="auto"/>
            <w:vAlign w:val="center"/>
            <w:hideMark/>
          </w:tcPr>
          <w:p w:rsidR="00EF3AA0" w:rsidRPr="00EF3AA0" w:rsidRDefault="00EF3AA0" w:rsidP="00EF3AA0">
            <w:pPr>
              <w:spacing w:after="0" w:line="240" w:lineRule="auto"/>
              <w:rPr>
                <w:rFonts w:ascii="Arial" w:eastAsia="Times New Roman" w:hAnsi="Arial" w:cs="Arial"/>
                <w:b/>
                <w:bCs/>
                <w:color w:val="000000"/>
                <w:sz w:val="20"/>
                <w:szCs w:val="20"/>
                <w:lang w:eastAsia="es-CO"/>
              </w:rPr>
            </w:pPr>
            <w:r w:rsidRPr="00EF3AA0">
              <w:rPr>
                <w:rFonts w:ascii="Arial" w:eastAsia="Times New Roman" w:hAnsi="Arial" w:cs="Arial"/>
                <w:b/>
                <w:bCs/>
                <w:color w:val="000000"/>
                <w:sz w:val="20"/>
                <w:szCs w:val="20"/>
                <w:lang w:eastAsia="es-CO"/>
              </w:rPr>
              <w:t>INGENIERO AMBIENTAL</w:t>
            </w:r>
          </w:p>
        </w:tc>
        <w:tc>
          <w:tcPr>
            <w:tcW w:w="2095" w:type="dxa"/>
            <w:tcBorders>
              <w:top w:val="nil"/>
              <w:left w:val="nil"/>
              <w:bottom w:val="single" w:sz="4" w:space="0" w:color="auto"/>
              <w:right w:val="single" w:sz="4" w:space="0" w:color="auto"/>
            </w:tcBorders>
            <w:shd w:val="clear" w:color="auto" w:fill="auto"/>
            <w:noWrap/>
            <w:vAlign w:val="bottom"/>
            <w:hideMark/>
          </w:tcPr>
          <w:p w:rsidR="00EF3AA0" w:rsidRPr="00EF3AA0" w:rsidRDefault="00EF3AA0" w:rsidP="00EF3AA0">
            <w:pPr>
              <w:spacing w:after="0" w:line="240" w:lineRule="auto"/>
              <w:rPr>
                <w:rFonts w:ascii="Calibri" w:eastAsia="Times New Roman" w:hAnsi="Calibri" w:cs="Calibri"/>
                <w:color w:val="000000"/>
                <w:lang w:eastAsia="es-CO"/>
              </w:rPr>
            </w:pPr>
            <w:r w:rsidRPr="00EF3AA0">
              <w:rPr>
                <w:rFonts w:ascii="Calibri" w:eastAsia="Times New Roman" w:hAnsi="Calibri" w:cs="Calibri"/>
                <w:color w:val="000000"/>
                <w:lang w:eastAsia="es-CO"/>
              </w:rPr>
              <w:t xml:space="preserve">                  4.842.326,81 </w:t>
            </w:r>
          </w:p>
        </w:tc>
      </w:tr>
      <w:tr w:rsidR="00EF3AA0" w:rsidRPr="00EF3AA0" w:rsidTr="00EF3AA0">
        <w:trPr>
          <w:trHeight w:val="345"/>
          <w:jc w:val="center"/>
        </w:trPr>
        <w:tc>
          <w:tcPr>
            <w:tcW w:w="3805" w:type="dxa"/>
            <w:tcBorders>
              <w:top w:val="nil"/>
              <w:left w:val="single" w:sz="4" w:space="0" w:color="auto"/>
              <w:bottom w:val="single" w:sz="4" w:space="0" w:color="auto"/>
              <w:right w:val="single" w:sz="4" w:space="0" w:color="auto"/>
            </w:tcBorders>
            <w:shd w:val="clear" w:color="auto" w:fill="auto"/>
            <w:vAlign w:val="center"/>
            <w:hideMark/>
          </w:tcPr>
          <w:p w:rsidR="00EF3AA0" w:rsidRPr="00EF3AA0" w:rsidRDefault="00EF3AA0" w:rsidP="00EF3AA0">
            <w:pPr>
              <w:spacing w:after="0" w:line="240" w:lineRule="auto"/>
              <w:rPr>
                <w:rFonts w:ascii="Arial" w:eastAsia="Times New Roman" w:hAnsi="Arial" w:cs="Arial"/>
                <w:b/>
                <w:bCs/>
                <w:color w:val="000000"/>
                <w:sz w:val="20"/>
                <w:szCs w:val="20"/>
                <w:lang w:eastAsia="es-CO"/>
              </w:rPr>
            </w:pPr>
            <w:r w:rsidRPr="00EF3AA0">
              <w:rPr>
                <w:rFonts w:ascii="Arial" w:eastAsia="Times New Roman" w:hAnsi="Arial" w:cs="Arial"/>
                <w:b/>
                <w:bCs/>
                <w:color w:val="000000"/>
                <w:sz w:val="20"/>
                <w:szCs w:val="20"/>
                <w:lang w:eastAsia="es-CO"/>
              </w:rPr>
              <w:t>INSPECTOR SISOMA</w:t>
            </w:r>
          </w:p>
        </w:tc>
        <w:tc>
          <w:tcPr>
            <w:tcW w:w="2095" w:type="dxa"/>
            <w:tcBorders>
              <w:top w:val="nil"/>
              <w:left w:val="nil"/>
              <w:bottom w:val="single" w:sz="4" w:space="0" w:color="auto"/>
              <w:right w:val="single" w:sz="4" w:space="0" w:color="auto"/>
            </w:tcBorders>
            <w:shd w:val="clear" w:color="auto" w:fill="auto"/>
            <w:noWrap/>
            <w:vAlign w:val="bottom"/>
            <w:hideMark/>
          </w:tcPr>
          <w:p w:rsidR="00EF3AA0" w:rsidRPr="00EF3AA0" w:rsidRDefault="00EF3AA0" w:rsidP="00EF3AA0">
            <w:pPr>
              <w:spacing w:after="0" w:line="240" w:lineRule="auto"/>
              <w:rPr>
                <w:rFonts w:ascii="Calibri" w:eastAsia="Times New Roman" w:hAnsi="Calibri" w:cs="Calibri"/>
                <w:color w:val="000000"/>
                <w:lang w:eastAsia="es-CO"/>
              </w:rPr>
            </w:pPr>
            <w:r w:rsidRPr="00EF3AA0">
              <w:rPr>
                <w:rFonts w:ascii="Calibri" w:eastAsia="Times New Roman" w:hAnsi="Calibri" w:cs="Calibri"/>
                <w:color w:val="000000"/>
                <w:lang w:eastAsia="es-CO"/>
              </w:rPr>
              <w:t xml:space="preserve">                  2.486.804,30 </w:t>
            </w:r>
          </w:p>
        </w:tc>
      </w:tr>
      <w:tr w:rsidR="00EF3AA0" w:rsidRPr="00EF3AA0" w:rsidTr="00EF3AA0">
        <w:trPr>
          <w:trHeight w:val="450"/>
          <w:jc w:val="center"/>
        </w:trPr>
        <w:tc>
          <w:tcPr>
            <w:tcW w:w="3805" w:type="dxa"/>
            <w:tcBorders>
              <w:top w:val="nil"/>
              <w:left w:val="single" w:sz="4" w:space="0" w:color="auto"/>
              <w:bottom w:val="single" w:sz="4" w:space="0" w:color="auto"/>
              <w:right w:val="single" w:sz="4" w:space="0" w:color="auto"/>
            </w:tcBorders>
            <w:shd w:val="clear" w:color="auto" w:fill="auto"/>
            <w:vAlign w:val="center"/>
            <w:hideMark/>
          </w:tcPr>
          <w:p w:rsidR="00EF3AA0" w:rsidRPr="00EF3AA0" w:rsidRDefault="00EF3AA0" w:rsidP="00EF3AA0">
            <w:pPr>
              <w:spacing w:after="0" w:line="240" w:lineRule="auto"/>
              <w:rPr>
                <w:rFonts w:ascii="Arial" w:eastAsia="Times New Roman" w:hAnsi="Arial" w:cs="Arial"/>
                <w:b/>
                <w:bCs/>
                <w:color w:val="000000"/>
                <w:sz w:val="20"/>
                <w:szCs w:val="20"/>
                <w:lang w:eastAsia="es-CO"/>
              </w:rPr>
            </w:pPr>
            <w:r w:rsidRPr="00EF3AA0">
              <w:rPr>
                <w:rFonts w:ascii="Arial" w:eastAsia="Times New Roman" w:hAnsi="Arial" w:cs="Arial"/>
                <w:b/>
                <w:bCs/>
                <w:color w:val="000000"/>
                <w:sz w:val="20"/>
                <w:szCs w:val="20"/>
                <w:lang w:eastAsia="es-CO"/>
              </w:rPr>
              <w:t>CADENERO</w:t>
            </w:r>
          </w:p>
        </w:tc>
        <w:tc>
          <w:tcPr>
            <w:tcW w:w="2095" w:type="dxa"/>
            <w:tcBorders>
              <w:top w:val="nil"/>
              <w:left w:val="nil"/>
              <w:bottom w:val="single" w:sz="4" w:space="0" w:color="auto"/>
              <w:right w:val="single" w:sz="4" w:space="0" w:color="auto"/>
            </w:tcBorders>
            <w:shd w:val="clear" w:color="auto" w:fill="auto"/>
            <w:noWrap/>
            <w:vAlign w:val="bottom"/>
            <w:hideMark/>
          </w:tcPr>
          <w:p w:rsidR="00EF3AA0" w:rsidRPr="00EF3AA0" w:rsidRDefault="00EF3AA0" w:rsidP="00EF3AA0">
            <w:pPr>
              <w:spacing w:after="0" w:line="240" w:lineRule="auto"/>
              <w:rPr>
                <w:rFonts w:ascii="Calibri" w:eastAsia="Times New Roman" w:hAnsi="Calibri" w:cs="Calibri"/>
                <w:color w:val="000000"/>
                <w:lang w:eastAsia="es-CO"/>
              </w:rPr>
            </w:pPr>
            <w:r w:rsidRPr="00EF3AA0">
              <w:rPr>
                <w:rFonts w:ascii="Calibri" w:eastAsia="Times New Roman" w:hAnsi="Calibri" w:cs="Calibri"/>
                <w:color w:val="000000"/>
                <w:lang w:eastAsia="es-CO"/>
              </w:rPr>
              <w:t xml:space="preserve">                  1.546.341,33 </w:t>
            </w:r>
          </w:p>
        </w:tc>
      </w:tr>
    </w:tbl>
    <w:p w:rsidR="00B240E4" w:rsidRPr="00B10975" w:rsidRDefault="00A31F81" w:rsidP="00B10975">
      <w:pPr>
        <w:pStyle w:val="Prrafodelista"/>
        <w:numPr>
          <w:ilvl w:val="3"/>
          <w:numId w:val="45"/>
        </w:numPr>
        <w:tabs>
          <w:tab w:val="left" w:pos="6255"/>
        </w:tabs>
        <w:suppressAutoHyphens/>
        <w:spacing w:before="240" w:line="276" w:lineRule="auto"/>
        <w:jc w:val="both"/>
        <w:rPr>
          <w:rFonts w:ascii="Arial" w:hAnsi="Arial" w:cs="Arial"/>
          <w:b/>
          <w:color w:val="000000"/>
        </w:rPr>
      </w:pPr>
      <w:r w:rsidRPr="00B10975">
        <w:rPr>
          <w:rFonts w:ascii="Arial" w:hAnsi="Arial" w:cs="Arial"/>
          <w:b/>
          <w:color w:val="000000"/>
        </w:rPr>
        <w:t>F</w:t>
      </w:r>
      <w:r w:rsidR="00B240E4" w:rsidRPr="00B10975">
        <w:rPr>
          <w:rFonts w:ascii="Arial" w:hAnsi="Arial" w:cs="Arial"/>
          <w:b/>
          <w:color w:val="000000"/>
        </w:rPr>
        <w:t>actor Multiplicador</w:t>
      </w:r>
    </w:p>
    <w:p w:rsidR="00231EF2" w:rsidRPr="00231EF2" w:rsidRDefault="00231EF2" w:rsidP="00231EF2">
      <w:pPr>
        <w:tabs>
          <w:tab w:val="left" w:pos="6255"/>
        </w:tabs>
        <w:suppressAutoHyphens/>
        <w:spacing w:before="240" w:line="276" w:lineRule="auto"/>
        <w:jc w:val="both"/>
        <w:rPr>
          <w:rFonts w:ascii="Arial" w:hAnsi="Arial" w:cs="Arial"/>
        </w:rPr>
      </w:pPr>
      <w:r w:rsidRPr="00231EF2">
        <w:rPr>
          <w:rFonts w:ascii="Arial" w:hAnsi="Arial" w:cs="Arial"/>
        </w:rPr>
        <w:t xml:space="preserve">La entidad estimó un factor multiplicador, del 2,1, considerando como mínimo las siguientes variables: cargas por concepto de seguridad social, aportes parafiscales y prestacionales, incapacidades no cubiertas, dotación, auxilios varios, prestaciones extralegales, gastos generales y de administración, salarios y prestaciones no reembolsables de personal administrativo, impuestos, tasas y contribución, seguros, entre otros. </w:t>
      </w:r>
    </w:p>
    <w:p w:rsidR="00231EF2" w:rsidRPr="00231EF2" w:rsidRDefault="00231EF2" w:rsidP="00231EF2">
      <w:pPr>
        <w:tabs>
          <w:tab w:val="left" w:pos="6255"/>
        </w:tabs>
        <w:suppressAutoHyphens/>
        <w:spacing w:before="240" w:line="276" w:lineRule="auto"/>
        <w:jc w:val="both"/>
        <w:rPr>
          <w:rFonts w:ascii="Arial" w:hAnsi="Arial" w:cs="Arial"/>
        </w:rPr>
      </w:pPr>
      <w:r w:rsidRPr="00231EF2">
        <w:rPr>
          <w:rFonts w:ascii="Arial" w:hAnsi="Arial" w:cs="Arial"/>
        </w:rPr>
        <w:t>El proponente deberá calcular su factor multiplicador contemplando como mínimo: cargas por concepto de seguridad social, aportes parafiscales y prestacionales, incapacidades no cubiertas, dotación, auxilios varios, prestaciones extralegales, gastos generales y de administración, salarios y prestaciones no reembolsables de personal administrativo, impuestos, tasas y contribución, seguros, los honorarios del interventor, gastos de contingencia como son el posible acompañamiento a la Entidad en la etapa post-contractual y demás costos no reembolsables en que incurra para la ejecución del contrato.</w:t>
      </w:r>
    </w:p>
    <w:p w:rsidR="00B10975" w:rsidRDefault="00B10975" w:rsidP="00454480">
      <w:pPr>
        <w:spacing w:line="276" w:lineRule="auto"/>
        <w:rPr>
          <w:rFonts w:ascii="Arial" w:hAnsi="Arial" w:cs="Arial"/>
          <w:lang w:val="es-ES_tradnl"/>
        </w:rPr>
      </w:pPr>
    </w:p>
    <w:p w:rsidR="00B10975" w:rsidRDefault="00B10975" w:rsidP="00231EF2">
      <w:pPr>
        <w:pStyle w:val="Prrafodelista"/>
        <w:numPr>
          <w:ilvl w:val="1"/>
          <w:numId w:val="45"/>
        </w:numPr>
        <w:rPr>
          <w:rFonts w:ascii="Arial" w:eastAsia="HelveticaNeue-Light" w:hAnsi="Arial" w:cs="Arial"/>
          <w:b/>
          <w:i/>
          <w:color w:val="333333"/>
          <w:sz w:val="28"/>
          <w:szCs w:val="25"/>
        </w:rPr>
      </w:pPr>
      <w:r w:rsidRPr="00231EF2">
        <w:rPr>
          <w:rFonts w:ascii="Arial" w:eastAsia="HelveticaNeue-Light" w:hAnsi="Arial" w:cs="Arial"/>
          <w:b/>
          <w:i/>
          <w:color w:val="333333"/>
          <w:sz w:val="28"/>
          <w:szCs w:val="25"/>
        </w:rPr>
        <w:t>Estudio de la Demanda:</w:t>
      </w:r>
    </w:p>
    <w:p w:rsidR="00231EF2" w:rsidRPr="00231EF2" w:rsidRDefault="00231EF2" w:rsidP="00231EF2">
      <w:pPr>
        <w:pStyle w:val="Prrafodelista"/>
        <w:ind w:left="1080"/>
        <w:rPr>
          <w:rFonts w:ascii="Arial" w:eastAsia="HelveticaNeue-Light" w:hAnsi="Arial" w:cs="Arial"/>
          <w:b/>
          <w:i/>
          <w:color w:val="333333"/>
          <w:sz w:val="28"/>
          <w:szCs w:val="25"/>
        </w:rPr>
      </w:pPr>
    </w:p>
    <w:p w:rsidR="00B10975" w:rsidRPr="00810BF6" w:rsidRDefault="00B10975" w:rsidP="00B10975">
      <w:pPr>
        <w:jc w:val="both"/>
        <w:rPr>
          <w:rFonts w:ascii="Arial" w:eastAsia="HelveticaNeue-Light" w:hAnsi="Arial" w:cs="Arial"/>
          <w:b/>
          <w:i/>
          <w:sz w:val="24"/>
          <w:szCs w:val="24"/>
        </w:rPr>
      </w:pPr>
      <w:r w:rsidRPr="00810BF6">
        <w:rPr>
          <w:rFonts w:ascii="Arial" w:eastAsia="HelveticaNeue-Light" w:hAnsi="Arial" w:cs="Arial"/>
          <w:b/>
          <w:i/>
          <w:sz w:val="24"/>
          <w:szCs w:val="24"/>
        </w:rPr>
        <w:t xml:space="preserve">Procesos de Selección por Concursos de Méritos:  </w:t>
      </w:r>
    </w:p>
    <w:p w:rsidR="00231EF2" w:rsidRPr="00CE6406" w:rsidRDefault="00231EF2" w:rsidP="00231EF2">
      <w:pPr>
        <w:jc w:val="both"/>
        <w:rPr>
          <w:rFonts w:ascii="Arial" w:eastAsia="HelveticaNeue-Light" w:hAnsi="Arial" w:cs="Arial"/>
        </w:rPr>
      </w:pPr>
      <w:r w:rsidRPr="00CE6406">
        <w:rPr>
          <w:rFonts w:ascii="Arial" w:eastAsia="HelveticaNeue-Light" w:hAnsi="Arial" w:cs="Arial"/>
        </w:rPr>
        <w:t xml:space="preserve">Según el portal de Colombia Compra Eficiente la Aeronáutica civil realizo treinta y seis (36) concursos de méritos en la vigencia 2017, todos por la Modalidad de Contratación: </w:t>
      </w:r>
      <w:r w:rsidRPr="00CE6406">
        <w:rPr>
          <w:rFonts w:ascii="Arial" w:eastAsia="HelveticaNeue-Light" w:hAnsi="Arial" w:cs="Arial"/>
          <w:b/>
          <w:i/>
        </w:rPr>
        <w:t>Concurso de Méritos Abiertos</w:t>
      </w:r>
      <w:r w:rsidRPr="00CE6406">
        <w:rPr>
          <w:rFonts w:ascii="Arial" w:eastAsia="HelveticaNeue-Light" w:hAnsi="Arial" w:cs="Arial"/>
        </w:rPr>
        <w:t xml:space="preserve">. De los cuales 26 se relacionaron con trabajos de consultorías en el área obras de infraestructura, de los cuales 22 continuaron el proceso de adjudicación. </w:t>
      </w:r>
    </w:p>
    <w:p w:rsidR="00231EF2" w:rsidRPr="00CE6406" w:rsidRDefault="00231EF2" w:rsidP="00231EF2">
      <w:pPr>
        <w:jc w:val="both"/>
        <w:rPr>
          <w:rFonts w:ascii="Arial" w:hAnsi="Arial" w:cs="Arial"/>
          <w:lang w:eastAsia="es-CO"/>
        </w:rPr>
      </w:pPr>
      <w:r w:rsidRPr="00CE6406">
        <w:rPr>
          <w:rFonts w:ascii="Arial" w:eastAsia="HelveticaNeue-Light" w:hAnsi="Arial" w:cs="Arial"/>
        </w:rPr>
        <w:t>Los valores de licitación ascendieron a la suma de</w:t>
      </w:r>
      <w:r w:rsidRPr="00CE6406">
        <w:rPr>
          <w:rFonts w:ascii="Arial" w:hAnsi="Arial" w:cs="Arial"/>
        </w:rPr>
        <w:t xml:space="preserve"> </w:t>
      </w:r>
      <w:r w:rsidRPr="00CE6406">
        <w:rPr>
          <w:rFonts w:ascii="Arial" w:hAnsi="Arial" w:cs="Arial"/>
          <w:b/>
          <w:bCs/>
          <w:i/>
          <w:iCs/>
          <w:lang w:eastAsia="es-CO"/>
        </w:rPr>
        <w:t xml:space="preserve">$53.465.582.923,00, </w:t>
      </w:r>
      <w:r w:rsidRPr="00CE6406">
        <w:rPr>
          <w:rFonts w:ascii="Arial" w:eastAsia="HelveticaNeue-Light" w:hAnsi="Arial" w:cs="Arial"/>
        </w:rPr>
        <w:t xml:space="preserve">comprometiéndose cerca del 45% de los recursos a los contratos de interventoría </w:t>
      </w:r>
      <w:r w:rsidRPr="00CE6406">
        <w:rPr>
          <w:rFonts w:ascii="Arial" w:eastAsia="HelveticaNeue-Light" w:hAnsi="Arial" w:cs="Arial"/>
          <w:i/>
        </w:rPr>
        <w:t>Técnica y Administrativa</w:t>
      </w:r>
      <w:r w:rsidRPr="00CE6406">
        <w:rPr>
          <w:rFonts w:ascii="Arial" w:eastAsia="HelveticaNeue-Light" w:hAnsi="Arial" w:cs="Arial"/>
        </w:rPr>
        <w:t xml:space="preserve">; donde se adjudicaron dieciocho de los procesos; los cuatro restantes comprendieron labores de </w:t>
      </w:r>
      <w:r w:rsidRPr="00CE6406">
        <w:rPr>
          <w:rFonts w:ascii="Arial" w:eastAsia="HelveticaNeue-Light" w:hAnsi="Arial" w:cs="Arial"/>
          <w:i/>
        </w:rPr>
        <w:t>Consultoría de Estudios y Diseños, donde se tiene un proceso por la suma de</w:t>
      </w:r>
      <w:r w:rsidRPr="00CE6406">
        <w:rPr>
          <w:rFonts w:ascii="Arial" w:hAnsi="Arial" w:cs="Arial"/>
        </w:rPr>
        <w:t xml:space="preserve"> </w:t>
      </w:r>
      <w:r w:rsidRPr="00CE6406">
        <w:rPr>
          <w:rFonts w:ascii="Arial" w:hAnsi="Arial" w:cs="Arial"/>
          <w:b/>
          <w:bCs/>
          <w:i/>
          <w:iCs/>
          <w:lang w:eastAsia="es-CO"/>
        </w:rPr>
        <w:t>$25.229.561.479,00</w:t>
      </w:r>
      <w:r w:rsidRPr="00CE6406">
        <w:rPr>
          <w:rFonts w:ascii="Arial" w:eastAsia="HelveticaNeue-Light" w:hAnsi="Arial" w:cs="Arial"/>
          <w:i/>
        </w:rPr>
        <w:t xml:space="preserve">, el cual comprende cerca del 47,19% </w:t>
      </w:r>
      <w:r w:rsidRPr="00CE6406">
        <w:rPr>
          <w:rFonts w:ascii="Arial" w:eastAsia="HelveticaNeue-Light" w:hAnsi="Arial" w:cs="Arial"/>
        </w:rPr>
        <w:t>del porcentaje asignado en el 2017 a consultorías.  Tal y como</w:t>
      </w:r>
      <w:r w:rsidRPr="00CE6406">
        <w:rPr>
          <w:rFonts w:ascii="Arial" w:hAnsi="Arial" w:cs="Arial"/>
          <w:lang w:eastAsia="es-CO"/>
        </w:rPr>
        <w:t xml:space="preserve"> </w:t>
      </w:r>
      <w:r w:rsidRPr="00CE6406">
        <w:rPr>
          <w:rFonts w:ascii="Arial" w:eastAsia="HelveticaNeue-Light" w:hAnsi="Arial" w:cs="Arial"/>
        </w:rPr>
        <w:t>se puede apreciar en la siguiente gráfica:</w:t>
      </w:r>
    </w:p>
    <w:p w:rsidR="00231EF2" w:rsidRPr="00CE6406" w:rsidRDefault="00231EF2" w:rsidP="00231EF2">
      <w:pPr>
        <w:jc w:val="both"/>
        <w:rPr>
          <w:rFonts w:ascii="Arial" w:hAnsi="Arial" w:cs="Arial"/>
          <w:b/>
          <w:bCs/>
          <w:i/>
          <w:iCs/>
          <w:lang w:eastAsia="es-CO"/>
        </w:rPr>
      </w:pPr>
    </w:p>
    <w:p w:rsidR="00231EF2" w:rsidRPr="00CE6406" w:rsidRDefault="00231EF2" w:rsidP="00231EF2">
      <w:pPr>
        <w:ind w:left="142"/>
        <w:jc w:val="center"/>
        <w:rPr>
          <w:rFonts w:ascii="Arial" w:hAnsi="Arial" w:cs="Arial"/>
          <w:b/>
        </w:rPr>
      </w:pPr>
      <w:r w:rsidRPr="00CE6406">
        <w:rPr>
          <w:rFonts w:ascii="Arial" w:hAnsi="Arial" w:cs="Arial"/>
          <w:noProof/>
          <w:lang w:eastAsia="es-CO"/>
        </w:rPr>
        <w:drawing>
          <wp:inline distT="0" distB="0" distL="0" distR="0" wp14:anchorId="077478A1" wp14:editId="1A44702A">
            <wp:extent cx="5981700" cy="2743200"/>
            <wp:effectExtent l="19050" t="19050" r="19050" b="19050"/>
            <wp:docPr id="8" name="Gráfico 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31EF2" w:rsidRPr="00CE6406" w:rsidRDefault="00231EF2" w:rsidP="0043662C">
      <w:pPr>
        <w:spacing w:after="0"/>
        <w:jc w:val="both"/>
        <w:rPr>
          <w:rFonts w:ascii="Arial" w:hAnsi="Arial" w:cs="Arial"/>
        </w:rPr>
      </w:pPr>
      <w:r w:rsidRPr="00CE6406">
        <w:rPr>
          <w:rFonts w:ascii="Arial" w:hAnsi="Arial" w:cs="Arial"/>
        </w:rPr>
        <w:t xml:space="preserve">En los veintitrés procesos referenciados, se mantiene la tendencia de las </w:t>
      </w:r>
      <w:r w:rsidRPr="00CE6406">
        <w:rPr>
          <w:rFonts w:ascii="Arial" w:hAnsi="Arial" w:cs="Arial"/>
          <w:i/>
        </w:rPr>
        <w:t>Licitaciones Públicas</w:t>
      </w:r>
      <w:r w:rsidRPr="00CE6406">
        <w:rPr>
          <w:rFonts w:ascii="Arial" w:hAnsi="Arial" w:cs="Arial"/>
        </w:rPr>
        <w:t xml:space="preserve">; donde la mayoría de los oferentes son </w:t>
      </w:r>
      <w:r w:rsidRPr="00CE6406">
        <w:rPr>
          <w:rFonts w:ascii="Arial" w:hAnsi="Arial" w:cs="Arial"/>
          <w:i/>
        </w:rPr>
        <w:t>Consorcios</w:t>
      </w:r>
      <w:r w:rsidRPr="00CE6406">
        <w:rPr>
          <w:rFonts w:ascii="Arial" w:hAnsi="Arial" w:cs="Arial"/>
        </w:rPr>
        <w:t xml:space="preserve"> (cerca del 69%); seguido de los oferentes que lo hacen a </w:t>
      </w:r>
      <w:r w:rsidRPr="00CE6406">
        <w:rPr>
          <w:rFonts w:ascii="Arial" w:hAnsi="Arial" w:cs="Arial"/>
          <w:i/>
        </w:rPr>
        <w:t>Nombre Propio</w:t>
      </w:r>
      <w:r w:rsidRPr="00CE6406">
        <w:rPr>
          <w:rFonts w:ascii="Arial" w:hAnsi="Arial" w:cs="Arial"/>
        </w:rPr>
        <w:t xml:space="preserve"> (componiendo cerca de 30% de las ofertas recibidas) y por ultimo las </w:t>
      </w:r>
      <w:r w:rsidRPr="00CE6406">
        <w:rPr>
          <w:rFonts w:ascii="Arial" w:hAnsi="Arial" w:cs="Arial"/>
          <w:i/>
        </w:rPr>
        <w:t>Uniones Temporales</w:t>
      </w:r>
      <w:r w:rsidRPr="00CE6406">
        <w:rPr>
          <w:rFonts w:ascii="Arial" w:hAnsi="Arial" w:cs="Arial"/>
        </w:rPr>
        <w:t xml:space="preserve">. La gran sorpresa se presenta en que los oferentes en Uniones Temporales; solo se presentan en 1 proceso.     </w:t>
      </w:r>
    </w:p>
    <w:p w:rsidR="00231EF2" w:rsidRDefault="00231EF2" w:rsidP="0043662C">
      <w:pPr>
        <w:spacing w:after="0"/>
        <w:jc w:val="both"/>
        <w:rPr>
          <w:rFonts w:ascii="Arial" w:hAnsi="Arial" w:cs="Arial"/>
        </w:rPr>
      </w:pPr>
    </w:p>
    <w:p w:rsidR="00231EF2" w:rsidRPr="00CE6406" w:rsidRDefault="00231EF2" w:rsidP="0043662C">
      <w:pPr>
        <w:spacing w:after="0"/>
        <w:jc w:val="both"/>
        <w:rPr>
          <w:rFonts w:ascii="Arial" w:hAnsi="Arial" w:cs="Arial"/>
        </w:rPr>
      </w:pPr>
      <w:r w:rsidRPr="00CE6406">
        <w:rPr>
          <w:rFonts w:ascii="Arial" w:hAnsi="Arial" w:cs="Arial"/>
        </w:rPr>
        <w:t>Recibiendo en promedio 11 Ofertas por proceso, como se puede apreciar en la siguiente grafica de barras.</w:t>
      </w:r>
    </w:p>
    <w:p w:rsidR="00231EF2" w:rsidRPr="00CE6406" w:rsidRDefault="00231EF2" w:rsidP="00231EF2">
      <w:pPr>
        <w:jc w:val="both"/>
        <w:rPr>
          <w:rFonts w:ascii="Arial" w:hAnsi="Arial" w:cs="Arial"/>
        </w:rPr>
      </w:pPr>
    </w:p>
    <w:p w:rsidR="00231EF2" w:rsidRPr="00CE6406" w:rsidRDefault="00231EF2" w:rsidP="00231EF2">
      <w:pPr>
        <w:jc w:val="center"/>
        <w:rPr>
          <w:rFonts w:ascii="Arial" w:hAnsi="Arial" w:cs="Arial"/>
        </w:rPr>
      </w:pPr>
      <w:r w:rsidRPr="00CE6406">
        <w:rPr>
          <w:rFonts w:ascii="Arial" w:hAnsi="Arial" w:cs="Arial"/>
          <w:noProof/>
          <w:lang w:eastAsia="es-CO"/>
        </w:rPr>
        <w:drawing>
          <wp:inline distT="0" distB="0" distL="0" distR="0" wp14:anchorId="4E8FAD29" wp14:editId="78F2D6AE">
            <wp:extent cx="6048375" cy="6052820"/>
            <wp:effectExtent l="0" t="0" r="9525" b="5080"/>
            <wp:docPr id="10" name="Gráfico 10">
              <a:extLst xmlns:a="http://schemas.openxmlformats.org/drawingml/2006/main">
                <a:ext uri="{FF2B5EF4-FFF2-40B4-BE49-F238E27FC236}">
                  <a16:creationId xmlns:a16="http://schemas.microsoft.com/office/drawing/2014/main" id="{A16AE36C-19A2-445C-9811-858DCA2125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31EF2" w:rsidRPr="00CE6406" w:rsidRDefault="00231EF2" w:rsidP="00231EF2">
      <w:pPr>
        <w:jc w:val="both"/>
        <w:rPr>
          <w:rFonts w:ascii="Arial" w:hAnsi="Arial" w:cs="Arial"/>
        </w:rPr>
      </w:pPr>
    </w:p>
    <w:p w:rsidR="00231EF2" w:rsidRPr="00CE6406" w:rsidRDefault="00231EF2" w:rsidP="00231EF2">
      <w:pPr>
        <w:jc w:val="both"/>
        <w:rPr>
          <w:rFonts w:ascii="Arial" w:hAnsi="Arial" w:cs="Arial"/>
        </w:rPr>
      </w:pPr>
      <w:r w:rsidRPr="00CE6406">
        <w:rPr>
          <w:rFonts w:ascii="Arial" w:hAnsi="Arial" w:cs="Arial"/>
        </w:rPr>
        <w:t>Las adjudicaciones de los Concursos de Méritos Abiertos CMA, se realizó según la siguiente gráfica:</w:t>
      </w:r>
    </w:p>
    <w:p w:rsidR="00231EF2" w:rsidRPr="00CE6406" w:rsidRDefault="00231EF2" w:rsidP="00231EF2">
      <w:pPr>
        <w:jc w:val="center"/>
        <w:rPr>
          <w:rFonts w:ascii="Arial" w:hAnsi="Arial" w:cs="Arial"/>
        </w:rPr>
      </w:pPr>
      <w:r w:rsidRPr="00CE6406">
        <w:rPr>
          <w:rFonts w:ascii="Arial" w:hAnsi="Arial" w:cs="Arial"/>
          <w:noProof/>
          <w:lang w:eastAsia="es-CO"/>
        </w:rPr>
        <w:drawing>
          <wp:inline distT="0" distB="0" distL="0" distR="0" wp14:anchorId="1722DAC8" wp14:editId="2F2FF104">
            <wp:extent cx="5795963" cy="3305176"/>
            <wp:effectExtent l="0" t="0" r="0" b="0"/>
            <wp:docPr id="11" name="Gráfico 11">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31EF2" w:rsidRPr="00CE6406" w:rsidRDefault="00231EF2" w:rsidP="00231EF2">
      <w:pPr>
        <w:jc w:val="both"/>
        <w:rPr>
          <w:rFonts w:ascii="Arial" w:hAnsi="Arial" w:cs="Arial"/>
        </w:rPr>
      </w:pPr>
      <w:r w:rsidRPr="00CE6406">
        <w:rPr>
          <w:rFonts w:ascii="Arial" w:hAnsi="Arial" w:cs="Arial"/>
        </w:rPr>
        <w:t xml:space="preserve">A los </w:t>
      </w:r>
      <w:r w:rsidRPr="00CE6406">
        <w:rPr>
          <w:rFonts w:ascii="Arial" w:hAnsi="Arial" w:cs="Arial"/>
          <w:i/>
        </w:rPr>
        <w:t xml:space="preserve">Consorcio </w:t>
      </w:r>
      <w:r w:rsidRPr="00CE6406">
        <w:rPr>
          <w:rFonts w:ascii="Arial" w:hAnsi="Arial" w:cs="Arial"/>
        </w:rPr>
        <w:t xml:space="preserve">se les adjudicaron 19 procesos, por la suma de </w:t>
      </w:r>
      <w:r w:rsidRPr="00CE6406">
        <w:rPr>
          <w:rFonts w:ascii="Arial" w:hAnsi="Arial" w:cs="Arial"/>
          <w:b/>
        </w:rPr>
        <w:t>$22.628.171.862,00</w:t>
      </w:r>
      <w:r w:rsidRPr="00CE6406">
        <w:rPr>
          <w:rFonts w:ascii="Arial" w:hAnsi="Arial" w:cs="Arial"/>
        </w:rPr>
        <w:t xml:space="preserve"> (42,32%), según presupuesto Oficial; mientras que a los oferentes que actúan a </w:t>
      </w:r>
      <w:r w:rsidRPr="00CE6406">
        <w:rPr>
          <w:rFonts w:ascii="Arial" w:hAnsi="Arial" w:cs="Arial"/>
          <w:i/>
        </w:rPr>
        <w:t>Nombre Propio</w:t>
      </w:r>
      <w:r w:rsidRPr="00CE6406">
        <w:rPr>
          <w:rFonts w:ascii="Arial" w:hAnsi="Arial" w:cs="Arial"/>
        </w:rPr>
        <w:t xml:space="preserve"> se les adjudico 3 procesos, por un valor de </w:t>
      </w:r>
      <w:r w:rsidRPr="00CE6406">
        <w:rPr>
          <w:rFonts w:ascii="Arial" w:hAnsi="Arial" w:cs="Arial"/>
          <w:b/>
        </w:rPr>
        <w:t>$30.837.411.061,00</w:t>
      </w:r>
      <w:r w:rsidRPr="00CE6406">
        <w:rPr>
          <w:rFonts w:ascii="Arial" w:hAnsi="Arial" w:cs="Arial"/>
        </w:rPr>
        <w:t xml:space="preserve"> (57,68%). Por último, no se le adjudicó ni un solo contrato a las </w:t>
      </w:r>
      <w:r w:rsidRPr="00CE6406">
        <w:rPr>
          <w:rFonts w:ascii="Arial" w:hAnsi="Arial" w:cs="Arial"/>
          <w:i/>
        </w:rPr>
        <w:t>Uniones Temporales</w:t>
      </w:r>
      <w:r w:rsidRPr="00CE6406">
        <w:rPr>
          <w:rFonts w:ascii="Arial" w:hAnsi="Arial" w:cs="Arial"/>
        </w:rPr>
        <w:t xml:space="preserve">.    </w:t>
      </w:r>
    </w:p>
    <w:p w:rsidR="00B10975" w:rsidRDefault="00B10975" w:rsidP="00B10975">
      <w:pPr>
        <w:jc w:val="both"/>
        <w:rPr>
          <w:rFonts w:ascii="Arial" w:eastAsia="HelveticaNeue-Light" w:hAnsi="Arial" w:cs="Arial"/>
          <w:b/>
          <w:color w:val="333333"/>
          <w:sz w:val="24"/>
          <w:szCs w:val="24"/>
        </w:rPr>
      </w:pPr>
      <w:r>
        <w:rPr>
          <w:rFonts w:ascii="Arial" w:eastAsia="HelveticaNeue-Light" w:hAnsi="Arial" w:cs="Arial"/>
          <w:b/>
          <w:color w:val="333333"/>
          <w:sz w:val="24"/>
          <w:szCs w:val="24"/>
        </w:rPr>
        <w:t>Conclusiones del Estudio del S</w:t>
      </w:r>
      <w:r w:rsidRPr="008D5BC8">
        <w:rPr>
          <w:rFonts w:ascii="Arial" w:eastAsia="HelveticaNeue-Light" w:hAnsi="Arial" w:cs="Arial"/>
          <w:b/>
          <w:color w:val="333333"/>
          <w:sz w:val="24"/>
          <w:szCs w:val="24"/>
        </w:rPr>
        <w:t>ector:</w:t>
      </w:r>
    </w:p>
    <w:p w:rsidR="00B10975" w:rsidRPr="008D5BC8" w:rsidRDefault="00B10975" w:rsidP="00B10975">
      <w:pPr>
        <w:pStyle w:val="Prrafodelista"/>
        <w:numPr>
          <w:ilvl w:val="0"/>
          <w:numId w:val="22"/>
        </w:numPr>
        <w:spacing w:after="160" w:line="259" w:lineRule="auto"/>
        <w:jc w:val="both"/>
        <w:rPr>
          <w:rFonts w:ascii="Arial" w:eastAsia="HelveticaNeue-Light" w:hAnsi="Arial" w:cs="Arial"/>
          <w:color w:val="333333"/>
          <w:sz w:val="24"/>
          <w:szCs w:val="24"/>
        </w:rPr>
      </w:pPr>
      <w:r w:rsidRPr="008D5BC8">
        <w:rPr>
          <w:rFonts w:ascii="Arial" w:eastAsia="HelveticaNeue-Light" w:hAnsi="Arial" w:cs="Arial"/>
          <w:color w:val="333333"/>
          <w:sz w:val="24"/>
          <w:szCs w:val="24"/>
        </w:rPr>
        <w:t xml:space="preserve">Una vez realizado el estudio de mercado, se estima un valor promedio de: </w:t>
      </w:r>
      <w:r w:rsidR="00FD0FED">
        <w:rPr>
          <w:rFonts w:ascii="Arial" w:eastAsia="HelveticaNeue-Light" w:hAnsi="Arial" w:cs="Arial"/>
          <w:color w:val="333333"/>
          <w:sz w:val="24"/>
          <w:szCs w:val="24"/>
        </w:rPr>
        <w:t>OCHO SIENTOS TREINTA Y CUATRO MILLONES SETECIENTOS OCHENTA Y CINCO MIL</w:t>
      </w:r>
      <w:r w:rsidRPr="008D5BC8">
        <w:rPr>
          <w:rFonts w:ascii="Arial" w:eastAsia="HelveticaNeue-Light" w:hAnsi="Arial" w:cs="Arial"/>
          <w:color w:val="333333"/>
          <w:sz w:val="24"/>
          <w:szCs w:val="24"/>
        </w:rPr>
        <w:t xml:space="preserve"> PESOS </w:t>
      </w:r>
      <w:r w:rsidRPr="008D5BC8">
        <w:rPr>
          <w:rFonts w:ascii="Arial" w:eastAsia="HelveticaNeue-Light" w:hAnsi="Arial" w:cs="Arial"/>
          <w:b/>
          <w:color w:val="333333"/>
          <w:sz w:val="24"/>
          <w:szCs w:val="24"/>
        </w:rPr>
        <w:t>($</w:t>
      </w:r>
      <w:r w:rsidR="00FD0FED">
        <w:rPr>
          <w:rFonts w:ascii="Arial" w:hAnsi="Arial" w:cs="Arial"/>
          <w:b/>
          <w:bCs/>
          <w:color w:val="000000"/>
          <w:sz w:val="24"/>
          <w:szCs w:val="24"/>
          <w:lang w:eastAsia="es-CO"/>
        </w:rPr>
        <w:t>834.785.000</w:t>
      </w:r>
      <w:r w:rsidRPr="008D5BC8">
        <w:rPr>
          <w:rFonts w:ascii="Arial" w:eastAsia="HelveticaNeue-Light" w:hAnsi="Arial" w:cs="Arial"/>
          <w:b/>
          <w:color w:val="333333"/>
          <w:sz w:val="24"/>
          <w:szCs w:val="24"/>
        </w:rPr>
        <w:t xml:space="preserve">), </w:t>
      </w:r>
      <w:r w:rsidRPr="008D5BC8">
        <w:rPr>
          <w:rFonts w:ascii="Arial" w:hAnsi="Arial" w:cs="Arial"/>
          <w:bCs/>
          <w:sz w:val="24"/>
          <w:szCs w:val="24"/>
        </w:rPr>
        <w:t xml:space="preserve">incluido </w:t>
      </w:r>
      <w:r w:rsidRPr="008D5BC8">
        <w:rPr>
          <w:rFonts w:ascii="Arial" w:hAnsi="Arial" w:cs="Arial"/>
          <w:sz w:val="24"/>
          <w:szCs w:val="24"/>
        </w:rPr>
        <w:t>IVA</w:t>
      </w:r>
      <w:r w:rsidRPr="008D5BC8">
        <w:rPr>
          <w:rFonts w:ascii="Arial" w:eastAsia="HelveticaNeue-Light" w:hAnsi="Arial" w:cs="Arial"/>
          <w:color w:val="333333"/>
          <w:sz w:val="24"/>
          <w:szCs w:val="24"/>
        </w:rPr>
        <w:t>, equivalente al presupuesto oficial del proyecto.</w:t>
      </w:r>
    </w:p>
    <w:p w:rsidR="00B10975" w:rsidRDefault="00B10975" w:rsidP="00B10975">
      <w:pPr>
        <w:pStyle w:val="Prrafodelista"/>
        <w:jc w:val="both"/>
        <w:rPr>
          <w:rFonts w:ascii="Arial" w:eastAsia="HelveticaNeue-Light" w:hAnsi="Arial" w:cs="Arial"/>
          <w:color w:val="333333"/>
          <w:sz w:val="24"/>
          <w:szCs w:val="24"/>
        </w:rPr>
      </w:pPr>
    </w:p>
    <w:p w:rsidR="00B10975" w:rsidRDefault="00B10975" w:rsidP="00B10975">
      <w:pPr>
        <w:pStyle w:val="Prrafodelista"/>
        <w:numPr>
          <w:ilvl w:val="0"/>
          <w:numId w:val="22"/>
        </w:numPr>
        <w:spacing w:after="160" w:line="259" w:lineRule="auto"/>
        <w:jc w:val="both"/>
        <w:rPr>
          <w:rFonts w:ascii="Arial" w:eastAsia="HelveticaNeue-Light" w:hAnsi="Arial" w:cs="Arial"/>
          <w:color w:val="333333"/>
          <w:sz w:val="24"/>
          <w:szCs w:val="24"/>
        </w:rPr>
      </w:pPr>
      <w:r w:rsidRPr="008D5BC8">
        <w:rPr>
          <w:rFonts w:ascii="Arial" w:eastAsia="HelveticaNeue-Light" w:hAnsi="Arial" w:cs="Arial"/>
          <w:color w:val="333333"/>
          <w:sz w:val="24"/>
          <w:szCs w:val="24"/>
        </w:rPr>
        <w:t xml:space="preserve">Se recomienda que se adelante un proceso de selección por la modalidad </w:t>
      </w:r>
      <w:r w:rsidRPr="008D5BC8">
        <w:rPr>
          <w:rFonts w:ascii="Arial" w:eastAsia="HelveticaNeue-Light" w:hAnsi="Arial" w:cs="Arial"/>
          <w:b/>
          <w:color w:val="333333"/>
          <w:sz w:val="24"/>
          <w:szCs w:val="24"/>
        </w:rPr>
        <w:t>CONCURSO DE MERITOS</w:t>
      </w:r>
      <w:r w:rsidRPr="008D5BC8">
        <w:rPr>
          <w:rFonts w:ascii="Arial" w:eastAsia="HelveticaNeue-Light" w:hAnsi="Arial" w:cs="Arial"/>
          <w:color w:val="333333"/>
          <w:sz w:val="24"/>
          <w:szCs w:val="24"/>
        </w:rPr>
        <w:t>; debido a las actividades a realizar</w:t>
      </w:r>
      <w:r>
        <w:rPr>
          <w:rFonts w:ascii="Arial" w:eastAsia="HelveticaNeue-Light" w:hAnsi="Arial" w:cs="Arial"/>
          <w:color w:val="333333"/>
          <w:sz w:val="24"/>
          <w:szCs w:val="24"/>
        </w:rPr>
        <w:t>.</w:t>
      </w:r>
    </w:p>
    <w:p w:rsidR="00B10975" w:rsidRPr="008D5BC8" w:rsidRDefault="00B10975" w:rsidP="00B10975">
      <w:pPr>
        <w:pStyle w:val="Prrafodelista"/>
        <w:rPr>
          <w:rFonts w:ascii="Arial" w:eastAsia="HelveticaNeue-Light" w:hAnsi="Arial" w:cs="Arial"/>
          <w:color w:val="333333"/>
          <w:sz w:val="24"/>
          <w:szCs w:val="24"/>
        </w:rPr>
      </w:pPr>
    </w:p>
    <w:p w:rsidR="00B10975" w:rsidRPr="008D5BC8" w:rsidRDefault="00B10975" w:rsidP="00B10975">
      <w:pPr>
        <w:pStyle w:val="Prrafodelista"/>
        <w:numPr>
          <w:ilvl w:val="0"/>
          <w:numId w:val="22"/>
        </w:numPr>
        <w:spacing w:after="160" w:line="259" w:lineRule="auto"/>
        <w:jc w:val="both"/>
        <w:rPr>
          <w:rFonts w:ascii="Arial" w:eastAsia="HelveticaNeue-Light" w:hAnsi="Arial" w:cs="Arial"/>
          <w:color w:val="333333"/>
          <w:sz w:val="24"/>
          <w:szCs w:val="24"/>
        </w:rPr>
      </w:pPr>
      <w:r>
        <w:rPr>
          <w:rFonts w:ascii="Arial" w:eastAsia="HelveticaNeue-Light" w:hAnsi="Arial" w:cs="Arial"/>
          <w:color w:val="333333"/>
          <w:sz w:val="24"/>
          <w:szCs w:val="24"/>
        </w:rPr>
        <w:t xml:space="preserve">Se recomienda tener en cuenta como mínimo los </w:t>
      </w:r>
      <w:r w:rsidRPr="008D5BC8">
        <w:rPr>
          <w:rFonts w:ascii="Arial" w:eastAsia="HelveticaNeue-Light" w:hAnsi="Arial" w:cs="Arial"/>
          <w:color w:val="333333"/>
          <w:sz w:val="24"/>
          <w:szCs w:val="24"/>
        </w:rPr>
        <w:t>siguientes requisitos técnicos habilitantes:</w:t>
      </w:r>
    </w:p>
    <w:p w:rsidR="00B10975" w:rsidRPr="006C0A02" w:rsidRDefault="00B10975" w:rsidP="00B10975">
      <w:pPr>
        <w:pStyle w:val="Prrafodelista"/>
        <w:rPr>
          <w:rFonts w:ascii="Arial" w:eastAsia="HelveticaNeue-Light" w:hAnsi="Arial" w:cs="Arial"/>
          <w:color w:val="333333"/>
          <w:sz w:val="24"/>
          <w:szCs w:val="24"/>
        </w:rPr>
      </w:pPr>
    </w:p>
    <w:p w:rsidR="00231EF2" w:rsidRPr="00867A97" w:rsidRDefault="00B10975" w:rsidP="00231EF2">
      <w:pPr>
        <w:jc w:val="both"/>
        <w:rPr>
          <w:rFonts w:ascii="Arial" w:eastAsia="HelveticaNeue-Light" w:hAnsi="Arial" w:cs="Arial"/>
        </w:rPr>
      </w:pPr>
      <w:r>
        <w:rPr>
          <w:rFonts w:ascii="Arial" w:eastAsia="HelveticaNeue-Light" w:hAnsi="Arial" w:cs="Arial"/>
          <w:b/>
          <w:color w:val="333333"/>
          <w:sz w:val="24"/>
          <w:szCs w:val="24"/>
          <w:u w:val="single"/>
        </w:rPr>
        <w:t>Experiencia</w:t>
      </w:r>
      <w:r w:rsidRPr="00A40DD8">
        <w:rPr>
          <w:rFonts w:ascii="Arial" w:eastAsia="HelveticaNeue-Light" w:hAnsi="Arial" w:cs="Arial"/>
          <w:b/>
          <w:color w:val="333333"/>
          <w:sz w:val="24"/>
          <w:szCs w:val="24"/>
          <w:u w:val="single"/>
        </w:rPr>
        <w:t>:</w:t>
      </w:r>
      <w:r w:rsidRPr="006C0A02">
        <w:rPr>
          <w:rFonts w:ascii="Arial" w:eastAsia="HelveticaNeue-Light" w:hAnsi="Arial" w:cs="Arial"/>
          <w:color w:val="333333"/>
          <w:sz w:val="24"/>
          <w:szCs w:val="24"/>
        </w:rPr>
        <w:t xml:space="preserve"> </w:t>
      </w:r>
      <w:r w:rsidR="00231EF2" w:rsidRPr="00867A97">
        <w:rPr>
          <w:rFonts w:ascii="Arial" w:eastAsia="HelveticaNeue-Light" w:hAnsi="Arial" w:cs="Arial"/>
        </w:rPr>
        <w:t xml:space="preserve">Acreditar </w:t>
      </w:r>
      <w:r w:rsidR="00231EF2" w:rsidRPr="00867A97">
        <w:rPr>
          <w:rFonts w:ascii="Arial" w:hAnsi="Arial" w:cs="Arial"/>
        </w:rPr>
        <w:t xml:space="preserve">hasta CUATRO (4) contratos de Interventoría terminados y recibidos a satisfacción antes de la fecha de cierre del presente proceso de selección y que hayan contenido la ejecución de: </w:t>
      </w:r>
      <w:r w:rsidR="00231EF2" w:rsidRPr="00867A97">
        <w:rPr>
          <w:rFonts w:ascii="Arial" w:hAnsi="Arial" w:cs="Arial"/>
          <w:b/>
        </w:rPr>
        <w:t>“INTERVENTORIA A OBRAS DE: CONSTRUCCIÓN Y/O MEJORAMIENTO Y/O MANTENIMIENTO Y/O REHABILITACION DE: VIAS PRIMARIAS O PISTAS DE AERODROMO O CALLES DE RODAJE DE AERÓDROMO O PLATAFORMAS DE AERÓDROMO</w:t>
      </w:r>
      <w:r w:rsidR="00231EF2">
        <w:rPr>
          <w:rFonts w:ascii="Arial" w:hAnsi="Arial" w:cs="Arial"/>
          <w:b/>
        </w:rPr>
        <w:t xml:space="preserve">, </w:t>
      </w:r>
      <w:r w:rsidR="00231EF2" w:rsidRPr="00867A97">
        <w:rPr>
          <w:rFonts w:ascii="Arial" w:hAnsi="Arial" w:cs="Arial"/>
        </w:rPr>
        <w:t>cuya sumatoria sea igual o superior al 100% del presupuesto oficial de la interventoría</w:t>
      </w:r>
      <w:r w:rsidR="00231EF2">
        <w:rPr>
          <w:rFonts w:ascii="Arial" w:hAnsi="Arial" w:cs="Arial"/>
          <w:b/>
        </w:rPr>
        <w:t>”.</w:t>
      </w:r>
      <w:r w:rsidR="00231EF2" w:rsidRPr="00867A97">
        <w:rPr>
          <w:rFonts w:ascii="Arial" w:eastAsia="Calibri" w:hAnsi="Arial" w:cs="Arial"/>
          <w:b/>
        </w:rPr>
        <w:t xml:space="preserve"> </w:t>
      </w:r>
    </w:p>
    <w:p w:rsidR="00B10975" w:rsidRDefault="00B10975" w:rsidP="00FD0FED">
      <w:pPr>
        <w:spacing w:line="276" w:lineRule="auto"/>
        <w:jc w:val="both"/>
        <w:rPr>
          <w:rFonts w:ascii="Arial" w:hAnsi="Arial" w:cs="Arial"/>
          <w:lang w:val="es-ES_tradnl"/>
        </w:rPr>
      </w:pPr>
    </w:p>
    <w:sectPr w:rsidR="00B10975" w:rsidSect="00EA0807">
      <w:head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C02" w:rsidRDefault="00A80C02" w:rsidP="00FC1658">
      <w:pPr>
        <w:spacing w:after="0" w:line="240" w:lineRule="auto"/>
      </w:pPr>
      <w:r>
        <w:separator/>
      </w:r>
    </w:p>
  </w:endnote>
  <w:endnote w:type="continuationSeparator" w:id="0">
    <w:p w:rsidR="00A80C02" w:rsidRDefault="00A80C02" w:rsidP="00FC1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ight">
    <w:altName w:val="MS Mincho"/>
    <w:panose1 w:val="00000000000000000000"/>
    <w:charset w:val="80"/>
    <w:family w:val="auto"/>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C02" w:rsidRDefault="00A80C02" w:rsidP="00FC1658">
      <w:pPr>
        <w:spacing w:after="0" w:line="240" w:lineRule="auto"/>
      </w:pPr>
      <w:r>
        <w:separator/>
      </w:r>
    </w:p>
  </w:footnote>
  <w:footnote w:type="continuationSeparator" w:id="0">
    <w:p w:rsidR="00A80C02" w:rsidRDefault="00A80C02" w:rsidP="00FC1658">
      <w:pPr>
        <w:spacing w:after="0" w:line="240" w:lineRule="auto"/>
      </w:pPr>
      <w:r>
        <w:continuationSeparator/>
      </w:r>
    </w:p>
  </w:footnote>
  <w:footnote w:id="1">
    <w:p w:rsidR="00B7535F" w:rsidRPr="00F0299E" w:rsidRDefault="00B7535F" w:rsidP="00B7535F">
      <w:pPr>
        <w:pStyle w:val="Textonotapie"/>
        <w:jc w:val="both"/>
        <w:rPr>
          <w:sz w:val="21"/>
          <w:szCs w:val="21"/>
        </w:rPr>
      </w:pPr>
      <w:r w:rsidRPr="00F0299E">
        <w:rPr>
          <w:rStyle w:val="Refdenotaalpie"/>
          <w:sz w:val="21"/>
          <w:szCs w:val="21"/>
        </w:rPr>
        <w:footnoteRef/>
      </w:r>
      <w:r w:rsidRPr="00F0299E">
        <w:rPr>
          <w:sz w:val="21"/>
          <w:szCs w:val="21"/>
        </w:rPr>
        <w:t xml:space="preserve"> </w:t>
      </w:r>
      <w:r w:rsidRPr="00F0299E">
        <w:rPr>
          <w:i/>
          <w:sz w:val="21"/>
          <w:szCs w:val="21"/>
        </w:rPr>
        <w:t>“La importancia de realizar este análisis ha sido recalcada en las recomendaciones que la OCDE le ha formulado al Gobierno Nacional”.</w:t>
      </w:r>
      <w:r w:rsidRPr="00F0299E">
        <w:rPr>
          <w:sz w:val="21"/>
          <w:szCs w:val="21"/>
        </w:rPr>
        <w:t xml:space="preserve"> Tomado de la Guía Para Elaboración de Estudios del Sector Versión G-EES-02.</w:t>
      </w:r>
    </w:p>
  </w:footnote>
  <w:footnote w:id="2">
    <w:p w:rsidR="00543F02" w:rsidRPr="006933F9" w:rsidRDefault="00543F02" w:rsidP="00543F02">
      <w:pPr>
        <w:pStyle w:val="Textonotapie"/>
        <w:rPr>
          <w:rFonts w:ascii="Arial" w:hAnsi="Arial" w:cs="Arial"/>
          <w:sz w:val="14"/>
          <w:szCs w:val="14"/>
          <w:lang w:val="es-CO"/>
        </w:rPr>
      </w:pPr>
      <w:r w:rsidRPr="00973522">
        <w:rPr>
          <w:rFonts w:ascii="Arial" w:hAnsi="Arial" w:cs="Arial"/>
          <w:sz w:val="14"/>
          <w:szCs w:val="16"/>
        </w:rPr>
        <w:t>1 2</w:t>
      </w:r>
      <w:r w:rsidRPr="006933F9">
        <w:rPr>
          <w:rFonts w:ascii="Arial" w:hAnsi="Arial" w:cs="Arial"/>
          <w:sz w:val="14"/>
          <w:szCs w:val="14"/>
        </w:rPr>
        <w:t>Guía para la Elaboración de Estudios de Sector de Colombia Compra Eficiente</w:t>
      </w:r>
    </w:p>
  </w:footnote>
  <w:footnote w:id="3">
    <w:p w:rsidR="00543F02" w:rsidRPr="00DD7514" w:rsidRDefault="00543F02" w:rsidP="00543F02">
      <w:pPr>
        <w:pStyle w:val="Textonotapie"/>
      </w:pPr>
    </w:p>
  </w:footnote>
  <w:footnote w:id="4">
    <w:p w:rsidR="00B10975" w:rsidRDefault="00B10975" w:rsidP="00B10975">
      <w:pPr>
        <w:pStyle w:val="Textonotapie"/>
      </w:pPr>
      <w:r>
        <w:rPr>
          <w:rStyle w:val="Refdenotaalpie"/>
        </w:rPr>
        <w:footnoteRef/>
      </w:r>
      <w:r>
        <w:t xml:space="preserve"> Datos; df, Cámara de Comercio de Bogotá. 29/05/2017 11:44 am.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7" w:type="dxa"/>
      <w:tblInd w:w="-72" w:type="dxa"/>
      <w:tblCellMar>
        <w:left w:w="0" w:type="dxa"/>
        <w:right w:w="0" w:type="dxa"/>
      </w:tblCellMar>
      <w:tblLook w:val="04A0" w:firstRow="1" w:lastRow="0" w:firstColumn="1" w:lastColumn="0" w:noHBand="0" w:noVBand="1"/>
    </w:tblPr>
    <w:tblGrid>
      <w:gridCol w:w="2452"/>
      <w:gridCol w:w="7734"/>
      <w:gridCol w:w="21"/>
    </w:tblGrid>
    <w:tr w:rsidR="007D64DA" w:rsidTr="00607ACD">
      <w:trPr>
        <w:trHeight w:val="360"/>
      </w:trPr>
      <w:tc>
        <w:tcPr>
          <w:tcW w:w="2452" w:type="dxa"/>
          <w:vMerge w:val="restart"/>
          <w:tcBorders>
            <w:top w:val="double" w:sz="4" w:space="0" w:color="auto"/>
            <w:left w:val="double" w:sz="4" w:space="0" w:color="auto"/>
            <w:right w:val="single" w:sz="8" w:space="0" w:color="auto"/>
          </w:tcBorders>
          <w:shd w:val="clear" w:color="auto" w:fill="FFFFFF"/>
          <w:tcMar>
            <w:top w:w="0" w:type="dxa"/>
            <w:left w:w="70" w:type="dxa"/>
            <w:bottom w:w="0" w:type="dxa"/>
            <w:right w:w="70" w:type="dxa"/>
          </w:tcMar>
          <w:vAlign w:val="center"/>
          <w:hideMark/>
        </w:tcPr>
        <w:p w:rsidR="007D64DA" w:rsidRDefault="007D64DA" w:rsidP="00FC1658">
          <w:pPr>
            <w:pStyle w:val="Encabezado"/>
            <w:spacing w:line="276" w:lineRule="auto"/>
            <w:jc w:val="both"/>
            <w:rPr>
              <w:b/>
              <w:bCs/>
            </w:rPr>
          </w:pPr>
          <w:r>
            <w:rPr>
              <w:noProof/>
              <w:lang w:eastAsia="es-CO"/>
            </w:rPr>
            <w:drawing>
              <wp:anchor distT="0" distB="0" distL="114300" distR="114300" simplePos="0" relativeHeight="251660288" behindDoc="0" locked="0" layoutInCell="1" allowOverlap="1">
                <wp:simplePos x="0" y="0"/>
                <wp:positionH relativeFrom="column">
                  <wp:posOffset>237490</wp:posOffset>
                </wp:positionH>
                <wp:positionV relativeFrom="paragraph">
                  <wp:posOffset>-36830</wp:posOffset>
                </wp:positionV>
                <wp:extent cx="1023620" cy="619125"/>
                <wp:effectExtent l="0" t="0" r="5080" b="9525"/>
                <wp:wrapNone/>
                <wp:docPr id="3" name="Imagen 3" descr="Descripción: D:\$JOHANNA SANTAMARIA\JOHANNA TERESA\0 RESULTADO REDISEÑO SGC\PROCESOS\logos en alta\logo vertical pix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D:\$JOHANNA SANTAMARIA\JOHANNA TERESA\0 RESULTADO REDISEÑO SGC\PROCESOS\logos en alta\logo vertical pixe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619125"/>
                        </a:xfrm>
                        <a:prstGeom prst="rect">
                          <a:avLst/>
                        </a:prstGeom>
                        <a:noFill/>
                      </pic:spPr>
                    </pic:pic>
                  </a:graphicData>
                </a:graphic>
              </wp:anchor>
            </w:drawing>
          </w:r>
        </w:p>
      </w:tc>
      <w:tc>
        <w:tcPr>
          <w:tcW w:w="7734" w:type="dxa"/>
          <w:tcBorders>
            <w:top w:val="double" w:sz="4" w:space="0" w:color="auto"/>
            <w:left w:val="nil"/>
            <w:bottom w:val="single" w:sz="8" w:space="0" w:color="auto"/>
            <w:right w:val="double" w:sz="4" w:space="0" w:color="auto"/>
          </w:tcBorders>
          <w:shd w:val="clear" w:color="auto" w:fill="E6E6E6"/>
          <w:tcMar>
            <w:top w:w="0" w:type="dxa"/>
            <w:left w:w="70" w:type="dxa"/>
            <w:bottom w:w="0" w:type="dxa"/>
            <w:right w:w="70" w:type="dxa"/>
          </w:tcMar>
          <w:vAlign w:val="center"/>
          <w:hideMark/>
        </w:tcPr>
        <w:p w:rsidR="007D64DA" w:rsidRDefault="007D64DA" w:rsidP="00FC1658">
          <w:pPr>
            <w:pStyle w:val="Textosinformato"/>
            <w:spacing w:line="276" w:lineRule="auto"/>
            <w:ind w:left="360"/>
            <w:jc w:val="center"/>
            <w:rPr>
              <w:rFonts w:ascii="Arial" w:hAnsi="Arial" w:cs="Arial"/>
              <w:b/>
              <w:bCs/>
              <w:sz w:val="22"/>
              <w:szCs w:val="22"/>
            </w:rPr>
          </w:pPr>
          <w:r>
            <w:rPr>
              <w:rFonts w:ascii="Arial" w:hAnsi="Arial" w:cs="Arial"/>
              <w:b/>
              <w:bCs/>
              <w:sz w:val="22"/>
              <w:szCs w:val="22"/>
            </w:rPr>
            <w:t>DIRECCION DE INFRAESTRUCTURA AEROPORTUARIA</w:t>
          </w:r>
        </w:p>
      </w:tc>
      <w:tc>
        <w:tcPr>
          <w:tcW w:w="21" w:type="dxa"/>
          <w:vAlign w:val="center"/>
          <w:hideMark/>
        </w:tcPr>
        <w:p w:rsidR="007D64DA" w:rsidRDefault="007D64DA" w:rsidP="00FC1658">
          <w:pPr>
            <w:rPr>
              <w:rFonts w:ascii="Arial" w:hAnsi="Arial" w:cs="Arial"/>
              <w:b/>
              <w:bCs/>
            </w:rPr>
          </w:pPr>
        </w:p>
      </w:tc>
    </w:tr>
    <w:tr w:rsidR="007D64DA" w:rsidTr="00607ACD">
      <w:trPr>
        <w:cantSplit/>
        <w:trHeight w:val="863"/>
      </w:trPr>
      <w:tc>
        <w:tcPr>
          <w:tcW w:w="0" w:type="auto"/>
          <w:vMerge/>
          <w:tcBorders>
            <w:left w:val="double" w:sz="4" w:space="0" w:color="auto"/>
            <w:right w:val="single" w:sz="8" w:space="0" w:color="auto"/>
          </w:tcBorders>
          <w:vAlign w:val="center"/>
          <w:hideMark/>
        </w:tcPr>
        <w:p w:rsidR="007D64DA" w:rsidRDefault="007D64DA" w:rsidP="00FC1658">
          <w:pPr>
            <w:spacing w:line="276" w:lineRule="auto"/>
            <w:rPr>
              <w:rFonts w:ascii="Times New Roman" w:eastAsia="Times New Roman" w:hAnsi="Times New Roman" w:cs="Times New Roman"/>
              <w:b/>
              <w:bCs/>
              <w:lang w:val="es-ES" w:eastAsia="es-ES"/>
            </w:rPr>
          </w:pPr>
        </w:p>
      </w:tc>
      <w:tc>
        <w:tcPr>
          <w:tcW w:w="7734" w:type="dxa"/>
          <w:vMerge w:val="restart"/>
          <w:tcBorders>
            <w:top w:val="nil"/>
            <w:left w:val="nil"/>
            <w:bottom w:val="double" w:sz="4" w:space="0" w:color="auto"/>
            <w:right w:val="double" w:sz="4" w:space="0" w:color="auto"/>
          </w:tcBorders>
          <w:shd w:val="clear" w:color="auto" w:fill="FFFFFF"/>
          <w:tcMar>
            <w:top w:w="0" w:type="dxa"/>
            <w:left w:w="70" w:type="dxa"/>
            <w:bottom w:w="0" w:type="dxa"/>
            <w:right w:w="70" w:type="dxa"/>
          </w:tcMar>
          <w:vAlign w:val="center"/>
        </w:tcPr>
        <w:p w:rsidR="007D64DA" w:rsidRDefault="007D64DA" w:rsidP="00FC1658">
          <w:pPr>
            <w:widowControl w:val="0"/>
            <w:autoSpaceDE w:val="0"/>
            <w:autoSpaceDN w:val="0"/>
            <w:adjustRightInd w:val="0"/>
            <w:spacing w:after="0"/>
            <w:jc w:val="center"/>
            <w:rPr>
              <w:rFonts w:ascii="Arial" w:hAnsi="Arial" w:cs="Arial"/>
              <w:b/>
              <w:bCs/>
            </w:rPr>
          </w:pPr>
          <w:r w:rsidRPr="007C6257">
            <w:rPr>
              <w:rFonts w:ascii="Arial" w:hAnsi="Arial" w:cs="Arial"/>
              <w:b/>
              <w:bCs/>
            </w:rPr>
            <w:t>ANEXO NO. 4</w:t>
          </w:r>
        </w:p>
        <w:p w:rsidR="007D64DA" w:rsidRPr="000A4152" w:rsidRDefault="007D64DA" w:rsidP="000A4152">
          <w:pPr>
            <w:widowControl w:val="0"/>
            <w:autoSpaceDE w:val="0"/>
            <w:autoSpaceDN w:val="0"/>
            <w:adjustRightInd w:val="0"/>
            <w:spacing w:after="0"/>
            <w:jc w:val="center"/>
            <w:rPr>
              <w:rFonts w:ascii="Arial" w:hAnsi="Arial" w:cs="Arial"/>
              <w:b/>
              <w:bCs/>
            </w:rPr>
          </w:pPr>
          <w:r w:rsidRPr="007C6257">
            <w:rPr>
              <w:rFonts w:ascii="Arial" w:hAnsi="Arial" w:cs="Arial"/>
              <w:b/>
              <w:color w:val="000000"/>
            </w:rPr>
            <w:t>ANÁLISIS DEL SECTOR ECONÓMICO Y DE LOS OFERENTES</w:t>
          </w:r>
        </w:p>
      </w:tc>
      <w:tc>
        <w:tcPr>
          <w:tcW w:w="21" w:type="dxa"/>
          <w:vAlign w:val="center"/>
          <w:hideMark/>
        </w:tcPr>
        <w:p w:rsidR="007D64DA" w:rsidRDefault="007D64DA" w:rsidP="00FC1658">
          <w:pPr>
            <w:rPr>
              <w:b/>
            </w:rPr>
          </w:pPr>
        </w:p>
      </w:tc>
    </w:tr>
    <w:tr w:rsidR="007D64DA" w:rsidTr="00607ACD">
      <w:trPr>
        <w:cantSplit/>
        <w:trHeight w:val="284"/>
      </w:trPr>
      <w:tc>
        <w:tcPr>
          <w:tcW w:w="2452" w:type="dxa"/>
          <w:vMerge/>
          <w:tcBorders>
            <w:left w:val="double" w:sz="4" w:space="0" w:color="auto"/>
            <w:bottom w:val="double" w:sz="4" w:space="0" w:color="auto"/>
            <w:right w:val="single" w:sz="8" w:space="0" w:color="auto"/>
          </w:tcBorders>
          <w:shd w:val="clear" w:color="auto" w:fill="FFFFFF"/>
          <w:tcMar>
            <w:top w:w="0" w:type="dxa"/>
            <w:left w:w="70" w:type="dxa"/>
            <w:bottom w:w="0" w:type="dxa"/>
            <w:right w:w="70" w:type="dxa"/>
          </w:tcMar>
          <w:vAlign w:val="center"/>
          <w:hideMark/>
        </w:tcPr>
        <w:p w:rsidR="007D64DA" w:rsidRDefault="007D64DA" w:rsidP="00FC1658">
          <w:pPr>
            <w:pStyle w:val="Encabezado"/>
            <w:spacing w:line="276" w:lineRule="auto"/>
            <w:jc w:val="center"/>
            <w:rPr>
              <w:rFonts w:ascii="Arial" w:eastAsia="Times New Roman" w:hAnsi="Arial" w:cs="Arial"/>
              <w:b/>
              <w:bCs/>
              <w:sz w:val="18"/>
              <w:szCs w:val="18"/>
              <w:lang w:val="es-ES" w:eastAsia="es-ES"/>
            </w:rPr>
          </w:pPr>
        </w:p>
      </w:tc>
      <w:tc>
        <w:tcPr>
          <w:tcW w:w="0" w:type="auto"/>
          <w:vMerge/>
          <w:tcBorders>
            <w:top w:val="nil"/>
            <w:left w:val="nil"/>
            <w:bottom w:val="double" w:sz="4" w:space="0" w:color="auto"/>
            <w:right w:val="double" w:sz="4" w:space="0" w:color="auto"/>
          </w:tcBorders>
          <w:vAlign w:val="center"/>
          <w:hideMark/>
        </w:tcPr>
        <w:p w:rsidR="007D64DA" w:rsidRDefault="007D64DA" w:rsidP="00FC1658">
          <w:pPr>
            <w:spacing w:line="276" w:lineRule="auto"/>
            <w:rPr>
              <w:rFonts w:ascii="Arial" w:eastAsia="Times New Roman" w:hAnsi="Arial" w:cs="Times New Roman"/>
              <w:b/>
              <w:sz w:val="24"/>
              <w:lang w:val="es-ES_tradnl" w:eastAsia="es-ES"/>
            </w:rPr>
          </w:pPr>
        </w:p>
      </w:tc>
      <w:tc>
        <w:tcPr>
          <w:tcW w:w="21" w:type="dxa"/>
          <w:vAlign w:val="center"/>
          <w:hideMark/>
        </w:tcPr>
        <w:p w:rsidR="007D64DA" w:rsidRDefault="007D64DA" w:rsidP="00FC1658">
          <w:pPr>
            <w:rPr>
              <w:rFonts w:ascii="Arial" w:hAnsi="Arial" w:cs="Arial"/>
              <w:b/>
              <w:bCs/>
              <w:sz w:val="18"/>
              <w:szCs w:val="18"/>
            </w:rPr>
          </w:pPr>
        </w:p>
      </w:tc>
    </w:tr>
  </w:tbl>
  <w:p w:rsidR="007D64DA" w:rsidRDefault="007D64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5356"/>
    <w:multiLevelType w:val="hybridMultilevel"/>
    <w:tmpl w:val="A1A4A774"/>
    <w:lvl w:ilvl="0" w:tplc="0AC2017E">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B0018A"/>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3375ACC"/>
    <w:multiLevelType w:val="multilevel"/>
    <w:tmpl w:val="149E6CA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A21B0C"/>
    <w:multiLevelType w:val="multilevel"/>
    <w:tmpl w:val="88B87BC8"/>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DC106B"/>
    <w:multiLevelType w:val="multilevel"/>
    <w:tmpl w:val="379EF3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8F76F5"/>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23047DB1"/>
    <w:multiLevelType w:val="hybridMultilevel"/>
    <w:tmpl w:val="9A786F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2F4E0A"/>
    <w:multiLevelType w:val="hybridMultilevel"/>
    <w:tmpl w:val="E446E7A6"/>
    <w:lvl w:ilvl="0" w:tplc="2E7E2822">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B14ED7"/>
    <w:multiLevelType w:val="multilevel"/>
    <w:tmpl w:val="9AE0E858"/>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001A4B"/>
    <w:multiLevelType w:val="hybridMultilevel"/>
    <w:tmpl w:val="D690EFCE"/>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A01BB5"/>
    <w:multiLevelType w:val="hybridMultilevel"/>
    <w:tmpl w:val="69C62B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0201FF"/>
    <w:multiLevelType w:val="hybridMultilevel"/>
    <w:tmpl w:val="841A76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8E6C23"/>
    <w:multiLevelType w:val="hybridMultilevel"/>
    <w:tmpl w:val="B28AF9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1B7BE6"/>
    <w:multiLevelType w:val="hybridMultilevel"/>
    <w:tmpl w:val="D82E18B8"/>
    <w:lvl w:ilvl="0" w:tplc="BE4A9BCE">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B016843"/>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3B992A67"/>
    <w:multiLevelType w:val="multilevel"/>
    <w:tmpl w:val="32A2FC5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B4314B"/>
    <w:multiLevelType w:val="multilevel"/>
    <w:tmpl w:val="87C63324"/>
    <w:lvl w:ilvl="0">
      <w:start w:val="2"/>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15178F1"/>
    <w:multiLevelType w:val="hybridMultilevel"/>
    <w:tmpl w:val="CD5864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37D5E09"/>
    <w:multiLevelType w:val="hybridMultilevel"/>
    <w:tmpl w:val="B2723F5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45093FD0"/>
    <w:multiLevelType w:val="hybridMultilevel"/>
    <w:tmpl w:val="C5BAFE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3E0DFE"/>
    <w:multiLevelType w:val="multilevel"/>
    <w:tmpl w:val="0FEAC3AC"/>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74B5B38"/>
    <w:multiLevelType w:val="hybridMultilevel"/>
    <w:tmpl w:val="9668BF1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9B85265"/>
    <w:multiLevelType w:val="hybridMultilevel"/>
    <w:tmpl w:val="22B00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736385"/>
    <w:multiLevelType w:val="hybridMultilevel"/>
    <w:tmpl w:val="3F4244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552D89"/>
    <w:multiLevelType w:val="hybridMultilevel"/>
    <w:tmpl w:val="2BA81BEA"/>
    <w:lvl w:ilvl="0" w:tplc="C43E0402">
      <w:start w:val="1"/>
      <w:numFmt w:val="lowerLetter"/>
      <w:lvlText w:val="%1)"/>
      <w:lvlJc w:val="left"/>
      <w:pPr>
        <w:ind w:left="720" w:hanging="360"/>
      </w:pPr>
      <w:rPr>
        <w:rFonts w:eastAsia="HelveticaNeue-Light" w:hint="default"/>
        <w:b/>
        <w:color w:val="333333"/>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3A64D5"/>
    <w:multiLevelType w:val="hybridMultilevel"/>
    <w:tmpl w:val="6B2CE7C8"/>
    <w:lvl w:ilvl="0" w:tplc="41E68D76">
      <w:start w:val="3"/>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E6071B8"/>
    <w:multiLevelType w:val="hybridMultilevel"/>
    <w:tmpl w:val="DA80DA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7647A0"/>
    <w:multiLevelType w:val="hybridMultilevel"/>
    <w:tmpl w:val="24ECBC9A"/>
    <w:lvl w:ilvl="0" w:tplc="240A0001">
      <w:start w:val="1"/>
      <w:numFmt w:val="bullet"/>
      <w:lvlText w:val=""/>
      <w:lvlJc w:val="left"/>
      <w:pPr>
        <w:ind w:left="717" w:hanging="360"/>
      </w:pPr>
      <w:rPr>
        <w:rFonts w:ascii="Symbol" w:hAnsi="Symbol" w:hint="default"/>
        <w:color w:val="auto"/>
        <w:sz w:val="24"/>
        <w:szCs w:val="24"/>
      </w:rPr>
    </w:lvl>
    <w:lvl w:ilvl="1" w:tplc="164CB170">
      <w:start w:val="1"/>
      <w:numFmt w:val="lowerLetter"/>
      <w:lvlText w:val="%2."/>
      <w:lvlJc w:val="left"/>
      <w:pPr>
        <w:ind w:left="1437" w:hanging="360"/>
      </w:pPr>
      <w:rPr>
        <w:rFonts w:cs="Times New Roman"/>
      </w:rPr>
    </w:lvl>
    <w:lvl w:ilvl="2" w:tplc="C630A4B2">
      <w:start w:val="1"/>
      <w:numFmt w:val="lowerRoman"/>
      <w:lvlText w:val="%3."/>
      <w:lvlJc w:val="right"/>
      <w:pPr>
        <w:ind w:left="2157" w:hanging="180"/>
      </w:pPr>
      <w:rPr>
        <w:rFonts w:cs="Times New Roman"/>
      </w:rPr>
    </w:lvl>
    <w:lvl w:ilvl="3" w:tplc="A9AA7938" w:tentative="1">
      <w:start w:val="1"/>
      <w:numFmt w:val="decimal"/>
      <w:lvlText w:val="%4."/>
      <w:lvlJc w:val="left"/>
      <w:pPr>
        <w:ind w:left="2877" w:hanging="360"/>
      </w:pPr>
      <w:rPr>
        <w:rFonts w:cs="Times New Roman"/>
      </w:rPr>
    </w:lvl>
    <w:lvl w:ilvl="4" w:tplc="EF008BB2" w:tentative="1">
      <w:start w:val="1"/>
      <w:numFmt w:val="lowerLetter"/>
      <w:lvlText w:val="%5."/>
      <w:lvlJc w:val="left"/>
      <w:pPr>
        <w:ind w:left="3597" w:hanging="360"/>
      </w:pPr>
      <w:rPr>
        <w:rFonts w:cs="Times New Roman"/>
      </w:rPr>
    </w:lvl>
    <w:lvl w:ilvl="5" w:tplc="D6DA0826" w:tentative="1">
      <w:start w:val="1"/>
      <w:numFmt w:val="lowerRoman"/>
      <w:lvlText w:val="%6."/>
      <w:lvlJc w:val="right"/>
      <w:pPr>
        <w:ind w:left="4317" w:hanging="180"/>
      </w:pPr>
      <w:rPr>
        <w:rFonts w:cs="Times New Roman"/>
      </w:rPr>
    </w:lvl>
    <w:lvl w:ilvl="6" w:tplc="0A64EE7A" w:tentative="1">
      <w:start w:val="1"/>
      <w:numFmt w:val="decimal"/>
      <w:lvlText w:val="%7."/>
      <w:lvlJc w:val="left"/>
      <w:pPr>
        <w:ind w:left="5037" w:hanging="360"/>
      </w:pPr>
      <w:rPr>
        <w:rFonts w:cs="Times New Roman"/>
      </w:rPr>
    </w:lvl>
    <w:lvl w:ilvl="7" w:tplc="78D2A96E" w:tentative="1">
      <w:start w:val="1"/>
      <w:numFmt w:val="lowerLetter"/>
      <w:lvlText w:val="%8."/>
      <w:lvlJc w:val="left"/>
      <w:pPr>
        <w:ind w:left="5757" w:hanging="360"/>
      </w:pPr>
      <w:rPr>
        <w:rFonts w:cs="Times New Roman"/>
      </w:rPr>
    </w:lvl>
    <w:lvl w:ilvl="8" w:tplc="728CDD1A" w:tentative="1">
      <w:start w:val="1"/>
      <w:numFmt w:val="lowerRoman"/>
      <w:lvlText w:val="%9."/>
      <w:lvlJc w:val="right"/>
      <w:pPr>
        <w:ind w:left="6477" w:hanging="180"/>
      </w:pPr>
      <w:rPr>
        <w:rFonts w:cs="Times New Roman"/>
      </w:rPr>
    </w:lvl>
  </w:abstractNum>
  <w:abstractNum w:abstractNumId="28" w15:restartNumberingAfterBreak="0">
    <w:nsid w:val="50E810CD"/>
    <w:multiLevelType w:val="hybridMultilevel"/>
    <w:tmpl w:val="6DFA85A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5A97357"/>
    <w:multiLevelType w:val="hybridMultilevel"/>
    <w:tmpl w:val="F49E0FE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820DB4"/>
    <w:multiLevelType w:val="hybridMultilevel"/>
    <w:tmpl w:val="E166B7D2"/>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start w:val="1"/>
      <w:numFmt w:val="lowerRoman"/>
      <w:lvlText w:val="%3."/>
      <w:lvlJc w:val="right"/>
      <w:pPr>
        <w:ind w:left="2220" w:hanging="180"/>
      </w:pPr>
    </w:lvl>
    <w:lvl w:ilvl="3" w:tplc="240A000F">
      <w:start w:val="1"/>
      <w:numFmt w:val="decimal"/>
      <w:lvlText w:val="%4."/>
      <w:lvlJc w:val="left"/>
      <w:pPr>
        <w:ind w:left="2940" w:hanging="360"/>
      </w:pPr>
    </w:lvl>
    <w:lvl w:ilvl="4" w:tplc="240A0019">
      <w:start w:val="1"/>
      <w:numFmt w:val="lowerLetter"/>
      <w:lvlText w:val="%5."/>
      <w:lvlJc w:val="left"/>
      <w:pPr>
        <w:ind w:left="3660" w:hanging="360"/>
      </w:pPr>
    </w:lvl>
    <w:lvl w:ilvl="5" w:tplc="240A001B">
      <w:start w:val="1"/>
      <w:numFmt w:val="lowerRoman"/>
      <w:lvlText w:val="%6."/>
      <w:lvlJc w:val="right"/>
      <w:pPr>
        <w:ind w:left="4380" w:hanging="180"/>
      </w:pPr>
    </w:lvl>
    <w:lvl w:ilvl="6" w:tplc="240A000F">
      <w:start w:val="1"/>
      <w:numFmt w:val="decimal"/>
      <w:lvlText w:val="%7."/>
      <w:lvlJc w:val="left"/>
      <w:pPr>
        <w:ind w:left="5100" w:hanging="360"/>
      </w:pPr>
    </w:lvl>
    <w:lvl w:ilvl="7" w:tplc="240A0019">
      <w:start w:val="1"/>
      <w:numFmt w:val="lowerLetter"/>
      <w:lvlText w:val="%8."/>
      <w:lvlJc w:val="left"/>
      <w:pPr>
        <w:ind w:left="5820" w:hanging="360"/>
      </w:pPr>
    </w:lvl>
    <w:lvl w:ilvl="8" w:tplc="240A001B">
      <w:start w:val="1"/>
      <w:numFmt w:val="lowerRoman"/>
      <w:lvlText w:val="%9."/>
      <w:lvlJc w:val="right"/>
      <w:pPr>
        <w:ind w:left="6540" w:hanging="180"/>
      </w:pPr>
    </w:lvl>
  </w:abstractNum>
  <w:abstractNum w:abstractNumId="31" w15:restartNumberingAfterBreak="0">
    <w:nsid w:val="5AC03736"/>
    <w:multiLevelType w:val="multilevel"/>
    <w:tmpl w:val="ACB42A7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5F5755F2"/>
    <w:multiLevelType w:val="multilevel"/>
    <w:tmpl w:val="16C4B3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608E714E"/>
    <w:multiLevelType w:val="multilevel"/>
    <w:tmpl w:val="3BBE6CE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609F73F9"/>
    <w:multiLevelType w:val="hybridMultilevel"/>
    <w:tmpl w:val="3768DB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F02F7D"/>
    <w:multiLevelType w:val="multilevel"/>
    <w:tmpl w:val="1F56AE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82147B"/>
    <w:multiLevelType w:val="hybridMultilevel"/>
    <w:tmpl w:val="1BFA94C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63A790C"/>
    <w:multiLevelType w:val="multilevel"/>
    <w:tmpl w:val="08202CC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8EE4A3B"/>
    <w:multiLevelType w:val="hybridMultilevel"/>
    <w:tmpl w:val="2C168D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93B3BC5"/>
    <w:multiLevelType w:val="hybridMultilevel"/>
    <w:tmpl w:val="0C8C97F6"/>
    <w:lvl w:ilvl="0" w:tplc="9B6AA532">
      <w:start w:val="4"/>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C0A1569"/>
    <w:multiLevelType w:val="multilevel"/>
    <w:tmpl w:val="2E76E29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DFA5054"/>
    <w:multiLevelType w:val="hybridMultilevel"/>
    <w:tmpl w:val="F13C288C"/>
    <w:lvl w:ilvl="0" w:tplc="19F40CD0">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E132F25"/>
    <w:multiLevelType w:val="hybridMultilevel"/>
    <w:tmpl w:val="FA1806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C763F6"/>
    <w:multiLevelType w:val="hybridMultilevel"/>
    <w:tmpl w:val="0986BF7C"/>
    <w:lvl w:ilvl="0" w:tplc="9EF6DB1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3567590"/>
    <w:multiLevelType w:val="hybridMultilevel"/>
    <w:tmpl w:val="7FFEAF26"/>
    <w:lvl w:ilvl="0" w:tplc="C66C90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63751D"/>
    <w:multiLevelType w:val="multilevel"/>
    <w:tmpl w:val="A75C2078"/>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6"/>
  </w:num>
  <w:num w:numId="2">
    <w:abstractNumId w:val="9"/>
  </w:num>
  <w:num w:numId="3">
    <w:abstractNumId w:val="27"/>
  </w:num>
  <w:num w:numId="4">
    <w:abstractNumId w:val="21"/>
  </w:num>
  <w:num w:numId="5">
    <w:abstractNumId w:val="1"/>
  </w:num>
  <w:num w:numId="6">
    <w:abstractNumId w:val="0"/>
  </w:num>
  <w:num w:numId="7">
    <w:abstractNumId w:val="42"/>
  </w:num>
  <w:num w:numId="8">
    <w:abstractNumId w:val="11"/>
  </w:num>
  <w:num w:numId="9">
    <w:abstractNumId w:val="41"/>
  </w:num>
  <w:num w:numId="10">
    <w:abstractNumId w:val="13"/>
  </w:num>
  <w:num w:numId="11">
    <w:abstractNumId w:val="17"/>
  </w:num>
  <w:num w:numId="12">
    <w:abstractNumId w:val="38"/>
  </w:num>
  <w:num w:numId="13">
    <w:abstractNumId w:val="18"/>
  </w:num>
  <w:num w:numId="14">
    <w:abstractNumId w:val="22"/>
  </w:num>
  <w:num w:numId="15">
    <w:abstractNumId w:val="10"/>
  </w:num>
  <w:num w:numId="16">
    <w:abstractNumId w:val="35"/>
  </w:num>
  <w:num w:numId="17">
    <w:abstractNumId w:val="36"/>
  </w:num>
  <w:num w:numId="18">
    <w:abstractNumId w:val="19"/>
  </w:num>
  <w:num w:numId="19">
    <w:abstractNumId w:val="23"/>
  </w:num>
  <w:num w:numId="20">
    <w:abstractNumId w:val="6"/>
  </w:num>
  <w:num w:numId="21">
    <w:abstractNumId w:val="28"/>
  </w:num>
  <w:num w:numId="22">
    <w:abstractNumId w:val="34"/>
  </w:num>
  <w:num w:numId="23">
    <w:abstractNumId w:val="12"/>
  </w:num>
  <w:num w:numId="24">
    <w:abstractNumId w:val="32"/>
  </w:num>
  <w:num w:numId="25">
    <w:abstractNumId w:val="29"/>
  </w:num>
  <w:num w:numId="26">
    <w:abstractNumId w:val="40"/>
  </w:num>
  <w:num w:numId="27">
    <w:abstractNumId w:val="8"/>
  </w:num>
  <w:num w:numId="28">
    <w:abstractNumId w:val="2"/>
  </w:num>
  <w:num w:numId="29">
    <w:abstractNumId w:val="37"/>
  </w:num>
  <w:num w:numId="30">
    <w:abstractNumId w:val="14"/>
  </w:num>
  <w:num w:numId="31">
    <w:abstractNumId w:val="3"/>
  </w:num>
  <w:num w:numId="32">
    <w:abstractNumId w:val="4"/>
  </w:num>
  <w:num w:numId="33">
    <w:abstractNumId w:val="5"/>
  </w:num>
  <w:num w:numId="34">
    <w:abstractNumId w:val="39"/>
  </w:num>
  <w:num w:numId="35">
    <w:abstractNumId w:val="7"/>
  </w:num>
  <w:num w:numId="36">
    <w:abstractNumId w:val="31"/>
  </w:num>
  <w:num w:numId="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16"/>
  </w:num>
  <w:num w:numId="40">
    <w:abstractNumId w:val="30"/>
  </w:num>
  <w:num w:numId="41">
    <w:abstractNumId w:val="15"/>
  </w:num>
  <w:num w:numId="42">
    <w:abstractNumId w:val="20"/>
  </w:num>
  <w:num w:numId="43">
    <w:abstractNumId w:val="45"/>
  </w:num>
  <w:num w:numId="44">
    <w:abstractNumId w:val="43"/>
  </w:num>
  <w:num w:numId="45">
    <w:abstractNumId w:val="33"/>
  </w:num>
  <w:num w:numId="46">
    <w:abstractNumId w:val="24"/>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CBB"/>
    <w:rsid w:val="00017EFB"/>
    <w:rsid w:val="000202FE"/>
    <w:rsid w:val="000206EC"/>
    <w:rsid w:val="00026E80"/>
    <w:rsid w:val="00030985"/>
    <w:rsid w:val="00063542"/>
    <w:rsid w:val="00070EA5"/>
    <w:rsid w:val="00081335"/>
    <w:rsid w:val="000969D5"/>
    <w:rsid w:val="000A2AED"/>
    <w:rsid w:val="000A2C6A"/>
    <w:rsid w:val="000A4152"/>
    <w:rsid w:val="000B4DE5"/>
    <w:rsid w:val="000D0F8D"/>
    <w:rsid w:val="000D292A"/>
    <w:rsid w:val="000E0F2A"/>
    <w:rsid w:val="000E5F78"/>
    <w:rsid w:val="001013DE"/>
    <w:rsid w:val="001049C3"/>
    <w:rsid w:val="00107854"/>
    <w:rsid w:val="001477D7"/>
    <w:rsid w:val="0017289E"/>
    <w:rsid w:val="00174453"/>
    <w:rsid w:val="00180E7B"/>
    <w:rsid w:val="001830B1"/>
    <w:rsid w:val="001A4B45"/>
    <w:rsid w:val="001B6962"/>
    <w:rsid w:val="001C2184"/>
    <w:rsid w:val="001C6883"/>
    <w:rsid w:val="001D5361"/>
    <w:rsid w:val="001D5DE8"/>
    <w:rsid w:val="001F42C4"/>
    <w:rsid w:val="001F6DF1"/>
    <w:rsid w:val="002007EC"/>
    <w:rsid w:val="00231EF2"/>
    <w:rsid w:val="00234E65"/>
    <w:rsid w:val="00237E6B"/>
    <w:rsid w:val="002463EE"/>
    <w:rsid w:val="00254B1E"/>
    <w:rsid w:val="00257A19"/>
    <w:rsid w:val="00277B92"/>
    <w:rsid w:val="0029759A"/>
    <w:rsid w:val="002B2B93"/>
    <w:rsid w:val="002C0428"/>
    <w:rsid w:val="002C30B0"/>
    <w:rsid w:val="00316FAE"/>
    <w:rsid w:val="00321DC4"/>
    <w:rsid w:val="00337CDD"/>
    <w:rsid w:val="00340255"/>
    <w:rsid w:val="003542C2"/>
    <w:rsid w:val="00356415"/>
    <w:rsid w:val="003626F9"/>
    <w:rsid w:val="00373706"/>
    <w:rsid w:val="00373D1A"/>
    <w:rsid w:val="00376D6B"/>
    <w:rsid w:val="0039550F"/>
    <w:rsid w:val="00395648"/>
    <w:rsid w:val="003A6AC7"/>
    <w:rsid w:val="003C43CA"/>
    <w:rsid w:val="003C5C1C"/>
    <w:rsid w:val="003C5DA8"/>
    <w:rsid w:val="003E3752"/>
    <w:rsid w:val="003F4136"/>
    <w:rsid w:val="00401239"/>
    <w:rsid w:val="0043662C"/>
    <w:rsid w:val="0043724B"/>
    <w:rsid w:val="00440C33"/>
    <w:rsid w:val="004477C4"/>
    <w:rsid w:val="00450CCF"/>
    <w:rsid w:val="00454480"/>
    <w:rsid w:val="00457CBA"/>
    <w:rsid w:val="004656E2"/>
    <w:rsid w:val="004778B3"/>
    <w:rsid w:val="00481EA2"/>
    <w:rsid w:val="0048242F"/>
    <w:rsid w:val="004837AF"/>
    <w:rsid w:val="004961FD"/>
    <w:rsid w:val="004972E6"/>
    <w:rsid w:val="004A3D9A"/>
    <w:rsid w:val="004B4DD1"/>
    <w:rsid w:val="0050433E"/>
    <w:rsid w:val="00504BD4"/>
    <w:rsid w:val="005145F5"/>
    <w:rsid w:val="005208B7"/>
    <w:rsid w:val="005258D1"/>
    <w:rsid w:val="00543F02"/>
    <w:rsid w:val="00553CB5"/>
    <w:rsid w:val="00566713"/>
    <w:rsid w:val="00572A28"/>
    <w:rsid w:val="00575E95"/>
    <w:rsid w:val="005816E4"/>
    <w:rsid w:val="00590A41"/>
    <w:rsid w:val="0059528B"/>
    <w:rsid w:val="005C0AFA"/>
    <w:rsid w:val="005C15F3"/>
    <w:rsid w:val="005C514B"/>
    <w:rsid w:val="005D30C7"/>
    <w:rsid w:val="005E4825"/>
    <w:rsid w:val="005F12DC"/>
    <w:rsid w:val="005F2D2C"/>
    <w:rsid w:val="00607ACD"/>
    <w:rsid w:val="00610B55"/>
    <w:rsid w:val="006303BE"/>
    <w:rsid w:val="0064497D"/>
    <w:rsid w:val="006557C3"/>
    <w:rsid w:val="0065765D"/>
    <w:rsid w:val="006734D2"/>
    <w:rsid w:val="006766D0"/>
    <w:rsid w:val="00681080"/>
    <w:rsid w:val="006C19C8"/>
    <w:rsid w:val="006D20DC"/>
    <w:rsid w:val="006E39E1"/>
    <w:rsid w:val="006F01A2"/>
    <w:rsid w:val="00707770"/>
    <w:rsid w:val="007150E8"/>
    <w:rsid w:val="00721260"/>
    <w:rsid w:val="00743CBB"/>
    <w:rsid w:val="00745F8E"/>
    <w:rsid w:val="00751C7F"/>
    <w:rsid w:val="00757851"/>
    <w:rsid w:val="00775657"/>
    <w:rsid w:val="00785217"/>
    <w:rsid w:val="007A0A2A"/>
    <w:rsid w:val="007A1509"/>
    <w:rsid w:val="007B0268"/>
    <w:rsid w:val="007C325A"/>
    <w:rsid w:val="007C6257"/>
    <w:rsid w:val="007C6EC3"/>
    <w:rsid w:val="007D3263"/>
    <w:rsid w:val="007D64DA"/>
    <w:rsid w:val="00833775"/>
    <w:rsid w:val="008539B8"/>
    <w:rsid w:val="00857C89"/>
    <w:rsid w:val="00864E64"/>
    <w:rsid w:val="00881852"/>
    <w:rsid w:val="00882D4C"/>
    <w:rsid w:val="00886A34"/>
    <w:rsid w:val="008A2A48"/>
    <w:rsid w:val="008A6E87"/>
    <w:rsid w:val="008C6058"/>
    <w:rsid w:val="008F50BF"/>
    <w:rsid w:val="00903A41"/>
    <w:rsid w:val="0091525F"/>
    <w:rsid w:val="009379D6"/>
    <w:rsid w:val="00943D46"/>
    <w:rsid w:val="00944CEA"/>
    <w:rsid w:val="009672C8"/>
    <w:rsid w:val="009A4076"/>
    <w:rsid w:val="009B7260"/>
    <w:rsid w:val="009B74DB"/>
    <w:rsid w:val="009D562E"/>
    <w:rsid w:val="009E2FEA"/>
    <w:rsid w:val="009F6738"/>
    <w:rsid w:val="00A013B6"/>
    <w:rsid w:val="00A07949"/>
    <w:rsid w:val="00A220DB"/>
    <w:rsid w:val="00A30E09"/>
    <w:rsid w:val="00A31F81"/>
    <w:rsid w:val="00A44898"/>
    <w:rsid w:val="00A467C2"/>
    <w:rsid w:val="00A54197"/>
    <w:rsid w:val="00A623D4"/>
    <w:rsid w:val="00A633FA"/>
    <w:rsid w:val="00A721D0"/>
    <w:rsid w:val="00A80C02"/>
    <w:rsid w:val="00A853D3"/>
    <w:rsid w:val="00A90F3C"/>
    <w:rsid w:val="00A96BFB"/>
    <w:rsid w:val="00AB7F87"/>
    <w:rsid w:val="00AC03B2"/>
    <w:rsid w:val="00AF6830"/>
    <w:rsid w:val="00AF6A2B"/>
    <w:rsid w:val="00B10975"/>
    <w:rsid w:val="00B13E66"/>
    <w:rsid w:val="00B240E4"/>
    <w:rsid w:val="00B367ED"/>
    <w:rsid w:val="00B41751"/>
    <w:rsid w:val="00B5062F"/>
    <w:rsid w:val="00B752A3"/>
    <w:rsid w:val="00B7535F"/>
    <w:rsid w:val="00B81549"/>
    <w:rsid w:val="00B816FE"/>
    <w:rsid w:val="00B843CF"/>
    <w:rsid w:val="00BA78A3"/>
    <w:rsid w:val="00BB21B9"/>
    <w:rsid w:val="00BB58D7"/>
    <w:rsid w:val="00BE1346"/>
    <w:rsid w:val="00BE4C56"/>
    <w:rsid w:val="00BE5364"/>
    <w:rsid w:val="00C211A1"/>
    <w:rsid w:val="00C42CB9"/>
    <w:rsid w:val="00C451B4"/>
    <w:rsid w:val="00C46BBD"/>
    <w:rsid w:val="00C54787"/>
    <w:rsid w:val="00C6546A"/>
    <w:rsid w:val="00CA5A09"/>
    <w:rsid w:val="00CC26D4"/>
    <w:rsid w:val="00CC2A4E"/>
    <w:rsid w:val="00CC3D02"/>
    <w:rsid w:val="00CD156E"/>
    <w:rsid w:val="00CD21F3"/>
    <w:rsid w:val="00CD47A4"/>
    <w:rsid w:val="00CE1A94"/>
    <w:rsid w:val="00D51213"/>
    <w:rsid w:val="00D725AF"/>
    <w:rsid w:val="00D853E5"/>
    <w:rsid w:val="00D86EA6"/>
    <w:rsid w:val="00DB0E1B"/>
    <w:rsid w:val="00DB40E8"/>
    <w:rsid w:val="00DC16EF"/>
    <w:rsid w:val="00DC3126"/>
    <w:rsid w:val="00DC5083"/>
    <w:rsid w:val="00DC5159"/>
    <w:rsid w:val="00DD4A80"/>
    <w:rsid w:val="00DD4CB2"/>
    <w:rsid w:val="00DE1C16"/>
    <w:rsid w:val="00DF4588"/>
    <w:rsid w:val="00E15234"/>
    <w:rsid w:val="00E23A59"/>
    <w:rsid w:val="00E32E46"/>
    <w:rsid w:val="00E33E15"/>
    <w:rsid w:val="00E462B0"/>
    <w:rsid w:val="00E64C0B"/>
    <w:rsid w:val="00E65416"/>
    <w:rsid w:val="00E751AE"/>
    <w:rsid w:val="00E755E6"/>
    <w:rsid w:val="00E76051"/>
    <w:rsid w:val="00E95AE2"/>
    <w:rsid w:val="00EA0807"/>
    <w:rsid w:val="00EA0A23"/>
    <w:rsid w:val="00EC2CAF"/>
    <w:rsid w:val="00EC673B"/>
    <w:rsid w:val="00EF0E30"/>
    <w:rsid w:val="00EF3AA0"/>
    <w:rsid w:val="00EF416B"/>
    <w:rsid w:val="00F22787"/>
    <w:rsid w:val="00F5219E"/>
    <w:rsid w:val="00F72622"/>
    <w:rsid w:val="00F72D7B"/>
    <w:rsid w:val="00F73FB8"/>
    <w:rsid w:val="00F754E6"/>
    <w:rsid w:val="00F81D1C"/>
    <w:rsid w:val="00F94706"/>
    <w:rsid w:val="00FB4D15"/>
    <w:rsid w:val="00FB6E54"/>
    <w:rsid w:val="00FC002F"/>
    <w:rsid w:val="00FC1658"/>
    <w:rsid w:val="00FD0FED"/>
    <w:rsid w:val="00FD2D30"/>
    <w:rsid w:val="00FE602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141819-BED2-4EFD-B5ED-0E0BD9A6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080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43CBB"/>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277B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F12DC"/>
    <w:rPr>
      <w:sz w:val="16"/>
      <w:szCs w:val="16"/>
    </w:rPr>
  </w:style>
  <w:style w:type="paragraph" w:styleId="Textocomentario">
    <w:name w:val="annotation text"/>
    <w:basedOn w:val="Normal"/>
    <w:link w:val="TextocomentarioCar"/>
    <w:uiPriority w:val="99"/>
    <w:semiHidden/>
    <w:unhideWhenUsed/>
    <w:rsid w:val="005F12D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F12DC"/>
    <w:rPr>
      <w:sz w:val="20"/>
      <w:szCs w:val="20"/>
    </w:rPr>
  </w:style>
  <w:style w:type="paragraph" w:styleId="Asuntodelcomentario">
    <w:name w:val="annotation subject"/>
    <w:basedOn w:val="Textocomentario"/>
    <w:next w:val="Textocomentario"/>
    <w:link w:val="AsuntodelcomentarioCar"/>
    <w:uiPriority w:val="99"/>
    <w:semiHidden/>
    <w:unhideWhenUsed/>
    <w:rsid w:val="005F12DC"/>
    <w:rPr>
      <w:b/>
      <w:bCs/>
    </w:rPr>
  </w:style>
  <w:style w:type="character" w:customStyle="1" w:styleId="AsuntodelcomentarioCar">
    <w:name w:val="Asunto del comentario Car"/>
    <w:basedOn w:val="TextocomentarioCar"/>
    <w:link w:val="Asuntodelcomentario"/>
    <w:uiPriority w:val="99"/>
    <w:semiHidden/>
    <w:rsid w:val="005F12DC"/>
    <w:rPr>
      <w:b/>
      <w:bCs/>
      <w:sz w:val="20"/>
      <w:szCs w:val="20"/>
    </w:rPr>
  </w:style>
  <w:style w:type="paragraph" w:styleId="Textodeglobo">
    <w:name w:val="Balloon Text"/>
    <w:basedOn w:val="Normal"/>
    <w:link w:val="TextodegloboCar"/>
    <w:uiPriority w:val="99"/>
    <w:semiHidden/>
    <w:unhideWhenUsed/>
    <w:rsid w:val="005F12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12DC"/>
    <w:rPr>
      <w:rFonts w:ascii="Segoe UI" w:hAnsi="Segoe UI" w:cs="Segoe UI"/>
      <w:sz w:val="18"/>
      <w:szCs w:val="18"/>
    </w:rPr>
  </w:style>
  <w:style w:type="paragraph" w:styleId="Ttulo">
    <w:name w:val="Title"/>
    <w:basedOn w:val="Normal"/>
    <w:link w:val="TtuloCar"/>
    <w:qFormat/>
    <w:rsid w:val="001477D7"/>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rPr>
  </w:style>
  <w:style w:type="character" w:customStyle="1" w:styleId="TtuloCar">
    <w:name w:val="Título Car"/>
    <w:basedOn w:val="Fuentedeprrafopredeter"/>
    <w:link w:val="Ttulo"/>
    <w:rsid w:val="001477D7"/>
    <w:rPr>
      <w:rFonts w:ascii="Times New Roman" w:eastAsia="Times New Roman" w:hAnsi="Times New Roman" w:cs="Times New Roman"/>
      <w:b/>
      <w:bCs/>
      <w:sz w:val="20"/>
      <w:szCs w:val="24"/>
      <w:lang w:val="es-ES_tradnl"/>
    </w:rPr>
  </w:style>
  <w:style w:type="paragraph" w:styleId="Prrafodelista">
    <w:name w:val="List Paragraph"/>
    <w:aliases w:val="List Paragraph,Fotografía,Párrafo de lista1,Bullet List,FooterText,numbered,Paragraphe de liste1,lp1,Párrafo de lista4,BOLADEF,Nivel 1 OS,HOJA,Bolita,Párrafo de lista3,Párrafo de lista21,BOLA,Colorful List Accent 1,parrafo,Guión"/>
    <w:basedOn w:val="Normal"/>
    <w:link w:val="PrrafodelistaCar"/>
    <w:uiPriority w:val="34"/>
    <w:qFormat/>
    <w:rsid w:val="00401239"/>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Fotografía Car,Párrafo de lista1 Car,Bullet List Car,FooterText Car,numbered Car,Paragraphe de liste1 Car,lp1 Car,Párrafo de lista4 Car,BOLADEF Car,Nivel 1 OS Car,HOJA Car,Bolita Car,Párrafo de lista3 Car,BOLA Car"/>
    <w:basedOn w:val="Fuentedeprrafopredeter"/>
    <w:link w:val="Prrafodelista"/>
    <w:locked/>
    <w:rsid w:val="00401239"/>
    <w:rPr>
      <w:rFonts w:ascii="Times New Roman" w:eastAsia="Times New Roman" w:hAnsi="Times New Roman" w:cs="Times New Roman"/>
      <w:sz w:val="20"/>
      <w:szCs w:val="20"/>
      <w:lang w:val="es-ES" w:eastAsia="es-ES"/>
    </w:rPr>
  </w:style>
  <w:style w:type="paragraph" w:styleId="Encabezado">
    <w:name w:val="header"/>
    <w:aliases w:val="Encabezado 1"/>
    <w:basedOn w:val="Normal"/>
    <w:link w:val="EncabezadoCar"/>
    <w:unhideWhenUsed/>
    <w:rsid w:val="00FC1658"/>
    <w:pPr>
      <w:tabs>
        <w:tab w:val="center" w:pos="4419"/>
        <w:tab w:val="right" w:pos="8838"/>
      </w:tabs>
      <w:spacing w:after="0" w:line="240" w:lineRule="auto"/>
    </w:pPr>
  </w:style>
  <w:style w:type="character" w:customStyle="1" w:styleId="EncabezadoCar">
    <w:name w:val="Encabezado Car"/>
    <w:aliases w:val="Encabezado 1 Car"/>
    <w:basedOn w:val="Fuentedeprrafopredeter"/>
    <w:link w:val="Encabezado"/>
    <w:rsid w:val="00FC1658"/>
  </w:style>
  <w:style w:type="paragraph" w:styleId="Piedepgina">
    <w:name w:val="footer"/>
    <w:basedOn w:val="Normal"/>
    <w:link w:val="PiedepginaCar"/>
    <w:uiPriority w:val="99"/>
    <w:unhideWhenUsed/>
    <w:rsid w:val="00FC165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1658"/>
  </w:style>
  <w:style w:type="paragraph" w:styleId="Textosinformato">
    <w:name w:val="Plain Text"/>
    <w:basedOn w:val="Normal"/>
    <w:link w:val="TextosinformatoCar"/>
    <w:semiHidden/>
    <w:unhideWhenUsed/>
    <w:rsid w:val="00FC165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semiHidden/>
    <w:rsid w:val="00FC1658"/>
    <w:rPr>
      <w:rFonts w:ascii="Times New Roman" w:eastAsia="Times New Roman" w:hAnsi="Times New Roman" w:cs="Times New Roman"/>
      <w:sz w:val="24"/>
      <w:szCs w:val="24"/>
      <w:lang w:val="es-ES" w:eastAsia="es-ES"/>
    </w:rPr>
  </w:style>
  <w:style w:type="paragraph" w:customStyle="1" w:styleId="p9">
    <w:name w:val="p9"/>
    <w:basedOn w:val="Normal"/>
    <w:rsid w:val="00FC1658"/>
    <w:pPr>
      <w:widowControl w:val="0"/>
      <w:tabs>
        <w:tab w:val="left" w:pos="1960"/>
      </w:tabs>
      <w:spacing w:after="0" w:line="260" w:lineRule="atLeast"/>
      <w:ind w:left="576" w:hanging="1728"/>
    </w:pPr>
    <w:rPr>
      <w:rFonts w:ascii="Arial" w:eastAsia="Times New Roman" w:hAnsi="Arial" w:cs="Times New Roman"/>
      <w:sz w:val="24"/>
      <w:szCs w:val="20"/>
      <w:lang w:val="es-ES_tradnl" w:eastAsia="es-ES"/>
    </w:rPr>
  </w:style>
  <w:style w:type="character" w:customStyle="1" w:styleId="DefaultCar">
    <w:name w:val="Default Car"/>
    <w:link w:val="Default"/>
    <w:locked/>
    <w:rsid w:val="00607ACD"/>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607AC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07ACD"/>
    <w:rPr>
      <w:rFonts w:ascii="Times New Roman" w:eastAsia="Times New Roman" w:hAnsi="Times New Roman" w:cs="Times New Roman"/>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607ACD"/>
    <w:rPr>
      <w:vertAlign w:val="superscript"/>
    </w:rPr>
  </w:style>
  <w:style w:type="paragraph" w:customStyle="1" w:styleId="Fuente">
    <w:name w:val="Fuente"/>
    <w:basedOn w:val="Normal"/>
    <w:next w:val="Normal"/>
    <w:link w:val="FuenteCar"/>
    <w:uiPriority w:val="99"/>
    <w:qFormat/>
    <w:rsid w:val="00A96BFB"/>
    <w:pPr>
      <w:spacing w:after="0" w:line="240" w:lineRule="auto"/>
      <w:jc w:val="center"/>
    </w:pPr>
    <w:rPr>
      <w:rFonts w:ascii="Arial" w:eastAsia="Times New Roman" w:hAnsi="Arial" w:cs="Times New Roman"/>
      <w:sz w:val="20"/>
      <w:szCs w:val="20"/>
      <w:lang w:val="es-ES" w:eastAsia="es-ES"/>
    </w:rPr>
  </w:style>
  <w:style w:type="character" w:customStyle="1" w:styleId="FuenteCar">
    <w:name w:val="Fuente Car"/>
    <w:basedOn w:val="Fuentedeprrafopredeter"/>
    <w:link w:val="Fuente"/>
    <w:uiPriority w:val="99"/>
    <w:locked/>
    <w:rsid w:val="00A96BFB"/>
    <w:rPr>
      <w:rFonts w:ascii="Arial" w:eastAsia="Times New Roman" w:hAnsi="Arial" w:cs="Times New Roman"/>
      <w:sz w:val="20"/>
      <w:szCs w:val="20"/>
      <w:lang w:val="es-ES" w:eastAsia="es-ES"/>
    </w:rPr>
  </w:style>
  <w:style w:type="table" w:customStyle="1" w:styleId="Tabladelista4-nfasis61">
    <w:name w:val="Tabla de lista 4 - Énfasis 61"/>
    <w:basedOn w:val="Tablanormal"/>
    <w:uiPriority w:val="49"/>
    <w:rsid w:val="008539B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cuadrcula4-nfasis61">
    <w:name w:val="Tabla de cuadrícula 4 - Énfasis 61"/>
    <w:basedOn w:val="Tablanormal"/>
    <w:uiPriority w:val="49"/>
    <w:rsid w:val="008539B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m3707252791392178784m2452932349711806118gmail-p1">
    <w:name w:val="m_3707252791392178784m_2452932349711806118gmail-p1"/>
    <w:basedOn w:val="Normal"/>
    <w:rsid w:val="00180E7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3707252791392178784m2452932349711806118gmail-s1">
    <w:name w:val="m_3707252791392178784m_2452932349711806118gmail-s1"/>
    <w:basedOn w:val="Fuentedeprrafopredeter"/>
    <w:rsid w:val="00180E7B"/>
  </w:style>
  <w:style w:type="character" w:styleId="Hipervnculo">
    <w:name w:val="Hyperlink"/>
    <w:basedOn w:val="Fuentedeprrafopredeter"/>
    <w:uiPriority w:val="99"/>
    <w:semiHidden/>
    <w:unhideWhenUsed/>
    <w:rsid w:val="00180E7B"/>
    <w:rPr>
      <w:color w:val="0000FF"/>
      <w:u w:val="single"/>
    </w:rPr>
  </w:style>
  <w:style w:type="character" w:styleId="Textoennegrita">
    <w:name w:val="Strong"/>
    <w:basedOn w:val="Fuentedeprrafopredeter"/>
    <w:uiPriority w:val="22"/>
    <w:qFormat/>
    <w:rsid w:val="00180E7B"/>
    <w:rPr>
      <w:b/>
      <w:bCs/>
    </w:rPr>
  </w:style>
  <w:style w:type="paragraph" w:styleId="NormalWeb">
    <w:name w:val="Normal (Web)"/>
    <w:basedOn w:val="Normal"/>
    <w:uiPriority w:val="99"/>
    <w:semiHidden/>
    <w:unhideWhenUsed/>
    <w:rsid w:val="00CD156E"/>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946870">
      <w:bodyDiv w:val="1"/>
      <w:marLeft w:val="0"/>
      <w:marRight w:val="0"/>
      <w:marTop w:val="0"/>
      <w:marBottom w:val="0"/>
      <w:divBdr>
        <w:top w:val="none" w:sz="0" w:space="0" w:color="auto"/>
        <w:left w:val="none" w:sz="0" w:space="0" w:color="auto"/>
        <w:bottom w:val="none" w:sz="0" w:space="0" w:color="auto"/>
        <w:right w:val="none" w:sz="0" w:space="0" w:color="auto"/>
      </w:divBdr>
    </w:div>
    <w:div w:id="618336687">
      <w:bodyDiv w:val="1"/>
      <w:marLeft w:val="0"/>
      <w:marRight w:val="0"/>
      <w:marTop w:val="0"/>
      <w:marBottom w:val="0"/>
      <w:divBdr>
        <w:top w:val="none" w:sz="0" w:space="0" w:color="auto"/>
        <w:left w:val="none" w:sz="0" w:space="0" w:color="auto"/>
        <w:bottom w:val="none" w:sz="0" w:space="0" w:color="auto"/>
        <w:right w:val="none" w:sz="0" w:space="0" w:color="auto"/>
      </w:divBdr>
    </w:div>
    <w:div w:id="707146547">
      <w:bodyDiv w:val="1"/>
      <w:marLeft w:val="0"/>
      <w:marRight w:val="0"/>
      <w:marTop w:val="0"/>
      <w:marBottom w:val="0"/>
      <w:divBdr>
        <w:top w:val="none" w:sz="0" w:space="0" w:color="auto"/>
        <w:left w:val="none" w:sz="0" w:space="0" w:color="auto"/>
        <w:bottom w:val="none" w:sz="0" w:space="0" w:color="auto"/>
        <w:right w:val="none" w:sz="0" w:space="0" w:color="auto"/>
      </w:divBdr>
    </w:div>
    <w:div w:id="794059834">
      <w:bodyDiv w:val="1"/>
      <w:marLeft w:val="0"/>
      <w:marRight w:val="0"/>
      <w:marTop w:val="0"/>
      <w:marBottom w:val="0"/>
      <w:divBdr>
        <w:top w:val="none" w:sz="0" w:space="0" w:color="auto"/>
        <w:left w:val="none" w:sz="0" w:space="0" w:color="auto"/>
        <w:bottom w:val="none" w:sz="0" w:space="0" w:color="auto"/>
        <w:right w:val="none" w:sz="0" w:space="0" w:color="auto"/>
      </w:divBdr>
    </w:div>
    <w:div w:id="1078356950">
      <w:bodyDiv w:val="1"/>
      <w:marLeft w:val="0"/>
      <w:marRight w:val="0"/>
      <w:marTop w:val="0"/>
      <w:marBottom w:val="0"/>
      <w:divBdr>
        <w:top w:val="none" w:sz="0" w:space="0" w:color="auto"/>
        <w:left w:val="none" w:sz="0" w:space="0" w:color="auto"/>
        <w:bottom w:val="none" w:sz="0" w:space="0" w:color="auto"/>
        <w:right w:val="none" w:sz="0" w:space="0" w:color="auto"/>
      </w:divBdr>
    </w:div>
    <w:div w:id="1138301588">
      <w:bodyDiv w:val="1"/>
      <w:marLeft w:val="0"/>
      <w:marRight w:val="0"/>
      <w:marTop w:val="0"/>
      <w:marBottom w:val="0"/>
      <w:divBdr>
        <w:top w:val="none" w:sz="0" w:space="0" w:color="auto"/>
        <w:left w:val="none" w:sz="0" w:space="0" w:color="auto"/>
        <w:bottom w:val="none" w:sz="0" w:space="0" w:color="auto"/>
        <w:right w:val="none" w:sz="0" w:space="0" w:color="auto"/>
      </w:divBdr>
    </w:div>
    <w:div w:id="1359968408">
      <w:bodyDiv w:val="1"/>
      <w:marLeft w:val="0"/>
      <w:marRight w:val="0"/>
      <w:marTop w:val="0"/>
      <w:marBottom w:val="0"/>
      <w:divBdr>
        <w:top w:val="none" w:sz="0" w:space="0" w:color="auto"/>
        <w:left w:val="none" w:sz="0" w:space="0" w:color="auto"/>
        <w:bottom w:val="none" w:sz="0" w:space="0" w:color="auto"/>
        <w:right w:val="none" w:sz="0" w:space="0" w:color="auto"/>
      </w:divBdr>
    </w:div>
    <w:div w:id="1585871982">
      <w:bodyDiv w:val="1"/>
      <w:marLeft w:val="0"/>
      <w:marRight w:val="0"/>
      <w:marTop w:val="0"/>
      <w:marBottom w:val="0"/>
      <w:divBdr>
        <w:top w:val="none" w:sz="0" w:space="0" w:color="auto"/>
        <w:left w:val="none" w:sz="0" w:space="0" w:color="auto"/>
        <w:bottom w:val="none" w:sz="0" w:space="0" w:color="auto"/>
        <w:right w:val="none" w:sz="0" w:space="0" w:color="auto"/>
      </w:divBdr>
    </w:div>
    <w:div w:id="1594973129">
      <w:bodyDiv w:val="1"/>
      <w:marLeft w:val="0"/>
      <w:marRight w:val="0"/>
      <w:marTop w:val="0"/>
      <w:marBottom w:val="0"/>
      <w:divBdr>
        <w:top w:val="none" w:sz="0" w:space="0" w:color="auto"/>
        <w:left w:val="none" w:sz="0" w:space="0" w:color="auto"/>
        <w:bottom w:val="none" w:sz="0" w:space="0" w:color="auto"/>
        <w:right w:val="none" w:sz="0" w:space="0" w:color="auto"/>
      </w:divBdr>
    </w:div>
    <w:div w:id="1778518495">
      <w:bodyDiv w:val="1"/>
      <w:marLeft w:val="0"/>
      <w:marRight w:val="0"/>
      <w:marTop w:val="0"/>
      <w:marBottom w:val="0"/>
      <w:divBdr>
        <w:top w:val="none" w:sz="0" w:space="0" w:color="auto"/>
        <w:left w:val="none" w:sz="0" w:space="0" w:color="auto"/>
        <w:bottom w:val="none" w:sz="0" w:space="0" w:color="auto"/>
        <w:right w:val="none" w:sz="0" w:space="0" w:color="auto"/>
      </w:divBdr>
    </w:div>
    <w:div w:id="204263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charts/_rels/chart1.xml.rels><?xml version="1.0" encoding="UTF-8" standalone="yes"?>
<Relationships xmlns="http://schemas.openxmlformats.org/package/2006/relationships"><Relationship Id="rId3" Type="http://schemas.openxmlformats.org/officeDocument/2006/relationships/oleObject" Target="file:///D:\$Fabian.Sanchez\Escritorio\analisis%20del%20sector\Infraestructura\SECOP%20CONSULTORI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Fabian.Sanchez\Escritorio\CM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Fabian.Sanchez\Escritorio\analisis%20del%20sector\Infraestructura\SECOP%20CONSULTORIA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s-CO"/>
              <a:t>CMA CONSULTORIAS SECOP AEROCIVIL 2017</a:t>
            </a:r>
          </a:p>
        </c:rich>
      </c:tx>
      <c:layout>
        <c:manualLayout>
          <c:xMode val="edge"/>
          <c:yMode val="edge"/>
          <c:x val="0.25834662386946861"/>
          <c:y val="2.7777777777777776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percentStacked"/>
        <c:varyColors val="0"/>
        <c:ser>
          <c:idx val="1"/>
          <c:order val="1"/>
          <c:tx>
            <c:strRef>
              <c:f>'Interventorias Vrs. Consultoria'!$B$4</c:f>
              <c:strCache>
                <c:ptCount val="1"/>
                <c:pt idx="0">
                  <c:v>INTERVENTORIA TÉCNICA Y ADMINISTRATIVA EN OBRAS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'Interventorias Vrs. Consultoria'!$C$2:$D$2</c:f>
              <c:strCache>
                <c:ptCount val="2"/>
                <c:pt idx="0">
                  <c:v>Numero de Contratos</c:v>
                </c:pt>
                <c:pt idx="1">
                  <c:v> Cuantia de los contratos </c:v>
                </c:pt>
              </c:strCache>
            </c:strRef>
          </c:cat>
          <c:val>
            <c:numRef>
              <c:f>'Interventorias Vrs. Consultoria'!$C$4:$D$4</c:f>
              <c:numCache>
                <c:formatCode>"$"#,##0.00_);[Red]\("$"#,##0.00\)</c:formatCode>
                <c:ptCount val="2"/>
                <c:pt idx="0" formatCode="General">
                  <c:v>18</c:v>
                </c:pt>
                <c:pt idx="1">
                  <c:v>24400318126</c:v>
                </c:pt>
              </c:numCache>
            </c:numRef>
          </c:val>
          <c:extLst>
            <c:ext xmlns:c16="http://schemas.microsoft.com/office/drawing/2014/chart" uri="{C3380CC4-5D6E-409C-BE32-E72D297353CC}">
              <c16:uniqueId val="{00000000-2D9D-4FC9-84DD-4F5E6AFD9040}"/>
            </c:ext>
          </c:extLst>
        </c:ser>
        <c:ser>
          <c:idx val="2"/>
          <c:order val="2"/>
          <c:tx>
            <c:strRef>
              <c:f>'Interventorias Vrs. Consultoria'!$B$5</c:f>
              <c:strCache>
                <c:ptCount val="1"/>
                <c:pt idx="0">
                  <c:v>CONSULTORIA DE ESTUDIOS Y DISEÑOS </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'Interventorias Vrs. Consultoria'!$C$2:$D$2</c:f>
              <c:strCache>
                <c:ptCount val="2"/>
                <c:pt idx="0">
                  <c:v>Numero de Contratos</c:v>
                </c:pt>
                <c:pt idx="1">
                  <c:v> Cuantia de los contratos </c:v>
                </c:pt>
              </c:strCache>
            </c:strRef>
          </c:cat>
          <c:val>
            <c:numRef>
              <c:f>'Interventorias Vrs. Consultoria'!$C$5:$D$5</c:f>
              <c:numCache>
                <c:formatCode>"$"#,##0.00_);[Red]\("$"#,##0.00\)</c:formatCode>
                <c:ptCount val="2"/>
                <c:pt idx="0" formatCode="General">
                  <c:v>4</c:v>
                </c:pt>
                <c:pt idx="1">
                  <c:v>29065264797</c:v>
                </c:pt>
              </c:numCache>
            </c:numRef>
          </c:val>
          <c:extLst>
            <c:ext xmlns:c16="http://schemas.microsoft.com/office/drawing/2014/chart" uri="{C3380CC4-5D6E-409C-BE32-E72D297353CC}">
              <c16:uniqueId val="{00000001-2D9D-4FC9-84DD-4F5E6AFD9040}"/>
            </c:ext>
          </c:extLst>
        </c:ser>
        <c:dLbls>
          <c:dLblPos val="ctr"/>
          <c:showLegendKey val="0"/>
          <c:showVal val="1"/>
          <c:showCatName val="0"/>
          <c:showSerName val="0"/>
          <c:showPercent val="0"/>
          <c:showBubbleSize val="0"/>
        </c:dLbls>
        <c:gapWidth val="150"/>
        <c:overlap val="100"/>
        <c:axId val="1793277456"/>
        <c:axId val="1793271472"/>
        <c:extLst>
          <c:ext xmlns:c15="http://schemas.microsoft.com/office/drawing/2012/chart" uri="{02D57815-91ED-43cb-92C2-25804820EDAC}">
            <c15:filteredBarSeries>
              <c15:ser>
                <c:idx val="0"/>
                <c:order val="0"/>
                <c:tx>
                  <c:strRef>
                    <c:extLst>
                      <c:ext uri="{02D57815-91ED-43cb-92C2-25804820EDAC}">
                        <c15:formulaRef>
                          <c15:sqref>'Interventorias Vrs. Consultoria'!$B$3</c15:sqref>
                        </c15:formulaRef>
                      </c:ext>
                    </c:extLst>
                    <c:strCache>
                      <c:ptCount val="1"/>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'Interventorias Vrs. Consultoria'!$C$2:$D$2</c15:sqref>
                        </c15:formulaRef>
                      </c:ext>
                    </c:extLst>
                    <c:strCache>
                      <c:ptCount val="2"/>
                      <c:pt idx="0">
                        <c:v>Numero de Contratos</c:v>
                      </c:pt>
                      <c:pt idx="1">
                        <c:v> Cuantia de los contratos </c:v>
                      </c:pt>
                    </c:strCache>
                  </c:strRef>
                </c:cat>
                <c:val>
                  <c:numRef>
                    <c:extLst>
                      <c:ext uri="{02D57815-91ED-43cb-92C2-25804820EDAC}">
                        <c15:formulaRef>
                          <c15:sqref>'Interventorias Vrs. Consultoria'!$C$3:$D$3</c15:sqref>
                        </c15:formulaRef>
                      </c:ext>
                    </c:extLst>
                    <c:numCache>
                      <c:formatCode>General</c:formatCode>
                      <c:ptCount val="2"/>
                    </c:numCache>
                  </c:numRef>
                </c:val>
                <c:extLst>
                  <c:ext xmlns:c16="http://schemas.microsoft.com/office/drawing/2014/chart" uri="{C3380CC4-5D6E-409C-BE32-E72D297353CC}">
                    <c16:uniqueId val="{00000002-2D9D-4FC9-84DD-4F5E6AFD9040}"/>
                  </c:ext>
                </c:extLst>
              </c15:ser>
            </c15:filteredBarSeries>
          </c:ext>
        </c:extLst>
      </c:barChart>
      <c:catAx>
        <c:axId val="179327745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93271472"/>
        <c:crosses val="autoZero"/>
        <c:auto val="1"/>
        <c:lblAlgn val="ctr"/>
        <c:lblOffset val="100"/>
        <c:noMultiLvlLbl val="0"/>
      </c:catAx>
      <c:valAx>
        <c:axId val="179327147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93277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28575" cap="flat" cmpd="sng" algn="ctr">
      <a:solidFill>
        <a:schemeClr val="tx1"/>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sz="1400" b="0" i="0" u="none" strike="noStrike" baseline="0">
                <a:effectLst/>
              </a:rPr>
              <a:t>CLASE DE OFERENTES POR PROCESO </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bar"/>
        <c:grouping val="clustered"/>
        <c:varyColors val="0"/>
        <c:ser>
          <c:idx val="0"/>
          <c:order val="0"/>
          <c:tx>
            <c:strRef>
              <c:f>Hoja1!$L$3:$L$5</c:f>
              <c:strCache>
                <c:ptCount val="3"/>
                <c:pt idx="0">
                  <c:v>Unión Temporal</c:v>
                </c:pt>
              </c:strCache>
            </c:strRef>
          </c:tx>
          <c:spPr>
            <a:solidFill>
              <a:schemeClr val="accent2"/>
            </a:solidFill>
            <a:ln>
              <a:noFill/>
            </a:ln>
            <a:effectLst/>
          </c:spPr>
          <c:invertIfNegative val="0"/>
          <c:cat>
            <c:strRef>
              <c:f>Hoja1!$C$6:$C$29</c:f>
              <c:strCache>
                <c:ptCount val="22"/>
                <c:pt idx="0">
                  <c:v>17001690 H3</c:v>
                </c:pt>
                <c:pt idx="1">
                  <c:v>17001679 H4</c:v>
                </c:pt>
                <c:pt idx="2">
                  <c:v>17001691 H3</c:v>
                </c:pt>
                <c:pt idx="3">
                  <c:v>17001532 H3</c:v>
                </c:pt>
                <c:pt idx="4">
                  <c:v>17001409 H3</c:v>
                </c:pt>
                <c:pt idx="5">
                  <c:v>17001455 H3</c:v>
                </c:pt>
                <c:pt idx="6">
                  <c:v>17001291 H3</c:v>
                </c:pt>
                <c:pt idx="7">
                  <c:v>17001270 H3</c:v>
                </c:pt>
                <c:pt idx="8">
                  <c:v>17001254 H3</c:v>
                </c:pt>
                <c:pt idx="9">
                  <c:v>17001290 H3</c:v>
                </c:pt>
                <c:pt idx="10">
                  <c:v>17001272 H3</c:v>
                </c:pt>
                <c:pt idx="11">
                  <c:v>17001319 H3</c:v>
                </c:pt>
                <c:pt idx="12">
                  <c:v>17001244 H3</c:v>
                </c:pt>
                <c:pt idx="13">
                  <c:v>17001159 H3</c:v>
                </c:pt>
                <c:pt idx="14">
                  <c:v>17001315 H3</c:v>
                </c:pt>
                <c:pt idx="15">
                  <c:v>17001160 H3</c:v>
                </c:pt>
                <c:pt idx="16">
                  <c:v>17001182 H3</c:v>
                </c:pt>
                <c:pt idx="17">
                  <c:v>17001196 H3</c:v>
                </c:pt>
                <c:pt idx="18">
                  <c:v>17001010 H3</c:v>
                </c:pt>
                <c:pt idx="19">
                  <c:v>17001036 H3</c:v>
                </c:pt>
                <c:pt idx="20">
                  <c:v>17000995 H3</c:v>
                </c:pt>
                <c:pt idx="21">
                  <c:v>17000801 H3</c:v>
                </c:pt>
              </c:strCache>
            </c:strRef>
          </c:cat>
          <c:val>
            <c:numRef>
              <c:f>Hoja1!$L$6:$L$29</c:f>
              <c:numCache>
                <c:formatCode>General</c:formatCode>
                <c:ptCount val="22"/>
                <c:pt idx="11">
                  <c:v>1</c:v>
                </c:pt>
              </c:numCache>
            </c:numRef>
          </c:val>
          <c:extLst>
            <c:ext xmlns:c16="http://schemas.microsoft.com/office/drawing/2014/chart" uri="{C3380CC4-5D6E-409C-BE32-E72D297353CC}">
              <c16:uniqueId val="{00000000-5BDD-40A9-B6FA-5B8CFF655C2C}"/>
            </c:ext>
          </c:extLst>
        </c:ser>
        <c:ser>
          <c:idx val="1"/>
          <c:order val="1"/>
          <c:tx>
            <c:strRef>
              <c:f>Hoja1!$M$3:$M$5</c:f>
              <c:strCache>
                <c:ptCount val="3"/>
                <c:pt idx="0">
                  <c:v>Consorcio</c:v>
                </c:pt>
              </c:strCache>
            </c:strRef>
          </c:tx>
          <c:spPr>
            <a:solidFill>
              <a:schemeClr val="accent4"/>
            </a:solidFill>
            <a:ln>
              <a:noFill/>
            </a:ln>
            <a:effectLst/>
          </c:spPr>
          <c:invertIfNegative val="0"/>
          <c:cat>
            <c:strRef>
              <c:f>Hoja1!$C$6:$C$29</c:f>
              <c:strCache>
                <c:ptCount val="22"/>
                <c:pt idx="0">
                  <c:v>17001690 H3</c:v>
                </c:pt>
                <c:pt idx="1">
                  <c:v>17001679 H4</c:v>
                </c:pt>
                <c:pt idx="2">
                  <c:v>17001691 H3</c:v>
                </c:pt>
                <c:pt idx="3">
                  <c:v>17001532 H3</c:v>
                </c:pt>
                <c:pt idx="4">
                  <c:v>17001409 H3</c:v>
                </c:pt>
                <c:pt idx="5">
                  <c:v>17001455 H3</c:v>
                </c:pt>
                <c:pt idx="6">
                  <c:v>17001291 H3</c:v>
                </c:pt>
                <c:pt idx="7">
                  <c:v>17001270 H3</c:v>
                </c:pt>
                <c:pt idx="8">
                  <c:v>17001254 H3</c:v>
                </c:pt>
                <c:pt idx="9">
                  <c:v>17001290 H3</c:v>
                </c:pt>
                <c:pt idx="10">
                  <c:v>17001272 H3</c:v>
                </c:pt>
                <c:pt idx="11">
                  <c:v>17001319 H3</c:v>
                </c:pt>
                <c:pt idx="12">
                  <c:v>17001244 H3</c:v>
                </c:pt>
                <c:pt idx="13">
                  <c:v>17001159 H3</c:v>
                </c:pt>
                <c:pt idx="14">
                  <c:v>17001315 H3</c:v>
                </c:pt>
                <c:pt idx="15">
                  <c:v>17001160 H3</c:v>
                </c:pt>
                <c:pt idx="16">
                  <c:v>17001182 H3</c:v>
                </c:pt>
                <c:pt idx="17">
                  <c:v>17001196 H3</c:v>
                </c:pt>
                <c:pt idx="18">
                  <c:v>17001010 H3</c:v>
                </c:pt>
                <c:pt idx="19">
                  <c:v>17001036 H3</c:v>
                </c:pt>
                <c:pt idx="20">
                  <c:v>17000995 H3</c:v>
                </c:pt>
                <c:pt idx="21">
                  <c:v>17000801 H3</c:v>
                </c:pt>
              </c:strCache>
            </c:strRef>
          </c:cat>
          <c:val>
            <c:numRef>
              <c:f>Hoja1!$M$6:$M$29</c:f>
              <c:numCache>
                <c:formatCode>General</c:formatCode>
                <c:ptCount val="22"/>
                <c:pt idx="0">
                  <c:v>10</c:v>
                </c:pt>
                <c:pt idx="1">
                  <c:v>9</c:v>
                </c:pt>
                <c:pt idx="2">
                  <c:v>11</c:v>
                </c:pt>
                <c:pt idx="3">
                  <c:v>2</c:v>
                </c:pt>
                <c:pt idx="4">
                  <c:v>2</c:v>
                </c:pt>
                <c:pt idx="5">
                  <c:v>1</c:v>
                </c:pt>
                <c:pt idx="6">
                  <c:v>5</c:v>
                </c:pt>
                <c:pt idx="7">
                  <c:v>13</c:v>
                </c:pt>
                <c:pt idx="8">
                  <c:v>6</c:v>
                </c:pt>
                <c:pt idx="9">
                  <c:v>12</c:v>
                </c:pt>
                <c:pt idx="10">
                  <c:v>13</c:v>
                </c:pt>
                <c:pt idx="11">
                  <c:v>2</c:v>
                </c:pt>
                <c:pt idx="12">
                  <c:v>9</c:v>
                </c:pt>
                <c:pt idx="13">
                  <c:v>9</c:v>
                </c:pt>
                <c:pt idx="14">
                  <c:v>6</c:v>
                </c:pt>
                <c:pt idx="15">
                  <c:v>13</c:v>
                </c:pt>
                <c:pt idx="16">
                  <c:v>8</c:v>
                </c:pt>
                <c:pt idx="17">
                  <c:v>11</c:v>
                </c:pt>
                <c:pt idx="18">
                  <c:v>8</c:v>
                </c:pt>
                <c:pt idx="19">
                  <c:v>13</c:v>
                </c:pt>
                <c:pt idx="20">
                  <c:v>8</c:v>
                </c:pt>
                <c:pt idx="21">
                  <c:v>1</c:v>
                </c:pt>
              </c:numCache>
            </c:numRef>
          </c:val>
          <c:extLst>
            <c:ext xmlns:c16="http://schemas.microsoft.com/office/drawing/2014/chart" uri="{C3380CC4-5D6E-409C-BE32-E72D297353CC}">
              <c16:uniqueId val="{00000001-5BDD-40A9-B6FA-5B8CFF655C2C}"/>
            </c:ext>
          </c:extLst>
        </c:ser>
        <c:ser>
          <c:idx val="2"/>
          <c:order val="2"/>
          <c:tx>
            <c:strRef>
              <c:f>Hoja1!$N$3:$N$5</c:f>
              <c:strCache>
                <c:ptCount val="3"/>
                <c:pt idx="0">
                  <c:v>En Nombre Propia</c:v>
                </c:pt>
              </c:strCache>
            </c:strRef>
          </c:tx>
          <c:spPr>
            <a:solidFill>
              <a:schemeClr val="accent6"/>
            </a:solidFill>
            <a:ln>
              <a:noFill/>
            </a:ln>
            <a:effectLst/>
          </c:spPr>
          <c:invertIfNegative val="0"/>
          <c:cat>
            <c:strRef>
              <c:f>Hoja1!$C$6:$C$29</c:f>
              <c:strCache>
                <c:ptCount val="22"/>
                <c:pt idx="0">
                  <c:v>17001690 H3</c:v>
                </c:pt>
                <c:pt idx="1">
                  <c:v>17001679 H4</c:v>
                </c:pt>
                <c:pt idx="2">
                  <c:v>17001691 H3</c:v>
                </c:pt>
                <c:pt idx="3">
                  <c:v>17001532 H3</c:v>
                </c:pt>
                <c:pt idx="4">
                  <c:v>17001409 H3</c:v>
                </c:pt>
                <c:pt idx="5">
                  <c:v>17001455 H3</c:v>
                </c:pt>
                <c:pt idx="6">
                  <c:v>17001291 H3</c:v>
                </c:pt>
                <c:pt idx="7">
                  <c:v>17001270 H3</c:v>
                </c:pt>
                <c:pt idx="8">
                  <c:v>17001254 H3</c:v>
                </c:pt>
                <c:pt idx="9">
                  <c:v>17001290 H3</c:v>
                </c:pt>
                <c:pt idx="10">
                  <c:v>17001272 H3</c:v>
                </c:pt>
                <c:pt idx="11">
                  <c:v>17001319 H3</c:v>
                </c:pt>
                <c:pt idx="12">
                  <c:v>17001244 H3</c:v>
                </c:pt>
                <c:pt idx="13">
                  <c:v>17001159 H3</c:v>
                </c:pt>
                <c:pt idx="14">
                  <c:v>17001315 H3</c:v>
                </c:pt>
                <c:pt idx="15">
                  <c:v>17001160 H3</c:v>
                </c:pt>
                <c:pt idx="16">
                  <c:v>17001182 H3</c:v>
                </c:pt>
                <c:pt idx="17">
                  <c:v>17001196 H3</c:v>
                </c:pt>
                <c:pt idx="18">
                  <c:v>17001010 H3</c:v>
                </c:pt>
                <c:pt idx="19">
                  <c:v>17001036 H3</c:v>
                </c:pt>
                <c:pt idx="20">
                  <c:v>17000995 H3</c:v>
                </c:pt>
                <c:pt idx="21">
                  <c:v>17000801 H3</c:v>
                </c:pt>
              </c:strCache>
            </c:strRef>
          </c:cat>
          <c:val>
            <c:numRef>
              <c:f>Hoja1!$N$6:$N$29</c:f>
              <c:numCache>
                <c:formatCode>General</c:formatCode>
                <c:ptCount val="22"/>
                <c:pt idx="0">
                  <c:v>1</c:v>
                </c:pt>
                <c:pt idx="1">
                  <c:v>2</c:v>
                </c:pt>
                <c:pt idx="3">
                  <c:v>1</c:v>
                </c:pt>
                <c:pt idx="4">
                  <c:v>4</c:v>
                </c:pt>
                <c:pt idx="5">
                  <c:v>2</c:v>
                </c:pt>
                <c:pt idx="6">
                  <c:v>4</c:v>
                </c:pt>
                <c:pt idx="7">
                  <c:v>6</c:v>
                </c:pt>
                <c:pt idx="8">
                  <c:v>2</c:v>
                </c:pt>
                <c:pt idx="9">
                  <c:v>5</c:v>
                </c:pt>
                <c:pt idx="10">
                  <c:v>5</c:v>
                </c:pt>
                <c:pt idx="11">
                  <c:v>5</c:v>
                </c:pt>
                <c:pt idx="12">
                  <c:v>7</c:v>
                </c:pt>
                <c:pt idx="13">
                  <c:v>7</c:v>
                </c:pt>
                <c:pt idx="14">
                  <c:v>3</c:v>
                </c:pt>
                <c:pt idx="15">
                  <c:v>3</c:v>
                </c:pt>
                <c:pt idx="16">
                  <c:v>8</c:v>
                </c:pt>
                <c:pt idx="17">
                  <c:v>2</c:v>
                </c:pt>
                <c:pt idx="18">
                  <c:v>1</c:v>
                </c:pt>
                <c:pt idx="19">
                  <c:v>4</c:v>
                </c:pt>
                <c:pt idx="21">
                  <c:v>3</c:v>
                </c:pt>
              </c:numCache>
            </c:numRef>
          </c:val>
          <c:extLst>
            <c:ext xmlns:c16="http://schemas.microsoft.com/office/drawing/2014/chart" uri="{C3380CC4-5D6E-409C-BE32-E72D297353CC}">
              <c16:uniqueId val="{00000002-5BDD-40A9-B6FA-5B8CFF655C2C}"/>
            </c:ext>
          </c:extLst>
        </c:ser>
        <c:dLbls>
          <c:showLegendKey val="0"/>
          <c:showVal val="0"/>
          <c:showCatName val="0"/>
          <c:showSerName val="0"/>
          <c:showPercent val="0"/>
          <c:showBubbleSize val="0"/>
        </c:dLbls>
        <c:gapWidth val="182"/>
        <c:axId val="1793278544"/>
        <c:axId val="1793285616"/>
      </c:barChart>
      <c:catAx>
        <c:axId val="1793278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93285616"/>
        <c:crosses val="autoZero"/>
        <c:auto val="1"/>
        <c:lblAlgn val="ctr"/>
        <c:lblOffset val="100"/>
        <c:noMultiLvlLbl val="0"/>
      </c:catAx>
      <c:valAx>
        <c:axId val="17932856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793278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s-CO" sz="1800" b="1" i="0" baseline="0">
                <a:effectLst/>
              </a:rPr>
              <a:t>ADJUDICACIÓN DE CMA  </a:t>
            </a:r>
            <a:endParaRPr lang="es-CO">
              <a:effectLst/>
            </a:endParaRPr>
          </a:p>
        </c:rich>
      </c:tx>
      <c:layout>
        <c:manualLayout>
          <c:xMode val="edge"/>
          <c:yMode val="edge"/>
          <c:x val="0.24856749430595054"/>
          <c:y val="0"/>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0"/>
          <c:order val="0"/>
          <c:tx>
            <c:strRef>
              <c:f>'Adjudicación del CMA'!$I$4</c:f>
              <c:strCache>
                <c:ptCount val="1"/>
                <c:pt idx="0">
                  <c:v>No. De Procesos Adjudicados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elete val="1"/>
          </c:dLbls>
          <c:cat>
            <c:strRef>
              <c:f>'Adjudicación del CMA'!$H$5:$H$7</c:f>
              <c:strCache>
                <c:ptCount val="3"/>
                <c:pt idx="0">
                  <c:v>Unión Temporal</c:v>
                </c:pt>
                <c:pt idx="1">
                  <c:v>A Nombre Propia</c:v>
                </c:pt>
                <c:pt idx="2">
                  <c:v>Consorcio</c:v>
                </c:pt>
              </c:strCache>
            </c:strRef>
          </c:cat>
          <c:val>
            <c:numRef>
              <c:f>'Adjudicación del CMA'!$I$5:$I$7</c:f>
              <c:numCache>
                <c:formatCode>General</c:formatCode>
                <c:ptCount val="3"/>
                <c:pt idx="0">
                  <c:v>0</c:v>
                </c:pt>
                <c:pt idx="1">
                  <c:v>3</c:v>
                </c:pt>
                <c:pt idx="2">
                  <c:v>19</c:v>
                </c:pt>
              </c:numCache>
            </c:numRef>
          </c:val>
          <c:extLst>
            <c:ext xmlns:c16="http://schemas.microsoft.com/office/drawing/2014/chart" uri="{C3380CC4-5D6E-409C-BE32-E72D297353CC}">
              <c16:uniqueId val="{00000000-A511-49FC-8E78-0D3CA5332F91}"/>
            </c:ext>
          </c:extLst>
        </c:ser>
        <c:dLbls>
          <c:showLegendKey val="0"/>
          <c:showVal val="1"/>
          <c:showCatName val="0"/>
          <c:showSerName val="0"/>
          <c:showPercent val="0"/>
          <c:showBubbleSize val="0"/>
        </c:dLbls>
        <c:gapWidth val="219"/>
        <c:overlap val="-27"/>
        <c:axId val="1793278000"/>
        <c:axId val="1793280176"/>
      </c:barChart>
      <c:lineChart>
        <c:grouping val="standard"/>
        <c:varyColors val="0"/>
        <c:ser>
          <c:idx val="1"/>
          <c:order val="1"/>
          <c:tx>
            <c:strRef>
              <c:f>'Adjudicación del CMA'!$J$4</c:f>
              <c:strCache>
                <c:ptCount val="1"/>
                <c:pt idx="0">
                  <c:v>% Valor del CMA </c:v>
                </c:pt>
              </c:strCache>
            </c:strRef>
          </c:tx>
          <c:spPr>
            <a:ln w="34925" cap="rnd">
              <a:solidFill>
                <a:schemeClr val="accent2"/>
              </a:solidFill>
              <a:round/>
            </a:ln>
            <a:effectLst>
              <a:outerShdw blurRad="40000" dist="23000" dir="5400000" rotWithShape="0">
                <a:srgbClr val="000000">
                  <a:alpha val="35000"/>
                </a:srgbClr>
              </a:outerShdw>
            </a:effectLst>
          </c:spPr>
          <c:marker>
            <c:symbol val="none"/>
          </c:marker>
          <c:dLbls>
            <c:dLbl>
              <c:idx val="0"/>
              <c:layout>
                <c:manualLayout>
                  <c:x val="-5.0000000000000024E-2"/>
                  <c:y val="-6.94444444444445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511-49FC-8E78-0D3CA5332F91}"/>
                </c:ext>
              </c:extLst>
            </c:dLbl>
            <c:dLbl>
              <c:idx val="1"/>
              <c:layout>
                <c:manualLayout>
                  <c:x val="-9.166666666666666E-2"/>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511-49FC-8E78-0D3CA5332F91}"/>
                </c:ext>
              </c:extLst>
            </c:dLbl>
            <c:dLbl>
              <c:idx val="2"/>
              <c:layout>
                <c:manualLayout>
                  <c:x val="-9.4444444444444442E-2"/>
                  <c:y val="-6.0185185185185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511-49FC-8E78-0D3CA5332F9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'Adjudicación del CMA'!$H$5:$H$7</c:f>
              <c:strCache>
                <c:ptCount val="3"/>
                <c:pt idx="0">
                  <c:v>Unión Temporal</c:v>
                </c:pt>
                <c:pt idx="1">
                  <c:v>A Nombre Propia</c:v>
                </c:pt>
                <c:pt idx="2">
                  <c:v>Consorcio</c:v>
                </c:pt>
              </c:strCache>
            </c:strRef>
          </c:cat>
          <c:val>
            <c:numRef>
              <c:f>'Adjudicación del CMA'!$J$5:$J$7</c:f>
              <c:numCache>
                <c:formatCode>0.00%</c:formatCode>
                <c:ptCount val="3"/>
                <c:pt idx="0">
                  <c:v>0</c:v>
                </c:pt>
                <c:pt idx="1">
                  <c:v>0.57677124937385205</c:v>
                </c:pt>
                <c:pt idx="2">
                  <c:v>0.4232287506261479</c:v>
                </c:pt>
              </c:numCache>
            </c:numRef>
          </c:val>
          <c:smooth val="0"/>
          <c:extLst>
            <c:ext xmlns:c16="http://schemas.microsoft.com/office/drawing/2014/chart" uri="{C3380CC4-5D6E-409C-BE32-E72D297353CC}">
              <c16:uniqueId val="{00000004-A511-49FC-8E78-0D3CA5332F91}"/>
            </c:ext>
          </c:extLst>
        </c:ser>
        <c:dLbls>
          <c:showLegendKey val="0"/>
          <c:showVal val="1"/>
          <c:showCatName val="0"/>
          <c:showSerName val="0"/>
          <c:showPercent val="0"/>
          <c:showBubbleSize val="0"/>
        </c:dLbls>
        <c:marker val="1"/>
        <c:smooth val="0"/>
        <c:axId val="1793282352"/>
        <c:axId val="1793281808"/>
      </c:lineChart>
      <c:catAx>
        <c:axId val="1793278000"/>
        <c:scaling>
          <c:orientation val="minMax"/>
        </c:scaling>
        <c:delete val="0"/>
        <c:axPos val="b"/>
        <c:title>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793280176"/>
        <c:crosses val="autoZero"/>
        <c:auto val="1"/>
        <c:lblAlgn val="ctr"/>
        <c:lblOffset val="100"/>
        <c:noMultiLvlLbl val="0"/>
      </c:catAx>
      <c:valAx>
        <c:axId val="17932801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s-CO"/>
                  <a:t>No. De Procesos Adjudicados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793278000"/>
        <c:crosses val="autoZero"/>
        <c:crossBetween val="between"/>
      </c:valAx>
      <c:valAx>
        <c:axId val="1793281808"/>
        <c:scaling>
          <c:orientation val="minMax"/>
        </c:scaling>
        <c:delete val="0"/>
        <c:axPos val="r"/>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s-CO"/>
                  <a:t>% Valor del CMA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1793282352"/>
        <c:crosses val="max"/>
        <c:crossBetween val="between"/>
        <c:majorUnit val="0.2"/>
      </c:valAx>
      <c:catAx>
        <c:axId val="1793282352"/>
        <c:scaling>
          <c:orientation val="minMax"/>
        </c:scaling>
        <c:delete val="1"/>
        <c:axPos val="b"/>
        <c:numFmt formatCode="General" sourceLinked="1"/>
        <c:majorTickMark val="none"/>
        <c:minorTickMark val="none"/>
        <c:tickLblPos val="nextTo"/>
        <c:crossAx val="17932818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CB8A3-9130-4CED-9B02-CBF5D9A30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5231</Words>
  <Characters>28775</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Lina Marcela Davila Estrada</cp:lastModifiedBy>
  <cp:revision>2</cp:revision>
  <cp:lastPrinted>2018-08-28T20:46:00Z</cp:lastPrinted>
  <dcterms:created xsi:type="dcterms:W3CDTF">2018-11-27T01:43:00Z</dcterms:created>
  <dcterms:modified xsi:type="dcterms:W3CDTF">2018-11-27T01:43:00Z</dcterms:modified>
</cp:coreProperties>
</file>