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27B" w:rsidRPr="00552615" w:rsidRDefault="0048627B" w:rsidP="0048627B">
      <w:pPr>
        <w:spacing w:line="259" w:lineRule="auto"/>
        <w:jc w:val="center"/>
        <w:rPr>
          <w:rFonts w:ascii="Arial" w:eastAsia="Calibri" w:hAnsi="Arial" w:cs="Arial"/>
          <w:b/>
          <w:lang w:eastAsia="en-US"/>
        </w:rPr>
      </w:pPr>
      <w:r w:rsidRPr="00552615">
        <w:rPr>
          <w:rFonts w:ascii="Arial" w:eastAsia="Calibri" w:hAnsi="Arial" w:cs="Arial"/>
          <w:b/>
          <w:lang w:eastAsia="en-US"/>
        </w:rPr>
        <w:t>ESTUDIO DE SECTOR</w:t>
      </w:r>
    </w:p>
    <w:p w:rsidR="0048627B" w:rsidRPr="00552615" w:rsidRDefault="0048627B" w:rsidP="0048627B">
      <w:pPr>
        <w:spacing w:line="259" w:lineRule="auto"/>
        <w:jc w:val="center"/>
        <w:rPr>
          <w:rFonts w:ascii="Arial" w:eastAsia="Calibri" w:hAnsi="Arial" w:cs="Arial"/>
          <w:b/>
          <w:lang w:eastAsia="en-US"/>
        </w:rPr>
      </w:pPr>
      <w:r w:rsidRPr="00552615">
        <w:rPr>
          <w:rFonts w:ascii="Arial" w:eastAsia="Calibri" w:hAnsi="Arial" w:cs="Arial"/>
          <w:b/>
          <w:lang w:eastAsia="en-US"/>
        </w:rPr>
        <w:t>ANÁLISIS LEGAL, COMERCIAL Y CONOCIMIENTO DE LOS POSIBLES OFERENTES</w:t>
      </w:r>
    </w:p>
    <w:p w:rsidR="0048627B" w:rsidRPr="00552615" w:rsidRDefault="0048627B" w:rsidP="0048627B">
      <w:pPr>
        <w:spacing w:line="259" w:lineRule="auto"/>
        <w:jc w:val="both"/>
        <w:rPr>
          <w:rFonts w:ascii="Arial" w:eastAsia="Calibri" w:hAnsi="Arial" w:cs="Arial"/>
          <w:lang w:eastAsia="en-US"/>
        </w:rPr>
      </w:pPr>
    </w:p>
    <w:p w:rsidR="0048627B" w:rsidRPr="00552615" w:rsidRDefault="0048627B" w:rsidP="0048627B">
      <w:pPr>
        <w:spacing w:line="259" w:lineRule="auto"/>
        <w:jc w:val="both"/>
        <w:rPr>
          <w:rFonts w:ascii="Arial" w:eastAsia="Calibri" w:hAnsi="Arial" w:cs="Arial"/>
          <w:lang w:eastAsia="en-US"/>
        </w:rPr>
      </w:pPr>
      <w:r w:rsidRPr="00552615">
        <w:rPr>
          <w:rFonts w:ascii="Arial" w:eastAsia="Calibri" w:hAnsi="Arial" w:cs="Arial"/>
          <w:lang w:eastAsia="en-US"/>
        </w:rPr>
        <w:t xml:space="preserve">El presente estudio de sector se realiza dando cumplimiento al artículo 2.2.1.1.1.6.1 del Decreto 1082 de 2015 y el Manual de Colombia Compra Eficiente titulado “Guía para la Elaboración de Estudios del Sector” </w:t>
      </w:r>
      <w:r w:rsidRPr="00552615">
        <w:rPr>
          <w:rFonts w:ascii="Arial" w:hAnsi="Arial" w:cs="Arial"/>
          <w:color w:val="333333"/>
          <w:shd w:val="clear" w:color="auto" w:fill="FFFFFF"/>
        </w:rPr>
        <w:t xml:space="preserve">Deber de análisis de las Entidades Estatales. </w:t>
      </w:r>
      <w:r w:rsidRPr="00552615">
        <w:rPr>
          <w:rFonts w:ascii="Arial" w:eastAsia="Calibri" w:hAnsi="Arial" w:cs="Arial"/>
          <w:lang w:eastAsia="en-US"/>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rsidR="0048627B" w:rsidRPr="00552615" w:rsidRDefault="0048627B" w:rsidP="0048627B">
      <w:pPr>
        <w:spacing w:before="252"/>
        <w:jc w:val="both"/>
        <w:rPr>
          <w:rFonts w:ascii="Arial" w:hAnsi="Arial" w:cs="Arial"/>
          <w:color w:val="000000"/>
          <w:spacing w:val="-5"/>
          <w:lang w:val="es-ES"/>
        </w:rPr>
      </w:pPr>
      <w:r w:rsidRPr="00552615">
        <w:rPr>
          <w:rFonts w:ascii="Arial" w:hAnsi="Arial" w:cs="Arial"/>
          <w:color w:val="000000"/>
          <w:spacing w:val="-5"/>
          <w:lang w:val="es-ES"/>
        </w:rPr>
        <w:t xml:space="preserve">El objeto a contratar por parte de la Alcaldía Local de Barrios Unidos se enmarca dentro del sector de la </w:t>
      </w:r>
      <w:r w:rsidRPr="00552615">
        <w:rPr>
          <w:rFonts w:ascii="Arial" w:hAnsi="Arial" w:cs="Arial"/>
          <w:color w:val="000000"/>
          <w:spacing w:val="-1"/>
          <w:lang w:val="es-ES"/>
        </w:rPr>
        <w:t xml:space="preserve">construcción, subsector de obras civiles, este concepto incluye puentes, túneles, carreteras, líneas de </w:t>
      </w:r>
      <w:r w:rsidRPr="00552615">
        <w:rPr>
          <w:rFonts w:ascii="Arial" w:hAnsi="Arial" w:cs="Arial"/>
          <w:color w:val="000000"/>
          <w:spacing w:val="-4"/>
          <w:lang w:val="es-ES"/>
        </w:rPr>
        <w:t xml:space="preserve">ferrocarril, aeropuertos, puertos, sistemas de riego, redes de acueducto, alcantarillado, gas, electricidad, telecomunicaciones, centrales hidroeléctricas, oleoductos, viaductos acueductos, parques e instalaciones </w:t>
      </w:r>
      <w:r w:rsidRPr="00552615">
        <w:rPr>
          <w:rFonts w:ascii="Arial" w:hAnsi="Arial" w:cs="Arial"/>
          <w:color w:val="000000"/>
          <w:lang w:val="es-ES"/>
        </w:rPr>
        <w:t>deportivas; incluyendo además todas las actividades relacionadas con el mantenimiento, reparación, mejoramiento y adecuación de las mismas.</w:t>
      </w:r>
    </w:p>
    <w:p w:rsidR="0048627B" w:rsidRPr="00552615" w:rsidRDefault="0048627B" w:rsidP="0048627B">
      <w:pPr>
        <w:spacing w:line="259" w:lineRule="auto"/>
        <w:jc w:val="both"/>
        <w:rPr>
          <w:rFonts w:ascii="Arial" w:eastAsia="Calibri" w:hAnsi="Arial" w:cs="Arial"/>
          <w:lang w:eastAsia="en-US"/>
        </w:rPr>
      </w:pPr>
    </w:p>
    <w:p w:rsidR="0048627B" w:rsidRPr="00552615" w:rsidRDefault="0048627B" w:rsidP="0048627B">
      <w:pPr>
        <w:spacing w:line="259" w:lineRule="auto"/>
        <w:jc w:val="both"/>
        <w:rPr>
          <w:rFonts w:ascii="Arial" w:eastAsia="Calibri" w:hAnsi="Arial" w:cs="Arial"/>
          <w:lang w:eastAsia="en-US"/>
        </w:rPr>
      </w:pPr>
      <w:r w:rsidRPr="00552615">
        <w:rPr>
          <w:rFonts w:ascii="Arial" w:eastAsia="Calibri" w:hAnsi="Arial" w:cs="Arial"/>
          <w:b/>
          <w:lang w:eastAsia="en-US"/>
        </w:rPr>
        <w:t>I.</w:t>
      </w:r>
      <w:r w:rsidRPr="00552615">
        <w:rPr>
          <w:rFonts w:ascii="Arial" w:eastAsia="Calibri" w:hAnsi="Arial" w:cs="Arial"/>
          <w:b/>
          <w:lang w:eastAsia="en-US"/>
        </w:rPr>
        <w:tab/>
        <w:t>OBJETIVO DEL ESTUDIO DEL SECTOR.</w:t>
      </w:r>
      <w:r w:rsidRPr="00552615">
        <w:rPr>
          <w:rFonts w:ascii="Arial" w:eastAsia="Calibri" w:hAnsi="Arial" w:cs="Arial"/>
          <w:lang w:eastAsia="en-US"/>
        </w:rPr>
        <w:t xml:space="preserve"> Identificar y analizar proveedores, productos y precios requeridos para establecer comparación y asignación de valores a bienes y/o servicios relativos al objeto del proceso de contratación desde la perspectiva legal, comercial, financiera, organizacional, técnica y de análisis de riesgo.</w:t>
      </w:r>
    </w:p>
    <w:p w:rsidR="0048627B" w:rsidRPr="00552615" w:rsidRDefault="0048627B" w:rsidP="0048627B">
      <w:pPr>
        <w:spacing w:line="259" w:lineRule="auto"/>
        <w:jc w:val="both"/>
        <w:rPr>
          <w:rFonts w:ascii="Arial" w:eastAsia="Calibri" w:hAnsi="Arial" w:cs="Arial"/>
          <w:lang w:eastAsia="en-US"/>
        </w:rPr>
      </w:pPr>
    </w:p>
    <w:p w:rsidR="0048627B" w:rsidRPr="00552615" w:rsidRDefault="0048627B" w:rsidP="0048627B">
      <w:pPr>
        <w:spacing w:line="259" w:lineRule="auto"/>
        <w:jc w:val="both"/>
        <w:rPr>
          <w:rFonts w:ascii="Arial" w:eastAsia="Calibri" w:hAnsi="Arial" w:cs="Arial"/>
          <w:lang w:eastAsia="en-US"/>
        </w:rPr>
      </w:pPr>
      <w:r w:rsidRPr="00552615">
        <w:rPr>
          <w:rFonts w:ascii="Arial" w:eastAsia="Calibri" w:hAnsi="Arial" w:cs="Arial"/>
          <w:b/>
          <w:lang w:eastAsia="en-US"/>
        </w:rPr>
        <w:t>II.</w:t>
      </w:r>
      <w:r w:rsidRPr="00552615">
        <w:rPr>
          <w:rFonts w:ascii="Arial" w:eastAsia="Calibri" w:hAnsi="Arial" w:cs="Arial"/>
          <w:b/>
          <w:lang w:eastAsia="en-US"/>
        </w:rPr>
        <w:tab/>
        <w:t>ALCANCE.</w:t>
      </w:r>
      <w:r w:rsidRPr="00552615">
        <w:rPr>
          <w:rFonts w:ascii="Arial" w:eastAsia="Calibri" w:hAnsi="Arial" w:cs="Arial"/>
          <w:lang w:eastAsia="en-US"/>
        </w:rPr>
        <w:t xml:space="preserve"> Seleccionar y comparar económicamente bienes y servicios que satisfagan las necesidades objeto de contratación, y permitir establecer el contexto financiero, económico y competitivo dentro de los procesos contractuales.</w:t>
      </w:r>
    </w:p>
    <w:p w:rsidR="0048627B" w:rsidRPr="00552615" w:rsidRDefault="0048627B" w:rsidP="0048627B">
      <w:pPr>
        <w:spacing w:line="259" w:lineRule="auto"/>
        <w:jc w:val="both"/>
        <w:rPr>
          <w:rFonts w:ascii="Arial" w:eastAsia="Calibri" w:hAnsi="Arial" w:cs="Arial"/>
          <w:lang w:eastAsia="en-US"/>
        </w:rPr>
      </w:pPr>
    </w:p>
    <w:p w:rsidR="0048627B" w:rsidRPr="00552615" w:rsidRDefault="0048627B" w:rsidP="0048627B">
      <w:pPr>
        <w:spacing w:line="259" w:lineRule="auto"/>
        <w:jc w:val="both"/>
        <w:rPr>
          <w:rFonts w:ascii="Arial" w:eastAsia="Calibri" w:hAnsi="Arial" w:cs="Arial"/>
          <w:lang w:eastAsia="en-US"/>
        </w:rPr>
      </w:pPr>
      <w:r w:rsidRPr="00552615">
        <w:rPr>
          <w:rFonts w:ascii="Arial" w:eastAsia="Calibri" w:hAnsi="Arial" w:cs="Arial"/>
          <w:b/>
          <w:lang w:eastAsia="en-US"/>
        </w:rPr>
        <w:t>III.</w:t>
      </w:r>
      <w:r w:rsidRPr="00552615">
        <w:rPr>
          <w:rFonts w:ascii="Arial" w:eastAsia="Calibri" w:hAnsi="Arial" w:cs="Arial"/>
          <w:b/>
          <w:lang w:eastAsia="en-US"/>
        </w:rPr>
        <w:tab/>
        <w:t>ESTRUCTURA DEL ANÁLISIS DEL SECTOR.</w:t>
      </w:r>
      <w:r w:rsidRPr="00552615">
        <w:rPr>
          <w:rFonts w:ascii="Arial" w:eastAsia="Calibri" w:hAnsi="Arial" w:cs="Arial"/>
          <w:lang w:eastAsia="en-US"/>
        </w:rPr>
        <w:t xml:space="preserve"> El presente análisis se realiza con base en los datos reportados y las estadísticas más recientes del sector Construcción.</w:t>
      </w:r>
    </w:p>
    <w:p w:rsidR="0048627B" w:rsidRPr="00552615" w:rsidRDefault="0048627B" w:rsidP="0048627B">
      <w:pPr>
        <w:spacing w:line="259" w:lineRule="auto"/>
        <w:jc w:val="both"/>
        <w:rPr>
          <w:rFonts w:ascii="Arial" w:eastAsia="Calibri" w:hAnsi="Arial" w:cs="Arial"/>
          <w:lang w:eastAsia="en-US"/>
        </w:rPr>
      </w:pPr>
    </w:p>
    <w:p w:rsidR="0048627B" w:rsidRPr="00552615" w:rsidRDefault="0048627B" w:rsidP="0048627B">
      <w:pPr>
        <w:pStyle w:val="Prrafodelista"/>
        <w:numPr>
          <w:ilvl w:val="0"/>
          <w:numId w:val="23"/>
        </w:numPr>
        <w:suppressAutoHyphens/>
        <w:spacing w:after="160" w:line="288" w:lineRule="auto"/>
        <w:contextualSpacing/>
        <w:jc w:val="both"/>
        <w:rPr>
          <w:rFonts w:ascii="Arial" w:eastAsia="Calibri" w:hAnsi="Arial" w:cs="Arial"/>
          <w:b/>
          <w:sz w:val="24"/>
          <w:szCs w:val="24"/>
          <w:lang w:eastAsia="en-US"/>
        </w:rPr>
      </w:pPr>
      <w:r w:rsidRPr="00552615">
        <w:rPr>
          <w:rFonts w:ascii="Arial" w:eastAsia="Calibri" w:hAnsi="Arial" w:cs="Arial"/>
          <w:b/>
          <w:sz w:val="24"/>
          <w:szCs w:val="24"/>
          <w:lang w:val="es-CO" w:eastAsia="en-US"/>
        </w:rPr>
        <w:t xml:space="preserve">ASPECTOS GENERALES </w:t>
      </w:r>
    </w:p>
    <w:p w:rsidR="0048627B" w:rsidRPr="00552615" w:rsidRDefault="0048627B" w:rsidP="0048627B">
      <w:pPr>
        <w:pStyle w:val="Prrafodelista"/>
        <w:ind w:left="360"/>
        <w:jc w:val="both"/>
        <w:rPr>
          <w:rFonts w:ascii="Arial" w:hAnsi="Arial" w:cs="Arial"/>
          <w:sz w:val="24"/>
          <w:szCs w:val="24"/>
        </w:rPr>
      </w:pPr>
      <w:r w:rsidRPr="00552615">
        <w:rPr>
          <w:rFonts w:ascii="Arial" w:hAnsi="Arial" w:cs="Arial"/>
          <w:sz w:val="24"/>
          <w:szCs w:val="24"/>
        </w:rPr>
        <w:t>1. Contexto económico</w:t>
      </w:r>
    </w:p>
    <w:p w:rsidR="0048627B" w:rsidRPr="00552615" w:rsidRDefault="0048627B" w:rsidP="0048627B">
      <w:pPr>
        <w:pStyle w:val="Prrafodelista"/>
        <w:ind w:left="360"/>
        <w:jc w:val="both"/>
        <w:rPr>
          <w:rFonts w:ascii="Arial" w:hAnsi="Arial" w:cs="Arial"/>
          <w:sz w:val="24"/>
          <w:szCs w:val="24"/>
        </w:rPr>
      </w:pPr>
      <w:r w:rsidRPr="00552615">
        <w:rPr>
          <w:rFonts w:ascii="Arial" w:hAnsi="Arial" w:cs="Arial"/>
          <w:sz w:val="24"/>
          <w:szCs w:val="24"/>
        </w:rPr>
        <w:t>2. Contexto Técnico</w:t>
      </w:r>
    </w:p>
    <w:p w:rsidR="0048627B" w:rsidRPr="00552615" w:rsidRDefault="0048627B" w:rsidP="0048627B">
      <w:pPr>
        <w:pStyle w:val="Prrafodelista"/>
        <w:ind w:left="360"/>
        <w:jc w:val="both"/>
        <w:rPr>
          <w:rFonts w:ascii="Arial" w:hAnsi="Arial" w:cs="Arial"/>
          <w:sz w:val="24"/>
          <w:szCs w:val="24"/>
        </w:rPr>
      </w:pPr>
      <w:r w:rsidRPr="00552615">
        <w:rPr>
          <w:rFonts w:ascii="Arial" w:hAnsi="Arial" w:cs="Arial"/>
          <w:sz w:val="24"/>
          <w:szCs w:val="24"/>
        </w:rPr>
        <w:t>3. Contexto Regulatorio</w:t>
      </w:r>
    </w:p>
    <w:p w:rsidR="0048627B" w:rsidRPr="00552615" w:rsidRDefault="0048627B" w:rsidP="0048627B">
      <w:pPr>
        <w:pStyle w:val="Prrafodelista"/>
        <w:ind w:left="360"/>
        <w:jc w:val="both"/>
        <w:rPr>
          <w:rFonts w:ascii="Arial" w:hAnsi="Arial" w:cs="Arial"/>
          <w:sz w:val="24"/>
          <w:szCs w:val="24"/>
        </w:rPr>
      </w:pPr>
    </w:p>
    <w:p w:rsidR="0048627B" w:rsidRPr="00552615" w:rsidRDefault="0048627B" w:rsidP="0048627B">
      <w:pPr>
        <w:pStyle w:val="Prrafodelista"/>
        <w:numPr>
          <w:ilvl w:val="0"/>
          <w:numId w:val="23"/>
        </w:numPr>
        <w:suppressAutoHyphens/>
        <w:spacing w:after="160" w:line="288" w:lineRule="auto"/>
        <w:contextualSpacing/>
        <w:jc w:val="both"/>
        <w:rPr>
          <w:rFonts w:ascii="Arial" w:eastAsia="Calibri" w:hAnsi="Arial" w:cs="Arial"/>
          <w:b/>
          <w:sz w:val="24"/>
          <w:szCs w:val="24"/>
          <w:lang w:eastAsia="en-US"/>
        </w:rPr>
      </w:pPr>
      <w:r w:rsidRPr="00552615">
        <w:rPr>
          <w:rFonts w:ascii="Arial" w:eastAsia="Calibri" w:hAnsi="Arial" w:cs="Arial"/>
          <w:b/>
          <w:sz w:val="24"/>
          <w:szCs w:val="24"/>
          <w:lang w:eastAsia="en-US"/>
        </w:rPr>
        <w:lastRenderedPageBreak/>
        <w:t>ESTUDIO DE LA DEMANDA</w:t>
      </w:r>
    </w:p>
    <w:p w:rsidR="0048627B" w:rsidRPr="00552615" w:rsidRDefault="0048627B" w:rsidP="0048627B">
      <w:pPr>
        <w:widowControl/>
        <w:numPr>
          <w:ilvl w:val="0"/>
          <w:numId w:val="23"/>
        </w:numPr>
        <w:autoSpaceDN/>
        <w:spacing w:after="160" w:line="288" w:lineRule="auto"/>
        <w:contextualSpacing/>
        <w:jc w:val="both"/>
        <w:textAlignment w:val="auto"/>
        <w:rPr>
          <w:rFonts w:ascii="Arial" w:eastAsia="Calibri" w:hAnsi="Arial" w:cs="Arial"/>
          <w:b/>
          <w:lang w:eastAsia="en-US"/>
        </w:rPr>
      </w:pPr>
      <w:r w:rsidRPr="00552615">
        <w:rPr>
          <w:rFonts w:ascii="Arial" w:eastAsia="Calibri" w:hAnsi="Arial" w:cs="Arial"/>
          <w:b/>
          <w:lang w:eastAsia="en-US"/>
        </w:rPr>
        <w:t>ESTUDIO DE LA OFERTA</w:t>
      </w:r>
    </w:p>
    <w:p w:rsidR="0048627B" w:rsidRPr="00552615" w:rsidRDefault="0048627B" w:rsidP="0048627B">
      <w:pPr>
        <w:pStyle w:val="Prrafodelista"/>
        <w:numPr>
          <w:ilvl w:val="0"/>
          <w:numId w:val="24"/>
        </w:numPr>
        <w:suppressAutoHyphens/>
        <w:spacing w:after="160" w:line="288" w:lineRule="auto"/>
        <w:contextualSpacing/>
        <w:jc w:val="both"/>
        <w:rPr>
          <w:rFonts w:ascii="Arial" w:eastAsia="Calibri" w:hAnsi="Arial" w:cs="Arial"/>
          <w:b/>
          <w:sz w:val="24"/>
          <w:szCs w:val="24"/>
          <w:lang w:eastAsia="en-US"/>
        </w:rPr>
      </w:pPr>
      <w:r w:rsidRPr="00552615">
        <w:rPr>
          <w:rFonts w:ascii="Arial" w:eastAsia="Calibri" w:hAnsi="Arial" w:cs="Arial"/>
          <w:b/>
          <w:sz w:val="24"/>
          <w:szCs w:val="24"/>
          <w:lang w:val="es-CO" w:eastAsia="en-US"/>
        </w:rPr>
        <w:t>ASPECTOS GENERALES</w:t>
      </w:r>
    </w:p>
    <w:p w:rsidR="0048627B" w:rsidRPr="00552615" w:rsidRDefault="0048627B" w:rsidP="0048627B">
      <w:pPr>
        <w:pStyle w:val="Prrafodelista"/>
        <w:suppressAutoHyphens/>
        <w:spacing w:after="160" w:line="288" w:lineRule="auto"/>
        <w:ind w:left="1080"/>
        <w:contextualSpacing/>
        <w:jc w:val="both"/>
        <w:rPr>
          <w:rFonts w:ascii="Arial" w:eastAsia="Calibri" w:hAnsi="Arial" w:cs="Arial"/>
          <w:b/>
          <w:sz w:val="24"/>
          <w:szCs w:val="24"/>
          <w:lang w:eastAsia="en-US"/>
        </w:rPr>
      </w:pPr>
    </w:p>
    <w:p w:rsidR="0048627B" w:rsidRPr="00552615" w:rsidRDefault="0048627B" w:rsidP="0048627B">
      <w:pPr>
        <w:spacing w:after="160" w:line="259" w:lineRule="auto"/>
        <w:jc w:val="both"/>
        <w:rPr>
          <w:rFonts w:ascii="Arial" w:hAnsi="Arial" w:cs="Arial"/>
          <w:color w:val="000000"/>
          <w:lang w:val="es-ES"/>
        </w:rPr>
      </w:pPr>
      <w:r w:rsidRPr="00552615">
        <w:rPr>
          <w:rFonts w:ascii="Arial" w:hAnsi="Arial" w:cs="Arial"/>
          <w:color w:val="000000"/>
          <w:spacing w:val="-1"/>
          <w:lang w:val="es-ES"/>
        </w:rPr>
        <w:t xml:space="preserve">Es relevante revisar la economía a nivel nacional y regional tomando como fuente las estadísticas y bases </w:t>
      </w:r>
      <w:r w:rsidRPr="00552615">
        <w:rPr>
          <w:rFonts w:ascii="Arial" w:hAnsi="Arial" w:cs="Arial"/>
          <w:color w:val="000000"/>
          <w:spacing w:val="2"/>
          <w:lang w:val="es-ES"/>
        </w:rPr>
        <w:t xml:space="preserve">de datos de entidades confiables existentes tales como el DANE, SIREM, CAMACOL, Banco de la </w:t>
      </w:r>
      <w:r w:rsidRPr="00552615">
        <w:rPr>
          <w:rFonts w:ascii="Arial" w:hAnsi="Arial" w:cs="Arial"/>
          <w:color w:val="000000"/>
          <w:lang w:val="es-ES"/>
        </w:rPr>
        <w:t xml:space="preserve">República, entre otras, que permitan identificar y conocer el estado actual del sector de la construcción, </w:t>
      </w:r>
      <w:r w:rsidRPr="00552615">
        <w:rPr>
          <w:rFonts w:ascii="Arial" w:eastAsia="Calibri" w:hAnsi="Arial" w:cs="Arial"/>
          <w:lang w:eastAsia="en-US"/>
        </w:rPr>
        <w:t>teniendo en cuenta que, el Fondo de Desarrollo Local de Barrios Unidos tiene dentro de sus objetivos lograr que la administración local sea reconocida como modelo en la prestación de servicios eficientes, eficaces y transparentes; y, recuperar el reconocimiento de la comunidad como una administración cercana al ciudadano, a través de  la gestión para la construcción y dotación de una sede propia que satisfaga las necesidades de infraestructura.</w:t>
      </w:r>
    </w:p>
    <w:p w:rsidR="0048627B" w:rsidRPr="00552615" w:rsidRDefault="0048627B" w:rsidP="0048627B">
      <w:pPr>
        <w:spacing w:line="259" w:lineRule="auto"/>
        <w:jc w:val="both"/>
        <w:rPr>
          <w:rFonts w:ascii="Arial" w:eastAsia="Calibri" w:hAnsi="Arial" w:cs="Arial"/>
          <w:lang w:eastAsia="en-US"/>
        </w:rPr>
      </w:pPr>
      <w:r w:rsidRPr="00552615">
        <w:rPr>
          <w:rFonts w:ascii="Arial" w:eastAsia="Calibri" w:hAnsi="Arial" w:cs="Arial"/>
          <w:b/>
          <w:u w:val="single"/>
          <w:lang w:eastAsia="en-US"/>
        </w:rPr>
        <w:t xml:space="preserve">Identificación del Servicio a Contratar y Analizar. </w:t>
      </w:r>
      <w:r w:rsidRPr="00552615">
        <w:rPr>
          <w:rFonts w:ascii="Arial" w:eastAsia="Calibri" w:hAnsi="Arial" w:cs="Arial"/>
          <w:lang w:eastAsia="en-US"/>
        </w:rPr>
        <w:t>El Fondo de Desarrollo Local de Barrios Unidos requiere contratar el servicio para</w:t>
      </w:r>
      <w:r w:rsidRPr="00552615">
        <w:rPr>
          <w:rFonts w:ascii="Arial" w:eastAsia="Calibri" w:hAnsi="Arial" w:cs="Arial"/>
          <w:b/>
          <w:lang w:eastAsia="en-US"/>
        </w:rPr>
        <w:t xml:space="preserve"> </w:t>
      </w:r>
      <w:r w:rsidRPr="00552615">
        <w:rPr>
          <w:rFonts w:ascii="Arial" w:eastAsia="Calibri" w:hAnsi="Arial" w:cs="Arial"/>
          <w:lang w:eastAsia="en-US"/>
        </w:rPr>
        <w:t>realizar las obras de adecuación civiles,  con el suministro e instalación de mobiliario, redes eléctricas, redes de comunicación y equipamiento para las sedes y/o edificaciones de su propiedad o tenencia, con el fin de prestar un mejor servicio a la comunidad y garantizar a los funcionarios un lugar de trabajo digno y en óptimas condiciones, en el marco de lo propuesto en Plan de Desarrollo Local, servicio que se encuentra clasificado en el clasificador de Bienes y Servicios de Colombia Compra Eficiente, así:</w:t>
      </w:r>
    </w:p>
    <w:p w:rsidR="0048627B" w:rsidRPr="00552615" w:rsidRDefault="0048627B" w:rsidP="0048627B">
      <w:pPr>
        <w:spacing w:line="259" w:lineRule="auto"/>
        <w:jc w:val="both"/>
        <w:rPr>
          <w:rFonts w:ascii="Arial" w:eastAsia="Calibri" w:hAnsi="Arial" w:cs="Arial"/>
          <w:lang w:eastAsia="en-US"/>
        </w:rPr>
      </w:pPr>
    </w:p>
    <w:tbl>
      <w:tblPr>
        <w:tblW w:w="5393" w:type="dxa"/>
        <w:jc w:val="center"/>
        <w:tblLayout w:type="fixed"/>
        <w:tblCellMar>
          <w:left w:w="70" w:type="dxa"/>
          <w:right w:w="70" w:type="dxa"/>
        </w:tblCellMar>
        <w:tblLook w:val="04A0" w:firstRow="1" w:lastRow="0" w:firstColumn="1" w:lastColumn="0" w:noHBand="0" w:noVBand="1"/>
      </w:tblPr>
      <w:tblGrid>
        <w:gridCol w:w="2105"/>
        <w:gridCol w:w="3288"/>
      </w:tblGrid>
      <w:tr w:rsidR="0048627B" w:rsidRPr="00552615" w:rsidTr="0038761A">
        <w:trPr>
          <w:trHeight w:val="600"/>
          <w:jc w:val="center"/>
        </w:trPr>
        <w:tc>
          <w:tcPr>
            <w:tcW w:w="2105" w:type="dxa"/>
            <w:tcBorders>
              <w:top w:val="single" w:sz="8" w:space="0" w:color="auto"/>
              <w:left w:val="single" w:sz="8" w:space="0" w:color="auto"/>
              <w:bottom w:val="single" w:sz="4" w:space="0" w:color="auto"/>
              <w:right w:val="single" w:sz="4" w:space="0" w:color="auto"/>
            </w:tcBorders>
            <w:shd w:val="clear" w:color="000000" w:fill="D9D9D9"/>
            <w:vAlign w:val="bottom"/>
            <w:hideMark/>
          </w:tcPr>
          <w:p w:rsidR="0048627B" w:rsidRPr="00552615" w:rsidRDefault="0048627B" w:rsidP="0038761A">
            <w:pPr>
              <w:jc w:val="center"/>
              <w:rPr>
                <w:rFonts w:ascii="Arial" w:hAnsi="Arial" w:cs="Arial"/>
                <w:color w:val="000000"/>
                <w:lang w:eastAsia="es-CO"/>
              </w:rPr>
            </w:pPr>
            <w:bookmarkStart w:id="0" w:name="_Hlk530124631"/>
            <w:r w:rsidRPr="00552615">
              <w:rPr>
                <w:rFonts w:ascii="Arial" w:hAnsi="Arial" w:cs="Arial"/>
                <w:color w:val="000000"/>
                <w:lang w:eastAsia="es-CO"/>
              </w:rPr>
              <w:t>CLASIFICACIÓN UNSPSC</w:t>
            </w:r>
          </w:p>
        </w:tc>
        <w:tc>
          <w:tcPr>
            <w:tcW w:w="3288" w:type="dxa"/>
            <w:tcBorders>
              <w:top w:val="single" w:sz="8" w:space="0" w:color="auto"/>
              <w:left w:val="nil"/>
              <w:bottom w:val="single" w:sz="4" w:space="0" w:color="auto"/>
              <w:right w:val="single" w:sz="8" w:space="0" w:color="auto"/>
            </w:tcBorders>
            <w:shd w:val="clear" w:color="000000" w:fill="D9D9D9"/>
            <w:noWrap/>
            <w:vAlign w:val="center"/>
            <w:hideMark/>
          </w:tcPr>
          <w:p w:rsidR="0048627B" w:rsidRPr="00552615" w:rsidRDefault="0048627B" w:rsidP="0038761A">
            <w:pPr>
              <w:jc w:val="center"/>
              <w:rPr>
                <w:rFonts w:ascii="Arial" w:hAnsi="Arial" w:cs="Arial"/>
                <w:color w:val="000000"/>
                <w:lang w:eastAsia="es-CO"/>
              </w:rPr>
            </w:pPr>
            <w:r w:rsidRPr="00552615">
              <w:rPr>
                <w:rFonts w:ascii="Arial" w:hAnsi="Arial" w:cs="Arial"/>
                <w:color w:val="000000"/>
                <w:lang w:eastAsia="es-CO"/>
              </w:rPr>
              <w:t>DESCRIPCIÓN</w:t>
            </w:r>
          </w:p>
        </w:tc>
      </w:tr>
      <w:tr w:rsidR="0048627B" w:rsidRPr="00552615" w:rsidTr="0038761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48627B" w:rsidRPr="00552615" w:rsidRDefault="0048627B" w:rsidP="0038761A">
            <w:pPr>
              <w:jc w:val="center"/>
              <w:rPr>
                <w:rFonts w:ascii="Arial" w:hAnsi="Arial" w:cs="Arial"/>
                <w:color w:val="000000"/>
                <w:lang w:eastAsia="es-CO"/>
              </w:rPr>
            </w:pPr>
            <w:r w:rsidRPr="00552615">
              <w:rPr>
                <w:rFonts w:ascii="Arial Narrow" w:eastAsia="Calibri" w:hAnsi="Arial Narrow"/>
                <w:lang w:eastAsia="en-US"/>
              </w:rPr>
              <w:t>721015</w:t>
            </w:r>
          </w:p>
        </w:tc>
        <w:tc>
          <w:tcPr>
            <w:tcW w:w="3288" w:type="dxa"/>
            <w:tcBorders>
              <w:top w:val="nil"/>
              <w:left w:val="nil"/>
              <w:bottom w:val="single" w:sz="4" w:space="0" w:color="auto"/>
              <w:right w:val="single" w:sz="8" w:space="0" w:color="auto"/>
            </w:tcBorders>
            <w:shd w:val="clear" w:color="auto" w:fill="auto"/>
            <w:vAlign w:val="bottom"/>
            <w:hideMark/>
          </w:tcPr>
          <w:p w:rsidR="0048627B" w:rsidRPr="00552615" w:rsidRDefault="0048627B" w:rsidP="0038761A">
            <w:pPr>
              <w:rPr>
                <w:rFonts w:ascii="Arial" w:hAnsi="Arial" w:cs="Arial"/>
                <w:color w:val="000000"/>
                <w:lang w:eastAsia="es-CO"/>
              </w:rPr>
            </w:pPr>
            <w:r w:rsidRPr="00552615">
              <w:rPr>
                <w:rFonts w:ascii="Arial Narrow" w:eastAsia="Calibri" w:hAnsi="Arial Narrow"/>
                <w:lang w:eastAsia="en-US"/>
              </w:rPr>
              <w:t>Servicios de apoyo a la construcción</w:t>
            </w:r>
          </w:p>
        </w:tc>
      </w:tr>
      <w:tr w:rsidR="0048627B" w:rsidRPr="00552615" w:rsidTr="0038761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48627B" w:rsidRPr="00552615" w:rsidRDefault="0048627B" w:rsidP="0038761A">
            <w:pPr>
              <w:jc w:val="center"/>
              <w:rPr>
                <w:rFonts w:ascii="Arial" w:hAnsi="Arial" w:cs="Arial"/>
                <w:color w:val="000000"/>
                <w:lang w:eastAsia="es-CO"/>
              </w:rPr>
            </w:pPr>
            <w:r w:rsidRPr="00552615">
              <w:rPr>
                <w:rFonts w:ascii="Arial Narrow" w:eastAsia="Calibri" w:hAnsi="Arial Narrow"/>
                <w:lang w:eastAsia="en-US"/>
              </w:rPr>
              <w:t>721029</w:t>
            </w:r>
          </w:p>
        </w:tc>
        <w:tc>
          <w:tcPr>
            <w:tcW w:w="3288" w:type="dxa"/>
            <w:tcBorders>
              <w:top w:val="nil"/>
              <w:left w:val="nil"/>
              <w:bottom w:val="single" w:sz="4" w:space="0" w:color="auto"/>
              <w:right w:val="single" w:sz="8" w:space="0" w:color="auto"/>
            </w:tcBorders>
            <w:shd w:val="clear" w:color="auto" w:fill="auto"/>
            <w:vAlign w:val="bottom"/>
            <w:hideMark/>
          </w:tcPr>
          <w:p w:rsidR="0048627B" w:rsidRPr="00552615" w:rsidRDefault="0048627B" w:rsidP="0038761A">
            <w:pPr>
              <w:rPr>
                <w:rFonts w:ascii="Arial" w:hAnsi="Arial" w:cs="Arial"/>
                <w:color w:val="000000"/>
                <w:lang w:eastAsia="es-CO"/>
              </w:rPr>
            </w:pPr>
            <w:r w:rsidRPr="00552615">
              <w:rPr>
                <w:rFonts w:ascii="Arial Narrow" w:eastAsia="Calibri" w:hAnsi="Arial Narrow"/>
                <w:lang w:eastAsia="en-US"/>
              </w:rPr>
              <w:t xml:space="preserve">Servicios de mantenimiento y reparación de infraestructura  </w:t>
            </w:r>
          </w:p>
        </w:tc>
      </w:tr>
      <w:tr w:rsidR="0048627B" w:rsidRPr="00552615" w:rsidTr="0038761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48627B" w:rsidRPr="00552615" w:rsidRDefault="0048627B" w:rsidP="0038761A">
            <w:pPr>
              <w:jc w:val="center"/>
              <w:rPr>
                <w:rFonts w:ascii="Arial" w:hAnsi="Arial" w:cs="Arial"/>
                <w:color w:val="000000"/>
                <w:lang w:eastAsia="es-CO"/>
              </w:rPr>
            </w:pPr>
            <w:r w:rsidRPr="00552615">
              <w:rPr>
                <w:rFonts w:ascii="Arial Narrow" w:eastAsia="Calibri" w:hAnsi="Arial Narrow"/>
                <w:lang w:eastAsia="en-US"/>
              </w:rPr>
              <w:t>721211</w:t>
            </w:r>
          </w:p>
        </w:tc>
        <w:tc>
          <w:tcPr>
            <w:tcW w:w="3288" w:type="dxa"/>
            <w:tcBorders>
              <w:top w:val="nil"/>
              <w:left w:val="nil"/>
              <w:bottom w:val="single" w:sz="4" w:space="0" w:color="auto"/>
              <w:right w:val="single" w:sz="8" w:space="0" w:color="auto"/>
            </w:tcBorders>
            <w:shd w:val="clear" w:color="auto" w:fill="auto"/>
            <w:vAlign w:val="bottom"/>
            <w:hideMark/>
          </w:tcPr>
          <w:p w:rsidR="0048627B" w:rsidRPr="00552615" w:rsidRDefault="0048627B" w:rsidP="0038761A">
            <w:pPr>
              <w:rPr>
                <w:rFonts w:ascii="Arial" w:hAnsi="Arial" w:cs="Arial"/>
                <w:color w:val="000000"/>
                <w:lang w:eastAsia="es-CO"/>
              </w:rPr>
            </w:pPr>
            <w:r w:rsidRPr="00552615">
              <w:rPr>
                <w:rFonts w:ascii="Arial Narrow" w:eastAsia="Calibri" w:hAnsi="Arial Narrow"/>
                <w:lang w:eastAsia="en-US"/>
              </w:rPr>
              <w:t>Servicios de construcción de edificios comerciales y de oficina</w:t>
            </w:r>
          </w:p>
        </w:tc>
      </w:tr>
      <w:tr w:rsidR="0048627B" w:rsidRPr="00552615" w:rsidTr="0038761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48627B" w:rsidRPr="00552615" w:rsidRDefault="0048627B" w:rsidP="0038761A">
            <w:pPr>
              <w:jc w:val="center"/>
              <w:rPr>
                <w:rFonts w:ascii="Arial Narrow" w:eastAsia="Calibri" w:hAnsi="Arial Narrow"/>
                <w:lang w:eastAsia="en-US"/>
              </w:rPr>
            </w:pPr>
            <w:r w:rsidRPr="00552615">
              <w:rPr>
                <w:rFonts w:ascii="Arial Narrow" w:eastAsia="Calibri" w:hAnsi="Arial Narrow"/>
                <w:lang w:eastAsia="en-US"/>
              </w:rPr>
              <w:t>721033</w:t>
            </w:r>
          </w:p>
          <w:p w:rsidR="0048627B" w:rsidRPr="00552615" w:rsidRDefault="0048627B" w:rsidP="0038761A">
            <w:pPr>
              <w:jc w:val="center"/>
              <w:rPr>
                <w:rFonts w:ascii="Arial Narrow" w:eastAsia="Calibri" w:hAnsi="Arial Narrow"/>
                <w:lang w:eastAsia="en-US"/>
              </w:rPr>
            </w:pPr>
          </w:p>
        </w:tc>
        <w:tc>
          <w:tcPr>
            <w:tcW w:w="3288" w:type="dxa"/>
            <w:tcBorders>
              <w:top w:val="nil"/>
              <w:left w:val="nil"/>
              <w:bottom w:val="single" w:sz="4" w:space="0" w:color="auto"/>
              <w:right w:val="single" w:sz="8" w:space="0" w:color="auto"/>
            </w:tcBorders>
            <w:shd w:val="clear" w:color="auto" w:fill="auto"/>
            <w:vAlign w:val="bottom"/>
            <w:hideMark/>
          </w:tcPr>
          <w:p w:rsidR="0048627B" w:rsidRPr="00552615" w:rsidRDefault="0048627B" w:rsidP="0038761A">
            <w:pPr>
              <w:rPr>
                <w:rFonts w:ascii="Arial Narrow" w:eastAsia="Calibri" w:hAnsi="Arial Narrow"/>
                <w:lang w:eastAsia="en-US"/>
              </w:rPr>
            </w:pPr>
            <w:r w:rsidRPr="00552615">
              <w:rPr>
                <w:rFonts w:ascii="Arial Narrow" w:eastAsia="Calibri" w:hAnsi="Arial Narrow"/>
                <w:lang w:eastAsia="en-US"/>
              </w:rPr>
              <w:t>Servicios de mantenimiento y reparación de infraestructura</w:t>
            </w:r>
          </w:p>
        </w:tc>
      </w:tr>
      <w:tr w:rsidR="0048627B" w:rsidRPr="00552615" w:rsidTr="0038761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7B" w:rsidRPr="00552615" w:rsidRDefault="0048627B" w:rsidP="0038761A">
            <w:pPr>
              <w:jc w:val="center"/>
              <w:rPr>
                <w:rFonts w:ascii="Arial Narrow" w:eastAsia="Calibri" w:hAnsi="Arial Narrow"/>
                <w:lang w:eastAsia="en-US"/>
              </w:rPr>
            </w:pPr>
            <w:r w:rsidRPr="00552615">
              <w:rPr>
                <w:rFonts w:ascii="Arial Narrow" w:eastAsia="Calibri" w:hAnsi="Arial Narrow"/>
                <w:lang w:eastAsia="en-US"/>
              </w:rPr>
              <w:t>721214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8627B" w:rsidRPr="00552615" w:rsidRDefault="0048627B" w:rsidP="0038761A">
            <w:pPr>
              <w:rPr>
                <w:rFonts w:ascii="Arial Narrow" w:eastAsia="Calibri" w:hAnsi="Arial Narrow"/>
                <w:lang w:eastAsia="en-US"/>
              </w:rPr>
            </w:pPr>
            <w:r w:rsidRPr="00552615">
              <w:rPr>
                <w:rFonts w:ascii="Arial Narrow" w:eastAsia="Calibri" w:hAnsi="Arial Narrow"/>
                <w:lang w:eastAsia="en-US"/>
              </w:rPr>
              <w:t>Servicios de construcción de edificios públicos especializados</w:t>
            </w:r>
          </w:p>
        </w:tc>
      </w:tr>
      <w:tr w:rsidR="0048627B" w:rsidRPr="00552615" w:rsidTr="0038761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627B" w:rsidRPr="00552615" w:rsidRDefault="0048627B" w:rsidP="0038761A">
            <w:pPr>
              <w:jc w:val="center"/>
              <w:rPr>
                <w:rFonts w:ascii="Arial Narrow" w:eastAsia="Calibri" w:hAnsi="Arial Narrow"/>
                <w:lang w:eastAsia="en-US"/>
              </w:rPr>
            </w:pPr>
            <w:r>
              <w:rPr>
                <w:rFonts w:ascii="Arial Narrow" w:eastAsia="Calibri" w:hAnsi="Arial Narrow"/>
                <w:lang w:eastAsia="en-US"/>
              </w:rPr>
              <w:lastRenderedPageBreak/>
              <w:t>721536</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48627B" w:rsidRPr="00552615" w:rsidRDefault="0048627B" w:rsidP="0038761A">
            <w:pPr>
              <w:rPr>
                <w:rFonts w:ascii="Arial Narrow" w:eastAsia="Calibri" w:hAnsi="Arial Narrow"/>
                <w:lang w:eastAsia="en-US"/>
              </w:rPr>
            </w:pPr>
            <w:r>
              <w:rPr>
                <w:rFonts w:ascii="Arial Narrow" w:eastAsia="Calibri" w:hAnsi="Arial Narrow"/>
                <w:lang w:eastAsia="en-US"/>
              </w:rPr>
              <w:t>Servicios de terminado interior, dotación y remodelación</w:t>
            </w:r>
          </w:p>
        </w:tc>
      </w:tr>
      <w:tr w:rsidR="0038761A" w:rsidRPr="00552615" w:rsidTr="0038761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761A" w:rsidRPr="00B41D48" w:rsidRDefault="0038761A" w:rsidP="00484A7C">
            <w:pPr>
              <w:jc w:val="center"/>
              <w:rPr>
                <w:rFonts w:ascii="Arial" w:eastAsia="Calibri" w:hAnsi="Arial" w:cs="Arial"/>
                <w:sz w:val="22"/>
                <w:szCs w:val="22"/>
              </w:rPr>
            </w:pPr>
            <w:r>
              <w:rPr>
                <w:rFonts w:ascii="Arial" w:eastAsia="Calibri" w:hAnsi="Arial" w:cs="Arial"/>
                <w:sz w:val="22"/>
                <w:szCs w:val="22"/>
              </w:rPr>
              <w:t>561115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38761A" w:rsidRPr="00B41D48" w:rsidRDefault="0038761A" w:rsidP="0038761A">
            <w:pPr>
              <w:jc w:val="both"/>
              <w:rPr>
                <w:rFonts w:ascii="Arial" w:eastAsia="Calibri" w:hAnsi="Arial" w:cs="Arial"/>
                <w:sz w:val="22"/>
                <w:szCs w:val="22"/>
              </w:rPr>
            </w:pPr>
            <w:r>
              <w:rPr>
                <w:rFonts w:ascii="Arial" w:eastAsia="Calibri" w:hAnsi="Arial" w:cs="Arial"/>
                <w:sz w:val="22"/>
                <w:szCs w:val="22"/>
              </w:rPr>
              <w:t>Sitios de trabajo y paquetes para oficina</w:t>
            </w:r>
          </w:p>
        </w:tc>
      </w:tr>
      <w:bookmarkEnd w:id="0"/>
    </w:tbl>
    <w:p w:rsidR="0048627B" w:rsidRPr="00552615" w:rsidRDefault="0048627B" w:rsidP="0048627B">
      <w:pPr>
        <w:spacing w:line="259" w:lineRule="auto"/>
        <w:jc w:val="center"/>
        <w:rPr>
          <w:rFonts w:ascii="Arial" w:eastAsia="Calibri" w:hAnsi="Arial" w:cs="Arial"/>
          <w:b/>
          <w:spacing w:val="-1"/>
          <w:u w:val="thick" w:color="000000"/>
          <w:lang w:eastAsia="en-US"/>
        </w:rPr>
      </w:pPr>
    </w:p>
    <w:p w:rsidR="0048627B" w:rsidRPr="00552615" w:rsidRDefault="0048627B" w:rsidP="0048627B">
      <w:pPr>
        <w:spacing w:line="259" w:lineRule="auto"/>
        <w:jc w:val="both"/>
        <w:rPr>
          <w:rFonts w:ascii="Arial" w:eastAsia="Calibri" w:hAnsi="Arial" w:cs="Arial"/>
          <w:lang w:eastAsia="en-US"/>
        </w:rPr>
      </w:pPr>
    </w:p>
    <w:p w:rsidR="00E61B56" w:rsidRDefault="0048627B" w:rsidP="00E61B56">
      <w:pPr>
        <w:jc w:val="both"/>
        <w:rPr>
          <w:rFonts w:ascii="Arial" w:hAnsi="Arial" w:cs="Arial"/>
          <w:sz w:val="22"/>
          <w:szCs w:val="22"/>
        </w:rPr>
      </w:pPr>
      <w:r w:rsidRPr="00552615">
        <w:rPr>
          <w:rFonts w:ascii="Arial" w:eastAsia="Calibri" w:hAnsi="Arial" w:cs="Arial"/>
          <w:lang w:eastAsia="en-US"/>
        </w:rPr>
        <w:t xml:space="preserve">El Contrato que se pretende celebrar, tendrá por objeto </w:t>
      </w:r>
      <w:r w:rsidR="00E61B56" w:rsidRPr="008B449B">
        <w:rPr>
          <w:rFonts w:ascii="Arial" w:hAnsi="Arial" w:cs="Arial"/>
          <w:sz w:val="22"/>
          <w:szCs w:val="22"/>
          <w:highlight w:val="yellow"/>
        </w:rPr>
        <w:t>“REALIZAR LAS OBRAS DE ADECUACIÓN CIVILES, CON EL SUMINISTRO E INSTALACIÓN DE MOBILIARIO, REDES ELÉCTRICAS, REDES DE COMUNICACIÓN Y EQUIPAMIENTO PARA LAS SEDES Y EDIFICACIONES DE PROPIEDAD O TENENCIA DEL FONDO DE DESARROLLO LOCAL DE BARRIOS UNIDOS”</w:t>
      </w:r>
    </w:p>
    <w:p w:rsidR="00E61B56" w:rsidRPr="00B41D48" w:rsidRDefault="00E61B56" w:rsidP="00E61B56">
      <w:pPr>
        <w:jc w:val="both"/>
        <w:rPr>
          <w:rFonts w:ascii="Arial" w:hAnsi="Arial" w:cs="Arial"/>
          <w:sz w:val="22"/>
          <w:szCs w:val="22"/>
        </w:rPr>
      </w:pPr>
    </w:p>
    <w:p w:rsidR="0048627B" w:rsidRPr="00552615" w:rsidRDefault="0048627B" w:rsidP="0048627B">
      <w:pPr>
        <w:spacing w:line="259" w:lineRule="auto"/>
        <w:jc w:val="both"/>
        <w:rPr>
          <w:rFonts w:ascii="Arial" w:eastAsia="Calibri" w:hAnsi="Arial" w:cs="Arial"/>
          <w:lang w:eastAsia="en-US"/>
        </w:rPr>
      </w:pPr>
      <w:bookmarkStart w:id="1" w:name="_GoBack"/>
      <w:bookmarkEnd w:id="1"/>
    </w:p>
    <w:p w:rsidR="0048627B" w:rsidRPr="00552615" w:rsidRDefault="0048627B" w:rsidP="0048627B">
      <w:pPr>
        <w:pStyle w:val="Prrafodelista"/>
        <w:numPr>
          <w:ilvl w:val="0"/>
          <w:numId w:val="25"/>
        </w:numPr>
        <w:spacing w:line="259" w:lineRule="auto"/>
        <w:jc w:val="both"/>
        <w:rPr>
          <w:rFonts w:ascii="Arial" w:eastAsia="Calibri" w:hAnsi="Arial" w:cs="Arial"/>
          <w:b/>
          <w:sz w:val="24"/>
          <w:szCs w:val="24"/>
          <w:lang w:eastAsia="en-US"/>
        </w:rPr>
      </w:pPr>
      <w:r w:rsidRPr="00552615">
        <w:rPr>
          <w:rFonts w:ascii="Arial" w:eastAsia="Calibri" w:hAnsi="Arial" w:cs="Arial"/>
          <w:b/>
          <w:sz w:val="24"/>
          <w:szCs w:val="24"/>
          <w:lang w:val="es-CO" w:eastAsia="en-US"/>
        </w:rPr>
        <w:t xml:space="preserve">Económico </w:t>
      </w:r>
    </w:p>
    <w:p w:rsidR="0048627B" w:rsidRPr="00552615" w:rsidRDefault="0048627B" w:rsidP="0048627B">
      <w:pPr>
        <w:pStyle w:val="Prrafodelista"/>
        <w:spacing w:line="259" w:lineRule="auto"/>
        <w:ind w:left="720"/>
        <w:jc w:val="both"/>
        <w:rPr>
          <w:rFonts w:ascii="Arial" w:eastAsia="Calibri" w:hAnsi="Arial" w:cs="Arial"/>
          <w:b/>
          <w:sz w:val="24"/>
          <w:szCs w:val="24"/>
          <w:lang w:eastAsia="en-US"/>
        </w:rPr>
      </w:pPr>
    </w:p>
    <w:p w:rsidR="0048627B" w:rsidRPr="00552615"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 xml:space="preserve">La construcción se puede considerar como el motor de la economía Nacional, en Bogotá es claro que una obra nueva, arrastra en la capital de la República, aproximadamente 20 sectores, los cuales se mueven en el instante en que se inicia la construcción de cualquier tipo de obra civil o urbanística (Vías, edificios residenciales, Puentes vehiculares, Acueductos, Parques, Alamedas). </w:t>
      </w:r>
    </w:p>
    <w:p w:rsidR="0048627B" w:rsidRPr="00552615"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El objetivo de toda construcción es su funcionalidad, y, por tanto, no lo es el proceso constructivo en sí mismo. No obstante, la selección de tecnologías y materiales apropiados y la participación de la comunidad durante la construcción pueden ser las claves de un correcto mantenimiento y, por tanto, de la durabilidad y sostenibilidad de la infraestructura.</w:t>
      </w:r>
    </w:p>
    <w:p w:rsidR="0048627B" w:rsidRPr="00552615" w:rsidRDefault="0048627B" w:rsidP="0048627B">
      <w:pPr>
        <w:jc w:val="both"/>
        <w:rPr>
          <w:rFonts w:ascii="Arial" w:hAnsi="Arial" w:cs="Arial"/>
          <w:lang w:eastAsia="es-CO"/>
        </w:rPr>
      </w:pPr>
      <w:r w:rsidRPr="00552615">
        <w:rPr>
          <w:rFonts w:ascii="Arial" w:hAnsi="Arial" w:cs="Arial"/>
          <w:lang w:eastAsia="es-CO"/>
        </w:rPr>
        <w:t>El boletín de indicadores económicos alrededor de la construcción (IEAC), presenta información de 16 investigaciones, desde el punto de vista de indicadores macroeconómicos, oferta, demanda y precios e índices. Los indicadores de construcción se presentan considerando las coberturas geográficas disponibles, a partir de las variaciones mensuales y anuales.</w:t>
      </w:r>
    </w:p>
    <w:p w:rsidR="0048627B" w:rsidRPr="00552615" w:rsidRDefault="0048627B" w:rsidP="0048627B">
      <w:pPr>
        <w:jc w:val="both"/>
        <w:rPr>
          <w:rFonts w:ascii="Arial" w:hAnsi="Arial" w:cs="Arial"/>
          <w:lang w:eastAsia="es-CO"/>
        </w:rPr>
      </w:pPr>
    </w:p>
    <w:p w:rsidR="0048627B" w:rsidRPr="00552615" w:rsidRDefault="0048627B" w:rsidP="0048627B">
      <w:pPr>
        <w:jc w:val="both"/>
        <w:rPr>
          <w:rFonts w:ascii="Arial" w:hAnsi="Arial" w:cs="Arial"/>
          <w:lang w:eastAsia="es-CO"/>
        </w:rPr>
      </w:pPr>
      <w:r w:rsidRPr="00552615">
        <w:rPr>
          <w:rFonts w:ascii="Arial" w:hAnsi="Arial" w:cs="Arial"/>
          <w:lang w:eastAsia="es-CO"/>
        </w:rPr>
        <w:t>A continuación, y con base en lo anterior, se presentan los indicadores de coyuntura del sector construcción para el IV trimestre de 2017:</w:t>
      </w:r>
    </w:p>
    <w:p w:rsidR="0048627B" w:rsidRPr="00552615" w:rsidRDefault="0048627B" w:rsidP="0048627B">
      <w:pPr>
        <w:rPr>
          <w:rFonts w:ascii="Arial" w:hAnsi="Arial" w:cs="Arial"/>
          <w:lang w:eastAsia="es-CO"/>
        </w:rPr>
      </w:pPr>
    </w:p>
    <w:p w:rsidR="0048627B" w:rsidRPr="00552615" w:rsidRDefault="0048627B" w:rsidP="0048627B">
      <w:pPr>
        <w:rPr>
          <w:rFonts w:ascii="Arial" w:hAnsi="Arial" w:cs="Arial"/>
          <w:lang w:eastAsia="es-CO"/>
        </w:rPr>
      </w:pPr>
    </w:p>
    <w:p w:rsidR="0048627B" w:rsidRPr="00552615" w:rsidRDefault="0048627B" w:rsidP="0048627B">
      <w:pPr>
        <w:jc w:val="center"/>
        <w:rPr>
          <w:rFonts w:ascii="Arial" w:hAnsi="Arial" w:cs="Arial"/>
          <w:lang w:eastAsia="es-CO"/>
        </w:rPr>
      </w:pPr>
      <w:r>
        <w:rPr>
          <w:rFonts w:ascii="Arial" w:hAnsi="Arial" w:cs="Arial"/>
          <w:noProof/>
          <w:lang w:eastAsia="es-CO" w:bidi="ar-SA"/>
        </w:rPr>
        <w:drawing>
          <wp:inline distT="0" distB="0" distL="0" distR="0">
            <wp:extent cx="5219700" cy="45339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
                      <a:extLst>
                        <a:ext uri="{28A0092B-C50C-407E-A947-70E740481C1C}">
                          <a14:useLocalDpi xmlns:a14="http://schemas.microsoft.com/office/drawing/2010/main" val="0"/>
                        </a:ext>
                      </a:extLst>
                    </a:blip>
                    <a:srcRect l="388" t="6868"/>
                    <a:stretch>
                      <a:fillRect/>
                    </a:stretch>
                  </pic:blipFill>
                  <pic:spPr bwMode="auto">
                    <a:xfrm>
                      <a:off x="0" y="0"/>
                      <a:ext cx="5219700" cy="4533900"/>
                    </a:xfrm>
                    <a:prstGeom prst="rect">
                      <a:avLst/>
                    </a:prstGeom>
                    <a:noFill/>
                    <a:ln>
                      <a:noFill/>
                    </a:ln>
                  </pic:spPr>
                </pic:pic>
              </a:graphicData>
            </a:graphic>
          </wp:inline>
        </w:drawing>
      </w:r>
    </w:p>
    <w:p w:rsidR="0048627B" w:rsidRPr="00552615" w:rsidRDefault="0048627B" w:rsidP="0048627B">
      <w:pPr>
        <w:spacing w:after="160" w:line="259" w:lineRule="auto"/>
        <w:jc w:val="both"/>
        <w:rPr>
          <w:rFonts w:ascii="Arial" w:eastAsia="Calibri" w:hAnsi="Arial" w:cs="Arial"/>
          <w:lang w:eastAsia="en-US"/>
        </w:rPr>
      </w:pPr>
    </w:p>
    <w:p w:rsidR="0048627B" w:rsidRPr="00552615"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 xml:space="preserve">Por otra parte, a través de los pagos en obras civiles el Departamento Administrativo Nacional de Estadística (DANE), determina el indicador de Inversión de Obras civiles (IIOC), el cual ha permitido desde 1998 determinar la evolución trimestral de la inversión real en este tipo de obras y sirve como insumo para el </w:t>
      </w:r>
      <w:proofErr w:type="spellStart"/>
      <w:r w:rsidRPr="00552615">
        <w:rPr>
          <w:rFonts w:ascii="Arial" w:eastAsia="Calibri" w:hAnsi="Arial" w:cs="Arial"/>
          <w:lang w:eastAsia="en-US"/>
        </w:rPr>
        <w:t>calculo</w:t>
      </w:r>
      <w:proofErr w:type="spellEnd"/>
      <w:r w:rsidRPr="00552615">
        <w:rPr>
          <w:rFonts w:ascii="Arial" w:eastAsia="Calibri" w:hAnsi="Arial" w:cs="Arial"/>
          <w:lang w:eastAsia="en-US"/>
        </w:rPr>
        <w:t xml:space="preserve"> del PIB de este subsector de la economía nacional.</w:t>
      </w:r>
    </w:p>
    <w:p w:rsidR="0048627B" w:rsidRPr="00552615" w:rsidRDefault="0048627B" w:rsidP="0048627B">
      <w:pPr>
        <w:spacing w:after="160" w:line="259" w:lineRule="auto"/>
        <w:jc w:val="both"/>
        <w:rPr>
          <w:rFonts w:ascii="Arial" w:eastAsia="Calibri" w:hAnsi="Arial" w:cs="Arial"/>
          <w:lang w:eastAsia="en-US"/>
        </w:rPr>
      </w:pPr>
    </w:p>
    <w:p w:rsidR="0048627B" w:rsidRPr="00552615"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Con respecto a los pagos en obras civiles durante el cuarto trimestre de 2017 registraron un crecimiento de 8,0%, frente al mismo trimestre de 2016. En el acumulado del año 2017 los pagos registraron un aumento de 7,0% comparado con el año precedente, variación que se muestra en la siguiente gráfica:</w:t>
      </w:r>
    </w:p>
    <w:p w:rsidR="0048627B" w:rsidRPr="00552615" w:rsidRDefault="0048627B" w:rsidP="0048627B">
      <w:pPr>
        <w:spacing w:after="160" w:line="259" w:lineRule="auto"/>
        <w:jc w:val="both"/>
        <w:rPr>
          <w:rFonts w:ascii="Arial" w:eastAsia="Calibri" w:hAnsi="Arial" w:cs="Arial"/>
          <w:lang w:eastAsia="en-US"/>
        </w:rPr>
      </w:pPr>
    </w:p>
    <w:p w:rsidR="0048627B" w:rsidRPr="00552615" w:rsidRDefault="0048627B" w:rsidP="0048627B">
      <w:pPr>
        <w:spacing w:after="160" w:line="259" w:lineRule="auto"/>
        <w:jc w:val="both"/>
        <w:rPr>
          <w:rFonts w:ascii="Arial" w:eastAsia="Calibri" w:hAnsi="Arial" w:cs="Arial"/>
          <w:lang w:eastAsia="en-US"/>
        </w:rPr>
      </w:pPr>
    </w:p>
    <w:p w:rsidR="0048627B" w:rsidRPr="00552615" w:rsidRDefault="0048627B" w:rsidP="0048627B">
      <w:pPr>
        <w:spacing w:after="160" w:line="259" w:lineRule="auto"/>
        <w:jc w:val="center"/>
        <w:rPr>
          <w:rFonts w:ascii="Arial" w:eastAsia="Calibri" w:hAnsi="Arial" w:cs="Arial"/>
          <w:lang w:eastAsia="en-US"/>
        </w:rPr>
      </w:pPr>
      <w:r>
        <w:rPr>
          <w:rFonts w:ascii="Arial" w:eastAsia="Calibri" w:hAnsi="Arial" w:cs="Arial"/>
          <w:noProof/>
          <w:lang w:eastAsia="es-CO" w:bidi="ar-SA"/>
        </w:rPr>
        <w:drawing>
          <wp:inline distT="0" distB="0" distL="0" distR="0">
            <wp:extent cx="4095750" cy="26003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5750" cy="2600325"/>
                    </a:xfrm>
                    <a:prstGeom prst="rect">
                      <a:avLst/>
                    </a:prstGeom>
                    <a:noFill/>
                    <a:ln>
                      <a:noFill/>
                    </a:ln>
                  </pic:spPr>
                </pic:pic>
              </a:graphicData>
            </a:graphic>
          </wp:inline>
        </w:drawing>
      </w:r>
    </w:p>
    <w:p w:rsidR="0048627B" w:rsidRPr="00552615" w:rsidRDefault="0048627B" w:rsidP="0048627B">
      <w:pPr>
        <w:spacing w:after="160" w:line="259" w:lineRule="auto"/>
        <w:rPr>
          <w:rFonts w:ascii="Arial" w:eastAsia="Calibri" w:hAnsi="Arial" w:cs="Arial"/>
          <w:lang w:eastAsia="en-US"/>
        </w:rPr>
      </w:pPr>
      <w:r w:rsidRPr="00552615">
        <w:rPr>
          <w:rFonts w:ascii="Arial" w:eastAsia="Calibri" w:hAnsi="Arial" w:cs="Arial"/>
          <w:lang w:eastAsia="en-US"/>
        </w:rPr>
        <w:t>La variación y contribución anual de los pagos según tipos de construcción para el IV trimestre de 2017, presentó la siguiente variación:</w:t>
      </w:r>
    </w:p>
    <w:p w:rsidR="0048627B" w:rsidRPr="00552615" w:rsidRDefault="0048627B" w:rsidP="0048627B">
      <w:pPr>
        <w:spacing w:after="160" w:line="259" w:lineRule="auto"/>
        <w:rPr>
          <w:rFonts w:ascii="Arial" w:eastAsia="TimesNewRomanPSMT" w:hAnsi="Arial" w:cs="Arial"/>
        </w:rPr>
      </w:pPr>
      <w:r>
        <w:rPr>
          <w:rFonts w:ascii="Arial" w:eastAsia="TimesNewRomanPSMT" w:hAnsi="Arial" w:cs="Arial"/>
          <w:noProof/>
          <w:lang w:eastAsia="es-CO" w:bidi="ar-SA"/>
        </w:rPr>
        <w:drawing>
          <wp:inline distT="0" distB="0" distL="0" distR="0">
            <wp:extent cx="5429250" cy="28575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
                      <a:extLst>
                        <a:ext uri="{28A0092B-C50C-407E-A947-70E740481C1C}">
                          <a14:useLocalDpi xmlns:a14="http://schemas.microsoft.com/office/drawing/2010/main" val="0"/>
                        </a:ext>
                      </a:extLst>
                    </a:blip>
                    <a:srcRect t="15341"/>
                    <a:stretch>
                      <a:fillRect/>
                    </a:stretch>
                  </pic:blipFill>
                  <pic:spPr bwMode="auto">
                    <a:xfrm>
                      <a:off x="0" y="0"/>
                      <a:ext cx="5429250" cy="2857500"/>
                    </a:xfrm>
                    <a:prstGeom prst="rect">
                      <a:avLst/>
                    </a:prstGeom>
                    <a:noFill/>
                    <a:ln>
                      <a:noFill/>
                    </a:ln>
                  </pic:spPr>
                </pic:pic>
              </a:graphicData>
            </a:graphic>
          </wp:inline>
        </w:drawing>
      </w:r>
    </w:p>
    <w:p w:rsidR="0048627B" w:rsidRPr="00552615" w:rsidRDefault="0048627B" w:rsidP="0048627B">
      <w:pPr>
        <w:spacing w:after="160" w:line="259" w:lineRule="auto"/>
        <w:jc w:val="both"/>
        <w:rPr>
          <w:rFonts w:ascii="Arial" w:eastAsia="TimesNewRomanPSMT" w:hAnsi="Arial" w:cs="Arial"/>
        </w:rPr>
      </w:pPr>
      <w:r w:rsidRPr="00552615">
        <w:rPr>
          <w:rFonts w:ascii="Arial" w:eastAsia="TimesNewRomanPSMT" w:hAnsi="Arial" w:cs="Arial"/>
        </w:rPr>
        <w:t>Donde, el grupo Otras obras de ingeniería presentó una variación del 38,0% frente al mismo trimestre de 2016 y sumó 7,1 puntos porcentuales a la variación anual, siendo el grupo con la mayor contribución anual (Anexo A1). Este resultado está principalmente explicado por el aumento de los pagos destinados a la construcción, mantenimiento y reparación de parques y escenarios deportivos, así como obras ambientales.</w:t>
      </w:r>
    </w:p>
    <w:p w:rsidR="0048627B" w:rsidRPr="00552615" w:rsidRDefault="0048627B" w:rsidP="0048627B">
      <w:pPr>
        <w:jc w:val="center"/>
        <w:rPr>
          <w:rFonts w:ascii="Arial" w:eastAsia="TimesNewRomanPSMT" w:hAnsi="Arial" w:cs="Arial"/>
          <w:b/>
        </w:rPr>
      </w:pPr>
      <w:r w:rsidRPr="00552615">
        <w:rPr>
          <w:rFonts w:ascii="Arial" w:eastAsia="TimesNewRomanPSMT" w:hAnsi="Arial" w:cs="Arial"/>
          <w:b/>
        </w:rPr>
        <w:t>Otras obras de ingeniería</w:t>
      </w:r>
    </w:p>
    <w:p w:rsidR="0048627B" w:rsidRPr="00552615" w:rsidRDefault="0048627B" w:rsidP="0048627B">
      <w:pPr>
        <w:jc w:val="center"/>
        <w:rPr>
          <w:rFonts w:ascii="Arial" w:eastAsia="TimesNewRomanPSMT" w:hAnsi="Arial" w:cs="Arial"/>
          <w:b/>
        </w:rPr>
      </w:pPr>
      <w:r w:rsidRPr="00552615">
        <w:rPr>
          <w:rFonts w:ascii="Arial" w:eastAsia="TimesNewRomanPSMT" w:hAnsi="Arial" w:cs="Arial"/>
          <w:b/>
        </w:rPr>
        <w:t xml:space="preserve">Variaciones anuales de pagos 2012 – 2017 </w:t>
      </w:r>
    </w:p>
    <w:p w:rsidR="0048627B" w:rsidRPr="00552615" w:rsidRDefault="0048627B" w:rsidP="0048627B">
      <w:pPr>
        <w:jc w:val="center"/>
        <w:rPr>
          <w:rFonts w:ascii="Arial" w:eastAsia="TimesNewRomanPSMT" w:hAnsi="Arial" w:cs="Arial"/>
          <w:b/>
        </w:rPr>
      </w:pPr>
      <w:r w:rsidRPr="00552615">
        <w:rPr>
          <w:rFonts w:ascii="Arial" w:eastAsia="TimesNewRomanPSMT" w:hAnsi="Arial" w:cs="Arial"/>
          <w:b/>
        </w:rPr>
        <w:t>(IV trimestre)</w:t>
      </w:r>
    </w:p>
    <w:p w:rsidR="0048627B" w:rsidRPr="00552615" w:rsidRDefault="0048627B" w:rsidP="0048627B">
      <w:pPr>
        <w:spacing w:after="160" w:line="259" w:lineRule="auto"/>
        <w:jc w:val="center"/>
        <w:rPr>
          <w:rFonts w:ascii="Arial" w:eastAsia="TimesNewRomanPSMT" w:hAnsi="Arial" w:cs="Arial"/>
        </w:rPr>
      </w:pPr>
      <w:r>
        <w:rPr>
          <w:rFonts w:ascii="Arial" w:eastAsia="TimesNewRomanPSMT" w:hAnsi="Arial" w:cs="Arial"/>
          <w:noProof/>
          <w:lang w:eastAsia="es-CO" w:bidi="ar-SA"/>
        </w:rPr>
        <w:drawing>
          <wp:inline distT="0" distB="0" distL="0" distR="0">
            <wp:extent cx="4067175" cy="22288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7175" cy="2228850"/>
                    </a:xfrm>
                    <a:prstGeom prst="rect">
                      <a:avLst/>
                    </a:prstGeom>
                    <a:noFill/>
                    <a:ln>
                      <a:noFill/>
                    </a:ln>
                  </pic:spPr>
                </pic:pic>
              </a:graphicData>
            </a:graphic>
          </wp:inline>
        </w:drawing>
      </w:r>
    </w:p>
    <w:p w:rsidR="0048627B" w:rsidRPr="00552615" w:rsidRDefault="0048627B" w:rsidP="0048627B">
      <w:pPr>
        <w:spacing w:after="160" w:line="259" w:lineRule="auto"/>
        <w:jc w:val="both"/>
        <w:rPr>
          <w:rFonts w:ascii="Arial" w:eastAsia="TimesNewRomanPSMT" w:hAnsi="Arial" w:cs="Arial"/>
        </w:rPr>
      </w:pPr>
      <w:r w:rsidRPr="00552615">
        <w:rPr>
          <w:rFonts w:ascii="Arial" w:eastAsia="TimesNewRomanPSMT" w:hAnsi="Arial" w:cs="Arial"/>
        </w:rPr>
        <w:t>Por tipo de entidad se encontró que, en el cuarto trimestre de 2017, las entidades del orden territorial crecieron 42,9% y sumaron 41,1 puntos porcentuales a la variación total de 38,0%.</w:t>
      </w:r>
    </w:p>
    <w:p w:rsidR="0048627B" w:rsidRPr="00552615" w:rsidRDefault="0048627B" w:rsidP="0048627B">
      <w:pPr>
        <w:spacing w:after="160" w:line="259" w:lineRule="auto"/>
        <w:jc w:val="both"/>
        <w:rPr>
          <w:rFonts w:ascii="Arial" w:eastAsia="TimesNewRomanPSMT" w:hAnsi="Arial" w:cs="Arial"/>
        </w:rPr>
      </w:pPr>
    </w:p>
    <w:p w:rsidR="0048627B" w:rsidRPr="00552615" w:rsidRDefault="0048627B" w:rsidP="0048627B">
      <w:pPr>
        <w:spacing w:after="160" w:line="259" w:lineRule="auto"/>
        <w:jc w:val="center"/>
        <w:rPr>
          <w:rFonts w:ascii="Arial" w:eastAsia="TimesNewRomanPSMT" w:hAnsi="Arial" w:cs="Arial"/>
        </w:rPr>
      </w:pPr>
      <w:r>
        <w:rPr>
          <w:rFonts w:ascii="Arial" w:eastAsia="TimesNewRomanPSMT" w:hAnsi="Arial" w:cs="Arial"/>
          <w:noProof/>
          <w:lang w:eastAsia="es-CO" w:bidi="ar-SA"/>
        </w:rPr>
        <w:drawing>
          <wp:inline distT="0" distB="0" distL="0" distR="0">
            <wp:extent cx="3924300" cy="1838325"/>
            <wp:effectExtent l="0" t="0" r="0"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4300" cy="1838325"/>
                    </a:xfrm>
                    <a:prstGeom prst="rect">
                      <a:avLst/>
                    </a:prstGeom>
                    <a:noFill/>
                    <a:ln>
                      <a:noFill/>
                    </a:ln>
                  </pic:spPr>
                </pic:pic>
              </a:graphicData>
            </a:graphic>
          </wp:inline>
        </w:drawing>
      </w:r>
    </w:p>
    <w:p w:rsidR="0048627B" w:rsidRPr="00552615" w:rsidRDefault="0048627B" w:rsidP="0048627B">
      <w:pPr>
        <w:spacing w:line="259" w:lineRule="auto"/>
        <w:jc w:val="both"/>
        <w:rPr>
          <w:rFonts w:ascii="Arial" w:hAnsi="Arial" w:cs="Arial"/>
          <w:bCs/>
        </w:rPr>
      </w:pPr>
    </w:p>
    <w:p w:rsidR="0048627B" w:rsidRPr="00552615" w:rsidRDefault="0048627B" w:rsidP="0048627B">
      <w:pPr>
        <w:spacing w:line="259" w:lineRule="auto"/>
        <w:jc w:val="both"/>
        <w:rPr>
          <w:rFonts w:ascii="Arial" w:hAnsi="Arial" w:cs="Arial"/>
          <w:bCs/>
        </w:rPr>
      </w:pPr>
    </w:p>
    <w:p w:rsidR="0048627B" w:rsidRPr="00552615" w:rsidRDefault="0048627B" w:rsidP="0048627B">
      <w:pPr>
        <w:spacing w:line="259" w:lineRule="auto"/>
        <w:jc w:val="both"/>
        <w:rPr>
          <w:rFonts w:ascii="Arial" w:hAnsi="Arial" w:cs="Arial"/>
          <w:bCs/>
        </w:rPr>
      </w:pPr>
      <w:r w:rsidRPr="00552615">
        <w:rPr>
          <w:rFonts w:ascii="Arial" w:hAnsi="Arial" w:cs="Arial"/>
          <w:bCs/>
        </w:rPr>
        <w:t>Durante el año 2017 (enero – diciembre) el PIB creció 1,8% respecto al mismo periodo del año 2016. Las actividades con mayor crecimiento fueron: agricultura, ganadería, caza, silvicultura y pesca; establecimientos financieros, seguros, actividades inmobiliarias y servicios a las empresas; y actividades de servicios sociales, comunales y personales. Por su parte, las actividades que registraron las mayores caídas fueron explotación de minas y canteras e industria manufacturera.</w:t>
      </w:r>
    </w:p>
    <w:p w:rsidR="0048627B" w:rsidRPr="00552615" w:rsidRDefault="0048627B" w:rsidP="0048627B">
      <w:pPr>
        <w:spacing w:line="259" w:lineRule="auto"/>
        <w:jc w:val="both"/>
        <w:rPr>
          <w:rFonts w:ascii="Arial" w:hAnsi="Arial" w:cs="Arial"/>
          <w:bCs/>
        </w:rPr>
      </w:pPr>
    </w:p>
    <w:p w:rsidR="0048627B" w:rsidRPr="00552615" w:rsidRDefault="0048627B" w:rsidP="0048627B">
      <w:pPr>
        <w:spacing w:line="259" w:lineRule="auto"/>
        <w:jc w:val="center"/>
        <w:rPr>
          <w:rFonts w:ascii="Arial" w:hAnsi="Arial" w:cs="Arial"/>
          <w:bCs/>
        </w:rPr>
      </w:pPr>
      <w:r>
        <w:rPr>
          <w:rFonts w:ascii="Arial" w:hAnsi="Arial" w:cs="Arial"/>
          <w:bCs/>
          <w:noProof/>
          <w:lang w:eastAsia="es-CO" w:bidi="ar-SA"/>
        </w:rPr>
        <w:drawing>
          <wp:inline distT="0" distB="0" distL="0" distR="0">
            <wp:extent cx="4629150" cy="303847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29150" cy="3038475"/>
                    </a:xfrm>
                    <a:prstGeom prst="rect">
                      <a:avLst/>
                    </a:prstGeom>
                    <a:noFill/>
                    <a:ln>
                      <a:noFill/>
                    </a:ln>
                  </pic:spPr>
                </pic:pic>
              </a:graphicData>
            </a:graphic>
          </wp:inline>
        </w:drawing>
      </w:r>
    </w:p>
    <w:p w:rsidR="0048627B" w:rsidRPr="00552615" w:rsidRDefault="0048627B" w:rsidP="0048627B">
      <w:pPr>
        <w:spacing w:line="259" w:lineRule="auto"/>
        <w:jc w:val="both"/>
        <w:rPr>
          <w:rFonts w:ascii="Arial" w:hAnsi="Arial" w:cs="Arial"/>
          <w:bCs/>
        </w:rPr>
      </w:pPr>
    </w:p>
    <w:p w:rsidR="0048627B" w:rsidRPr="00552615" w:rsidRDefault="0048627B" w:rsidP="0048627B">
      <w:pPr>
        <w:spacing w:line="259" w:lineRule="auto"/>
        <w:jc w:val="both"/>
        <w:rPr>
          <w:rFonts w:ascii="Arial" w:hAnsi="Arial" w:cs="Arial"/>
          <w:bCs/>
        </w:rPr>
      </w:pPr>
      <w:r w:rsidRPr="00552615">
        <w:rPr>
          <w:rFonts w:ascii="Arial" w:hAnsi="Arial" w:cs="Arial"/>
          <w:bCs/>
        </w:rPr>
        <w:t>Al analizar el resultado del valor agregado por grandes ramas de actividad, se observa una disminución del sector construcción de 0,7%. respecto al mismo periodo del año anterior, explicado por la caída en la construcción de edificaciones en 10,4%, mientras que aumentó la construcción de obras civiles en 7,1%. El decrecimiento de la construcción de edificaciones obedece a la caída en la producción de edificaciones no residenciales en 16,2% y de edificaciones residenciales en 6,2%. Los trabajos de mantenimiento y reparación de edificaciones aumentaron en 0,9%.</w:t>
      </w:r>
    </w:p>
    <w:p w:rsidR="0048627B" w:rsidRPr="00552615" w:rsidRDefault="0048627B" w:rsidP="0048627B">
      <w:pPr>
        <w:spacing w:line="259" w:lineRule="auto"/>
        <w:jc w:val="both"/>
        <w:rPr>
          <w:rFonts w:ascii="Arial" w:hAnsi="Arial" w:cs="Arial"/>
          <w:bCs/>
        </w:rPr>
      </w:pPr>
    </w:p>
    <w:p w:rsidR="0048627B" w:rsidRPr="00552615" w:rsidRDefault="0048627B" w:rsidP="0048627B">
      <w:pPr>
        <w:spacing w:after="153" w:line="259" w:lineRule="auto"/>
        <w:ind w:right="748"/>
        <w:jc w:val="center"/>
        <w:rPr>
          <w:rFonts w:ascii="Arial" w:hAnsi="Arial" w:cs="Arial"/>
          <w:noProof/>
        </w:rPr>
      </w:pPr>
      <w:r>
        <w:rPr>
          <w:rFonts w:ascii="Arial" w:hAnsi="Arial" w:cs="Arial"/>
          <w:noProof/>
          <w:lang w:eastAsia="es-CO" w:bidi="ar-SA"/>
        </w:rPr>
        <w:drawing>
          <wp:inline distT="0" distB="0" distL="0" distR="0">
            <wp:extent cx="3457575" cy="202882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7575" cy="2028825"/>
                    </a:xfrm>
                    <a:prstGeom prst="rect">
                      <a:avLst/>
                    </a:prstGeom>
                    <a:noFill/>
                    <a:ln>
                      <a:noFill/>
                    </a:ln>
                  </pic:spPr>
                </pic:pic>
              </a:graphicData>
            </a:graphic>
          </wp:inline>
        </w:drawing>
      </w:r>
    </w:p>
    <w:p w:rsidR="0048627B" w:rsidRPr="00552615" w:rsidRDefault="0048627B" w:rsidP="0048627B">
      <w:pPr>
        <w:spacing w:after="160" w:line="259" w:lineRule="auto"/>
        <w:jc w:val="both"/>
        <w:rPr>
          <w:rFonts w:ascii="Arial" w:hAnsi="Arial" w:cs="Arial"/>
          <w:bCs/>
        </w:rPr>
      </w:pPr>
      <w:r w:rsidRPr="00552615">
        <w:rPr>
          <w:rFonts w:ascii="Arial" w:hAnsi="Arial" w:cs="Arial"/>
          <w:bCs/>
        </w:rPr>
        <w:t>Con relación al crecimiento del Producto Interno Bruto (PIB), para el cuarto trimestre de 2017 frente al mismo periodo del año anterior para los países de América Latina, sobresale el comportamiento de Perú y Brasil, que registraron los mayores incrementos (2,2% y 2,1% respectivamente). En lo referente al valor agregado de la construcción, se destaca Perú con un crecimiento del 9,0%.</w:t>
      </w:r>
    </w:p>
    <w:p w:rsidR="0048627B" w:rsidRPr="00552615" w:rsidRDefault="0048627B" w:rsidP="0048627B">
      <w:pPr>
        <w:spacing w:after="160" w:line="259" w:lineRule="auto"/>
        <w:rPr>
          <w:rFonts w:ascii="Arial" w:hAnsi="Arial" w:cs="Arial"/>
          <w:i/>
          <w:lang w:eastAsia="es-CO"/>
        </w:rPr>
      </w:pPr>
    </w:p>
    <w:p w:rsidR="0048627B" w:rsidRPr="00552615" w:rsidRDefault="0048627B" w:rsidP="0048627B">
      <w:pPr>
        <w:jc w:val="center"/>
        <w:rPr>
          <w:rFonts w:ascii="Arial" w:hAnsi="Arial" w:cs="Arial"/>
          <w:i/>
          <w:lang w:eastAsia="es-CO"/>
        </w:rPr>
      </w:pPr>
      <w:r w:rsidRPr="00552615">
        <w:rPr>
          <w:rFonts w:ascii="Arial" w:hAnsi="Arial" w:cs="Arial"/>
          <w:i/>
          <w:lang w:eastAsia="es-CO"/>
        </w:rPr>
        <w:t>PIB total y valor agregado de la rama construcción para principales países de Latinoamérica</w:t>
      </w:r>
    </w:p>
    <w:p w:rsidR="0048627B" w:rsidRPr="00552615" w:rsidRDefault="0048627B" w:rsidP="0048627B">
      <w:pPr>
        <w:jc w:val="center"/>
        <w:rPr>
          <w:rFonts w:ascii="Arial" w:eastAsia="TimesNewRomanPSMT" w:hAnsi="Arial" w:cs="Arial"/>
        </w:rPr>
      </w:pPr>
      <w:r w:rsidRPr="00552615">
        <w:rPr>
          <w:rFonts w:ascii="Arial" w:eastAsia="TimesNewRomanPSMT" w:hAnsi="Arial" w:cs="Arial"/>
        </w:rPr>
        <w:t xml:space="preserve">Variación anual </w:t>
      </w:r>
    </w:p>
    <w:p w:rsidR="0048627B" w:rsidRPr="00552615" w:rsidRDefault="0048627B" w:rsidP="0048627B">
      <w:pPr>
        <w:jc w:val="center"/>
        <w:rPr>
          <w:rFonts w:ascii="Arial" w:eastAsia="TimesNewRomanPSMT" w:hAnsi="Arial" w:cs="Arial"/>
        </w:rPr>
      </w:pPr>
      <w:r w:rsidRPr="00552615">
        <w:rPr>
          <w:rFonts w:ascii="Arial" w:eastAsia="TimesNewRomanPSMT" w:hAnsi="Arial" w:cs="Arial"/>
        </w:rPr>
        <w:t>2013 (IV trimestre) – 2017 (IV trimestre)</w:t>
      </w:r>
    </w:p>
    <w:p w:rsidR="0048627B" w:rsidRPr="00552615" w:rsidRDefault="0048627B" w:rsidP="0048627B">
      <w:pPr>
        <w:spacing w:after="160" w:line="259" w:lineRule="auto"/>
        <w:jc w:val="center"/>
        <w:rPr>
          <w:rFonts w:ascii="Arial" w:eastAsia="TimesNewRomanPSMT" w:hAnsi="Arial" w:cs="Arial"/>
        </w:rPr>
      </w:pPr>
      <w:r>
        <w:rPr>
          <w:rFonts w:ascii="Arial" w:eastAsia="TimesNewRomanPSMT" w:hAnsi="Arial" w:cs="Arial"/>
          <w:noProof/>
          <w:lang w:eastAsia="es-CO" w:bidi="ar-SA"/>
        </w:rPr>
        <w:drawing>
          <wp:inline distT="0" distB="0" distL="0" distR="0">
            <wp:extent cx="4391025" cy="196215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1025" cy="1962150"/>
                    </a:xfrm>
                    <a:prstGeom prst="rect">
                      <a:avLst/>
                    </a:prstGeom>
                    <a:noFill/>
                    <a:ln>
                      <a:noFill/>
                    </a:ln>
                  </pic:spPr>
                </pic:pic>
              </a:graphicData>
            </a:graphic>
          </wp:inline>
        </w:drawing>
      </w:r>
    </w:p>
    <w:p w:rsidR="0048627B" w:rsidRPr="00552615" w:rsidRDefault="0048627B" w:rsidP="0048627B">
      <w:pPr>
        <w:spacing w:after="160" w:line="259" w:lineRule="auto"/>
        <w:jc w:val="center"/>
        <w:rPr>
          <w:rFonts w:ascii="Arial" w:eastAsia="TimesNewRomanPSMT" w:hAnsi="Arial" w:cs="Arial"/>
        </w:rPr>
      </w:pPr>
    </w:p>
    <w:p w:rsidR="0048627B" w:rsidRPr="00552615" w:rsidRDefault="0048627B" w:rsidP="0048627B">
      <w:pPr>
        <w:spacing w:after="160" w:line="259" w:lineRule="auto"/>
        <w:jc w:val="both"/>
        <w:rPr>
          <w:rFonts w:ascii="Arial" w:hAnsi="Arial" w:cs="Arial"/>
          <w:bCs/>
        </w:rPr>
      </w:pPr>
      <w:r w:rsidRPr="00552615">
        <w:rPr>
          <w:rFonts w:ascii="Arial" w:hAnsi="Arial" w:cs="Arial"/>
          <w:bCs/>
        </w:rPr>
        <w:t>En lo que va corrido del 2018 y de acuerdo con los datos reportados para el segundo trimestre, respecto al mismo periodo del año anterior, el valor agregado de la actividad de construcción creció negativamente 7,6% en su serie original, explicada por la siguiente dinámica:</w:t>
      </w:r>
    </w:p>
    <w:p w:rsidR="0048627B" w:rsidRPr="00552615" w:rsidRDefault="0048627B" w:rsidP="0048627B">
      <w:pPr>
        <w:spacing w:after="160" w:line="259" w:lineRule="auto"/>
        <w:jc w:val="both"/>
        <w:rPr>
          <w:rFonts w:ascii="Arial" w:hAnsi="Arial" w:cs="Arial"/>
          <w:bCs/>
        </w:rPr>
      </w:pPr>
      <w:r w:rsidRPr="00552615">
        <w:rPr>
          <w:rFonts w:ascii="Arial" w:hAnsi="Arial" w:cs="Arial"/>
          <w:bCs/>
        </w:rPr>
        <w:t xml:space="preserve"> </w:t>
      </w:r>
      <w:r w:rsidRPr="00552615">
        <w:rPr>
          <w:rFonts w:ascii="Arial" w:hAnsi="Arial" w:cs="Arial"/>
          <w:bCs/>
        </w:rPr>
        <w:sym w:font="Symbol" w:char="F0B7"/>
      </w:r>
      <w:r w:rsidRPr="00552615">
        <w:rPr>
          <w:rFonts w:ascii="Arial" w:hAnsi="Arial" w:cs="Arial"/>
          <w:bCs/>
        </w:rPr>
        <w:t xml:space="preserve"> Construcción de edificaciones residenciales y no residenciales creció negativamente 7,6%. </w:t>
      </w:r>
    </w:p>
    <w:p w:rsidR="0048627B" w:rsidRPr="00552615" w:rsidRDefault="0048627B" w:rsidP="0048627B">
      <w:pPr>
        <w:spacing w:after="160" w:line="259" w:lineRule="auto"/>
        <w:jc w:val="both"/>
        <w:rPr>
          <w:rFonts w:ascii="Arial" w:hAnsi="Arial" w:cs="Arial"/>
          <w:bCs/>
        </w:rPr>
      </w:pPr>
      <w:r w:rsidRPr="00552615">
        <w:rPr>
          <w:rFonts w:ascii="Arial" w:hAnsi="Arial" w:cs="Arial"/>
          <w:bCs/>
        </w:rPr>
        <w:sym w:font="Symbol" w:char="F0B7"/>
      </w:r>
      <w:r w:rsidRPr="00552615">
        <w:rPr>
          <w:rFonts w:ascii="Arial" w:hAnsi="Arial" w:cs="Arial"/>
          <w:bCs/>
        </w:rPr>
        <w:t xml:space="preserve"> Construcción de carreteras y vías de ferrocarril, de proyectos de servicio público y de otras obras de ingeniería civil creció negativamente 5,7%. </w:t>
      </w:r>
    </w:p>
    <w:p w:rsidR="0048627B" w:rsidRPr="00552615" w:rsidRDefault="0048627B" w:rsidP="0048627B">
      <w:pPr>
        <w:spacing w:after="160" w:line="259" w:lineRule="auto"/>
        <w:jc w:val="both"/>
        <w:rPr>
          <w:rFonts w:ascii="Arial" w:hAnsi="Arial" w:cs="Arial"/>
          <w:bCs/>
        </w:rPr>
      </w:pPr>
      <w:r w:rsidRPr="00552615">
        <w:rPr>
          <w:rFonts w:ascii="Arial" w:hAnsi="Arial" w:cs="Arial"/>
          <w:bCs/>
        </w:rPr>
        <w:sym w:font="Symbol" w:char="F0B7"/>
      </w:r>
      <w:r w:rsidRPr="00552615">
        <w:rPr>
          <w:rFonts w:ascii="Arial" w:hAnsi="Arial" w:cs="Arial"/>
          <w:bCs/>
        </w:rPr>
        <w:t xml:space="preserve"> Actividades especializadas para la construcción de edificaciones y obras de ingeniería civil (alquiler de maquinaria y equipo de construcción con operadores) creció negativamente 9,2%. </w:t>
      </w:r>
    </w:p>
    <w:p w:rsidR="0048627B" w:rsidRPr="00552615" w:rsidRDefault="0048627B" w:rsidP="0048627B">
      <w:pPr>
        <w:spacing w:after="160" w:line="259" w:lineRule="auto"/>
        <w:jc w:val="both"/>
        <w:rPr>
          <w:rFonts w:ascii="Arial" w:hAnsi="Arial" w:cs="Arial"/>
          <w:bCs/>
        </w:rPr>
      </w:pPr>
    </w:p>
    <w:p w:rsidR="0048627B" w:rsidRPr="00552615" w:rsidRDefault="0048627B" w:rsidP="0048627B">
      <w:pPr>
        <w:spacing w:after="160" w:line="259" w:lineRule="auto"/>
        <w:jc w:val="both"/>
        <w:rPr>
          <w:rFonts w:ascii="Arial" w:hAnsi="Arial" w:cs="Arial"/>
          <w:bCs/>
        </w:rPr>
      </w:pPr>
      <w:r w:rsidRPr="00552615">
        <w:rPr>
          <w:rFonts w:ascii="Arial" w:hAnsi="Arial" w:cs="Arial"/>
          <w:bCs/>
        </w:rPr>
        <w:t xml:space="preserve">Respecto al trimestre inmediatamente anterior, el valor agregado de la actividad la actividad de construcción creció negativamente 1,6% en su serie corregida de efecto estacional y calendario, comportamiento explicado por la siguiente dinámica: </w:t>
      </w:r>
    </w:p>
    <w:p w:rsidR="0048627B" w:rsidRPr="00552615" w:rsidRDefault="0048627B" w:rsidP="0048627B">
      <w:pPr>
        <w:spacing w:after="160" w:line="259" w:lineRule="auto"/>
        <w:jc w:val="both"/>
        <w:rPr>
          <w:rFonts w:ascii="Arial" w:hAnsi="Arial" w:cs="Arial"/>
          <w:bCs/>
        </w:rPr>
      </w:pPr>
      <w:r w:rsidRPr="00552615">
        <w:rPr>
          <w:rFonts w:ascii="Arial" w:hAnsi="Arial" w:cs="Arial"/>
          <w:bCs/>
        </w:rPr>
        <w:sym w:font="Symbol" w:char="F0B7"/>
      </w:r>
      <w:r w:rsidRPr="00552615">
        <w:rPr>
          <w:rFonts w:ascii="Arial" w:hAnsi="Arial" w:cs="Arial"/>
          <w:bCs/>
        </w:rPr>
        <w:t xml:space="preserve"> Construcción de edificaciones residenciales y no residenciales creció negativamente 6,9%. </w:t>
      </w:r>
    </w:p>
    <w:p w:rsidR="0048627B" w:rsidRPr="00552615" w:rsidRDefault="0048627B" w:rsidP="0048627B">
      <w:pPr>
        <w:spacing w:after="160" w:line="259" w:lineRule="auto"/>
        <w:jc w:val="both"/>
        <w:rPr>
          <w:rFonts w:ascii="Arial" w:hAnsi="Arial" w:cs="Arial"/>
          <w:bCs/>
        </w:rPr>
      </w:pPr>
      <w:r w:rsidRPr="00552615">
        <w:rPr>
          <w:rFonts w:ascii="Arial" w:hAnsi="Arial" w:cs="Arial"/>
          <w:bCs/>
        </w:rPr>
        <w:sym w:font="Symbol" w:char="F0B7"/>
      </w:r>
      <w:r w:rsidRPr="00552615">
        <w:rPr>
          <w:rFonts w:ascii="Arial" w:hAnsi="Arial" w:cs="Arial"/>
          <w:bCs/>
        </w:rPr>
        <w:t xml:space="preserve"> Construcción de carreteras y vías de ferrocarril, de proyectos de servicio público y de otras obras de ingeniería civil creció 3,6%. </w:t>
      </w:r>
    </w:p>
    <w:p w:rsidR="0048627B" w:rsidRPr="00552615" w:rsidRDefault="0048627B" w:rsidP="0048627B">
      <w:pPr>
        <w:spacing w:after="160" w:line="259" w:lineRule="auto"/>
        <w:jc w:val="both"/>
        <w:rPr>
          <w:rFonts w:ascii="Arial" w:hAnsi="Arial" w:cs="Arial"/>
          <w:bCs/>
        </w:rPr>
      </w:pPr>
      <w:r w:rsidRPr="00552615">
        <w:rPr>
          <w:rFonts w:ascii="Arial" w:hAnsi="Arial" w:cs="Arial"/>
          <w:bCs/>
        </w:rPr>
        <w:sym w:font="Symbol" w:char="F0B7"/>
      </w:r>
      <w:r w:rsidRPr="00552615">
        <w:rPr>
          <w:rFonts w:ascii="Arial" w:hAnsi="Arial" w:cs="Arial"/>
          <w:bCs/>
        </w:rPr>
        <w:t xml:space="preserve"> Actividades especializadas para la construcción de edificaciones y obras de ingeniería civil (alquiler de maquinaria y equipo de construcción con operadores) creció negativamente 8,4%.</w:t>
      </w:r>
      <w:r>
        <w:rPr>
          <w:rStyle w:val="Refdenotaalpie"/>
          <w:rFonts w:ascii="Arial" w:hAnsi="Arial"/>
          <w:bCs/>
        </w:rPr>
        <w:footnoteReference w:id="1"/>
      </w:r>
    </w:p>
    <w:p w:rsidR="0048627B" w:rsidRPr="00552615" w:rsidRDefault="0048627B" w:rsidP="0048627B">
      <w:pPr>
        <w:jc w:val="center"/>
        <w:rPr>
          <w:rFonts w:ascii="Arial" w:hAnsi="Arial" w:cs="Arial"/>
          <w:b/>
          <w:bCs/>
        </w:rPr>
      </w:pPr>
      <w:r w:rsidRPr="00552615">
        <w:rPr>
          <w:rFonts w:ascii="Arial" w:hAnsi="Arial" w:cs="Arial"/>
          <w:b/>
          <w:bCs/>
        </w:rPr>
        <w:t xml:space="preserve">Tasas de crecimiento en volumen de construcción 2018 </w:t>
      </w:r>
    </w:p>
    <w:p w:rsidR="0048627B" w:rsidRPr="00552615" w:rsidRDefault="0048627B" w:rsidP="0048627B">
      <w:pPr>
        <w:jc w:val="center"/>
        <w:rPr>
          <w:rFonts w:ascii="Arial" w:hAnsi="Arial" w:cs="Arial"/>
          <w:b/>
          <w:bCs/>
        </w:rPr>
      </w:pPr>
      <w:r w:rsidRPr="00552615">
        <w:rPr>
          <w:rFonts w:ascii="Arial" w:hAnsi="Arial" w:cs="Arial"/>
          <w:b/>
          <w:bCs/>
        </w:rPr>
        <w:t>Segundo trimestre</w:t>
      </w:r>
    </w:p>
    <w:p w:rsidR="0048627B" w:rsidRPr="00552615" w:rsidRDefault="0048627B" w:rsidP="0048627B">
      <w:pPr>
        <w:spacing w:after="160" w:line="259" w:lineRule="auto"/>
        <w:jc w:val="center"/>
        <w:rPr>
          <w:rFonts w:ascii="Arial" w:hAnsi="Arial" w:cs="Arial"/>
          <w:bCs/>
        </w:rPr>
      </w:pPr>
      <w:r>
        <w:rPr>
          <w:rFonts w:ascii="Arial" w:hAnsi="Arial" w:cs="Arial"/>
          <w:bCs/>
          <w:noProof/>
          <w:lang w:eastAsia="es-CO" w:bidi="ar-SA"/>
        </w:rPr>
        <w:drawing>
          <wp:inline distT="0" distB="0" distL="0" distR="0">
            <wp:extent cx="4381500" cy="22193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
                      <a:extLst>
                        <a:ext uri="{28A0092B-C50C-407E-A947-70E740481C1C}">
                          <a14:useLocalDpi xmlns:a14="http://schemas.microsoft.com/office/drawing/2010/main" val="0"/>
                        </a:ext>
                      </a:extLst>
                    </a:blip>
                    <a:srcRect t="8167" r="-502"/>
                    <a:stretch>
                      <a:fillRect/>
                    </a:stretch>
                  </pic:blipFill>
                  <pic:spPr bwMode="auto">
                    <a:xfrm>
                      <a:off x="0" y="0"/>
                      <a:ext cx="4381500" cy="2219325"/>
                    </a:xfrm>
                    <a:prstGeom prst="rect">
                      <a:avLst/>
                    </a:prstGeom>
                    <a:noFill/>
                    <a:ln>
                      <a:noFill/>
                    </a:ln>
                  </pic:spPr>
                </pic:pic>
              </a:graphicData>
            </a:graphic>
          </wp:inline>
        </w:drawing>
      </w:r>
    </w:p>
    <w:p w:rsidR="0048627B" w:rsidRDefault="0048627B" w:rsidP="0048627B">
      <w:pPr>
        <w:pStyle w:val="Prrafodelista"/>
        <w:numPr>
          <w:ilvl w:val="0"/>
          <w:numId w:val="25"/>
        </w:numPr>
        <w:spacing w:after="160" w:line="259" w:lineRule="auto"/>
        <w:rPr>
          <w:rFonts w:ascii="Arial" w:eastAsia="Calibri" w:hAnsi="Arial" w:cs="Arial"/>
          <w:b/>
          <w:sz w:val="24"/>
          <w:szCs w:val="24"/>
          <w:lang w:eastAsia="en-US"/>
        </w:rPr>
      </w:pPr>
      <w:r w:rsidRPr="00552615">
        <w:rPr>
          <w:rFonts w:ascii="Arial" w:eastAsia="Calibri" w:hAnsi="Arial" w:cs="Arial"/>
          <w:b/>
          <w:sz w:val="24"/>
          <w:szCs w:val="24"/>
          <w:lang w:eastAsia="en-US"/>
        </w:rPr>
        <w:t>TÉCNICO</w:t>
      </w:r>
    </w:p>
    <w:p w:rsidR="0048627B" w:rsidRPr="00552615" w:rsidRDefault="0048627B" w:rsidP="0048627B">
      <w:pPr>
        <w:pStyle w:val="Prrafodelista"/>
        <w:spacing w:after="160" w:line="259" w:lineRule="auto"/>
        <w:ind w:left="720"/>
        <w:rPr>
          <w:rFonts w:ascii="Arial" w:eastAsia="Calibri" w:hAnsi="Arial" w:cs="Arial"/>
          <w:b/>
          <w:sz w:val="24"/>
          <w:szCs w:val="24"/>
          <w:lang w:eastAsia="en-US"/>
        </w:rPr>
      </w:pPr>
    </w:p>
    <w:p w:rsidR="0048627B" w:rsidRPr="00552615"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 xml:space="preserve">Tradicionalmente el sector de la construcción en el que el desarrollo de las innovaciones se presenta con bastante lentitud a nivel Nacional, Local e inclusive a nivel Internacional, los sistemas constructivos no han variado de manera significativos en lo corrido de los últimos 20 años. </w:t>
      </w:r>
    </w:p>
    <w:p w:rsidR="0048627B" w:rsidRPr="00552615"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 xml:space="preserve">En materia de construcción de edificaciones se cuenta con la normatividad reglamentada por la NSR-10 bajo la ley 400 de 1997, la cual establece los criterios generales en materia de diseño y calculo estructural, tradicionalmente los diseñadores han escogido el hormigón armado como el material principal para dar soporte a las edificaciones, no obstante, en los últimos años se ha observado un crecimiento en la aplicación de nuevos materiales y procesos constructivos tales como sistemas en acero, losas en Steel </w:t>
      </w:r>
      <w:proofErr w:type="spellStart"/>
      <w:r w:rsidRPr="00552615">
        <w:rPr>
          <w:rFonts w:ascii="Arial" w:eastAsia="Calibri" w:hAnsi="Arial" w:cs="Arial"/>
          <w:lang w:eastAsia="en-US"/>
        </w:rPr>
        <w:t>deck</w:t>
      </w:r>
      <w:proofErr w:type="spellEnd"/>
      <w:r w:rsidRPr="00552615">
        <w:rPr>
          <w:rFonts w:ascii="Arial" w:eastAsia="Calibri" w:hAnsi="Arial" w:cs="Arial"/>
          <w:lang w:eastAsia="en-US"/>
        </w:rPr>
        <w:t xml:space="preserve"> entre otros. </w:t>
      </w:r>
    </w:p>
    <w:p w:rsidR="0048627B" w:rsidRPr="00552615" w:rsidRDefault="0048627B" w:rsidP="0048627B">
      <w:pPr>
        <w:tabs>
          <w:tab w:val="center" w:pos="4278"/>
        </w:tabs>
        <w:spacing w:after="160" w:line="259" w:lineRule="auto"/>
        <w:jc w:val="both"/>
        <w:rPr>
          <w:rFonts w:ascii="Arial" w:eastAsia="Calibri" w:hAnsi="Arial" w:cs="Arial"/>
          <w:lang w:eastAsia="en-US"/>
        </w:rPr>
      </w:pPr>
      <w:r w:rsidRPr="00552615">
        <w:rPr>
          <w:rFonts w:ascii="Arial" w:eastAsia="Calibri" w:hAnsi="Arial" w:cs="Arial"/>
          <w:lang w:eastAsia="en-US"/>
        </w:rPr>
        <w:t>El proceso de contratación, se realiza con el fin de garantizar el mantenimiento preventivo, correctivo y de mejoramiento de las sedes y/o edificaciones de propiedad o tenencia de la Alcaldía Local de Barrios Unidos; lo que permitirá garantizar el correcto y normal funcionamiento en las instalaciones de la Alcaldía Local, mitigando así los riesgos asociados a la ocurrencia de posibles daños, además de corregir aquellos que se presentan por deterioro o desgaste normal y de esta manera prestar un mejor servicio a la comunidad y a los funcionarios.</w:t>
      </w:r>
    </w:p>
    <w:p w:rsidR="0048627B" w:rsidRPr="00552615" w:rsidRDefault="0048627B" w:rsidP="0048627B">
      <w:pPr>
        <w:tabs>
          <w:tab w:val="center" w:pos="4278"/>
        </w:tabs>
        <w:spacing w:after="160" w:line="259" w:lineRule="auto"/>
        <w:jc w:val="both"/>
        <w:rPr>
          <w:rFonts w:ascii="Arial" w:eastAsia="Calibri" w:hAnsi="Arial" w:cs="Arial"/>
          <w:lang w:eastAsia="en-US"/>
        </w:rPr>
      </w:pPr>
      <w:r w:rsidRPr="00552615">
        <w:rPr>
          <w:rFonts w:ascii="Arial" w:eastAsia="Calibri" w:hAnsi="Arial" w:cs="Arial"/>
          <w:lang w:eastAsia="en-US"/>
        </w:rPr>
        <w:t>Las obras contempladas dentro del presente proceso son:</w:t>
      </w:r>
    </w:p>
    <w:p w:rsidR="0048627B" w:rsidRPr="00552615" w:rsidRDefault="0048627B" w:rsidP="0048627B">
      <w:pPr>
        <w:jc w:val="both"/>
        <w:rPr>
          <w:rFonts w:ascii="Arial" w:hAnsi="Arial" w:cs="Arial"/>
        </w:rPr>
      </w:pPr>
    </w:p>
    <w:p w:rsidR="0048627B" w:rsidRPr="00552615" w:rsidRDefault="0048627B" w:rsidP="0048627B">
      <w:pPr>
        <w:jc w:val="both"/>
        <w:rPr>
          <w:rFonts w:ascii="Arial" w:hAnsi="Arial" w:cs="Arial"/>
          <w:b/>
          <w:u w:val="single"/>
        </w:rPr>
      </w:pPr>
      <w:r w:rsidRPr="00552615">
        <w:rPr>
          <w:rFonts w:ascii="Arial" w:hAnsi="Arial" w:cs="Arial"/>
          <w:b/>
          <w:u w:val="single"/>
        </w:rPr>
        <w:t>REPARACIONES LOCATIVAS:</w:t>
      </w:r>
    </w:p>
    <w:p w:rsidR="0048627B" w:rsidRPr="00552615" w:rsidRDefault="0048627B" w:rsidP="0048627B">
      <w:pPr>
        <w:jc w:val="both"/>
        <w:rPr>
          <w:rFonts w:ascii="Arial" w:hAnsi="Arial" w:cs="Arial"/>
          <w:b/>
        </w:rPr>
      </w:pPr>
    </w:p>
    <w:p w:rsidR="0048627B" w:rsidRDefault="0048627B" w:rsidP="0048627B">
      <w:pPr>
        <w:jc w:val="both"/>
        <w:rPr>
          <w:rFonts w:ascii="Arial" w:hAnsi="Arial" w:cs="Arial"/>
        </w:rPr>
      </w:pPr>
      <w:r w:rsidRPr="00552615">
        <w:rPr>
          <w:rFonts w:ascii="Arial" w:hAnsi="Arial" w:cs="Arial"/>
        </w:rPr>
        <w:t xml:space="preserve">A este proceso de selección y a los contratos que de él se deriven, son aplicables los principios y normas de la Constitución Política, la Ley 80 de 1993, la Ley 1150 de 2007, el Articulo 94 de la Ley 1474 de 2011 y el Decreto 1082 de 2015 y demás normas concordantes o complementarias. Para aquellos aspectos no regulados en las normas anteriores, se aplicarán las normas comerciales y civiles pertinentes, así como las reglas previstas en este estudio previo y anexo técnico. Además, se aplicarán las normas propias del Distrito Capital y las reglamentaciones </w:t>
      </w:r>
      <w:r>
        <w:rPr>
          <w:rFonts w:ascii="Arial" w:hAnsi="Arial" w:cs="Arial"/>
        </w:rPr>
        <w:t>relacionadas con el objeto contractual.</w:t>
      </w:r>
    </w:p>
    <w:p w:rsidR="0048627B" w:rsidRPr="00552615" w:rsidRDefault="0048627B" w:rsidP="0048627B">
      <w:pPr>
        <w:jc w:val="both"/>
        <w:rPr>
          <w:rFonts w:ascii="Arial" w:hAnsi="Arial" w:cs="Arial"/>
        </w:rPr>
      </w:pPr>
    </w:p>
    <w:p w:rsidR="0048627B" w:rsidRPr="00552615" w:rsidRDefault="0048627B" w:rsidP="0048627B">
      <w:pPr>
        <w:autoSpaceDE w:val="0"/>
        <w:adjustRightInd w:val="0"/>
        <w:rPr>
          <w:rFonts w:ascii="Arial" w:hAnsi="Arial" w:cs="Arial"/>
          <w:b/>
          <w:u w:val="single"/>
        </w:rPr>
      </w:pPr>
      <w:r w:rsidRPr="00552615">
        <w:rPr>
          <w:rFonts w:ascii="Arial" w:hAnsi="Arial" w:cs="Arial"/>
          <w:b/>
          <w:u w:val="single"/>
        </w:rPr>
        <w:t>MANTENIMIENTO PREVENTIVO:</w:t>
      </w:r>
    </w:p>
    <w:p w:rsidR="0048627B" w:rsidRPr="00552615" w:rsidRDefault="0048627B" w:rsidP="0048627B">
      <w:pPr>
        <w:autoSpaceDE w:val="0"/>
        <w:adjustRightInd w:val="0"/>
        <w:rPr>
          <w:rFonts w:ascii="Arial" w:hAnsi="Arial" w:cs="Arial"/>
          <w:b/>
        </w:rPr>
      </w:pPr>
    </w:p>
    <w:p w:rsidR="0048627B" w:rsidRPr="00552615" w:rsidRDefault="0048627B" w:rsidP="0048627B">
      <w:pPr>
        <w:autoSpaceDE w:val="0"/>
        <w:adjustRightInd w:val="0"/>
        <w:jc w:val="both"/>
        <w:rPr>
          <w:rFonts w:ascii="Arial" w:hAnsi="Arial" w:cs="Arial"/>
        </w:rPr>
      </w:pPr>
      <w:r w:rsidRPr="00552615">
        <w:rPr>
          <w:rFonts w:ascii="Arial" w:hAnsi="Arial" w:cs="Arial"/>
        </w:rPr>
        <w:t xml:space="preserve">El mantenimiento preventivo consiste en una serie de operaciones sistemáticas de acuerdo con un programa de revisiones periódicas en función del tiempo y del servicio. La experiencia demuestra que la inspección y revisión de los equipos permite descubrir el grado de obsolescencia de los mismos y la probabilidad de avería, información que representa una economía de costos del mantenimiento. Ya que la revisión se realiza antes de que se produzca la avería. </w:t>
      </w:r>
    </w:p>
    <w:p w:rsidR="0048627B" w:rsidRPr="00552615" w:rsidRDefault="0048627B" w:rsidP="0048627B">
      <w:pPr>
        <w:autoSpaceDE w:val="0"/>
        <w:adjustRightInd w:val="0"/>
        <w:jc w:val="both"/>
        <w:rPr>
          <w:rFonts w:ascii="Arial" w:hAnsi="Arial" w:cs="Arial"/>
        </w:rPr>
      </w:pPr>
    </w:p>
    <w:p w:rsidR="0048627B" w:rsidRPr="00552615" w:rsidRDefault="0048627B" w:rsidP="0048627B">
      <w:pPr>
        <w:autoSpaceDE w:val="0"/>
        <w:adjustRightInd w:val="0"/>
        <w:rPr>
          <w:rFonts w:ascii="Arial" w:hAnsi="Arial" w:cs="Arial"/>
        </w:rPr>
      </w:pPr>
    </w:p>
    <w:p w:rsidR="0048627B" w:rsidRPr="00552615" w:rsidRDefault="0048627B" w:rsidP="0048627B">
      <w:pPr>
        <w:autoSpaceDE w:val="0"/>
        <w:adjustRightInd w:val="0"/>
        <w:rPr>
          <w:rFonts w:ascii="Arial" w:hAnsi="Arial" w:cs="Arial"/>
          <w:b/>
          <w:u w:val="single"/>
        </w:rPr>
      </w:pPr>
      <w:r w:rsidRPr="00552615">
        <w:rPr>
          <w:rFonts w:ascii="Arial" w:hAnsi="Arial" w:cs="Arial"/>
          <w:b/>
          <w:u w:val="single"/>
        </w:rPr>
        <w:t>MANTENIMIENTO CORRECTIVO:</w:t>
      </w:r>
    </w:p>
    <w:p w:rsidR="0048627B" w:rsidRPr="00552615" w:rsidRDefault="0048627B" w:rsidP="0048627B">
      <w:pPr>
        <w:autoSpaceDE w:val="0"/>
        <w:adjustRightInd w:val="0"/>
        <w:rPr>
          <w:rFonts w:ascii="Arial" w:hAnsi="Arial" w:cs="Arial"/>
          <w:b/>
        </w:rPr>
      </w:pPr>
    </w:p>
    <w:p w:rsidR="0048627B" w:rsidRPr="00552615" w:rsidRDefault="0048627B" w:rsidP="0048627B">
      <w:pPr>
        <w:autoSpaceDE w:val="0"/>
        <w:adjustRightInd w:val="0"/>
        <w:jc w:val="both"/>
        <w:rPr>
          <w:rFonts w:ascii="Arial" w:hAnsi="Arial" w:cs="Arial"/>
        </w:rPr>
      </w:pPr>
      <w:r w:rsidRPr="00552615">
        <w:rPr>
          <w:rFonts w:ascii="Arial" w:hAnsi="Arial" w:cs="Arial"/>
        </w:rPr>
        <w:t xml:space="preserve">El mantenimiento correctivo se produce una vez que se presenta avería y por lo tanto no tiene una periodicidad concreta. Este tipo de mantenimiento aumenta su importancia en la medida que el mantenimiento preventivo es menor. También dentro del término mantenimiento cabe incluir la renovación y mejora de las instalaciones existentes. Es práctica bastante común el continuar con equipos obsoletos mucho después de convertirse en una carga financiera. </w:t>
      </w:r>
    </w:p>
    <w:p w:rsidR="0048627B" w:rsidRPr="00552615" w:rsidRDefault="0048627B" w:rsidP="0048627B">
      <w:pPr>
        <w:autoSpaceDE w:val="0"/>
        <w:adjustRightInd w:val="0"/>
        <w:jc w:val="both"/>
        <w:rPr>
          <w:rFonts w:ascii="Arial" w:hAnsi="Arial" w:cs="Arial"/>
        </w:rPr>
      </w:pPr>
    </w:p>
    <w:p w:rsidR="0048627B" w:rsidRPr="00552615" w:rsidRDefault="0048627B" w:rsidP="0048627B">
      <w:pPr>
        <w:autoSpaceDE w:val="0"/>
        <w:adjustRightInd w:val="0"/>
        <w:rPr>
          <w:rFonts w:ascii="Arial" w:hAnsi="Arial" w:cs="Arial"/>
          <w:b/>
          <w:u w:val="single"/>
        </w:rPr>
      </w:pPr>
      <w:r w:rsidRPr="00552615">
        <w:rPr>
          <w:rFonts w:ascii="Arial" w:hAnsi="Arial" w:cs="Arial"/>
          <w:b/>
          <w:u w:val="single"/>
        </w:rPr>
        <w:t>MEJORAS:</w:t>
      </w:r>
    </w:p>
    <w:p w:rsidR="0048627B" w:rsidRPr="00552615" w:rsidRDefault="0048627B" w:rsidP="0048627B">
      <w:pPr>
        <w:autoSpaceDE w:val="0"/>
        <w:adjustRightInd w:val="0"/>
        <w:rPr>
          <w:rFonts w:ascii="Arial" w:hAnsi="Arial" w:cs="Arial"/>
          <w:b/>
        </w:rPr>
      </w:pPr>
    </w:p>
    <w:p w:rsidR="0048627B" w:rsidRPr="00552615" w:rsidRDefault="0048627B" w:rsidP="0048627B">
      <w:pPr>
        <w:autoSpaceDE w:val="0"/>
        <w:adjustRightInd w:val="0"/>
        <w:jc w:val="both"/>
        <w:rPr>
          <w:rFonts w:ascii="Arial" w:hAnsi="Arial" w:cs="Arial"/>
        </w:rPr>
      </w:pPr>
      <w:r w:rsidRPr="00552615">
        <w:rPr>
          <w:rFonts w:ascii="Arial" w:hAnsi="Arial" w:cs="Arial"/>
        </w:rPr>
        <w:t xml:space="preserve">Se entiende por reparaciones o mejoras locativas aquellas obras que tienen como finalidad mantener el inmueble en las debidas condiciones de higiene y ornato sin afectar su estructura portante, su distribución interior, sus características funcionales, formales y/o volumétricas." (Art. 10, Decreto 1469 de 2010). </w:t>
      </w:r>
    </w:p>
    <w:p w:rsidR="0048627B" w:rsidRPr="00552615" w:rsidRDefault="0048627B" w:rsidP="0048627B">
      <w:pPr>
        <w:jc w:val="both"/>
        <w:rPr>
          <w:rFonts w:ascii="Arial" w:hAnsi="Arial" w:cs="Arial"/>
        </w:rPr>
      </w:pPr>
      <w:r w:rsidRPr="00552615">
        <w:rPr>
          <w:rFonts w:ascii="Arial" w:hAnsi="Arial" w:cs="Arial"/>
        </w:rPr>
        <w:t>Están incluidas dentro de las reparaciones locativas, entre otras, las siguientes obras: mantenimiento, sustitución, restitución o mejoramiento de los materiales de pisos, cielorrasos, enchapes, pintura en general, y la sustitución, mejoramiento o ampliación de redes de instalaciones hidráulicas, sanitarias, eléctricas, telefónicas o de gas.</w:t>
      </w:r>
    </w:p>
    <w:p w:rsidR="0048627B" w:rsidRPr="00552615" w:rsidRDefault="0048627B" w:rsidP="0048627B">
      <w:pPr>
        <w:spacing w:after="160" w:line="259" w:lineRule="auto"/>
        <w:jc w:val="both"/>
        <w:rPr>
          <w:rFonts w:ascii="Arial" w:eastAsia="Calibri" w:hAnsi="Arial" w:cs="Arial"/>
          <w:lang w:eastAsia="en-US"/>
        </w:rPr>
      </w:pPr>
    </w:p>
    <w:p w:rsidR="0048627B" w:rsidRPr="00552615" w:rsidRDefault="0048627B" w:rsidP="0048627B">
      <w:pPr>
        <w:pStyle w:val="Prrafodelista"/>
        <w:numPr>
          <w:ilvl w:val="0"/>
          <w:numId w:val="25"/>
        </w:numPr>
        <w:spacing w:after="160" w:line="259" w:lineRule="auto"/>
        <w:ind w:left="284" w:hanging="284"/>
        <w:jc w:val="both"/>
        <w:rPr>
          <w:rFonts w:ascii="Arial" w:eastAsia="Calibri" w:hAnsi="Arial" w:cs="Arial"/>
          <w:b/>
          <w:sz w:val="24"/>
          <w:szCs w:val="24"/>
          <w:lang w:eastAsia="en-US"/>
        </w:rPr>
      </w:pPr>
      <w:r w:rsidRPr="00552615">
        <w:rPr>
          <w:rFonts w:ascii="Arial" w:eastAsia="Calibri" w:hAnsi="Arial" w:cs="Arial"/>
          <w:b/>
          <w:sz w:val="24"/>
          <w:szCs w:val="24"/>
          <w:lang w:eastAsia="en-US"/>
        </w:rPr>
        <w:t>REGULATORIO</w:t>
      </w:r>
    </w:p>
    <w:p w:rsidR="0048627B" w:rsidRPr="00084CD3" w:rsidRDefault="0048627B" w:rsidP="0048627B">
      <w:pPr>
        <w:autoSpaceDE w:val="0"/>
        <w:adjustRightInd w:val="0"/>
        <w:jc w:val="both"/>
        <w:rPr>
          <w:rFonts w:ascii="Arial" w:hAnsi="Arial" w:cs="Arial"/>
        </w:rPr>
      </w:pPr>
      <w:r w:rsidRPr="00084CD3">
        <w:rPr>
          <w:rFonts w:ascii="Arial" w:hAnsi="Arial" w:cs="Arial"/>
        </w:rPr>
        <w:t xml:space="preserve">El marco regulatorio en construcción es amplio y cubre todas las áreas de influencia, frente a este proceso se encuentran principalmente: </w:t>
      </w:r>
    </w:p>
    <w:p w:rsidR="0048627B" w:rsidRPr="00084CD3" w:rsidRDefault="0048627B" w:rsidP="0048627B">
      <w:pPr>
        <w:autoSpaceDE w:val="0"/>
        <w:adjustRightInd w:val="0"/>
        <w:jc w:val="both"/>
        <w:rPr>
          <w:rFonts w:ascii="Arial" w:hAnsi="Arial" w:cs="Arial"/>
        </w:rPr>
      </w:pP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1. Legislación ambiental Distrital y Nacional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2. Legislación de seguridad industrial y de salud ocupacional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3. El Código NSR –10 Normas Colombianas de Diseño y Construcción Sismo Resistentes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4. Ley 400 de 1997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5. El Código Eléctrico Nacional, norma ICONTEC 2050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6. El Reglamento Técnico de Instalaciones Eléctricas Resolución No. 18 0398 de 7 de abril de 2004 expedida por el Ministerio de Minas y Energía (RETIE)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7. Las normas vigentes de la empresa de energía encargada del suministro y control de la energía en la localidad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8. Reglamento técnico del sector de agua potable y saneamiento básico, RAS – 2000,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9. Resolución 1096 del 17 de noviembre de 2000, emanada del Ministerio de Desarrollo Económico de la República de Colombia.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10. Reglamentación de manejo ambiental y recursos hídricos.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11. Legislación de tránsito vehicular y peatonal, Normatividad vigente a nivel nacional para la movilización de maquinaria y equipo pesado impuesta en </w:t>
      </w:r>
      <w:proofErr w:type="gramStart"/>
      <w:r w:rsidRPr="00084CD3">
        <w:rPr>
          <w:rFonts w:ascii="Arial" w:hAnsi="Arial" w:cs="Arial"/>
        </w:rPr>
        <w:t>éste</w:t>
      </w:r>
      <w:proofErr w:type="gramEnd"/>
      <w:r w:rsidRPr="00084CD3">
        <w:rPr>
          <w:rFonts w:ascii="Arial" w:hAnsi="Arial" w:cs="Arial"/>
        </w:rPr>
        <w:t xml:space="preserve"> tipo de proyectos por la entidad competente.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12. Decreto 2060 del 24 de junio de 2004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13. Ley 388 de 1997 </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14. Decreto 190 de 2004 y sus normas reglamentarias. </w:t>
      </w:r>
    </w:p>
    <w:p w:rsidR="0048627B" w:rsidRDefault="0048627B" w:rsidP="0048627B">
      <w:pPr>
        <w:spacing w:after="160" w:line="259" w:lineRule="auto"/>
        <w:jc w:val="both"/>
        <w:rPr>
          <w:rFonts w:ascii="Arial" w:hAnsi="Arial" w:cs="Arial"/>
        </w:rPr>
      </w:pPr>
      <w:r w:rsidRPr="00084CD3">
        <w:rPr>
          <w:rFonts w:ascii="Arial" w:hAnsi="Arial" w:cs="Arial"/>
        </w:rPr>
        <w:t xml:space="preserve">15. Decreto 975 de 2004 </w:t>
      </w:r>
    </w:p>
    <w:p w:rsidR="0048627B" w:rsidRPr="00084CD3" w:rsidRDefault="0048627B" w:rsidP="0048627B">
      <w:pPr>
        <w:spacing w:after="160" w:line="259" w:lineRule="auto"/>
        <w:jc w:val="both"/>
        <w:rPr>
          <w:rFonts w:ascii="Arial" w:hAnsi="Arial" w:cs="Arial"/>
        </w:rPr>
      </w:pPr>
      <w:r w:rsidRPr="00084CD3">
        <w:rPr>
          <w:rFonts w:ascii="Arial" w:hAnsi="Arial" w:cs="Arial"/>
        </w:rPr>
        <w:t>16. Ley 915 de 2004</w:t>
      </w:r>
    </w:p>
    <w:p w:rsidR="0048627B" w:rsidRPr="00084CD3" w:rsidRDefault="0048627B" w:rsidP="0048627B">
      <w:pPr>
        <w:spacing w:after="160" w:line="259" w:lineRule="auto"/>
        <w:jc w:val="both"/>
        <w:rPr>
          <w:rFonts w:ascii="Arial" w:hAnsi="Arial" w:cs="Arial"/>
        </w:rPr>
      </w:pPr>
      <w:r w:rsidRPr="00084CD3">
        <w:rPr>
          <w:rFonts w:ascii="Arial" w:hAnsi="Arial" w:cs="Arial"/>
        </w:rPr>
        <w:t>Adicionalmente, también es importante tener presente:</w:t>
      </w:r>
    </w:p>
    <w:p w:rsidR="0048627B" w:rsidRPr="00084CD3" w:rsidRDefault="0048627B" w:rsidP="0048627B">
      <w:pPr>
        <w:spacing w:after="160" w:line="259" w:lineRule="auto"/>
        <w:jc w:val="both"/>
        <w:rPr>
          <w:rFonts w:ascii="Arial" w:hAnsi="Arial" w:cs="Arial"/>
        </w:rPr>
      </w:pPr>
      <w:r w:rsidRPr="00084CD3">
        <w:rPr>
          <w:rFonts w:ascii="Arial" w:hAnsi="Arial" w:cs="Arial"/>
        </w:rPr>
        <w:t>Reglamento Técnico De Instalaciones Eléctricas (Retie):</w:t>
      </w:r>
    </w:p>
    <w:p w:rsidR="0048627B" w:rsidRPr="00084CD3" w:rsidRDefault="0048627B" w:rsidP="0048627B">
      <w:pPr>
        <w:spacing w:after="160" w:line="259" w:lineRule="auto"/>
        <w:jc w:val="both"/>
        <w:rPr>
          <w:rFonts w:ascii="Arial" w:hAnsi="Arial" w:cs="Arial"/>
        </w:rPr>
      </w:pPr>
      <w:r w:rsidRPr="00084CD3">
        <w:rPr>
          <w:rFonts w:ascii="Arial" w:hAnsi="Arial" w:cs="Arial"/>
        </w:rPr>
        <w:t>La Resolución 18 1294 del 6 de agosto de 2008 que encabeza el Ministerio de Minas y Energía señala: “Las exigencias y especificaciones que garanticen la seguridad de las instalaciones eléctricas con base en su buen funcionamiento, la confiabilidad, calidad y adecuada utilización de los productos, es decir, fija los parámetros mínimos de seguridad para las instalaciones eléctricas</w:t>
      </w:r>
    </w:p>
    <w:p w:rsidR="0048627B" w:rsidRPr="00084CD3" w:rsidRDefault="0048627B" w:rsidP="0048627B">
      <w:pPr>
        <w:spacing w:after="160" w:line="259" w:lineRule="auto"/>
        <w:jc w:val="both"/>
        <w:rPr>
          <w:rFonts w:ascii="Arial" w:hAnsi="Arial" w:cs="Arial"/>
          <w:b/>
        </w:rPr>
      </w:pPr>
      <w:r w:rsidRPr="00084CD3">
        <w:rPr>
          <w:rFonts w:ascii="Arial" w:hAnsi="Arial" w:cs="Arial"/>
          <w:b/>
        </w:rPr>
        <w:t>Reglamento Técnico de Iluminación y Alumbrado Público (</w:t>
      </w:r>
      <w:proofErr w:type="spellStart"/>
      <w:r w:rsidRPr="00084CD3">
        <w:rPr>
          <w:rFonts w:ascii="Arial" w:hAnsi="Arial" w:cs="Arial"/>
          <w:b/>
        </w:rPr>
        <w:t>Retilap</w:t>
      </w:r>
      <w:proofErr w:type="spellEnd"/>
      <w:r w:rsidRPr="00084CD3">
        <w:rPr>
          <w:rFonts w:ascii="Arial" w:hAnsi="Arial" w:cs="Arial"/>
          <w:b/>
        </w:rPr>
        <w:t>)</w:t>
      </w:r>
    </w:p>
    <w:p w:rsidR="0048627B" w:rsidRPr="00084CD3" w:rsidRDefault="0048627B" w:rsidP="0048627B">
      <w:pPr>
        <w:spacing w:after="160" w:line="259" w:lineRule="auto"/>
        <w:jc w:val="both"/>
        <w:rPr>
          <w:rFonts w:ascii="Arial" w:hAnsi="Arial" w:cs="Arial"/>
        </w:rPr>
      </w:pPr>
      <w:r w:rsidRPr="00084CD3">
        <w:rPr>
          <w:rFonts w:ascii="Arial" w:hAnsi="Arial" w:cs="Arial"/>
        </w:rPr>
        <w:t>La Resolución No. 18 1331 de agosto 6 de 2009, establece: “Las reglas generales que se deben tener en cuenta en los sistemas de iluminación interior y exterior y de alumbrado público, en el territorio colombiano, inculcando el uso racional y eficiente de energía (URE) en iluminación”.</w:t>
      </w:r>
    </w:p>
    <w:p w:rsidR="0048627B" w:rsidRPr="00084CD3" w:rsidRDefault="0048627B" w:rsidP="0048627B">
      <w:pPr>
        <w:spacing w:after="160" w:line="259" w:lineRule="auto"/>
        <w:jc w:val="both"/>
        <w:rPr>
          <w:rFonts w:ascii="Arial" w:hAnsi="Arial" w:cs="Arial"/>
        </w:rPr>
      </w:pPr>
      <w:r w:rsidRPr="00084CD3">
        <w:rPr>
          <w:rFonts w:ascii="Arial" w:hAnsi="Arial" w:cs="Arial"/>
        </w:rPr>
        <w:t>De esta forma, establece las exigencias y especificaciones mínimas para que las instalaciones de iluminación garanticen la seguridad y confort con base en su buen diseño y desempeño operativo, así como los requisitos de los productos empleados en las mismas.</w:t>
      </w:r>
    </w:p>
    <w:p w:rsidR="0048627B" w:rsidRPr="00084CD3" w:rsidRDefault="0048627B" w:rsidP="0048627B">
      <w:pPr>
        <w:spacing w:after="160" w:line="259" w:lineRule="auto"/>
        <w:jc w:val="both"/>
        <w:rPr>
          <w:rFonts w:ascii="Arial" w:hAnsi="Arial" w:cs="Arial"/>
          <w:b/>
        </w:rPr>
      </w:pPr>
      <w:r w:rsidRPr="00084CD3">
        <w:rPr>
          <w:rFonts w:ascii="Arial" w:hAnsi="Arial" w:cs="Arial"/>
          <w:b/>
        </w:rPr>
        <w:t xml:space="preserve">Protocolo de </w:t>
      </w:r>
      <w:proofErr w:type="spellStart"/>
      <w:r w:rsidRPr="00084CD3">
        <w:rPr>
          <w:rFonts w:ascii="Arial" w:hAnsi="Arial" w:cs="Arial"/>
          <w:b/>
        </w:rPr>
        <w:t>Kyoto</w:t>
      </w:r>
      <w:proofErr w:type="spellEnd"/>
      <w:r w:rsidRPr="00084CD3">
        <w:rPr>
          <w:rFonts w:ascii="Arial" w:hAnsi="Arial" w:cs="Arial"/>
          <w:b/>
        </w:rPr>
        <w:t>:</w:t>
      </w:r>
    </w:p>
    <w:p w:rsidR="0048627B" w:rsidRDefault="0048627B" w:rsidP="0048627B">
      <w:pPr>
        <w:spacing w:after="160" w:line="259" w:lineRule="auto"/>
        <w:jc w:val="both"/>
        <w:rPr>
          <w:rFonts w:ascii="Arial" w:hAnsi="Arial" w:cs="Arial"/>
        </w:rPr>
      </w:pPr>
      <w:r w:rsidRPr="00084CD3">
        <w:rPr>
          <w:rFonts w:ascii="Arial" w:hAnsi="Arial" w:cs="Arial"/>
        </w:rPr>
        <w:t xml:space="preserve">De acuerdo a la empresa de seguridad industrial </w:t>
      </w:r>
      <w:proofErr w:type="spellStart"/>
      <w:r w:rsidRPr="00084CD3">
        <w:rPr>
          <w:rFonts w:ascii="Arial" w:hAnsi="Arial" w:cs="Arial"/>
        </w:rPr>
        <w:t>Arseg</w:t>
      </w:r>
      <w:proofErr w:type="spellEnd"/>
      <w:r w:rsidRPr="00084CD3">
        <w:rPr>
          <w:rFonts w:ascii="Arial" w:hAnsi="Arial" w:cs="Arial"/>
        </w:rPr>
        <w:t>, Colombia, a través de la Convención Marco de las Naciones Unidas sobre Cambio Climático y la Ley 629 de 2000, se sumó a este Protocolo en el que se instauran medidas que comprometen al país en una iniciativa ambiental, que consiste en cambiar las fuentes de iluminación de baja eficacia lámparas fluorescentes-, por fuentes de iluminación de mayor eficacia lumínica.</w:t>
      </w:r>
    </w:p>
    <w:p w:rsidR="0048627B" w:rsidRPr="00084CD3" w:rsidRDefault="0048627B" w:rsidP="0048627B">
      <w:pPr>
        <w:spacing w:after="160" w:line="259" w:lineRule="auto"/>
        <w:jc w:val="both"/>
        <w:rPr>
          <w:rFonts w:ascii="Arial" w:hAnsi="Arial" w:cs="Arial"/>
          <w:b/>
        </w:rPr>
      </w:pPr>
      <w:r w:rsidRPr="00084CD3">
        <w:rPr>
          <w:rFonts w:ascii="Arial" w:hAnsi="Arial" w:cs="Arial"/>
          <w:b/>
        </w:rPr>
        <w:t>Normatividad para accesorios de Polipropileno: NTC 4897</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Por otro lado, los accesorios de polipropileno están regulados por la norma NTC 4897-1/-2/-3. El polipropileno, por ser material que no necesita de un solvente para efectos de montaje de tubería, no necesita reglamentar limpiadores ni roscas; los detalles técnicos de la norma se basan en gran parte en los procesos de </w:t>
      </w:r>
      <w:proofErr w:type="spellStart"/>
      <w:r w:rsidRPr="00084CD3">
        <w:rPr>
          <w:rFonts w:ascii="Arial" w:hAnsi="Arial" w:cs="Arial"/>
        </w:rPr>
        <w:t>termodifusión</w:t>
      </w:r>
      <w:proofErr w:type="spellEnd"/>
      <w:r w:rsidRPr="00084CD3">
        <w:rPr>
          <w:rFonts w:ascii="Arial" w:hAnsi="Arial" w:cs="Arial"/>
        </w:rPr>
        <w:t xml:space="preserve"> (las piezas a ser ensambladas se funden en una sola pieza).</w:t>
      </w:r>
    </w:p>
    <w:p w:rsidR="0048627B" w:rsidRPr="00084CD3" w:rsidRDefault="0048627B" w:rsidP="0048627B">
      <w:pPr>
        <w:spacing w:after="160" w:line="259" w:lineRule="auto"/>
        <w:jc w:val="both"/>
        <w:rPr>
          <w:rFonts w:ascii="Arial" w:hAnsi="Arial" w:cs="Arial"/>
        </w:rPr>
      </w:pPr>
      <w:r w:rsidRPr="00084CD3">
        <w:rPr>
          <w:rFonts w:ascii="Arial" w:hAnsi="Arial" w:cs="Arial"/>
        </w:rPr>
        <w:t>La NTC 4897 regula características como diámetro, presión, temperatura, impacto y toxicidad, entre otros. El polipropileno es un material que todavía no es de uso masivo en Colombia. Por esta razón, las normas técnicas de este material son difícilmente conocidas.</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David Quintana, gerente de mercadeo de </w:t>
      </w:r>
      <w:proofErr w:type="spellStart"/>
      <w:r w:rsidRPr="00084CD3">
        <w:rPr>
          <w:rFonts w:ascii="Arial" w:hAnsi="Arial" w:cs="Arial"/>
        </w:rPr>
        <w:t>Dicol</w:t>
      </w:r>
      <w:proofErr w:type="spellEnd"/>
      <w:r w:rsidRPr="00084CD3">
        <w:rPr>
          <w:rFonts w:ascii="Arial" w:hAnsi="Arial" w:cs="Arial"/>
        </w:rPr>
        <w:t xml:space="preserve"> (principal importadora de polipropileno en Colombia), afirma </w:t>
      </w:r>
      <w:proofErr w:type="gramStart"/>
      <w:r w:rsidRPr="00084CD3">
        <w:rPr>
          <w:rFonts w:ascii="Arial" w:hAnsi="Arial" w:cs="Arial"/>
        </w:rPr>
        <w:t>que</w:t>
      </w:r>
      <w:proofErr w:type="gramEnd"/>
      <w:r w:rsidRPr="00084CD3">
        <w:rPr>
          <w:rFonts w:ascii="Arial" w:hAnsi="Arial" w:cs="Arial"/>
        </w:rPr>
        <w:t xml:space="preserve"> en el caso de este material, vale la pena hacer valer la normatividad, especialmente porque es un producto atóxico y amigable con el medio ambiente. Además –recalca-, por medio del reconocimiento de la norma se apoya a la industria colombiana: en el país se hacen productos normados que compiten con los de importación</w:t>
      </w:r>
    </w:p>
    <w:p w:rsidR="0048627B" w:rsidRPr="00084CD3" w:rsidRDefault="0048627B" w:rsidP="0048627B">
      <w:pPr>
        <w:spacing w:after="160" w:line="259" w:lineRule="auto"/>
        <w:jc w:val="both"/>
        <w:rPr>
          <w:rFonts w:ascii="Arial" w:hAnsi="Arial" w:cs="Arial"/>
        </w:rPr>
      </w:pPr>
      <w:r w:rsidRPr="00084CD3">
        <w:rPr>
          <w:rFonts w:ascii="Arial" w:hAnsi="Arial" w:cs="Arial"/>
        </w:rPr>
        <w:t>La importancia de la normatividad trasciende a todos los actores de la cadena. Por ello es importante que el constructor domine tanto la parte técnica, ambiental, y social de todo el proceso que genera la obra</w:t>
      </w:r>
    </w:p>
    <w:p w:rsidR="0048627B" w:rsidRPr="00084CD3" w:rsidRDefault="0048627B" w:rsidP="0048627B">
      <w:pPr>
        <w:spacing w:after="160" w:line="259" w:lineRule="auto"/>
        <w:jc w:val="both"/>
        <w:rPr>
          <w:rFonts w:ascii="Arial" w:hAnsi="Arial" w:cs="Arial"/>
        </w:rPr>
      </w:pPr>
      <w:r w:rsidRPr="00084CD3">
        <w:rPr>
          <w:rFonts w:ascii="Arial" w:hAnsi="Arial" w:cs="Arial"/>
        </w:rPr>
        <w:t>Por esta razón es importante que el constructor se cerciore de los estándares de norma de su proveedor.</w:t>
      </w:r>
    </w:p>
    <w:p w:rsidR="0048627B" w:rsidRDefault="0048627B" w:rsidP="0048627B">
      <w:pPr>
        <w:spacing w:after="160" w:line="259" w:lineRule="auto"/>
        <w:jc w:val="both"/>
        <w:rPr>
          <w:rFonts w:ascii="Arial" w:hAnsi="Arial" w:cs="Arial"/>
        </w:rPr>
      </w:pPr>
      <w:r w:rsidRPr="00084CD3">
        <w:rPr>
          <w:rFonts w:ascii="Arial" w:hAnsi="Arial" w:cs="Arial"/>
        </w:rPr>
        <w:t>La normatividad no debe verse como castigo o imposición. Su correcto dominio, aplicación e implementación beneficia a todos los actores de la cadena del mercado.</w:t>
      </w:r>
    </w:p>
    <w:p w:rsidR="0048627B" w:rsidRPr="00084CD3" w:rsidRDefault="0048627B" w:rsidP="0048627B">
      <w:pPr>
        <w:spacing w:after="160" w:line="259" w:lineRule="auto"/>
        <w:jc w:val="both"/>
        <w:rPr>
          <w:rFonts w:ascii="Arial" w:hAnsi="Arial" w:cs="Arial"/>
        </w:rPr>
      </w:pPr>
    </w:p>
    <w:p w:rsidR="0048627B" w:rsidRPr="00084CD3" w:rsidRDefault="0048627B" w:rsidP="0048627B">
      <w:pPr>
        <w:spacing w:after="160" w:line="259" w:lineRule="auto"/>
        <w:jc w:val="both"/>
        <w:rPr>
          <w:rFonts w:ascii="Arial" w:hAnsi="Arial" w:cs="Arial"/>
          <w:b/>
        </w:rPr>
      </w:pPr>
      <w:r w:rsidRPr="00084CD3">
        <w:rPr>
          <w:rFonts w:ascii="Arial" w:hAnsi="Arial" w:cs="Arial"/>
          <w:b/>
        </w:rPr>
        <w:t>Régimen tributario sector:</w:t>
      </w:r>
    </w:p>
    <w:p w:rsidR="0048627B" w:rsidRPr="00084CD3" w:rsidRDefault="0048627B" w:rsidP="0048627B">
      <w:pPr>
        <w:spacing w:after="160" w:line="259" w:lineRule="auto"/>
        <w:jc w:val="both"/>
        <w:rPr>
          <w:rFonts w:ascii="Arial" w:hAnsi="Arial" w:cs="Arial"/>
        </w:rPr>
      </w:pPr>
      <w:r w:rsidRPr="00084CD3">
        <w:rPr>
          <w:rFonts w:ascii="Arial" w:hAnsi="Arial" w:cs="Arial"/>
        </w:rPr>
        <w:t xml:space="preserve">DIAN: "De acuerdo con el artículo 175 del Decreto 19 de 2012, ya no se deben registrar los Libros de Contabilidad ante la Cámara de Comercio”. </w:t>
      </w:r>
    </w:p>
    <w:p w:rsidR="0048627B" w:rsidRPr="00084CD3" w:rsidRDefault="0048627B" w:rsidP="0048627B">
      <w:pPr>
        <w:spacing w:after="160" w:line="259" w:lineRule="auto"/>
        <w:jc w:val="both"/>
        <w:rPr>
          <w:rFonts w:ascii="Arial" w:hAnsi="Arial" w:cs="Arial"/>
        </w:rPr>
      </w:pPr>
      <w:r w:rsidRPr="00084CD3">
        <w:rPr>
          <w:rFonts w:ascii="Arial" w:hAnsi="Arial" w:cs="Arial"/>
        </w:rPr>
        <w:t>Tiene la obligación de mantener actualizada la información del RUT y presentar la información exógena de acuerdo con las resoluciones que se expiden cada año</w:t>
      </w:r>
      <w:r>
        <w:rPr>
          <w:rFonts w:ascii="Arial" w:hAnsi="Arial" w:cs="Arial"/>
        </w:rPr>
        <w:t>.</w:t>
      </w:r>
    </w:p>
    <w:p w:rsidR="0048627B" w:rsidRDefault="0048627B" w:rsidP="0048627B">
      <w:pPr>
        <w:spacing w:after="160" w:line="259" w:lineRule="auto"/>
        <w:jc w:val="both"/>
        <w:rPr>
          <w:rFonts w:ascii="Arial" w:hAnsi="Arial" w:cs="Arial"/>
        </w:rPr>
      </w:pPr>
      <w:r w:rsidRPr="00084CD3">
        <w:rPr>
          <w:rFonts w:ascii="Arial" w:hAnsi="Arial" w:cs="Arial"/>
        </w:rPr>
        <w:t>Actualmente el DANE o diferentes empresas estatales no cuenta</w:t>
      </w:r>
      <w:r>
        <w:rPr>
          <w:rFonts w:ascii="Arial" w:hAnsi="Arial" w:cs="Arial"/>
        </w:rPr>
        <w:t>n</w:t>
      </w:r>
      <w:r w:rsidRPr="00084CD3">
        <w:rPr>
          <w:rFonts w:ascii="Arial" w:hAnsi="Arial" w:cs="Arial"/>
        </w:rPr>
        <w:t xml:space="preserve"> con un análisis minucioso del sector, sin embargo, si cuenta con cifras unidas en Construcción y Ferretería. Por ende, en Colombia, el sector de construcción cuenta con un gran número de empresas.</w:t>
      </w:r>
    </w:p>
    <w:p w:rsidR="0048627B" w:rsidRPr="00552615" w:rsidRDefault="0048627B" w:rsidP="0048627B">
      <w:pPr>
        <w:spacing w:after="160" w:line="259" w:lineRule="auto"/>
        <w:jc w:val="both"/>
        <w:rPr>
          <w:rFonts w:ascii="Arial" w:eastAsia="Calibri" w:hAnsi="Arial" w:cs="Arial"/>
          <w:lang w:eastAsia="en-US"/>
        </w:rPr>
      </w:pPr>
      <w:r>
        <w:rPr>
          <w:rFonts w:ascii="Arial" w:eastAsia="Calibri" w:hAnsi="Arial" w:cs="Arial"/>
          <w:lang w:eastAsia="en-US"/>
        </w:rPr>
        <w:t>Adicionalmente, se</w:t>
      </w:r>
      <w:r w:rsidRPr="00552615">
        <w:rPr>
          <w:rFonts w:ascii="Arial" w:eastAsia="Calibri" w:hAnsi="Arial" w:cs="Arial"/>
          <w:lang w:eastAsia="en-US"/>
        </w:rPr>
        <w:t xml:space="preserve"> aceptará la aplicación de normas equivalentes, debidamente reconocidas y que, a juicio del Fondo, garanticen una calidad igual o mejor para la respectiva actividad.</w:t>
      </w:r>
    </w:p>
    <w:p w:rsidR="0048627B" w:rsidRPr="00552615"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En caso de presentarse discrepancias entre una cualquiera de las normas anteriores y las especificaciones incluidas en este documento, prevalecerán estas últimas.</w:t>
      </w:r>
    </w:p>
    <w:p w:rsidR="0048627B" w:rsidRDefault="0048627B" w:rsidP="0048627B">
      <w:pPr>
        <w:spacing w:after="160" w:line="259" w:lineRule="auto"/>
        <w:jc w:val="both"/>
        <w:rPr>
          <w:rFonts w:ascii="Arial" w:eastAsia="Calibri" w:hAnsi="Arial" w:cs="Arial"/>
          <w:lang w:eastAsia="en-US"/>
        </w:rPr>
      </w:pPr>
      <w:r w:rsidRPr="00552615">
        <w:rPr>
          <w:rFonts w:ascii="Arial" w:eastAsia="Calibri" w:hAnsi="Arial" w:cs="Arial"/>
          <w:lang w:eastAsia="en-US"/>
        </w:rPr>
        <w:t>En caso de que cualquiera de estas normas tenga actualizaciones se aplicara la última actualización vigente.</w:t>
      </w:r>
    </w:p>
    <w:p w:rsidR="0048627B" w:rsidRPr="00552615" w:rsidRDefault="0048627B" w:rsidP="0048627B">
      <w:pPr>
        <w:spacing w:after="160" w:line="259" w:lineRule="auto"/>
        <w:jc w:val="both"/>
        <w:rPr>
          <w:rFonts w:ascii="Arial" w:eastAsia="Calibri" w:hAnsi="Arial" w:cs="Arial"/>
          <w:lang w:eastAsia="en-US"/>
        </w:rPr>
      </w:pPr>
      <w:r w:rsidRPr="00481C08">
        <w:rPr>
          <w:rFonts w:ascii="Arial" w:eastAsia="Calibri" w:hAnsi="Arial" w:cs="Arial"/>
          <w:lang w:eastAsia="en-US"/>
        </w:rPr>
        <w:t>En relación, a los Problemas Ecológicos Mundiales, las empresas designadas sujetos pasivos especiales del sector construcción tienen un papel preponderante en el manejo del medio ambiente, por ello se funge como elementos indispensables en el desarrollo de estos proyectos el manejo adecuado de materiales y disposición de los mismos, así como procesos constructivos sostenibles con el medio ambiente.</w:t>
      </w:r>
    </w:p>
    <w:p w:rsidR="0048627B" w:rsidRPr="00552615" w:rsidRDefault="0048627B" w:rsidP="0048627B">
      <w:pPr>
        <w:pStyle w:val="Prrafodelista"/>
        <w:numPr>
          <w:ilvl w:val="0"/>
          <w:numId w:val="25"/>
        </w:numPr>
        <w:suppressAutoHyphens/>
        <w:spacing w:after="160" w:line="259" w:lineRule="auto"/>
        <w:jc w:val="both"/>
        <w:rPr>
          <w:rFonts w:ascii="Arial" w:eastAsia="Calibri" w:hAnsi="Arial" w:cs="Arial"/>
          <w:b/>
          <w:sz w:val="24"/>
          <w:szCs w:val="24"/>
          <w:lang w:eastAsia="en-US"/>
        </w:rPr>
      </w:pPr>
      <w:r w:rsidRPr="00552615">
        <w:rPr>
          <w:rFonts w:ascii="Arial" w:eastAsia="Calibri" w:hAnsi="Arial" w:cs="Arial"/>
          <w:b/>
          <w:sz w:val="24"/>
          <w:szCs w:val="24"/>
          <w:lang w:eastAsia="en-US"/>
        </w:rPr>
        <w:t>ANÁLISIS DE LA DEMANDA</w:t>
      </w:r>
      <w:r w:rsidRPr="00552615">
        <w:rPr>
          <w:rFonts w:ascii="Arial" w:eastAsia="Calibri" w:hAnsi="Arial" w:cs="Arial"/>
          <w:b/>
          <w:sz w:val="24"/>
          <w:szCs w:val="24"/>
          <w:lang w:val="es-CO" w:eastAsia="en-US"/>
        </w:rPr>
        <w:t>:</w:t>
      </w:r>
    </w:p>
    <w:p w:rsidR="0048627B" w:rsidRPr="00552615" w:rsidRDefault="0048627B" w:rsidP="0048627B">
      <w:pPr>
        <w:tabs>
          <w:tab w:val="left" w:pos="503"/>
        </w:tabs>
        <w:spacing w:line="277" w:lineRule="auto"/>
        <w:ind w:right="118"/>
        <w:jc w:val="both"/>
        <w:rPr>
          <w:rFonts w:ascii="Arial" w:eastAsia="Arial" w:hAnsi="Arial" w:cs="Arial"/>
          <w:lang w:eastAsia="en-US"/>
        </w:rPr>
      </w:pPr>
      <w:r w:rsidRPr="00552615">
        <w:rPr>
          <w:rFonts w:ascii="Arial" w:eastAsia="Calibri" w:hAnsi="Arial" w:cs="Arial"/>
          <w:b/>
          <w:spacing w:val="-1"/>
          <w:lang w:eastAsia="en-US"/>
        </w:rPr>
        <w:t>Adquisiciones</w:t>
      </w:r>
      <w:r w:rsidRPr="00552615">
        <w:rPr>
          <w:rFonts w:ascii="Arial" w:eastAsia="Calibri" w:hAnsi="Arial" w:cs="Arial"/>
          <w:b/>
          <w:spacing w:val="12"/>
          <w:lang w:eastAsia="en-US"/>
        </w:rPr>
        <w:t xml:space="preserve"> </w:t>
      </w:r>
      <w:r w:rsidRPr="00552615">
        <w:rPr>
          <w:rFonts w:ascii="Arial" w:eastAsia="Calibri" w:hAnsi="Arial" w:cs="Arial"/>
          <w:b/>
          <w:spacing w:val="-1"/>
          <w:lang w:eastAsia="en-US"/>
        </w:rPr>
        <w:t>anteriores</w:t>
      </w:r>
      <w:r w:rsidRPr="00552615">
        <w:rPr>
          <w:rFonts w:ascii="Arial" w:eastAsia="Calibri" w:hAnsi="Arial" w:cs="Arial"/>
          <w:b/>
          <w:spacing w:val="9"/>
          <w:lang w:eastAsia="en-US"/>
        </w:rPr>
        <w:t xml:space="preserve"> </w:t>
      </w:r>
      <w:r w:rsidRPr="00552615">
        <w:rPr>
          <w:rFonts w:ascii="Arial" w:eastAsia="Calibri" w:hAnsi="Arial" w:cs="Arial"/>
          <w:b/>
          <w:spacing w:val="-1"/>
          <w:lang w:eastAsia="en-US"/>
        </w:rPr>
        <w:t>relacionadas</w:t>
      </w:r>
      <w:r w:rsidRPr="00552615">
        <w:rPr>
          <w:rFonts w:ascii="Arial" w:eastAsia="Calibri" w:hAnsi="Arial" w:cs="Arial"/>
          <w:b/>
          <w:spacing w:val="12"/>
          <w:lang w:eastAsia="en-US"/>
        </w:rPr>
        <w:t xml:space="preserve"> </w:t>
      </w:r>
      <w:r w:rsidRPr="00552615">
        <w:rPr>
          <w:rFonts w:ascii="Arial" w:eastAsia="Calibri" w:hAnsi="Arial" w:cs="Arial"/>
          <w:b/>
          <w:spacing w:val="-2"/>
          <w:lang w:eastAsia="en-US"/>
        </w:rPr>
        <w:t>con</w:t>
      </w:r>
      <w:r w:rsidRPr="00552615">
        <w:rPr>
          <w:rFonts w:ascii="Arial" w:eastAsia="Calibri" w:hAnsi="Arial" w:cs="Arial"/>
          <w:b/>
          <w:spacing w:val="12"/>
          <w:lang w:eastAsia="en-US"/>
        </w:rPr>
        <w:t xml:space="preserve"> </w:t>
      </w:r>
      <w:r w:rsidRPr="00552615">
        <w:rPr>
          <w:rFonts w:ascii="Arial" w:eastAsia="Calibri" w:hAnsi="Arial" w:cs="Arial"/>
          <w:b/>
          <w:lang w:eastAsia="en-US"/>
        </w:rPr>
        <w:t>el</w:t>
      </w:r>
      <w:r w:rsidRPr="00552615">
        <w:rPr>
          <w:rFonts w:ascii="Arial" w:eastAsia="Calibri" w:hAnsi="Arial" w:cs="Arial"/>
          <w:b/>
          <w:spacing w:val="13"/>
          <w:lang w:eastAsia="en-US"/>
        </w:rPr>
        <w:t xml:space="preserve"> </w:t>
      </w:r>
      <w:r w:rsidRPr="00552615">
        <w:rPr>
          <w:rFonts w:ascii="Arial" w:eastAsia="Calibri" w:hAnsi="Arial" w:cs="Arial"/>
          <w:b/>
          <w:lang w:eastAsia="en-US"/>
        </w:rPr>
        <w:t>bien</w:t>
      </w:r>
      <w:r w:rsidRPr="00552615">
        <w:rPr>
          <w:rFonts w:ascii="Arial" w:eastAsia="Calibri" w:hAnsi="Arial" w:cs="Arial"/>
          <w:b/>
          <w:spacing w:val="12"/>
          <w:lang w:eastAsia="en-US"/>
        </w:rPr>
        <w:t xml:space="preserve"> </w:t>
      </w:r>
      <w:r w:rsidRPr="00552615">
        <w:rPr>
          <w:rFonts w:ascii="Arial" w:eastAsia="Calibri" w:hAnsi="Arial" w:cs="Arial"/>
          <w:b/>
          <w:lang w:eastAsia="en-US"/>
        </w:rPr>
        <w:t>o</w:t>
      </w:r>
      <w:r w:rsidRPr="00552615">
        <w:rPr>
          <w:rFonts w:ascii="Arial" w:eastAsia="Calibri" w:hAnsi="Arial" w:cs="Arial"/>
          <w:b/>
          <w:spacing w:val="12"/>
          <w:lang w:eastAsia="en-US"/>
        </w:rPr>
        <w:t xml:space="preserve"> </w:t>
      </w:r>
      <w:r w:rsidRPr="00552615">
        <w:rPr>
          <w:rFonts w:ascii="Arial" w:eastAsia="Calibri" w:hAnsi="Arial" w:cs="Arial"/>
          <w:b/>
          <w:spacing w:val="-1"/>
          <w:lang w:eastAsia="en-US"/>
        </w:rPr>
        <w:t>servicio</w:t>
      </w:r>
      <w:r w:rsidRPr="00552615">
        <w:rPr>
          <w:rFonts w:ascii="Arial" w:eastAsia="Calibri" w:hAnsi="Arial" w:cs="Arial"/>
          <w:b/>
          <w:spacing w:val="13"/>
          <w:lang w:eastAsia="en-US"/>
        </w:rPr>
        <w:t xml:space="preserve"> </w:t>
      </w:r>
      <w:r w:rsidRPr="00552615">
        <w:rPr>
          <w:rFonts w:ascii="Arial" w:eastAsia="Calibri" w:hAnsi="Arial" w:cs="Arial"/>
          <w:b/>
          <w:lang w:eastAsia="en-US"/>
        </w:rPr>
        <w:t>a</w:t>
      </w:r>
      <w:r w:rsidRPr="00552615">
        <w:rPr>
          <w:rFonts w:ascii="Arial" w:eastAsia="Calibri" w:hAnsi="Arial" w:cs="Arial"/>
          <w:b/>
          <w:spacing w:val="12"/>
          <w:lang w:eastAsia="en-US"/>
        </w:rPr>
        <w:t xml:space="preserve"> </w:t>
      </w:r>
      <w:r w:rsidRPr="00552615">
        <w:rPr>
          <w:rFonts w:ascii="Arial" w:eastAsia="Calibri" w:hAnsi="Arial" w:cs="Arial"/>
          <w:b/>
          <w:spacing w:val="-1"/>
          <w:lang w:eastAsia="en-US"/>
        </w:rPr>
        <w:t>contratar</w:t>
      </w:r>
      <w:r w:rsidRPr="00552615">
        <w:rPr>
          <w:rFonts w:ascii="Arial" w:eastAsia="Calibri" w:hAnsi="Arial" w:cs="Arial"/>
          <w:b/>
          <w:spacing w:val="13"/>
          <w:lang w:eastAsia="en-US"/>
        </w:rPr>
        <w:t xml:space="preserve"> </w:t>
      </w:r>
      <w:r w:rsidRPr="00552615">
        <w:rPr>
          <w:rFonts w:ascii="Arial" w:eastAsia="Calibri" w:hAnsi="Arial" w:cs="Arial"/>
          <w:b/>
          <w:spacing w:val="-1"/>
          <w:lang w:eastAsia="en-US"/>
        </w:rPr>
        <w:t>por</w:t>
      </w:r>
      <w:r w:rsidRPr="00552615">
        <w:rPr>
          <w:rFonts w:ascii="Arial" w:eastAsia="Calibri" w:hAnsi="Arial" w:cs="Arial"/>
          <w:b/>
          <w:spacing w:val="13"/>
          <w:lang w:eastAsia="en-US"/>
        </w:rPr>
        <w:t xml:space="preserve"> </w:t>
      </w:r>
      <w:r w:rsidRPr="00552615">
        <w:rPr>
          <w:rFonts w:ascii="Arial" w:eastAsia="Calibri" w:hAnsi="Arial" w:cs="Arial"/>
          <w:b/>
          <w:spacing w:val="-1"/>
          <w:lang w:eastAsia="en-US"/>
        </w:rPr>
        <w:t>parte</w:t>
      </w:r>
      <w:r w:rsidRPr="00552615">
        <w:rPr>
          <w:rFonts w:ascii="Arial" w:eastAsia="Calibri" w:hAnsi="Arial" w:cs="Arial"/>
          <w:b/>
          <w:spacing w:val="12"/>
          <w:lang w:eastAsia="en-US"/>
        </w:rPr>
        <w:t xml:space="preserve"> </w:t>
      </w:r>
      <w:r w:rsidRPr="00552615">
        <w:rPr>
          <w:rFonts w:ascii="Arial" w:eastAsia="Calibri" w:hAnsi="Arial" w:cs="Arial"/>
          <w:b/>
          <w:spacing w:val="-2"/>
          <w:lang w:eastAsia="en-US"/>
        </w:rPr>
        <w:t>de</w:t>
      </w:r>
      <w:r w:rsidRPr="00552615">
        <w:rPr>
          <w:rFonts w:ascii="Arial" w:eastAsia="Calibri" w:hAnsi="Arial" w:cs="Arial"/>
          <w:b/>
          <w:spacing w:val="55"/>
          <w:lang w:eastAsia="en-US"/>
        </w:rPr>
        <w:t xml:space="preserve"> </w:t>
      </w:r>
      <w:r w:rsidRPr="00552615">
        <w:rPr>
          <w:rFonts w:ascii="Arial" w:eastAsia="Calibri" w:hAnsi="Arial" w:cs="Arial"/>
          <w:b/>
          <w:lang w:eastAsia="en-US"/>
        </w:rPr>
        <w:t xml:space="preserve">la </w:t>
      </w:r>
      <w:r w:rsidRPr="00552615">
        <w:rPr>
          <w:rFonts w:ascii="Arial" w:eastAsia="Calibri" w:hAnsi="Arial" w:cs="Arial"/>
          <w:b/>
          <w:spacing w:val="-1"/>
          <w:lang w:eastAsia="en-US"/>
        </w:rPr>
        <w:t>Entidad</w:t>
      </w:r>
    </w:p>
    <w:p w:rsidR="0048627B" w:rsidRPr="00552615" w:rsidRDefault="0048627B" w:rsidP="0048627B">
      <w:pPr>
        <w:tabs>
          <w:tab w:val="left" w:pos="503"/>
        </w:tabs>
        <w:spacing w:line="277" w:lineRule="auto"/>
        <w:ind w:right="118"/>
        <w:jc w:val="both"/>
        <w:rPr>
          <w:rFonts w:ascii="Arial" w:eastAsia="Arial" w:hAnsi="Arial" w:cs="Arial"/>
          <w:lang w:eastAsia="en-US"/>
        </w:rPr>
      </w:pPr>
    </w:p>
    <w:p w:rsidR="0048627B" w:rsidRPr="00552615" w:rsidRDefault="0048627B" w:rsidP="0048627B">
      <w:pPr>
        <w:spacing w:line="276" w:lineRule="auto"/>
        <w:ind w:right="117"/>
        <w:jc w:val="both"/>
        <w:rPr>
          <w:rFonts w:ascii="Arial" w:hAnsi="Arial" w:cs="Arial"/>
        </w:rPr>
      </w:pPr>
      <w:r w:rsidRPr="00552615">
        <w:rPr>
          <w:rFonts w:ascii="Arial" w:hAnsi="Arial" w:cs="Arial"/>
          <w:spacing w:val="-1"/>
        </w:rPr>
        <w:t>El</w:t>
      </w:r>
      <w:r w:rsidRPr="00552615">
        <w:rPr>
          <w:rFonts w:ascii="Arial" w:hAnsi="Arial" w:cs="Arial"/>
          <w:spacing w:val="11"/>
        </w:rPr>
        <w:t xml:space="preserve"> </w:t>
      </w:r>
      <w:r w:rsidRPr="00552615">
        <w:rPr>
          <w:rFonts w:ascii="Arial" w:hAnsi="Arial" w:cs="Arial"/>
          <w:spacing w:val="-1"/>
        </w:rPr>
        <w:t>periodo</w:t>
      </w:r>
      <w:r w:rsidRPr="00552615">
        <w:rPr>
          <w:rFonts w:ascii="Arial" w:hAnsi="Arial" w:cs="Arial"/>
          <w:spacing w:val="12"/>
        </w:rPr>
        <w:t xml:space="preserve"> </w:t>
      </w:r>
      <w:r w:rsidRPr="00552615">
        <w:rPr>
          <w:rFonts w:ascii="Arial" w:hAnsi="Arial" w:cs="Arial"/>
          <w:spacing w:val="-1"/>
        </w:rPr>
        <w:t>seleccionado</w:t>
      </w:r>
      <w:r w:rsidRPr="00552615">
        <w:rPr>
          <w:rFonts w:ascii="Arial" w:hAnsi="Arial" w:cs="Arial"/>
          <w:spacing w:val="12"/>
        </w:rPr>
        <w:t xml:space="preserve"> </w:t>
      </w:r>
      <w:r w:rsidRPr="00552615">
        <w:rPr>
          <w:rFonts w:ascii="Arial" w:hAnsi="Arial" w:cs="Arial"/>
          <w:spacing w:val="-1"/>
        </w:rPr>
        <w:t>para</w:t>
      </w:r>
      <w:r w:rsidRPr="00552615">
        <w:rPr>
          <w:rFonts w:ascii="Arial" w:hAnsi="Arial" w:cs="Arial"/>
          <w:spacing w:val="12"/>
        </w:rPr>
        <w:t xml:space="preserve"> </w:t>
      </w:r>
      <w:r w:rsidRPr="00552615">
        <w:rPr>
          <w:rFonts w:ascii="Arial" w:hAnsi="Arial" w:cs="Arial"/>
        </w:rPr>
        <w:t>esta</w:t>
      </w:r>
      <w:r w:rsidRPr="00552615">
        <w:rPr>
          <w:rFonts w:ascii="Arial" w:hAnsi="Arial" w:cs="Arial"/>
          <w:spacing w:val="10"/>
        </w:rPr>
        <w:t xml:space="preserve"> </w:t>
      </w:r>
      <w:r w:rsidRPr="00552615">
        <w:rPr>
          <w:rFonts w:ascii="Arial" w:hAnsi="Arial" w:cs="Arial"/>
          <w:spacing w:val="-1"/>
        </w:rPr>
        <w:t>muestra</w:t>
      </w:r>
      <w:r w:rsidRPr="00552615">
        <w:rPr>
          <w:rFonts w:ascii="Arial" w:hAnsi="Arial" w:cs="Arial"/>
          <w:spacing w:val="12"/>
        </w:rPr>
        <w:t xml:space="preserve"> </w:t>
      </w:r>
      <w:r w:rsidRPr="00552615">
        <w:rPr>
          <w:rFonts w:ascii="Arial" w:hAnsi="Arial" w:cs="Arial"/>
          <w:spacing w:val="-1"/>
        </w:rPr>
        <w:t>está</w:t>
      </w:r>
      <w:r w:rsidRPr="00552615">
        <w:rPr>
          <w:rFonts w:ascii="Arial" w:hAnsi="Arial" w:cs="Arial"/>
          <w:spacing w:val="10"/>
        </w:rPr>
        <w:t xml:space="preserve"> </w:t>
      </w:r>
      <w:r w:rsidRPr="00552615">
        <w:rPr>
          <w:rFonts w:ascii="Arial" w:hAnsi="Arial" w:cs="Arial"/>
          <w:spacing w:val="-1"/>
        </w:rPr>
        <w:t>entre</w:t>
      </w:r>
      <w:r w:rsidRPr="00552615">
        <w:rPr>
          <w:rFonts w:ascii="Arial" w:hAnsi="Arial" w:cs="Arial"/>
          <w:spacing w:val="12"/>
        </w:rPr>
        <w:t xml:space="preserve"> </w:t>
      </w:r>
      <w:r w:rsidRPr="00552615">
        <w:rPr>
          <w:rFonts w:ascii="Arial" w:hAnsi="Arial" w:cs="Arial"/>
          <w:spacing w:val="-1"/>
        </w:rPr>
        <w:t>las</w:t>
      </w:r>
      <w:r w:rsidRPr="00552615">
        <w:rPr>
          <w:rFonts w:ascii="Arial" w:hAnsi="Arial" w:cs="Arial"/>
          <w:spacing w:val="12"/>
        </w:rPr>
        <w:t xml:space="preserve"> </w:t>
      </w:r>
      <w:r w:rsidRPr="00552615">
        <w:rPr>
          <w:rFonts w:ascii="Arial" w:hAnsi="Arial" w:cs="Arial"/>
          <w:spacing w:val="-1"/>
        </w:rPr>
        <w:t>vigencias</w:t>
      </w:r>
      <w:r w:rsidRPr="00552615">
        <w:rPr>
          <w:rFonts w:ascii="Arial" w:hAnsi="Arial" w:cs="Arial"/>
          <w:spacing w:val="12"/>
        </w:rPr>
        <w:t xml:space="preserve"> </w:t>
      </w:r>
      <w:r w:rsidRPr="00552615">
        <w:rPr>
          <w:rFonts w:ascii="Arial" w:hAnsi="Arial" w:cs="Arial"/>
          <w:spacing w:val="-1"/>
        </w:rPr>
        <w:t xml:space="preserve">2011 </w:t>
      </w:r>
      <w:r w:rsidRPr="00552615">
        <w:rPr>
          <w:rFonts w:ascii="Arial" w:hAnsi="Arial" w:cs="Arial"/>
        </w:rPr>
        <w:t>y</w:t>
      </w:r>
      <w:r w:rsidRPr="00552615">
        <w:rPr>
          <w:rFonts w:ascii="Arial" w:hAnsi="Arial" w:cs="Arial"/>
          <w:spacing w:val="10"/>
        </w:rPr>
        <w:t xml:space="preserve"> 2</w:t>
      </w:r>
      <w:r w:rsidRPr="00552615">
        <w:rPr>
          <w:rFonts w:ascii="Arial" w:hAnsi="Arial" w:cs="Arial"/>
          <w:spacing w:val="-1"/>
        </w:rPr>
        <w:t>017,</w:t>
      </w:r>
      <w:r w:rsidRPr="00552615">
        <w:rPr>
          <w:rFonts w:ascii="Arial" w:hAnsi="Arial" w:cs="Arial"/>
          <w:spacing w:val="13"/>
        </w:rPr>
        <w:t xml:space="preserve"> </w:t>
      </w:r>
      <w:r w:rsidRPr="00552615">
        <w:rPr>
          <w:rFonts w:ascii="Arial" w:hAnsi="Arial" w:cs="Arial"/>
        </w:rPr>
        <w:t>en</w:t>
      </w:r>
      <w:r w:rsidRPr="00552615">
        <w:rPr>
          <w:rFonts w:ascii="Arial" w:hAnsi="Arial" w:cs="Arial"/>
          <w:spacing w:val="12"/>
        </w:rPr>
        <w:t xml:space="preserve"> </w:t>
      </w:r>
      <w:r w:rsidRPr="00552615">
        <w:rPr>
          <w:rFonts w:ascii="Arial" w:hAnsi="Arial" w:cs="Arial"/>
          <w:spacing w:val="-1"/>
        </w:rPr>
        <w:t>las</w:t>
      </w:r>
      <w:r w:rsidRPr="00552615">
        <w:rPr>
          <w:rFonts w:ascii="Arial" w:hAnsi="Arial" w:cs="Arial"/>
          <w:spacing w:val="12"/>
        </w:rPr>
        <w:t xml:space="preserve"> </w:t>
      </w:r>
      <w:r w:rsidRPr="00552615">
        <w:rPr>
          <w:rFonts w:ascii="Arial" w:hAnsi="Arial" w:cs="Arial"/>
          <w:spacing w:val="-1"/>
        </w:rPr>
        <w:t>cuales</w:t>
      </w:r>
      <w:r w:rsidRPr="00552615">
        <w:rPr>
          <w:rFonts w:ascii="Arial" w:hAnsi="Arial" w:cs="Arial"/>
          <w:spacing w:val="71"/>
        </w:rPr>
        <w:t xml:space="preserve"> </w:t>
      </w:r>
      <w:r w:rsidRPr="00552615">
        <w:rPr>
          <w:rFonts w:ascii="Arial" w:hAnsi="Arial" w:cs="Arial"/>
        </w:rPr>
        <w:t>se</w:t>
      </w:r>
      <w:r w:rsidRPr="00552615">
        <w:rPr>
          <w:rFonts w:ascii="Arial" w:hAnsi="Arial" w:cs="Arial"/>
          <w:spacing w:val="43"/>
        </w:rPr>
        <w:t xml:space="preserve"> </w:t>
      </w:r>
      <w:r w:rsidRPr="00552615">
        <w:rPr>
          <w:rFonts w:ascii="Arial" w:hAnsi="Arial" w:cs="Arial"/>
          <w:spacing w:val="-1"/>
        </w:rPr>
        <w:t>ejecutaron</w:t>
      </w:r>
      <w:r w:rsidRPr="00552615">
        <w:rPr>
          <w:rFonts w:ascii="Arial" w:hAnsi="Arial" w:cs="Arial"/>
          <w:spacing w:val="41"/>
        </w:rPr>
        <w:t xml:space="preserve"> </w:t>
      </w:r>
      <w:r w:rsidRPr="00552615">
        <w:rPr>
          <w:rFonts w:ascii="Arial" w:hAnsi="Arial" w:cs="Arial"/>
          <w:spacing w:val="-1"/>
        </w:rPr>
        <w:t>recursos</w:t>
      </w:r>
      <w:r w:rsidRPr="00552615">
        <w:rPr>
          <w:rFonts w:ascii="Arial" w:hAnsi="Arial" w:cs="Arial"/>
          <w:spacing w:val="41"/>
        </w:rPr>
        <w:t xml:space="preserve"> </w:t>
      </w:r>
      <w:r w:rsidRPr="00552615">
        <w:rPr>
          <w:rFonts w:ascii="Arial" w:hAnsi="Arial" w:cs="Arial"/>
          <w:spacing w:val="-1"/>
        </w:rPr>
        <w:t>económicos</w:t>
      </w:r>
      <w:r w:rsidRPr="00552615">
        <w:rPr>
          <w:rFonts w:ascii="Arial" w:hAnsi="Arial" w:cs="Arial"/>
          <w:spacing w:val="43"/>
        </w:rPr>
        <w:t xml:space="preserve"> </w:t>
      </w:r>
      <w:r w:rsidRPr="00552615">
        <w:rPr>
          <w:rFonts w:ascii="Arial" w:hAnsi="Arial" w:cs="Arial"/>
        </w:rPr>
        <w:t>y</w:t>
      </w:r>
      <w:r w:rsidRPr="00552615">
        <w:rPr>
          <w:rFonts w:ascii="Arial" w:hAnsi="Arial" w:cs="Arial"/>
          <w:spacing w:val="41"/>
        </w:rPr>
        <w:t xml:space="preserve"> </w:t>
      </w:r>
      <w:r w:rsidRPr="00552615">
        <w:rPr>
          <w:rFonts w:ascii="Arial" w:hAnsi="Arial" w:cs="Arial"/>
          <w:spacing w:val="-1"/>
        </w:rPr>
        <w:t>obras</w:t>
      </w:r>
      <w:r w:rsidRPr="00552615">
        <w:rPr>
          <w:rFonts w:ascii="Arial" w:hAnsi="Arial" w:cs="Arial"/>
          <w:spacing w:val="43"/>
        </w:rPr>
        <w:t xml:space="preserve"> </w:t>
      </w:r>
      <w:r w:rsidRPr="00552615">
        <w:rPr>
          <w:rFonts w:ascii="Arial" w:hAnsi="Arial" w:cs="Arial"/>
        </w:rPr>
        <w:t>de</w:t>
      </w:r>
      <w:r w:rsidRPr="00552615">
        <w:rPr>
          <w:rFonts w:ascii="Arial" w:hAnsi="Arial" w:cs="Arial"/>
          <w:spacing w:val="41"/>
        </w:rPr>
        <w:t xml:space="preserve"> </w:t>
      </w:r>
      <w:r w:rsidRPr="00552615">
        <w:rPr>
          <w:rFonts w:ascii="Arial" w:hAnsi="Arial" w:cs="Arial"/>
          <w:spacing w:val="-1"/>
        </w:rPr>
        <w:t>vital</w:t>
      </w:r>
      <w:r w:rsidRPr="00552615">
        <w:rPr>
          <w:rFonts w:ascii="Arial" w:hAnsi="Arial" w:cs="Arial"/>
          <w:spacing w:val="42"/>
        </w:rPr>
        <w:t xml:space="preserve"> </w:t>
      </w:r>
      <w:r w:rsidRPr="00552615">
        <w:rPr>
          <w:rFonts w:ascii="Arial" w:hAnsi="Arial" w:cs="Arial"/>
          <w:spacing w:val="-1"/>
        </w:rPr>
        <w:t>importancia</w:t>
      </w:r>
      <w:r w:rsidRPr="00552615">
        <w:rPr>
          <w:rFonts w:ascii="Arial" w:hAnsi="Arial" w:cs="Arial"/>
          <w:spacing w:val="43"/>
        </w:rPr>
        <w:t xml:space="preserve"> </w:t>
      </w:r>
      <w:r w:rsidRPr="00552615">
        <w:rPr>
          <w:rFonts w:ascii="Arial" w:hAnsi="Arial" w:cs="Arial"/>
          <w:spacing w:val="-1"/>
        </w:rPr>
        <w:t>para</w:t>
      </w:r>
      <w:r w:rsidRPr="00552615">
        <w:rPr>
          <w:rFonts w:ascii="Arial" w:hAnsi="Arial" w:cs="Arial"/>
          <w:spacing w:val="43"/>
        </w:rPr>
        <w:t xml:space="preserve"> </w:t>
      </w:r>
      <w:r w:rsidRPr="00552615">
        <w:rPr>
          <w:rFonts w:ascii="Arial" w:hAnsi="Arial" w:cs="Arial"/>
          <w:spacing w:val="-2"/>
        </w:rPr>
        <w:t>la</w:t>
      </w:r>
      <w:r w:rsidRPr="00552615">
        <w:rPr>
          <w:rFonts w:ascii="Arial" w:hAnsi="Arial" w:cs="Arial"/>
          <w:spacing w:val="43"/>
        </w:rPr>
        <w:t xml:space="preserve"> </w:t>
      </w:r>
      <w:r w:rsidRPr="00552615">
        <w:rPr>
          <w:rFonts w:ascii="Arial" w:hAnsi="Arial" w:cs="Arial"/>
          <w:spacing w:val="-1"/>
        </w:rPr>
        <w:t>Alcaldía Local</w:t>
      </w:r>
      <w:r w:rsidRPr="00552615">
        <w:rPr>
          <w:rFonts w:ascii="Arial" w:hAnsi="Arial" w:cs="Arial"/>
          <w:spacing w:val="43"/>
        </w:rPr>
        <w:t xml:space="preserve"> </w:t>
      </w:r>
      <w:r w:rsidRPr="00552615">
        <w:rPr>
          <w:rFonts w:ascii="Arial" w:hAnsi="Arial" w:cs="Arial"/>
        </w:rPr>
        <w:t>como</w:t>
      </w:r>
      <w:r w:rsidRPr="00552615">
        <w:rPr>
          <w:rFonts w:ascii="Arial" w:hAnsi="Arial" w:cs="Arial"/>
          <w:spacing w:val="45"/>
        </w:rPr>
        <w:t xml:space="preserve"> </w:t>
      </w:r>
      <w:r w:rsidRPr="00552615">
        <w:rPr>
          <w:rFonts w:ascii="Arial" w:hAnsi="Arial" w:cs="Arial"/>
        </w:rPr>
        <w:t>se</w:t>
      </w:r>
      <w:r w:rsidRPr="00552615">
        <w:rPr>
          <w:rFonts w:ascii="Arial" w:hAnsi="Arial" w:cs="Arial"/>
          <w:spacing w:val="65"/>
        </w:rPr>
        <w:t xml:space="preserve"> </w:t>
      </w:r>
      <w:r w:rsidRPr="00552615">
        <w:rPr>
          <w:rFonts w:ascii="Arial" w:hAnsi="Arial" w:cs="Arial"/>
          <w:spacing w:val="-1"/>
        </w:rPr>
        <w:t>muestra</w:t>
      </w:r>
      <w:r w:rsidRPr="00552615">
        <w:rPr>
          <w:rFonts w:ascii="Arial" w:hAnsi="Arial" w:cs="Arial"/>
        </w:rPr>
        <w:t xml:space="preserve"> a</w:t>
      </w:r>
      <w:r w:rsidRPr="00552615">
        <w:rPr>
          <w:rFonts w:ascii="Arial" w:hAnsi="Arial" w:cs="Arial"/>
          <w:spacing w:val="-2"/>
        </w:rPr>
        <w:t xml:space="preserve"> </w:t>
      </w:r>
      <w:r w:rsidRPr="00552615">
        <w:rPr>
          <w:rFonts w:ascii="Arial" w:hAnsi="Arial" w:cs="Arial"/>
          <w:spacing w:val="-1"/>
        </w:rPr>
        <w:t>continuación:</w:t>
      </w:r>
    </w:p>
    <w:p w:rsidR="0048627B" w:rsidRDefault="0048627B" w:rsidP="0048627B">
      <w:pPr>
        <w:spacing w:line="276" w:lineRule="auto"/>
        <w:ind w:right="117"/>
        <w:jc w:val="both"/>
        <w:rPr>
          <w:rFonts w:ascii="Arial" w:hAnsi="Arial" w:cs="Arial"/>
        </w:rPr>
      </w:pPr>
    </w:p>
    <w:p w:rsidR="0048627B" w:rsidRDefault="0048627B" w:rsidP="0048627B">
      <w:pPr>
        <w:spacing w:line="276" w:lineRule="auto"/>
        <w:ind w:right="117"/>
        <w:jc w:val="both"/>
        <w:rPr>
          <w:rFonts w:ascii="Arial" w:hAnsi="Arial" w:cs="Arial"/>
        </w:rPr>
      </w:pPr>
    </w:p>
    <w:p w:rsidR="0048627B" w:rsidRPr="00552615" w:rsidRDefault="0048627B" w:rsidP="0048627B">
      <w:pPr>
        <w:spacing w:line="276" w:lineRule="auto"/>
        <w:ind w:right="117"/>
        <w:jc w:val="both"/>
        <w:rPr>
          <w:rFonts w:ascii="Arial" w:hAnsi="Arial" w:cs="Arial"/>
        </w:rPr>
      </w:pPr>
    </w:p>
    <w:tbl>
      <w:tblPr>
        <w:tblW w:w="9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159"/>
        <w:gridCol w:w="1310"/>
        <w:gridCol w:w="1135"/>
        <w:gridCol w:w="1203"/>
        <w:gridCol w:w="4597"/>
      </w:tblGrid>
      <w:tr w:rsidR="0048627B" w:rsidRPr="00552615" w:rsidTr="0038761A">
        <w:trPr>
          <w:trHeight w:val="630"/>
          <w:jc w:val="center"/>
        </w:trPr>
        <w:tc>
          <w:tcPr>
            <w:tcW w:w="1159"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CONTRATO No.</w:t>
            </w:r>
          </w:p>
        </w:tc>
        <w:tc>
          <w:tcPr>
            <w:tcW w:w="1310"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VALOR INICIAL</w:t>
            </w:r>
          </w:p>
        </w:tc>
        <w:tc>
          <w:tcPr>
            <w:tcW w:w="1135"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VALOR ADICION</w:t>
            </w:r>
          </w:p>
        </w:tc>
        <w:tc>
          <w:tcPr>
            <w:tcW w:w="1203"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VALOR TOTAL</w:t>
            </w:r>
          </w:p>
        </w:tc>
        <w:tc>
          <w:tcPr>
            <w:tcW w:w="4597"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OBJETO</w:t>
            </w:r>
          </w:p>
        </w:tc>
      </w:tr>
      <w:tr w:rsidR="0048627B" w:rsidRPr="00552615" w:rsidTr="0038761A">
        <w:trPr>
          <w:trHeight w:val="1455"/>
          <w:jc w:val="center"/>
        </w:trPr>
        <w:tc>
          <w:tcPr>
            <w:tcW w:w="1159" w:type="dxa"/>
            <w:shd w:val="clear" w:color="auto" w:fill="F2F2F2"/>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CONTRATO DE OBRA No. 98 DE 2016</w:t>
            </w:r>
          </w:p>
        </w:tc>
        <w:tc>
          <w:tcPr>
            <w:tcW w:w="1310" w:type="dxa"/>
            <w:shd w:val="clear" w:color="auto" w:fill="F2F2F2"/>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Narrow" w:hAnsi="Arial Narrow" w:cs="Arial"/>
                <w:color w:val="000000"/>
                <w:lang w:eastAsia="es-CO"/>
              </w:rPr>
              <w:t>$ 89.922.182</w:t>
            </w:r>
          </w:p>
        </w:tc>
        <w:tc>
          <w:tcPr>
            <w:tcW w:w="1135" w:type="dxa"/>
            <w:shd w:val="clear" w:color="auto" w:fill="F2F2F2"/>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Narrow" w:hAnsi="Arial Narrow" w:cs="Arial"/>
                <w:color w:val="000000"/>
                <w:lang w:eastAsia="es-CO"/>
              </w:rPr>
              <w:t>$25.733.677</w:t>
            </w:r>
          </w:p>
        </w:tc>
        <w:tc>
          <w:tcPr>
            <w:tcW w:w="1203" w:type="dxa"/>
            <w:shd w:val="clear" w:color="auto" w:fill="F2F2F2"/>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Narrow" w:hAnsi="Arial Narrow" w:cs="Arial"/>
                <w:color w:val="000000"/>
                <w:lang w:eastAsia="es-CO"/>
              </w:rPr>
              <w:t>$ 115.655.859</w:t>
            </w:r>
          </w:p>
        </w:tc>
        <w:tc>
          <w:tcPr>
            <w:tcW w:w="4597" w:type="dxa"/>
            <w:shd w:val="clear" w:color="auto" w:fill="F2F2F2"/>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w:hAnsi="Arial" w:cs="Arial"/>
                <w:color w:val="3D3D3D"/>
                <w:shd w:val="clear" w:color="auto" w:fill="EEEEEE"/>
              </w:rPr>
              <w:t>REALIZAR EL MANTENIMIENTO, REPARACIÓN Y ADECUACIONES LOCATIVAS DE LA SEDE DE LA ALCALDÍA DE BARRIOS UNIDOS</w:t>
            </w:r>
          </w:p>
        </w:tc>
      </w:tr>
      <w:tr w:rsidR="0048627B" w:rsidRPr="00552615" w:rsidTr="0038761A">
        <w:trPr>
          <w:trHeight w:val="416"/>
          <w:jc w:val="center"/>
        </w:trPr>
        <w:tc>
          <w:tcPr>
            <w:tcW w:w="1159" w:type="dxa"/>
            <w:shd w:val="clear" w:color="auto" w:fill="auto"/>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CONTRATO DE OBRA No. 075 DE 2012</w:t>
            </w:r>
          </w:p>
        </w:tc>
        <w:tc>
          <w:tcPr>
            <w:tcW w:w="1310" w:type="dxa"/>
            <w:shd w:val="clear" w:color="auto" w:fill="auto"/>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Narrow" w:hAnsi="Arial Narrow" w:cs="Arial"/>
                <w:color w:val="000000"/>
                <w:lang w:eastAsia="es-CO"/>
              </w:rPr>
              <w:t>$43.641.086</w:t>
            </w:r>
          </w:p>
        </w:tc>
        <w:tc>
          <w:tcPr>
            <w:tcW w:w="1135" w:type="dxa"/>
            <w:shd w:val="clear" w:color="auto" w:fill="auto"/>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Narrow" w:hAnsi="Arial Narrow" w:cs="Arial"/>
                <w:color w:val="000000"/>
                <w:lang w:eastAsia="es-CO"/>
              </w:rPr>
              <w:t>$19.480.053</w:t>
            </w:r>
          </w:p>
        </w:tc>
        <w:tc>
          <w:tcPr>
            <w:tcW w:w="1203" w:type="dxa"/>
            <w:shd w:val="clear" w:color="auto" w:fill="auto"/>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Narrow" w:hAnsi="Arial Narrow" w:cs="Arial"/>
                <w:color w:val="000000"/>
                <w:lang w:eastAsia="es-CO"/>
              </w:rPr>
              <w:t>$63.121.139</w:t>
            </w:r>
          </w:p>
        </w:tc>
        <w:tc>
          <w:tcPr>
            <w:tcW w:w="4597" w:type="dxa"/>
            <w:shd w:val="clear" w:color="auto" w:fill="auto"/>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w:hAnsi="Arial" w:cs="Arial"/>
                <w:color w:val="3D3D3D"/>
                <w:shd w:val="clear" w:color="auto" w:fill="EEEEEE"/>
              </w:rPr>
              <w:t>CONTRATAR EL MANTENIMIENTO DE LA ALCALDÍA Y ADECUAR OFICINAS PARA CREAR MÁS ESPACIOS DESTINADOS A UBICAR FUNCIONARIOS, ADEMÁS MANTENER LA PLANTA FÍSICA DEL INMUEBLE QUE TIENE EN COMODATO Y DE LAS CUALES HACEN PARTE INTEGRAL LOS SALONES UTILIZADOS ACTUALMENTE POR EL COLEGIO TOMÁS CARRASQUILLA</w:t>
            </w:r>
          </w:p>
        </w:tc>
      </w:tr>
    </w:tbl>
    <w:p w:rsidR="0048627B" w:rsidRPr="00552615" w:rsidRDefault="0048627B" w:rsidP="0048627B">
      <w:pPr>
        <w:spacing w:line="276" w:lineRule="auto"/>
        <w:ind w:right="117"/>
        <w:jc w:val="both"/>
        <w:rPr>
          <w:rFonts w:ascii="Arial" w:hAnsi="Arial" w:cs="Arial"/>
        </w:rPr>
      </w:pPr>
    </w:p>
    <w:p w:rsidR="0048627B" w:rsidRPr="00552615" w:rsidRDefault="0048627B" w:rsidP="0048627B">
      <w:pPr>
        <w:jc w:val="both"/>
        <w:rPr>
          <w:rFonts w:ascii="Arial" w:hAnsi="Arial" w:cs="Arial"/>
          <w:lang w:val="es-ES"/>
        </w:rPr>
      </w:pPr>
      <w:r w:rsidRPr="00552615">
        <w:rPr>
          <w:rFonts w:ascii="Arial" w:hAnsi="Arial" w:cs="Arial"/>
          <w:lang w:val="es-ES"/>
        </w:rPr>
        <w:t>Se observa que entre los años 2011 a 2017 se suscribieron dos contratos para la adecuación de las sedes y/o edificaciones de propiedad o tenencia del FDLBU.</w:t>
      </w:r>
    </w:p>
    <w:p w:rsidR="0048627B" w:rsidRPr="00552615" w:rsidRDefault="0048627B" w:rsidP="0048627B">
      <w:pPr>
        <w:jc w:val="both"/>
        <w:rPr>
          <w:rFonts w:ascii="Arial" w:hAnsi="Arial" w:cs="Arial"/>
          <w:lang w:val="es-ES"/>
        </w:rPr>
      </w:pPr>
    </w:p>
    <w:p w:rsidR="0048627B" w:rsidRPr="00552615" w:rsidRDefault="0048627B" w:rsidP="0048627B">
      <w:pPr>
        <w:jc w:val="both"/>
        <w:rPr>
          <w:rFonts w:ascii="Arial" w:hAnsi="Arial" w:cs="Arial"/>
          <w:lang w:val="es-ES"/>
        </w:rPr>
      </w:pPr>
      <w:r w:rsidRPr="00552615">
        <w:rPr>
          <w:rFonts w:ascii="Arial" w:hAnsi="Arial" w:cs="Arial"/>
          <w:lang w:val="es-ES"/>
        </w:rPr>
        <w:t>A continuación, se relacionan procesos similares adelantados por otras entidades:</w:t>
      </w:r>
    </w:p>
    <w:p w:rsidR="0048627B" w:rsidRPr="00552615" w:rsidRDefault="0048627B" w:rsidP="0048627B">
      <w:pPr>
        <w:jc w:val="both"/>
        <w:rPr>
          <w:rFonts w:ascii="Arial" w:hAnsi="Arial" w:cs="Arial"/>
        </w:rPr>
      </w:pPr>
    </w:p>
    <w:p w:rsidR="0048627B" w:rsidRPr="00552615" w:rsidRDefault="0048627B" w:rsidP="0048627B">
      <w:pPr>
        <w:jc w:val="both"/>
        <w:rPr>
          <w:rFonts w:ascii="Arial" w:hAnsi="Arial" w:cs="Arial"/>
        </w:rPr>
      </w:pPr>
    </w:p>
    <w:tbl>
      <w:tblPr>
        <w:tblW w:w="85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427"/>
        <w:gridCol w:w="1418"/>
        <w:gridCol w:w="1671"/>
        <w:gridCol w:w="3999"/>
      </w:tblGrid>
      <w:tr w:rsidR="0048627B" w:rsidRPr="00552615" w:rsidTr="0038761A">
        <w:trPr>
          <w:trHeight w:val="630"/>
          <w:jc w:val="center"/>
        </w:trPr>
        <w:tc>
          <w:tcPr>
            <w:tcW w:w="1427"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MODALIDAD DE CONTRATACIÓN</w:t>
            </w:r>
          </w:p>
        </w:tc>
        <w:tc>
          <w:tcPr>
            <w:tcW w:w="1418" w:type="dxa"/>
          </w:tcPr>
          <w:p w:rsidR="0048627B" w:rsidRPr="00552615" w:rsidRDefault="0048627B" w:rsidP="0038761A">
            <w:pPr>
              <w:jc w:val="center"/>
              <w:rPr>
                <w:rFonts w:ascii="Arial Narrow" w:hAnsi="Arial Narrow" w:cs="Arial"/>
                <w:b/>
                <w:bCs/>
                <w:color w:val="000000"/>
                <w:lang w:eastAsia="es-CO"/>
              </w:rPr>
            </w:pPr>
          </w:p>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ENTIDAD</w:t>
            </w:r>
          </w:p>
        </w:tc>
        <w:tc>
          <w:tcPr>
            <w:tcW w:w="1671"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VALOR</w:t>
            </w:r>
          </w:p>
        </w:tc>
        <w:tc>
          <w:tcPr>
            <w:tcW w:w="3999" w:type="dxa"/>
            <w:shd w:val="clear" w:color="auto" w:fill="auto"/>
            <w:noWrap/>
            <w:vAlign w:val="center"/>
            <w:hideMark/>
          </w:tcPr>
          <w:p w:rsidR="0048627B" w:rsidRPr="00552615" w:rsidRDefault="0048627B" w:rsidP="0038761A">
            <w:pPr>
              <w:jc w:val="center"/>
              <w:rPr>
                <w:rFonts w:ascii="Arial Narrow" w:hAnsi="Arial Narrow" w:cs="Arial"/>
                <w:b/>
                <w:bCs/>
                <w:color w:val="000000"/>
                <w:lang w:eastAsia="es-CO"/>
              </w:rPr>
            </w:pPr>
            <w:r w:rsidRPr="00552615">
              <w:rPr>
                <w:rFonts w:ascii="Arial Narrow" w:hAnsi="Arial Narrow" w:cs="Arial"/>
                <w:b/>
                <w:bCs/>
                <w:color w:val="000000"/>
                <w:lang w:eastAsia="es-CO"/>
              </w:rPr>
              <w:t>OBJETO</w:t>
            </w:r>
          </w:p>
        </w:tc>
      </w:tr>
      <w:tr w:rsidR="0048627B" w:rsidRPr="00552615" w:rsidTr="0038761A">
        <w:trPr>
          <w:trHeight w:val="1455"/>
          <w:jc w:val="center"/>
        </w:trPr>
        <w:tc>
          <w:tcPr>
            <w:tcW w:w="1427" w:type="dxa"/>
            <w:shd w:val="clear" w:color="auto" w:fill="F2F2F2"/>
            <w:vAlign w:val="center"/>
            <w:hideMark/>
          </w:tcPr>
          <w:p w:rsidR="0048627B" w:rsidRPr="00552615" w:rsidRDefault="00E61B56" w:rsidP="0038761A">
            <w:pPr>
              <w:jc w:val="center"/>
              <w:rPr>
                <w:rFonts w:ascii="Arial Narrow" w:hAnsi="Arial Narrow" w:cs="Arial"/>
                <w:b/>
                <w:bCs/>
                <w:color w:val="000000"/>
                <w:lang w:eastAsia="es-CO"/>
              </w:rPr>
            </w:pPr>
            <w:hyperlink r:id="rId17" w:history="1">
              <w:r w:rsidR="0048627B" w:rsidRPr="00552615">
                <w:rPr>
                  <w:rStyle w:val="Hipervnculo"/>
                  <w:rFonts w:cs="Arial"/>
                  <w:color w:val="81959F"/>
                </w:rPr>
                <w:t>FDLAN-MIN-011-2016</w:t>
              </w:r>
            </w:hyperlink>
          </w:p>
        </w:tc>
        <w:tc>
          <w:tcPr>
            <w:tcW w:w="1418" w:type="dxa"/>
            <w:shd w:val="clear" w:color="auto" w:fill="F2F2F2"/>
          </w:tcPr>
          <w:p w:rsidR="0048627B" w:rsidRPr="00552615" w:rsidRDefault="0048627B" w:rsidP="0038761A">
            <w:pPr>
              <w:jc w:val="center"/>
              <w:rPr>
                <w:rFonts w:ascii="Arial" w:hAnsi="Arial" w:cs="Arial"/>
                <w:color w:val="11113C"/>
                <w:shd w:val="clear" w:color="auto" w:fill="FFFFFF"/>
              </w:rPr>
            </w:pPr>
          </w:p>
          <w:p w:rsidR="0048627B" w:rsidRPr="00552615" w:rsidRDefault="0048627B" w:rsidP="0038761A">
            <w:pPr>
              <w:jc w:val="center"/>
              <w:rPr>
                <w:rFonts w:ascii="Arial Narrow" w:hAnsi="Arial Narrow" w:cs="Arial"/>
                <w:color w:val="000000"/>
                <w:lang w:eastAsia="es-CO"/>
              </w:rPr>
            </w:pPr>
            <w:r w:rsidRPr="00552615">
              <w:rPr>
                <w:rFonts w:ascii="Arial" w:hAnsi="Arial" w:cs="Arial"/>
                <w:color w:val="3D3D3D"/>
                <w:shd w:val="clear" w:color="auto" w:fill="FFFFFF"/>
              </w:rPr>
              <w:t>ALCALDÍA LOCAL ANTONIO NARIÑO</w:t>
            </w:r>
          </w:p>
        </w:tc>
        <w:tc>
          <w:tcPr>
            <w:tcW w:w="1671" w:type="dxa"/>
            <w:shd w:val="clear" w:color="auto" w:fill="F2F2F2"/>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Narrow" w:hAnsi="Arial Narrow" w:cs="Arial"/>
                <w:color w:val="000000"/>
                <w:lang w:eastAsia="es-CO"/>
              </w:rPr>
              <w:t>$ 19.304.710</w:t>
            </w:r>
          </w:p>
        </w:tc>
        <w:tc>
          <w:tcPr>
            <w:tcW w:w="3999" w:type="dxa"/>
            <w:shd w:val="clear" w:color="auto" w:fill="F2F2F2"/>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w:hAnsi="Arial" w:cs="Arial"/>
                <w:color w:val="3D3D3D"/>
                <w:shd w:val="clear" w:color="auto" w:fill="FFFFFF"/>
              </w:rPr>
              <w:t>PRESTACION DE SERVICIOS DE MANTENIMIENTO Y/O REPARACIONES LOCATIVAS EN LA SEDE DEL TEATRO VILLA MAYOR UBICADO EN LA CALLE 36B NO. 34 - 04 SUR. DE BOGOTÁ D.C.</w:t>
            </w:r>
          </w:p>
        </w:tc>
      </w:tr>
      <w:tr w:rsidR="0048627B" w:rsidRPr="00552615" w:rsidTr="0038761A">
        <w:trPr>
          <w:trHeight w:val="416"/>
          <w:jc w:val="center"/>
        </w:trPr>
        <w:tc>
          <w:tcPr>
            <w:tcW w:w="1427" w:type="dxa"/>
            <w:shd w:val="clear" w:color="auto" w:fill="auto"/>
            <w:vAlign w:val="center"/>
            <w:hideMark/>
          </w:tcPr>
          <w:p w:rsidR="0048627B" w:rsidRPr="00552615" w:rsidRDefault="00E61B56" w:rsidP="0038761A">
            <w:pPr>
              <w:jc w:val="center"/>
              <w:rPr>
                <w:rFonts w:ascii="Arial" w:hAnsi="Arial" w:cs="Arial"/>
                <w:color w:val="3D3D3D"/>
                <w:lang w:val="es-ES"/>
              </w:rPr>
            </w:pPr>
            <w:hyperlink r:id="rId18" w:history="1">
              <w:r w:rsidR="0048627B" w:rsidRPr="00552615">
                <w:rPr>
                  <w:rFonts w:ascii="Arial" w:hAnsi="Arial" w:cs="Arial"/>
                  <w:color w:val="81959F"/>
                </w:rPr>
                <w:br/>
              </w:r>
              <w:r w:rsidR="0048627B" w:rsidRPr="00552615">
                <w:rPr>
                  <w:rStyle w:val="Hipervnculo"/>
                  <w:rFonts w:cs="Arial"/>
                  <w:color w:val="81959F"/>
                </w:rPr>
                <w:t>FDLAN LP 002 - 2016</w:t>
              </w:r>
            </w:hyperlink>
          </w:p>
          <w:p w:rsidR="0048627B" w:rsidRPr="00552615" w:rsidRDefault="0048627B" w:rsidP="0038761A">
            <w:pPr>
              <w:jc w:val="center"/>
              <w:rPr>
                <w:rFonts w:ascii="Arial Narrow" w:hAnsi="Arial Narrow" w:cs="Arial"/>
                <w:b/>
                <w:bCs/>
                <w:color w:val="000000"/>
                <w:lang w:eastAsia="es-CO"/>
              </w:rPr>
            </w:pPr>
          </w:p>
        </w:tc>
        <w:tc>
          <w:tcPr>
            <w:tcW w:w="1418" w:type="dxa"/>
          </w:tcPr>
          <w:p w:rsidR="0048627B" w:rsidRPr="00552615" w:rsidRDefault="0048627B" w:rsidP="0038761A">
            <w:pPr>
              <w:jc w:val="center"/>
              <w:rPr>
                <w:rFonts w:ascii="Arial Narrow" w:hAnsi="Arial Narrow" w:cs="Arial"/>
                <w:color w:val="000000"/>
                <w:lang w:eastAsia="es-CO"/>
              </w:rPr>
            </w:pPr>
            <w:r w:rsidRPr="00552615">
              <w:rPr>
                <w:rFonts w:ascii="Arial" w:hAnsi="Arial" w:cs="Arial"/>
                <w:color w:val="3D3D3D"/>
                <w:shd w:val="clear" w:color="auto" w:fill="FFFFFF"/>
              </w:rPr>
              <w:t>ALCALDÍA LOCAL ANTONIO NARIÑO</w:t>
            </w:r>
          </w:p>
        </w:tc>
        <w:tc>
          <w:tcPr>
            <w:tcW w:w="1671" w:type="dxa"/>
            <w:shd w:val="clear" w:color="auto" w:fill="auto"/>
            <w:noWrap/>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w:hAnsi="Arial" w:cs="Arial"/>
                <w:color w:val="3D3D3D"/>
                <w:shd w:val="clear" w:color="auto" w:fill="FFFFFF"/>
              </w:rPr>
              <w:t>$455.166.720</w:t>
            </w:r>
          </w:p>
        </w:tc>
        <w:tc>
          <w:tcPr>
            <w:tcW w:w="3999" w:type="dxa"/>
            <w:shd w:val="clear" w:color="auto" w:fill="auto"/>
            <w:vAlign w:val="center"/>
            <w:hideMark/>
          </w:tcPr>
          <w:p w:rsidR="0048627B" w:rsidRPr="00552615" w:rsidRDefault="0048627B" w:rsidP="0038761A">
            <w:pPr>
              <w:jc w:val="center"/>
              <w:rPr>
                <w:rFonts w:ascii="Arial Narrow" w:hAnsi="Arial Narrow" w:cs="Arial"/>
                <w:color w:val="000000"/>
                <w:lang w:eastAsia="es-CO"/>
              </w:rPr>
            </w:pPr>
            <w:r w:rsidRPr="00552615">
              <w:rPr>
                <w:rFonts w:ascii="Arial" w:hAnsi="Arial" w:cs="Arial"/>
                <w:color w:val="3D3D3D"/>
                <w:shd w:val="clear" w:color="auto" w:fill="FFFFFF"/>
              </w:rPr>
              <w:t>PRESTAR EL SERVICIO DE MANTENIMIENTO PREVENTIVO Y CORRECTIVO POR EL SISTEMA DE PRECIOS UNITARIOS A MONTO AGOTABLE SIN FORMULA DE REAJUSTE DE LA RED ELÉCTRICA INTERNA DE LA EDIFICACIÓN SEDE ADMINISTRATIVA DE LA ALCALDÍA LOCAL ANTONIO NARIÑO</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rPr>
                <w:rFonts w:ascii="Arial" w:hAnsi="Arial" w:cs="Arial"/>
                <w:color w:val="3D3D3D"/>
              </w:rPr>
            </w:pPr>
            <w:hyperlink r:id="rId19" w:history="1">
              <w:r w:rsidR="0048627B" w:rsidRPr="00552615">
                <w:rPr>
                  <w:rStyle w:val="Hipervnculo"/>
                  <w:rFonts w:cs="Arial"/>
                  <w:color w:val="81959F"/>
                </w:rPr>
                <w:t>FDLAN-SAMC-006-2016</w:t>
              </w:r>
            </w:hyperlink>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ANTONIO NARIÑO</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EEEEEE"/>
              </w:rPr>
              <w:t>$ 94.012.316</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EEEEEE"/>
              </w:rPr>
              <w:t>CONTRATAR LAS OBRAS CIVILES PARA ADECUACIONES PREVIAS PINTURA DEL INTERIOR Y EXTERIOR DE LA EDIFICACION SEDE ADMINISTRATIVA DE LA ALCALDÍA LOCAL ANTONIO NARIÑO POR EL SISTEMA DE PRECIOS UNITARIOS A MONTO AGOTABLE SIN FORMULA DE REAJUSTE</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rPr>
                <w:rFonts w:ascii="Arial" w:hAnsi="Arial" w:cs="Arial"/>
                <w:color w:val="3D3D3D"/>
                <w:lang w:val="es-ES"/>
              </w:rPr>
            </w:pPr>
            <w:hyperlink r:id="rId20" w:history="1">
              <w:r w:rsidR="0048627B" w:rsidRPr="00552615">
                <w:rPr>
                  <w:rFonts w:ascii="Arial" w:hAnsi="Arial" w:cs="Arial"/>
                  <w:color w:val="81959F"/>
                </w:rPr>
                <w:br/>
              </w:r>
              <w:r w:rsidR="0048627B" w:rsidRPr="00552615">
                <w:rPr>
                  <w:rStyle w:val="Hipervnculo"/>
                  <w:rFonts w:cs="Arial"/>
                  <w:color w:val="81959F"/>
                </w:rPr>
                <w:t>FDLCB-SAMC-016-2014</w:t>
              </w:r>
            </w:hyperlink>
          </w:p>
          <w:p w:rsidR="0048627B" w:rsidRPr="00552615" w:rsidRDefault="0048627B" w:rsidP="0038761A">
            <w:pPr>
              <w:jc w:val="center"/>
            </w:pPr>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EEEEEE"/>
              </w:rPr>
              <w:t>ALCALDÍA LOCAL CIUDAD BOLÍVAR</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$87.938.504</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CONTRATAR EL MANTENIMIENTO DE LAS INSTALACIONES DE LA ALCALDÍA LOCAL, LA JUNTA ADMINISTRADORA LOCAL Y LA CASA DE LA CULTURA DE CIUDAD BOLÍVAR.</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pPr>
            <w:hyperlink r:id="rId21" w:history="1">
              <w:r w:rsidR="0048627B" w:rsidRPr="00552615">
                <w:rPr>
                  <w:rStyle w:val="Hipervnculo"/>
                  <w:rFonts w:cs="Arial"/>
                  <w:color w:val="81959F"/>
                </w:rPr>
                <w:t>FDLB-SAMC-154- 2014</w:t>
              </w:r>
            </w:hyperlink>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DE BOSA</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$41.000.000</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CONTRATAR LA EJECUCIÓN DE OBRAS DE ADECUACIÓN, MANTENIMIENTO Y REPARACIONES LOCATIVAS DE LA PLANTA FÍSICA DE LA SEDE DE LA ALCALDÍA LOCAL DE BOSA Y DOTACION DE LA JUNTA ADMINISTRADORA LOCAL CON MOBILIARIO</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pPr>
            <w:hyperlink r:id="rId22" w:history="1">
              <w:r w:rsidR="0048627B" w:rsidRPr="00552615">
                <w:rPr>
                  <w:rStyle w:val="Hipervnculo"/>
                  <w:rFonts w:cs="Arial"/>
                  <w:color w:val="81959F"/>
                </w:rPr>
                <w:t>ALB-MINC No. 166 - 2012</w:t>
              </w:r>
            </w:hyperlink>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DE BOSA</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$15.000.000</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CONTRATAR EL MANTENIMIENTO Y REPARACIONES MENORES PERIÓDICAS A LAS INSTALACIONES DE LA ALCALDÍA LOCAL DE BOSA, LA JUNTA ADMINISTRADORA LOCAL Y LOS DEMÁS BIENES INMUEBLES A CARGO DEL FONDO DE DESARROLLO, MEDIANTE LA MODALIDAD DE CONTRATO DE OBRA PÚBLICA</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pPr>
            <w:hyperlink r:id="rId23" w:history="1">
              <w:r w:rsidR="0048627B" w:rsidRPr="00552615">
                <w:rPr>
                  <w:rStyle w:val="Hipervnculo"/>
                  <w:rFonts w:cs="Arial"/>
                  <w:color w:val="81959F"/>
                </w:rPr>
                <w:t>FDLCH SAMC 011 2016</w:t>
              </w:r>
            </w:hyperlink>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DE CHAPINERO</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$145.378.720</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REALIZAR EL MANTENIMIENTO PREVENTIVO Y CORRECTIVO, ASÍ COMO LAS REPARACIONES LOCATIVAS Y ACTIVIDADES EMERGENTES NECESARIAS DE LAS INSTALACIONES DE LA ALCALDÍA LOCAL DE CHAPINERO</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rPr>
                <w:rFonts w:ascii="Arial" w:hAnsi="Arial" w:cs="Arial"/>
                <w:color w:val="3D3D3D"/>
                <w:lang w:val="es-ES"/>
              </w:rPr>
            </w:pPr>
            <w:hyperlink r:id="rId24" w:history="1">
              <w:r w:rsidR="0048627B" w:rsidRPr="00552615">
                <w:rPr>
                  <w:rFonts w:ascii="Arial" w:hAnsi="Arial" w:cs="Arial"/>
                  <w:color w:val="81959F"/>
                </w:rPr>
                <w:br/>
              </w:r>
              <w:r w:rsidR="0048627B" w:rsidRPr="00552615">
                <w:rPr>
                  <w:rStyle w:val="Hipervnculo"/>
                  <w:rFonts w:cs="Arial"/>
                  <w:color w:val="81959F"/>
                </w:rPr>
                <w:t>FDLCH –SAMC-012-2017</w:t>
              </w:r>
            </w:hyperlink>
          </w:p>
          <w:p w:rsidR="0048627B" w:rsidRPr="00552615" w:rsidRDefault="0048627B" w:rsidP="0038761A">
            <w:pPr>
              <w:jc w:val="center"/>
            </w:pPr>
          </w:p>
        </w:tc>
        <w:tc>
          <w:tcPr>
            <w:tcW w:w="1418" w:type="dxa"/>
          </w:tcPr>
          <w:p w:rsidR="0048627B" w:rsidRPr="00552615" w:rsidRDefault="0048627B" w:rsidP="0038761A">
            <w:pPr>
              <w:jc w:val="center"/>
              <w:rPr>
                <w:rFonts w:ascii="Arial" w:hAnsi="Arial" w:cs="Arial"/>
                <w:color w:val="3D3D3D"/>
                <w:shd w:val="clear" w:color="auto" w:fill="FFFFFF"/>
              </w:rPr>
            </w:pPr>
          </w:p>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DE CHAPINERO</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$292.757.508</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“REALIZAR EL MANTENIMIENTO PREVENTIVO Y CORRECTIVO, ASÍ COMO LAS REPARACIONES LOCATIVAS Y ACTIVIDADES EMERGENTES NECESARIAS, A LAS INSTALACIONES DE LA SEDE DE LA ALCALDÍA LOCAL DE CHAPINERO”</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pPr>
            <w:hyperlink r:id="rId25" w:history="1">
              <w:r w:rsidR="0048627B" w:rsidRPr="00552615">
                <w:rPr>
                  <w:rStyle w:val="Hipervnculo"/>
                  <w:rFonts w:cs="Arial"/>
                  <w:color w:val="81959F"/>
                </w:rPr>
                <w:t>FDLE-LP-242-2017</w:t>
              </w:r>
            </w:hyperlink>
          </w:p>
        </w:tc>
        <w:tc>
          <w:tcPr>
            <w:tcW w:w="1418" w:type="dxa"/>
          </w:tcPr>
          <w:p w:rsidR="0048627B" w:rsidRPr="00552615" w:rsidRDefault="0048627B" w:rsidP="0038761A">
            <w:pPr>
              <w:jc w:val="center"/>
              <w:rPr>
                <w:rFonts w:ascii="Arial" w:hAnsi="Arial" w:cs="Arial"/>
                <w:color w:val="3D3D3D"/>
                <w:shd w:val="clear" w:color="auto" w:fill="FFFFFF"/>
              </w:rPr>
            </w:pPr>
          </w:p>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DE ENGATIVA</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$486.873.024</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CONTRATAR LAS OBRAS DE ADECUACION Y REMODELACION DE LA INFRAESTRUCTURA FISICA, CON EL SUMINISTRO E INSTALACION DE MOBILIARIO, EQUIPOS Y ENSERES PARA EL EDIFICIO CENTRO ADMINISTRATIVO LOCAL (CALE)</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pPr>
            <w:hyperlink r:id="rId26" w:history="1">
              <w:r w:rsidR="0048627B" w:rsidRPr="00552615">
                <w:rPr>
                  <w:rStyle w:val="Hipervnculo"/>
                  <w:rFonts w:cs="Arial"/>
                  <w:color w:val="81959F"/>
                </w:rPr>
                <w:t>FDLF-LP-026-2015</w:t>
              </w:r>
            </w:hyperlink>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EEEEEE"/>
              </w:rPr>
              <w:t>ALCALDÍA LOCAL DE FONTIBON</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$280.269.989</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EEEEEE"/>
              </w:rPr>
              <w:t>REALIZAR LAS OBRAS DE MANTENIMIENTO, REPARACIÓN Y ADECUACIÓN LOCATIVA DE LA ANTIGUA SEDE DONDE FUNCIONABA EL CUERPO DE BOMBEROS DE LA LOCALIDAD DE FONTIBÓN.</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pPr>
            <w:hyperlink r:id="rId27" w:history="1">
              <w:r w:rsidR="0048627B" w:rsidRPr="00552615">
                <w:rPr>
                  <w:rStyle w:val="Hipervnculo"/>
                  <w:rFonts w:cs="Arial"/>
                  <w:color w:val="81959F"/>
                </w:rPr>
                <w:t>FDLK-SAMC-28-2013</w:t>
              </w:r>
            </w:hyperlink>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DE KENEDDY</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$73.494.995</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EEEEEE"/>
              </w:rPr>
            </w:pPr>
            <w:r w:rsidRPr="00552615">
              <w:rPr>
                <w:rFonts w:ascii="Arial" w:hAnsi="Arial" w:cs="Arial"/>
                <w:color w:val="3D3D3D"/>
                <w:shd w:val="clear" w:color="auto" w:fill="FFFFFF"/>
              </w:rPr>
              <w:t>REALIZAR EL MANTENIMIENTO FISICO A LAS INSTALACIONES DE LA CASA VECINAL DE BRITALIA Y EL JARDIN INFANTIL DE VILLA RICA UBICADOS EN LA LOCALIDAD DE KENNEDY</w:t>
            </w:r>
          </w:p>
        </w:tc>
      </w:tr>
      <w:tr w:rsidR="0048627B" w:rsidRPr="00552615" w:rsidTr="0038761A">
        <w:trPr>
          <w:trHeight w:val="416"/>
          <w:jc w:val="center"/>
        </w:trPr>
        <w:tc>
          <w:tcPr>
            <w:tcW w:w="1427" w:type="dxa"/>
            <w:shd w:val="clear" w:color="auto" w:fill="auto"/>
            <w:vAlign w:val="center"/>
          </w:tcPr>
          <w:p w:rsidR="0048627B" w:rsidRPr="00552615" w:rsidRDefault="00E61B56" w:rsidP="0038761A">
            <w:pPr>
              <w:jc w:val="center"/>
              <w:rPr>
                <w:rFonts w:ascii="Arial" w:hAnsi="Arial" w:cs="Arial"/>
                <w:color w:val="3D3D3D"/>
                <w:lang w:val="es-ES"/>
              </w:rPr>
            </w:pPr>
            <w:hyperlink r:id="rId28" w:history="1">
              <w:r w:rsidR="0048627B" w:rsidRPr="00552615">
                <w:rPr>
                  <w:rFonts w:ascii="Arial" w:hAnsi="Arial" w:cs="Arial"/>
                  <w:color w:val="81959F"/>
                </w:rPr>
                <w:br/>
              </w:r>
              <w:r w:rsidR="0048627B" w:rsidRPr="00552615">
                <w:rPr>
                  <w:rStyle w:val="Hipervnculo"/>
                  <w:rFonts w:cs="Arial"/>
                  <w:color w:val="81959F"/>
                </w:rPr>
                <w:t>FDLS L.P. 004 DE 2014</w:t>
              </w:r>
            </w:hyperlink>
          </w:p>
          <w:p w:rsidR="0048627B" w:rsidRPr="00552615" w:rsidRDefault="0048627B" w:rsidP="0038761A">
            <w:pPr>
              <w:jc w:val="center"/>
            </w:pPr>
          </w:p>
        </w:tc>
        <w:tc>
          <w:tcPr>
            <w:tcW w:w="1418" w:type="dxa"/>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ALCALDÍA LOCAL DE SUBA</w:t>
            </w:r>
          </w:p>
        </w:tc>
        <w:tc>
          <w:tcPr>
            <w:tcW w:w="1671" w:type="dxa"/>
            <w:shd w:val="clear" w:color="auto" w:fill="auto"/>
            <w:noWrap/>
            <w:vAlign w:val="center"/>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$513.650.000</w:t>
            </w:r>
          </w:p>
        </w:tc>
        <w:tc>
          <w:tcPr>
            <w:tcW w:w="3999" w:type="dxa"/>
            <w:shd w:val="clear" w:color="auto" w:fill="auto"/>
            <w:vAlign w:val="center"/>
          </w:tcPr>
          <w:p w:rsidR="0048627B" w:rsidRPr="00552615" w:rsidRDefault="0048627B" w:rsidP="0038761A">
            <w:pPr>
              <w:jc w:val="center"/>
              <w:rPr>
                <w:rFonts w:ascii="Arial" w:hAnsi="Arial" w:cs="Arial"/>
                <w:color w:val="3D3D3D"/>
                <w:shd w:val="clear" w:color="auto" w:fill="FFFFFF"/>
              </w:rPr>
            </w:pPr>
            <w:r w:rsidRPr="00552615">
              <w:rPr>
                <w:rFonts w:ascii="Arial" w:hAnsi="Arial" w:cs="Arial"/>
                <w:color w:val="3D3D3D"/>
                <w:shd w:val="clear" w:color="auto" w:fill="FFFFFF"/>
              </w:rPr>
              <w:t>CONTRATAR A PRECIOS UNITARIOS LA REALIZACIÓN DE REPARACIONES LOCATIVAS Y ADECUACIONES EN LAS INSTALACIONES QUE HACEN PARTE DE LA ALCALDÍA LOCAL DE SUBA, Y EL DISEÑO Y DOTACIÓN DE UN ESCENARIO PÚBLICO CULTURAL</w:t>
            </w:r>
          </w:p>
        </w:tc>
      </w:tr>
    </w:tbl>
    <w:p w:rsidR="0048627B" w:rsidRPr="00552615" w:rsidRDefault="0048627B" w:rsidP="0048627B">
      <w:pPr>
        <w:autoSpaceDE w:val="0"/>
        <w:adjustRightInd w:val="0"/>
        <w:jc w:val="both"/>
        <w:rPr>
          <w:rFonts w:ascii="Arial" w:hAnsi="Arial" w:cs="Arial"/>
          <w:lang w:val="es-ES"/>
        </w:rPr>
      </w:pPr>
    </w:p>
    <w:p w:rsidR="0048627B" w:rsidRPr="00552615" w:rsidRDefault="0048627B" w:rsidP="0048627B">
      <w:pPr>
        <w:autoSpaceDE w:val="0"/>
        <w:adjustRightInd w:val="0"/>
        <w:jc w:val="both"/>
        <w:rPr>
          <w:rFonts w:ascii="Arial" w:hAnsi="Arial" w:cs="Arial"/>
          <w:lang w:val="es-ES"/>
        </w:rPr>
      </w:pPr>
      <w:r w:rsidRPr="00552615">
        <w:rPr>
          <w:rFonts w:ascii="Arial" w:hAnsi="Arial" w:cs="Arial"/>
          <w:lang w:val="es-ES"/>
        </w:rPr>
        <w:t>De lo anterior se observa acerca de procesos similares adelantados por diferentes entidades que:</w:t>
      </w:r>
    </w:p>
    <w:p w:rsidR="0048627B" w:rsidRPr="00552615" w:rsidRDefault="0048627B" w:rsidP="0048627B">
      <w:pPr>
        <w:autoSpaceDE w:val="0"/>
        <w:adjustRightInd w:val="0"/>
        <w:jc w:val="both"/>
        <w:rPr>
          <w:rFonts w:ascii="Arial" w:hAnsi="Arial" w:cs="Arial"/>
          <w:lang w:val="es-ES"/>
        </w:rPr>
      </w:pPr>
    </w:p>
    <w:p w:rsidR="0048627B" w:rsidRPr="00552615" w:rsidRDefault="0048627B" w:rsidP="0048627B">
      <w:pPr>
        <w:autoSpaceDE w:val="0"/>
        <w:adjustRightInd w:val="0"/>
        <w:jc w:val="both"/>
        <w:rPr>
          <w:rFonts w:ascii="Arial" w:hAnsi="Arial" w:cs="Arial"/>
          <w:bCs/>
          <w:lang w:val="es-ES"/>
        </w:rPr>
      </w:pPr>
      <w:r w:rsidRPr="00552615">
        <w:rPr>
          <w:rFonts w:ascii="Arial" w:hAnsi="Arial" w:cs="Arial"/>
          <w:lang w:val="es-ES"/>
        </w:rPr>
        <w:t>1. Las</w:t>
      </w:r>
      <w:r w:rsidRPr="00552615">
        <w:rPr>
          <w:rFonts w:ascii="Arial" w:hAnsi="Arial" w:cs="Arial"/>
          <w:bCs/>
          <w:lang w:val="es-ES"/>
        </w:rPr>
        <w:t xml:space="preserve"> modalidades </w:t>
      </w:r>
      <w:r w:rsidRPr="00552615">
        <w:rPr>
          <w:rFonts w:ascii="Arial" w:hAnsi="Arial" w:cs="Arial"/>
          <w:lang w:val="es-ES"/>
        </w:rPr>
        <w:t>de contratación fueron en su mayoría para este tipo de procesos Selección Abreviada de menor cuantía y Licitación Pública</w:t>
      </w:r>
      <w:r w:rsidRPr="00552615">
        <w:rPr>
          <w:rFonts w:ascii="Arial" w:hAnsi="Arial" w:cs="Arial"/>
          <w:bCs/>
          <w:lang w:val="es-ES"/>
        </w:rPr>
        <w:t>.</w:t>
      </w:r>
    </w:p>
    <w:p w:rsidR="0048627B" w:rsidRPr="00552615" w:rsidRDefault="0048627B" w:rsidP="0048627B">
      <w:pPr>
        <w:autoSpaceDE w:val="0"/>
        <w:adjustRightInd w:val="0"/>
        <w:jc w:val="both"/>
        <w:rPr>
          <w:rFonts w:ascii="Arial" w:hAnsi="Arial" w:cs="Arial"/>
          <w:lang w:val="es-ES"/>
        </w:rPr>
      </w:pPr>
      <w:r w:rsidRPr="00552615">
        <w:rPr>
          <w:rFonts w:ascii="Arial" w:hAnsi="Arial" w:cs="Arial"/>
          <w:lang w:val="es-ES"/>
        </w:rPr>
        <w:t xml:space="preserve">2. </w:t>
      </w:r>
      <w:r w:rsidRPr="00552615">
        <w:rPr>
          <w:rFonts w:ascii="Arial" w:hAnsi="Arial" w:cs="Arial"/>
          <w:bCs/>
          <w:lang w:val="es-ES"/>
        </w:rPr>
        <w:t xml:space="preserve">El valor </w:t>
      </w:r>
      <w:r w:rsidRPr="00552615">
        <w:rPr>
          <w:rFonts w:ascii="Arial" w:hAnsi="Arial" w:cs="Arial"/>
          <w:lang w:val="es-ES"/>
        </w:rPr>
        <w:t>de los procesos varía de acuerdo a las cantidades ejecutadas.</w:t>
      </w:r>
    </w:p>
    <w:p w:rsidR="0048627B" w:rsidRDefault="0048627B" w:rsidP="0048627B">
      <w:pPr>
        <w:autoSpaceDE w:val="0"/>
        <w:adjustRightInd w:val="0"/>
        <w:jc w:val="both"/>
        <w:rPr>
          <w:rFonts w:ascii="Arial" w:hAnsi="Arial" w:cs="Arial"/>
          <w:lang w:val="es-ES"/>
        </w:rPr>
      </w:pPr>
      <w:r w:rsidRPr="00552615">
        <w:rPr>
          <w:rFonts w:ascii="Arial" w:hAnsi="Arial" w:cs="Arial"/>
          <w:bCs/>
          <w:lang w:val="es-ES"/>
        </w:rPr>
        <w:t>3</w:t>
      </w:r>
      <w:r w:rsidRPr="00552615">
        <w:rPr>
          <w:rFonts w:ascii="Arial" w:hAnsi="Arial" w:cs="Arial"/>
          <w:b/>
          <w:bCs/>
          <w:lang w:val="es-ES"/>
        </w:rPr>
        <w:t xml:space="preserve">. </w:t>
      </w:r>
      <w:r w:rsidRPr="00552615">
        <w:rPr>
          <w:rFonts w:ascii="Arial" w:hAnsi="Arial" w:cs="Arial"/>
          <w:bCs/>
          <w:lang w:val="es-ES"/>
        </w:rPr>
        <w:t>Los procesos incluyen diferentes actividades entre las que se encuentran obra civil, adecuación de instalaciones, mantenimiento físico, de infraestructura, las cuales son similares a las que se requieren para el proceso que adelanta la Alcaldía Local de Barrios Unidos</w:t>
      </w:r>
      <w:r w:rsidRPr="00552615">
        <w:rPr>
          <w:rFonts w:ascii="Arial" w:hAnsi="Arial" w:cs="Arial"/>
          <w:lang w:val="es-ES"/>
        </w:rPr>
        <w:t>.</w:t>
      </w:r>
    </w:p>
    <w:p w:rsidR="0048627B" w:rsidRDefault="0048627B" w:rsidP="0048627B">
      <w:pPr>
        <w:autoSpaceDE w:val="0"/>
        <w:adjustRightInd w:val="0"/>
        <w:jc w:val="both"/>
        <w:rPr>
          <w:rFonts w:ascii="Arial" w:hAnsi="Arial" w:cs="Arial"/>
          <w:lang w:val="es-ES"/>
        </w:rPr>
      </w:pPr>
    </w:p>
    <w:p w:rsidR="0048627B" w:rsidRDefault="0048627B" w:rsidP="0048627B">
      <w:pPr>
        <w:widowControl/>
        <w:numPr>
          <w:ilvl w:val="0"/>
          <w:numId w:val="25"/>
        </w:numPr>
        <w:autoSpaceDN/>
        <w:spacing w:after="160" w:line="276" w:lineRule="auto"/>
        <w:ind w:right="115"/>
        <w:jc w:val="both"/>
        <w:textAlignment w:val="auto"/>
        <w:rPr>
          <w:rFonts w:ascii="Arial" w:eastAsia="Arial" w:hAnsi="Arial" w:cs="Arial"/>
          <w:b/>
          <w:bCs/>
          <w:lang w:eastAsia="en-US"/>
        </w:rPr>
      </w:pPr>
      <w:r w:rsidRPr="00552615">
        <w:rPr>
          <w:rFonts w:ascii="Arial" w:eastAsia="Arial" w:hAnsi="Arial" w:cs="Arial"/>
          <w:b/>
          <w:bCs/>
          <w:lang w:eastAsia="en-US"/>
        </w:rPr>
        <w:t xml:space="preserve">ANÁLISIS DE LA OFERTA </w:t>
      </w:r>
    </w:p>
    <w:p w:rsidR="0048627B" w:rsidRPr="002C646F" w:rsidRDefault="0048627B" w:rsidP="0048627B">
      <w:pPr>
        <w:autoSpaceDE w:val="0"/>
        <w:adjustRightInd w:val="0"/>
        <w:jc w:val="both"/>
        <w:rPr>
          <w:rFonts w:ascii="Arial" w:hAnsi="Arial" w:cs="Arial"/>
          <w:lang w:val="es-ES"/>
        </w:rPr>
      </w:pPr>
      <w:r w:rsidRPr="002C646F">
        <w:rPr>
          <w:rFonts w:ascii="Arial" w:hAnsi="Arial" w:cs="Arial"/>
          <w:b/>
          <w:lang w:val="es-ES"/>
        </w:rPr>
        <w:t>Quién construye</w:t>
      </w:r>
      <w:r>
        <w:rPr>
          <w:rFonts w:ascii="Arial" w:hAnsi="Arial" w:cs="Arial"/>
          <w:lang w:val="es-ES"/>
        </w:rPr>
        <w:t>.</w:t>
      </w:r>
      <w:r w:rsidRPr="002C646F">
        <w:rPr>
          <w:rFonts w:ascii="Arial" w:hAnsi="Arial" w:cs="Arial"/>
          <w:lang w:val="es-ES"/>
        </w:rPr>
        <w:t xml:space="preserve"> Se tiene que en el mercado de la construcción gra</w:t>
      </w:r>
      <w:r>
        <w:rPr>
          <w:rFonts w:ascii="Arial" w:hAnsi="Arial" w:cs="Arial"/>
          <w:lang w:val="es-ES"/>
        </w:rPr>
        <w:t>n</w:t>
      </w:r>
      <w:r w:rsidRPr="002C646F">
        <w:rPr>
          <w:rFonts w:ascii="Arial" w:hAnsi="Arial" w:cs="Arial"/>
          <w:lang w:val="es-ES"/>
        </w:rPr>
        <w:t>des empresas que están en el sector, sin olvidar el porcentaje que existen de empresas mipymes, así las cosas, tal y como lo indica la Súper Sociedades.</w:t>
      </w:r>
    </w:p>
    <w:p w:rsidR="0048627B" w:rsidRPr="002C646F" w:rsidRDefault="0048627B" w:rsidP="0048627B">
      <w:pPr>
        <w:autoSpaceDE w:val="0"/>
        <w:adjustRightInd w:val="0"/>
        <w:jc w:val="both"/>
        <w:rPr>
          <w:rFonts w:ascii="Arial" w:hAnsi="Arial" w:cs="Arial"/>
          <w:lang w:val="es-ES"/>
        </w:rPr>
      </w:pPr>
    </w:p>
    <w:p w:rsidR="0048627B" w:rsidRPr="002C646F" w:rsidRDefault="0048627B" w:rsidP="0048627B">
      <w:pPr>
        <w:autoSpaceDE w:val="0"/>
        <w:adjustRightInd w:val="0"/>
        <w:jc w:val="both"/>
        <w:rPr>
          <w:rFonts w:ascii="Arial" w:hAnsi="Arial" w:cs="Arial"/>
          <w:lang w:val="es-ES"/>
        </w:rPr>
      </w:pPr>
      <w:r w:rsidRPr="002C646F">
        <w:rPr>
          <w:rFonts w:ascii="Arial" w:hAnsi="Arial" w:cs="Arial"/>
          <w:lang w:val="es-ES"/>
        </w:rPr>
        <w:t>Teniendo en cuenta la Ley 905 del año 2004 se puede observar que para el sector de Infraestructura la mayor parte de las empresas que pertenecen al mismo están catalogadas como PYMES3 con un 80,83% del total de las empresas analizadas en este estudio, seguida de las Grandes empresas con un 15,98% y las Microempresas con un 3,20%.</w:t>
      </w:r>
    </w:p>
    <w:p w:rsidR="0048627B" w:rsidRPr="002C646F" w:rsidRDefault="0048627B" w:rsidP="0048627B">
      <w:pPr>
        <w:autoSpaceDE w:val="0"/>
        <w:adjustRightInd w:val="0"/>
        <w:jc w:val="both"/>
        <w:rPr>
          <w:rFonts w:ascii="Arial" w:hAnsi="Arial" w:cs="Arial"/>
          <w:lang w:val="es-ES"/>
        </w:rPr>
      </w:pPr>
    </w:p>
    <w:p w:rsidR="0048627B" w:rsidRDefault="0048627B" w:rsidP="0048627B">
      <w:pPr>
        <w:autoSpaceDE w:val="0"/>
        <w:adjustRightInd w:val="0"/>
        <w:jc w:val="both"/>
        <w:rPr>
          <w:rFonts w:ascii="Arial" w:hAnsi="Arial" w:cs="Arial"/>
          <w:lang w:val="es-ES"/>
        </w:rPr>
      </w:pPr>
      <w:r w:rsidRPr="002C646F">
        <w:rPr>
          <w:rFonts w:ascii="Arial" w:hAnsi="Arial" w:cs="Arial"/>
          <w:lang w:val="es-ES"/>
        </w:rPr>
        <w:t>El comportamiento frente a los ingresos operacionales es inverso ya que las Grandes empresas generan $15,2 billones de pesos, un 71,53% del total de los ingresos operacionales generados por las 1.471 empresas del sector para el año 2012, seguido de las PYMES con $6 billones de pesos, un 28,39% de los ingresos operacionales reportados por el total de las empresas del estudio</w:t>
      </w:r>
      <w:r>
        <w:rPr>
          <w:rFonts w:ascii="Arial" w:hAnsi="Arial" w:cs="Arial"/>
          <w:lang w:val="es-ES"/>
        </w:rPr>
        <w:t>.</w:t>
      </w:r>
    </w:p>
    <w:p w:rsidR="0048627B" w:rsidRDefault="0048627B" w:rsidP="0048627B">
      <w:pPr>
        <w:autoSpaceDE w:val="0"/>
        <w:adjustRightInd w:val="0"/>
        <w:jc w:val="both"/>
        <w:rPr>
          <w:rFonts w:ascii="Arial" w:hAnsi="Arial" w:cs="Arial"/>
          <w:lang w:val="es-ES"/>
        </w:rPr>
      </w:pPr>
    </w:p>
    <w:p w:rsidR="0048627B" w:rsidRDefault="0048627B" w:rsidP="0048627B">
      <w:pPr>
        <w:autoSpaceDE w:val="0"/>
        <w:adjustRightInd w:val="0"/>
        <w:jc w:val="both"/>
        <w:rPr>
          <w:rFonts w:ascii="Arial" w:hAnsi="Arial" w:cs="Arial"/>
          <w:lang w:val="es-ES"/>
        </w:rPr>
      </w:pPr>
    </w:p>
    <w:p w:rsidR="0048627B" w:rsidRPr="002C646F" w:rsidRDefault="0048627B" w:rsidP="0048627B">
      <w:pPr>
        <w:autoSpaceDE w:val="0"/>
        <w:adjustRightInd w:val="0"/>
        <w:jc w:val="both"/>
        <w:rPr>
          <w:rFonts w:ascii="Arial" w:hAnsi="Arial" w:cs="Arial"/>
          <w:lang w:val="es-ES"/>
        </w:rPr>
      </w:pPr>
    </w:p>
    <w:p w:rsidR="0048627B" w:rsidRPr="00552615" w:rsidRDefault="0048627B" w:rsidP="0048627B">
      <w:pPr>
        <w:spacing w:line="275" w:lineRule="auto"/>
        <w:ind w:right="118"/>
        <w:jc w:val="both"/>
        <w:rPr>
          <w:rFonts w:ascii="Arial" w:hAnsi="Arial" w:cs="Arial"/>
          <w:spacing w:val="-1"/>
        </w:rPr>
      </w:pPr>
      <w:r>
        <w:rPr>
          <w:rFonts w:ascii="Arial" w:hAnsi="Arial" w:cs="Arial"/>
          <w:noProof/>
          <w:spacing w:val="-1"/>
          <w:lang w:eastAsia="es-CO" w:bidi="ar-SA"/>
        </w:rPr>
        <w:drawing>
          <wp:inline distT="0" distB="0" distL="0" distR="0">
            <wp:extent cx="5429250" cy="23812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29250" cy="2381250"/>
                    </a:xfrm>
                    <a:prstGeom prst="rect">
                      <a:avLst/>
                    </a:prstGeom>
                    <a:noFill/>
                    <a:ln>
                      <a:noFill/>
                    </a:ln>
                  </pic:spPr>
                </pic:pic>
              </a:graphicData>
            </a:graphic>
          </wp:inline>
        </w:drawing>
      </w:r>
    </w:p>
    <w:p w:rsidR="0048627B" w:rsidRDefault="0048627B" w:rsidP="0048627B">
      <w:pPr>
        <w:autoSpaceDE w:val="0"/>
        <w:adjustRightInd w:val="0"/>
        <w:jc w:val="both"/>
        <w:rPr>
          <w:rFonts w:ascii="Arial" w:hAnsi="Arial" w:cs="Arial"/>
          <w:lang w:val="es-ES"/>
        </w:rPr>
      </w:pPr>
    </w:p>
    <w:p w:rsidR="0048627B" w:rsidRDefault="0048627B" w:rsidP="0048627B">
      <w:pPr>
        <w:autoSpaceDE w:val="0"/>
        <w:adjustRightInd w:val="0"/>
        <w:jc w:val="both"/>
        <w:rPr>
          <w:rFonts w:ascii="Arial" w:hAnsi="Arial" w:cs="Arial"/>
          <w:lang w:val="es-ES"/>
        </w:rPr>
      </w:pPr>
      <w:r w:rsidRPr="002C646F">
        <w:rPr>
          <w:rFonts w:ascii="Arial" w:hAnsi="Arial" w:cs="Arial"/>
          <w:lang w:val="es-ES"/>
        </w:rPr>
        <w:t xml:space="preserve">En donde encontramos: </w:t>
      </w:r>
    </w:p>
    <w:p w:rsidR="0048627B" w:rsidRDefault="0048627B" w:rsidP="0048627B">
      <w:pPr>
        <w:autoSpaceDE w:val="0"/>
        <w:adjustRightInd w:val="0"/>
        <w:jc w:val="both"/>
        <w:rPr>
          <w:rFonts w:ascii="Arial" w:hAnsi="Arial" w:cs="Arial"/>
          <w:lang w:val="es-ES"/>
        </w:rPr>
      </w:pPr>
    </w:p>
    <w:p w:rsidR="0048627B" w:rsidRPr="002C646F" w:rsidRDefault="0048627B" w:rsidP="0048627B">
      <w:pPr>
        <w:autoSpaceDE w:val="0"/>
        <w:adjustRightInd w:val="0"/>
        <w:jc w:val="both"/>
        <w:rPr>
          <w:rFonts w:ascii="Arial" w:hAnsi="Arial" w:cs="Arial"/>
          <w:lang w:val="es-ES"/>
        </w:rPr>
      </w:pPr>
    </w:p>
    <w:p w:rsidR="0048627B" w:rsidRDefault="0048627B" w:rsidP="0048627B">
      <w:pPr>
        <w:autoSpaceDE w:val="0"/>
        <w:adjustRightInd w:val="0"/>
        <w:jc w:val="both"/>
        <w:rPr>
          <w:rFonts w:ascii="Arial" w:hAnsi="Arial" w:cs="Arial"/>
          <w:lang w:val="es-ES"/>
        </w:rPr>
      </w:pPr>
      <w:r w:rsidRPr="002C646F">
        <w:rPr>
          <w:rFonts w:ascii="Arial" w:hAnsi="Arial" w:cs="Arial"/>
          <w:lang w:val="es-ES"/>
        </w:rPr>
        <w:t xml:space="preserve">En el índice de la bolsa de valores de Colombia, existen 4 compañías del sector, que representan el 3.42% del índice. En el sector infraestructura y obras civiles se destacan: Conconcreto, Odinsa y El Cóndor. </w:t>
      </w:r>
    </w:p>
    <w:p w:rsidR="0048627B" w:rsidRDefault="0048627B" w:rsidP="0048627B">
      <w:pPr>
        <w:autoSpaceDE w:val="0"/>
        <w:adjustRightInd w:val="0"/>
        <w:jc w:val="both"/>
        <w:rPr>
          <w:rFonts w:ascii="Arial" w:hAnsi="Arial" w:cs="Arial"/>
          <w:lang w:val="es-ES"/>
        </w:rPr>
      </w:pPr>
    </w:p>
    <w:p w:rsidR="0048627B" w:rsidRPr="002C646F" w:rsidRDefault="0048627B" w:rsidP="0048627B">
      <w:pPr>
        <w:autoSpaceDE w:val="0"/>
        <w:adjustRightInd w:val="0"/>
        <w:jc w:val="both"/>
        <w:rPr>
          <w:rFonts w:ascii="Arial" w:hAnsi="Arial" w:cs="Arial"/>
          <w:lang w:val="es-ES"/>
        </w:rPr>
      </w:pPr>
      <w:r>
        <w:rPr>
          <w:rFonts w:ascii="Arial" w:hAnsi="Arial" w:cs="Arial"/>
          <w:noProof/>
          <w:lang w:eastAsia="es-CO" w:bidi="ar-SA"/>
        </w:rPr>
        <w:drawing>
          <wp:inline distT="0" distB="0" distL="0" distR="0">
            <wp:extent cx="5419725" cy="25431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19725" cy="2543175"/>
                    </a:xfrm>
                    <a:prstGeom prst="rect">
                      <a:avLst/>
                    </a:prstGeom>
                    <a:noFill/>
                    <a:ln>
                      <a:noFill/>
                    </a:ln>
                  </pic:spPr>
                </pic:pic>
              </a:graphicData>
            </a:graphic>
          </wp:inline>
        </w:drawing>
      </w:r>
    </w:p>
    <w:p w:rsidR="0048627B" w:rsidRDefault="0048627B" w:rsidP="0048627B">
      <w:pPr>
        <w:spacing w:before="138" w:line="276" w:lineRule="auto"/>
        <w:ind w:right="115"/>
        <w:jc w:val="both"/>
        <w:rPr>
          <w:rFonts w:ascii="Arial" w:hAnsi="Arial" w:cs="Arial"/>
          <w:spacing w:val="-1"/>
        </w:rPr>
      </w:pPr>
      <w:r w:rsidRPr="002C646F">
        <w:rPr>
          <w:rFonts w:ascii="Arial" w:hAnsi="Arial" w:cs="Arial"/>
          <w:spacing w:val="-1"/>
        </w:rPr>
        <w:t>Así mismo encontramos en el sector un directorio alrededor de 1200 empresas en el sector construcción de obras civiles, las cuales se asociación bien sea a través de consorcios o uniones temporales para presentarse a proyectos generales.</w:t>
      </w:r>
    </w:p>
    <w:p w:rsidR="0048627B" w:rsidRPr="00552615" w:rsidRDefault="0048627B" w:rsidP="0048627B">
      <w:pPr>
        <w:rPr>
          <w:rFonts w:ascii="Arial" w:hAnsi="Arial" w:cs="Arial"/>
        </w:rPr>
      </w:pPr>
    </w:p>
    <w:p w:rsidR="0048627B" w:rsidRPr="00552615" w:rsidRDefault="0048627B" w:rsidP="0048627B">
      <w:pPr>
        <w:pStyle w:val="Prrafodelista"/>
        <w:numPr>
          <w:ilvl w:val="0"/>
          <w:numId w:val="25"/>
        </w:numPr>
        <w:rPr>
          <w:rFonts w:ascii="Arial" w:hAnsi="Arial" w:cs="Arial"/>
          <w:b/>
          <w:sz w:val="24"/>
          <w:szCs w:val="24"/>
        </w:rPr>
      </w:pPr>
      <w:r w:rsidRPr="00552615">
        <w:rPr>
          <w:rFonts w:ascii="Arial" w:eastAsia="Arial" w:hAnsi="Arial" w:cs="Arial"/>
          <w:b/>
          <w:bCs/>
          <w:sz w:val="24"/>
          <w:szCs w:val="24"/>
          <w:lang w:eastAsia="en-US"/>
        </w:rPr>
        <w:t>ANÁ</w:t>
      </w:r>
      <w:r w:rsidRPr="00552615">
        <w:rPr>
          <w:rFonts w:ascii="Arial" w:eastAsia="Arial" w:hAnsi="Arial" w:cs="Arial"/>
          <w:b/>
          <w:bCs/>
          <w:sz w:val="24"/>
          <w:szCs w:val="24"/>
          <w:lang w:val="es-CO" w:eastAsia="en-US"/>
        </w:rPr>
        <w:t xml:space="preserve">LISIS DE LA CAPACIDAD FINANCIERA Y ORGANIZACIONAL DEL SECTOR. </w:t>
      </w:r>
    </w:p>
    <w:p w:rsidR="0048627B" w:rsidRPr="00552615" w:rsidRDefault="0048627B" w:rsidP="0048627B">
      <w:pPr>
        <w:ind w:left="142"/>
        <w:jc w:val="both"/>
        <w:rPr>
          <w:rFonts w:ascii="Arial" w:hAnsi="Arial" w:cs="Arial"/>
          <w:lang w:eastAsia="es-CO"/>
        </w:rPr>
      </w:pPr>
    </w:p>
    <w:p w:rsidR="0048627B" w:rsidRDefault="0048627B" w:rsidP="0048627B">
      <w:pPr>
        <w:pStyle w:val="Textoindependiente"/>
        <w:spacing w:line="276" w:lineRule="auto"/>
        <w:rPr>
          <w:rFonts w:ascii="Arial" w:hAnsi="Arial" w:cs="Arial"/>
          <w:sz w:val="24"/>
          <w:szCs w:val="24"/>
        </w:rPr>
      </w:pPr>
      <w:r>
        <w:rPr>
          <w:rFonts w:ascii="Arial" w:hAnsi="Arial" w:cs="Arial"/>
          <w:sz w:val="24"/>
          <w:szCs w:val="24"/>
          <w:lang w:val="es-ES"/>
        </w:rPr>
        <w:t>Se tomaron los datos reportados por las empresas del sector construcción a la Superintendencia de Sociedades y los de algunos proveedores registrados en el SECOP II, p</w:t>
      </w:r>
      <w:r w:rsidRPr="00552615">
        <w:rPr>
          <w:rFonts w:ascii="Arial" w:hAnsi="Arial" w:cs="Arial"/>
          <w:sz w:val="24"/>
          <w:szCs w:val="24"/>
        </w:rPr>
        <w:t>ara</w:t>
      </w:r>
      <w:r>
        <w:rPr>
          <w:rFonts w:ascii="Arial" w:hAnsi="Arial" w:cs="Arial"/>
          <w:sz w:val="24"/>
          <w:szCs w:val="24"/>
          <w:lang w:val="es-ES"/>
        </w:rPr>
        <w:t xml:space="preserve"> determinar </w:t>
      </w:r>
      <w:r w:rsidRPr="00552615">
        <w:rPr>
          <w:rFonts w:ascii="Arial" w:hAnsi="Arial" w:cs="Arial"/>
          <w:sz w:val="24"/>
          <w:szCs w:val="24"/>
        </w:rPr>
        <w:t>los siguientes indicadores financieros y de capacidad organizacional, según lo recomienda Colombia Compra: Índice de Liquidez, Índice de Endeudamiento, Razón de cobertura de Interés, Rentabilidad sobre el Patrimonio (ROE), Rentabilidad sobre los Activos (ROA).</w:t>
      </w:r>
    </w:p>
    <w:p w:rsidR="0048627B" w:rsidRDefault="0048627B" w:rsidP="0048627B">
      <w:pPr>
        <w:pStyle w:val="Textoindependiente"/>
        <w:spacing w:line="276" w:lineRule="auto"/>
        <w:rPr>
          <w:rFonts w:ascii="Arial" w:hAnsi="Arial" w:cs="Arial"/>
          <w:sz w:val="24"/>
          <w:szCs w:val="24"/>
        </w:rPr>
      </w:pPr>
    </w:p>
    <w:p w:rsidR="0048627B" w:rsidRDefault="0048627B" w:rsidP="0048627B">
      <w:pPr>
        <w:pStyle w:val="Textoindependiente"/>
        <w:spacing w:line="276" w:lineRule="auto"/>
        <w:rPr>
          <w:rFonts w:ascii="Arial" w:hAnsi="Arial" w:cs="Arial"/>
          <w:sz w:val="24"/>
          <w:szCs w:val="24"/>
          <w:lang w:val="es-ES"/>
        </w:rPr>
      </w:pPr>
      <w:r>
        <w:rPr>
          <w:rFonts w:ascii="Arial" w:hAnsi="Arial" w:cs="Arial"/>
          <w:sz w:val="24"/>
          <w:szCs w:val="24"/>
          <w:lang w:val="es-ES"/>
        </w:rPr>
        <w:t>De acuerdo con lo reportado en la Superintendencia de Sociedades, los indicadores del sector para el 2017 fueron:</w:t>
      </w:r>
    </w:p>
    <w:p w:rsidR="0048627B" w:rsidRDefault="0048627B" w:rsidP="0048627B">
      <w:pPr>
        <w:pStyle w:val="Textoindependiente"/>
        <w:spacing w:line="276" w:lineRule="auto"/>
        <w:rPr>
          <w:rFonts w:ascii="Arial" w:hAnsi="Arial" w:cs="Arial"/>
          <w:sz w:val="24"/>
          <w:szCs w:val="24"/>
          <w:lang w:val="es-ES"/>
        </w:rPr>
      </w:pPr>
    </w:p>
    <w:p w:rsidR="0048627B" w:rsidRPr="007E687B" w:rsidRDefault="0048627B" w:rsidP="0048627B">
      <w:pPr>
        <w:pStyle w:val="Textoindependiente"/>
        <w:spacing w:line="276" w:lineRule="auto"/>
        <w:rPr>
          <w:rFonts w:ascii="Arial" w:hAnsi="Arial" w:cs="Arial"/>
          <w:sz w:val="24"/>
          <w:szCs w:val="24"/>
          <w:lang w:val="es-ES"/>
        </w:rPr>
      </w:pPr>
    </w:p>
    <w:p w:rsidR="0048627B" w:rsidRDefault="0048627B" w:rsidP="0048627B">
      <w:pPr>
        <w:autoSpaceDE w:val="0"/>
        <w:adjustRightInd w:val="0"/>
        <w:spacing w:after="240" w:line="276" w:lineRule="auto"/>
        <w:ind w:left="37"/>
        <w:jc w:val="center"/>
      </w:pPr>
      <w:r>
        <w:rPr>
          <w:noProof/>
          <w:lang w:eastAsia="es-CO" w:bidi="ar-SA"/>
        </w:rPr>
        <w:drawing>
          <wp:inline distT="0" distB="0" distL="0" distR="0">
            <wp:extent cx="2381250" cy="34480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81250" cy="3448050"/>
                    </a:xfrm>
                    <a:prstGeom prst="rect">
                      <a:avLst/>
                    </a:prstGeom>
                    <a:noFill/>
                    <a:ln>
                      <a:noFill/>
                    </a:ln>
                  </pic:spPr>
                </pic:pic>
              </a:graphicData>
            </a:graphic>
          </wp:inline>
        </w:drawing>
      </w:r>
    </w:p>
    <w:p w:rsidR="0048627B" w:rsidRDefault="0048627B" w:rsidP="0048627B">
      <w:pPr>
        <w:autoSpaceDE w:val="0"/>
        <w:adjustRightInd w:val="0"/>
        <w:spacing w:after="240" w:line="276" w:lineRule="auto"/>
        <w:ind w:left="37"/>
        <w:jc w:val="center"/>
        <w:rPr>
          <w:noProof/>
        </w:rPr>
      </w:pPr>
    </w:p>
    <w:p w:rsidR="0048627B" w:rsidRDefault="0048627B" w:rsidP="0048627B">
      <w:pPr>
        <w:autoSpaceDE w:val="0"/>
        <w:adjustRightInd w:val="0"/>
        <w:spacing w:after="240" w:line="276" w:lineRule="auto"/>
        <w:ind w:left="37"/>
        <w:jc w:val="center"/>
        <w:rPr>
          <w:noProof/>
        </w:rPr>
      </w:pPr>
      <w:r>
        <w:rPr>
          <w:noProof/>
          <w:lang w:eastAsia="es-CO" w:bidi="ar-SA"/>
        </w:rPr>
        <w:drawing>
          <wp:inline distT="0" distB="0" distL="0" distR="0">
            <wp:extent cx="4039870" cy="223139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39870" cy="2231390"/>
                    </a:xfrm>
                    <a:prstGeom prst="rect">
                      <a:avLst/>
                    </a:prstGeom>
                    <a:noFill/>
                  </pic:spPr>
                </pic:pic>
              </a:graphicData>
            </a:graphic>
          </wp:inline>
        </w:drawing>
      </w:r>
    </w:p>
    <w:tbl>
      <w:tblPr>
        <w:tblW w:w="3740" w:type="dxa"/>
        <w:jc w:val="center"/>
        <w:tblCellMar>
          <w:left w:w="70" w:type="dxa"/>
          <w:right w:w="70" w:type="dxa"/>
        </w:tblCellMar>
        <w:tblLook w:val="04A0" w:firstRow="1" w:lastRow="0" w:firstColumn="1" w:lastColumn="0" w:noHBand="0" w:noVBand="1"/>
      </w:tblPr>
      <w:tblGrid>
        <w:gridCol w:w="2540"/>
        <w:gridCol w:w="1200"/>
      </w:tblGrid>
      <w:tr w:rsidR="0048627B" w:rsidRPr="00601B37" w:rsidTr="0038761A">
        <w:trPr>
          <w:trHeight w:val="315"/>
          <w:jc w:val="center"/>
        </w:trPr>
        <w:tc>
          <w:tcPr>
            <w:tcW w:w="37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i/>
                <w:iCs/>
                <w:color w:val="000000"/>
                <w:sz w:val="22"/>
                <w:szCs w:val="22"/>
                <w:lang w:val="es-ES"/>
              </w:rPr>
            </w:pPr>
            <w:r w:rsidRPr="00601B37">
              <w:rPr>
                <w:rFonts w:ascii="Calibri" w:hAnsi="Calibri" w:cs="Calibri"/>
                <w:i/>
                <w:iCs/>
                <w:color w:val="000000"/>
                <w:sz w:val="22"/>
                <w:szCs w:val="22"/>
                <w:lang w:val="es-ES"/>
              </w:rPr>
              <w:t>ENDEUDAMIENTO</w:t>
            </w:r>
          </w:p>
          <w:p w:rsidR="0048627B" w:rsidRPr="00601B37" w:rsidRDefault="0048627B" w:rsidP="0038761A">
            <w:pPr>
              <w:jc w:val="center"/>
              <w:rPr>
                <w:rFonts w:ascii="Calibri" w:hAnsi="Calibri" w:cs="Calibri"/>
                <w:i/>
                <w:iCs/>
                <w:color w:val="000000"/>
                <w:sz w:val="22"/>
                <w:szCs w:val="22"/>
                <w:lang w:val="es-ES"/>
              </w:rPr>
            </w:pP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0,71300427</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Error típico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0,05337098</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Mediana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0,72731608</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Moda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color w:val="000000"/>
                <w:sz w:val="22"/>
                <w:szCs w:val="22"/>
                <w:lang w:val="es-ES"/>
              </w:rPr>
            </w:pPr>
            <w:r w:rsidRPr="00601B37">
              <w:rPr>
                <w:rFonts w:ascii="Calibri" w:hAnsi="Calibri" w:cs="Calibri"/>
                <w:color w:val="000000"/>
                <w:sz w:val="22"/>
                <w:szCs w:val="22"/>
                <w:lang w:val="es-ES"/>
              </w:rPr>
              <w:t>#N/A</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Desviación estándar</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0,27213968</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Varianza de la muestra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0,07406</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Curtosis</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1,09619521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Coeficiente de asimetría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-0,44035049</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Rango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1,32380965</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Mínimo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Máximo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1,32380965</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Suma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18,5381111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Cuenta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26</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Mayor (1)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1,32380965</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proofErr w:type="gramStart"/>
            <w:r w:rsidRPr="00601B37">
              <w:rPr>
                <w:rFonts w:ascii="Calibri" w:hAnsi="Calibri" w:cs="Calibri"/>
                <w:color w:val="000000"/>
                <w:sz w:val="22"/>
                <w:szCs w:val="22"/>
                <w:lang w:val="es-ES"/>
              </w:rPr>
              <w:t>Menor(</w:t>
            </w:r>
            <w:proofErr w:type="gramEnd"/>
            <w:r w:rsidRPr="00601B37">
              <w:rPr>
                <w:rFonts w:ascii="Calibri" w:hAnsi="Calibri" w:cs="Calibri"/>
                <w:color w:val="000000"/>
                <w:sz w:val="22"/>
                <w:szCs w:val="22"/>
                <w:lang w:val="es-ES"/>
              </w:rPr>
              <w:t>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w:t>
            </w:r>
          </w:p>
        </w:tc>
      </w:tr>
      <w:tr w:rsidR="0048627B" w:rsidRPr="00601B37" w:rsidTr="0038761A">
        <w:trPr>
          <w:trHeight w:val="315"/>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xml:space="preserve">Nivel de </w:t>
            </w:r>
            <w:proofErr w:type="gramStart"/>
            <w:r w:rsidRPr="00601B37">
              <w:rPr>
                <w:rFonts w:ascii="Calibri" w:hAnsi="Calibri" w:cs="Calibri"/>
                <w:color w:val="000000"/>
                <w:sz w:val="22"/>
                <w:szCs w:val="22"/>
                <w:lang w:val="es-ES"/>
              </w:rPr>
              <w:t>confianza(</w:t>
            </w:r>
            <w:proofErr w:type="gramEnd"/>
            <w:r w:rsidRPr="00601B37">
              <w:rPr>
                <w:rFonts w:ascii="Calibri" w:hAnsi="Calibri" w:cs="Calibri"/>
                <w:color w:val="000000"/>
                <w:sz w:val="22"/>
                <w:szCs w:val="22"/>
                <w:lang w:val="es-ES"/>
              </w:rPr>
              <w:t>95.0%)</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0,10991959</w:t>
            </w:r>
          </w:p>
        </w:tc>
      </w:tr>
    </w:tbl>
    <w:p w:rsidR="0048627B" w:rsidRDefault="0048627B" w:rsidP="0048627B">
      <w:pPr>
        <w:autoSpaceDE w:val="0"/>
        <w:adjustRightInd w:val="0"/>
        <w:spacing w:after="240" w:line="276" w:lineRule="auto"/>
        <w:ind w:left="37"/>
        <w:jc w:val="both"/>
        <w:rPr>
          <w:rFonts w:ascii="Arial" w:hAnsi="Arial" w:cs="Arial"/>
          <w:b/>
          <w:lang w:val="es-UY"/>
        </w:rPr>
      </w:pPr>
    </w:p>
    <w:p w:rsidR="0048627B" w:rsidRDefault="0048627B" w:rsidP="0048627B">
      <w:pPr>
        <w:autoSpaceDE w:val="0"/>
        <w:adjustRightInd w:val="0"/>
        <w:spacing w:after="240" w:line="276" w:lineRule="auto"/>
        <w:ind w:left="37"/>
        <w:jc w:val="both"/>
        <w:rPr>
          <w:rFonts w:ascii="Arial" w:hAnsi="Arial" w:cs="Arial"/>
          <w:b/>
          <w:lang w:val="es-UY"/>
        </w:rPr>
      </w:pPr>
    </w:p>
    <w:p w:rsidR="0048627B" w:rsidRDefault="0048627B" w:rsidP="0048627B">
      <w:pPr>
        <w:autoSpaceDE w:val="0"/>
        <w:adjustRightInd w:val="0"/>
        <w:spacing w:after="240" w:line="276" w:lineRule="auto"/>
        <w:ind w:left="37"/>
        <w:jc w:val="center"/>
        <w:rPr>
          <w:rFonts w:ascii="Arial" w:hAnsi="Arial" w:cs="Arial"/>
          <w:b/>
          <w:lang w:val="es-UY"/>
        </w:rPr>
      </w:pPr>
      <w:r>
        <w:rPr>
          <w:noProof/>
          <w:lang w:eastAsia="es-CO" w:bidi="ar-SA"/>
        </w:rPr>
        <w:drawing>
          <wp:inline distT="0" distB="0" distL="0" distR="0">
            <wp:extent cx="4572000" cy="2743200"/>
            <wp:effectExtent l="0" t="0" r="0" b="0"/>
            <wp:docPr id="10" name="Imagen 10"/>
            <wp:cNvGraphicFramePr>
              <a:graphicFrameLocks xmlns:a="http://schemas.openxmlformats.org/drawingml/2006/main" noGrp="1" noChangeAspect="1" noMove="1" noResize="1"/>
            </wp:cNvGraphicFramePr>
            <a:graphic xmlns:a="http://schemas.openxmlformats.org/drawingml/2006/main">
              <a:graphicData uri="http://schemas.openxmlformats.org/drawingml/2006/picture">
                <pic:pic xmlns:pic="http://schemas.openxmlformats.org/drawingml/2006/picture">
                  <pic:nvPicPr>
                    <pic:cNvPr id="0" name="Gráfico 1"/>
                    <pic:cNvPicPr>
                      <a:picLocks noGrp="1" noRot="1" noChangeAspect="1" noMove="1" noResize="1" noEditPoints="1" noAdjustHandles="1" noChangeArrowheads="1" noChangeShapeType="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tbl>
      <w:tblPr>
        <w:tblW w:w="3796" w:type="dxa"/>
        <w:jc w:val="center"/>
        <w:tblCellMar>
          <w:left w:w="70" w:type="dxa"/>
          <w:right w:w="70" w:type="dxa"/>
        </w:tblCellMar>
        <w:tblLook w:val="04A0" w:firstRow="1" w:lastRow="0" w:firstColumn="1" w:lastColumn="0" w:noHBand="0" w:noVBand="1"/>
      </w:tblPr>
      <w:tblGrid>
        <w:gridCol w:w="2540"/>
        <w:gridCol w:w="1256"/>
      </w:tblGrid>
      <w:tr w:rsidR="0048627B" w:rsidRPr="00601B37" w:rsidTr="0038761A">
        <w:trPr>
          <w:trHeight w:val="315"/>
          <w:jc w:val="center"/>
        </w:trPr>
        <w:tc>
          <w:tcPr>
            <w:tcW w:w="37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i/>
                <w:iCs/>
                <w:color w:val="000000"/>
                <w:sz w:val="22"/>
                <w:szCs w:val="22"/>
                <w:lang w:val="es-ES"/>
              </w:rPr>
            </w:pPr>
            <w:r w:rsidRPr="00601B37">
              <w:rPr>
                <w:rFonts w:ascii="Calibri" w:hAnsi="Calibri" w:cs="Calibri"/>
                <w:i/>
                <w:iCs/>
                <w:color w:val="000000"/>
                <w:sz w:val="22"/>
                <w:szCs w:val="22"/>
                <w:lang w:val="es-ES"/>
              </w:rPr>
              <w:t>CAPITAL DE TRABAJO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2754824016</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Error típico</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2725315104</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Mediana</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8323398</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Moda</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color w:val="000000"/>
                <w:sz w:val="22"/>
                <w:szCs w:val="22"/>
                <w:lang w:val="es-ES"/>
              </w:rPr>
            </w:pPr>
            <w:r w:rsidRPr="00601B37">
              <w:rPr>
                <w:rFonts w:ascii="Calibri" w:hAnsi="Calibri" w:cs="Calibri"/>
                <w:color w:val="000000"/>
                <w:sz w:val="22"/>
                <w:szCs w:val="22"/>
                <w:lang w:val="es-ES"/>
              </w:rPr>
              <w:t>#N/A</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Desviación estándar</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1,3896E+10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Varianza de la muestra</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1,9311E+20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Curtosis</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25,9977412</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Coeficiente de asimetría</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5,09870091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Rango</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7,0886E+10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Mínimo</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165825</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Máximo</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7,0886E+10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Suma</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7,1625E+10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Cuenta</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26</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Mayor (1)</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7,0886E+10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proofErr w:type="gramStart"/>
            <w:r w:rsidRPr="00601B37">
              <w:rPr>
                <w:rFonts w:ascii="Calibri" w:hAnsi="Calibri" w:cs="Calibri"/>
                <w:color w:val="000000"/>
                <w:sz w:val="22"/>
                <w:szCs w:val="22"/>
                <w:lang w:val="es-ES"/>
              </w:rPr>
              <w:t>Menor(</w:t>
            </w:r>
            <w:proofErr w:type="gramEnd"/>
            <w:r w:rsidRPr="00601B37">
              <w:rPr>
                <w:rFonts w:ascii="Calibri" w:hAnsi="Calibri" w:cs="Calibri"/>
                <w:color w:val="000000"/>
                <w:sz w:val="22"/>
                <w:szCs w:val="22"/>
                <w:lang w:val="es-ES"/>
              </w:rPr>
              <w:t>1)</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165825</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xml:space="preserve">Nivel de </w:t>
            </w:r>
            <w:proofErr w:type="gramStart"/>
            <w:r w:rsidRPr="00601B37">
              <w:rPr>
                <w:rFonts w:ascii="Calibri" w:hAnsi="Calibri" w:cs="Calibri"/>
                <w:color w:val="000000"/>
                <w:sz w:val="22"/>
                <w:szCs w:val="22"/>
                <w:lang w:val="es-ES"/>
              </w:rPr>
              <w:t>confianza(</w:t>
            </w:r>
            <w:proofErr w:type="gramEnd"/>
            <w:r w:rsidRPr="00601B37">
              <w:rPr>
                <w:rFonts w:ascii="Calibri" w:hAnsi="Calibri" w:cs="Calibri"/>
                <w:color w:val="000000"/>
                <w:sz w:val="22"/>
                <w:szCs w:val="22"/>
                <w:lang w:val="es-ES"/>
              </w:rPr>
              <w:t>95.0%)</w:t>
            </w:r>
          </w:p>
        </w:tc>
        <w:tc>
          <w:tcPr>
            <w:tcW w:w="1256"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5612891524</w:t>
            </w:r>
          </w:p>
        </w:tc>
      </w:tr>
    </w:tbl>
    <w:p w:rsidR="0048627B" w:rsidRDefault="0048627B" w:rsidP="0048627B">
      <w:pPr>
        <w:autoSpaceDE w:val="0"/>
        <w:adjustRightInd w:val="0"/>
        <w:spacing w:after="240" w:line="276" w:lineRule="auto"/>
        <w:ind w:left="37"/>
        <w:jc w:val="both"/>
        <w:rPr>
          <w:rFonts w:ascii="Arial" w:hAnsi="Arial" w:cs="Arial"/>
          <w:b/>
          <w:lang w:val="es-UY"/>
        </w:rPr>
      </w:pPr>
    </w:p>
    <w:p w:rsidR="0048627B" w:rsidRDefault="0048627B" w:rsidP="0048627B">
      <w:pPr>
        <w:autoSpaceDE w:val="0"/>
        <w:adjustRightInd w:val="0"/>
        <w:spacing w:after="240" w:line="276" w:lineRule="auto"/>
        <w:ind w:left="37"/>
        <w:jc w:val="center"/>
        <w:rPr>
          <w:rFonts w:ascii="Arial" w:hAnsi="Arial" w:cs="Arial"/>
          <w:b/>
          <w:lang w:val="es-UY"/>
        </w:rPr>
      </w:pPr>
      <w:r>
        <w:rPr>
          <w:noProof/>
          <w:lang w:eastAsia="es-CO" w:bidi="ar-SA"/>
        </w:rPr>
        <w:drawing>
          <wp:inline distT="0" distB="0" distL="0" distR="0">
            <wp:extent cx="4572000" cy="2743200"/>
            <wp:effectExtent l="0" t="0" r="0" b="0"/>
            <wp:docPr id="9" name="Imagen 9"/>
            <wp:cNvGraphicFramePr>
              <a:graphicFrameLocks xmlns:a="http://schemas.openxmlformats.org/drawingml/2006/main" noGrp="1" noChangeAspect="1" noMove="1" noResize="1"/>
            </wp:cNvGraphicFramePr>
            <a:graphic xmlns:a="http://schemas.openxmlformats.org/drawingml/2006/main">
              <a:graphicData uri="http://schemas.openxmlformats.org/drawingml/2006/picture">
                <pic:pic xmlns:pic="http://schemas.openxmlformats.org/drawingml/2006/picture">
                  <pic:nvPicPr>
                    <pic:cNvPr id="0" name="Gráfico 1"/>
                    <pic:cNvPicPr>
                      <a:picLocks noGrp="1" noRot="1" noChangeAspect="1" noMove="1" noResize="1" noEditPoints="1" noAdjustHandles="1" noChangeArrowheads="1" noChangeShapeType="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tbl>
      <w:tblPr>
        <w:tblW w:w="3740" w:type="dxa"/>
        <w:jc w:val="center"/>
        <w:tblCellMar>
          <w:left w:w="70" w:type="dxa"/>
          <w:right w:w="70" w:type="dxa"/>
        </w:tblCellMar>
        <w:tblLook w:val="04A0" w:firstRow="1" w:lastRow="0" w:firstColumn="1" w:lastColumn="0" w:noHBand="0" w:noVBand="1"/>
      </w:tblPr>
      <w:tblGrid>
        <w:gridCol w:w="2540"/>
        <w:gridCol w:w="1200"/>
      </w:tblGrid>
      <w:tr w:rsidR="0048627B" w:rsidRPr="00601B37" w:rsidTr="0038761A">
        <w:trPr>
          <w:trHeight w:val="315"/>
          <w:jc w:val="center"/>
        </w:trPr>
        <w:tc>
          <w:tcPr>
            <w:tcW w:w="37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i/>
                <w:iCs/>
                <w:color w:val="000000"/>
                <w:sz w:val="22"/>
                <w:szCs w:val="22"/>
                <w:lang w:val="es-ES"/>
              </w:rPr>
            </w:pPr>
            <w:r w:rsidRPr="00601B37">
              <w:rPr>
                <w:rFonts w:ascii="Calibri" w:hAnsi="Calibri" w:cs="Calibri"/>
                <w:i/>
                <w:iCs/>
                <w:color w:val="000000"/>
                <w:sz w:val="22"/>
                <w:szCs w:val="22"/>
                <w:lang w:val="es-ES"/>
              </w:rPr>
              <w:t>RAZON DE COBERTURA DE INTERES</w:t>
            </w:r>
          </w:p>
          <w:p w:rsidR="0048627B" w:rsidRPr="00601B37" w:rsidRDefault="0048627B" w:rsidP="0038761A">
            <w:pPr>
              <w:jc w:val="center"/>
              <w:rPr>
                <w:rFonts w:ascii="Calibri" w:hAnsi="Calibri" w:cs="Calibri"/>
                <w:i/>
                <w:iCs/>
                <w:color w:val="000000"/>
                <w:sz w:val="22"/>
                <w:szCs w:val="22"/>
                <w:lang w:val="es-ES"/>
              </w:rPr>
            </w:pP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2,43158021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Error típico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0,8932471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Mediana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0,71833611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Moda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Desviación estándar</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4,55468441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Varianza de la muestra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20,7451501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Curtosis</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2,47426476</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Coeficiente de asimetría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1,51060469</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Rango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20,3808085</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Mínimo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-5,01012361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Máximo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15,3706849</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Suma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63,2210855</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Cuenta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26</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Mayor (1)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15,3706849</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proofErr w:type="gramStart"/>
            <w:r w:rsidRPr="00601B37">
              <w:rPr>
                <w:rFonts w:ascii="Calibri" w:hAnsi="Calibri" w:cs="Calibri"/>
                <w:color w:val="000000"/>
                <w:sz w:val="22"/>
                <w:szCs w:val="22"/>
                <w:lang w:val="es-ES"/>
              </w:rPr>
              <w:t>Menor(</w:t>
            </w:r>
            <w:proofErr w:type="gramEnd"/>
            <w:r w:rsidRPr="00601B37">
              <w:rPr>
                <w:rFonts w:ascii="Calibri" w:hAnsi="Calibri" w:cs="Calibri"/>
                <w:color w:val="000000"/>
                <w:sz w:val="22"/>
                <w:szCs w:val="22"/>
                <w:lang w:val="es-ES"/>
              </w:rPr>
              <w:t>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-5,01012361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xml:space="preserve">Nivel de </w:t>
            </w:r>
            <w:proofErr w:type="gramStart"/>
            <w:r w:rsidRPr="00601B37">
              <w:rPr>
                <w:rFonts w:ascii="Calibri" w:hAnsi="Calibri" w:cs="Calibri"/>
                <w:color w:val="000000"/>
                <w:sz w:val="22"/>
                <w:szCs w:val="22"/>
                <w:lang w:val="es-ES"/>
              </w:rPr>
              <w:t>confianza(</w:t>
            </w:r>
            <w:proofErr w:type="gramEnd"/>
            <w:r w:rsidRPr="00601B37">
              <w:rPr>
                <w:rFonts w:ascii="Calibri" w:hAnsi="Calibri" w:cs="Calibri"/>
                <w:color w:val="000000"/>
                <w:sz w:val="22"/>
                <w:szCs w:val="22"/>
                <w:lang w:val="es-ES"/>
              </w:rPr>
              <w:t>95.0%)</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1,83967685</w:t>
            </w:r>
          </w:p>
        </w:tc>
      </w:tr>
    </w:tbl>
    <w:p w:rsidR="0048627B" w:rsidRDefault="0048627B" w:rsidP="0048627B">
      <w:pPr>
        <w:autoSpaceDE w:val="0"/>
        <w:adjustRightInd w:val="0"/>
        <w:spacing w:after="240" w:line="276" w:lineRule="auto"/>
        <w:ind w:left="37"/>
        <w:jc w:val="center"/>
        <w:rPr>
          <w:rFonts w:ascii="Arial" w:hAnsi="Arial" w:cs="Arial"/>
          <w:b/>
          <w:lang w:val="es-UY"/>
        </w:rPr>
      </w:pPr>
      <w:r>
        <w:rPr>
          <w:noProof/>
          <w:lang w:eastAsia="es-CO" w:bidi="ar-SA"/>
        </w:rPr>
        <w:drawing>
          <wp:inline distT="0" distB="0" distL="0" distR="0">
            <wp:extent cx="4572000" cy="2743200"/>
            <wp:effectExtent l="0" t="0" r="0" b="0"/>
            <wp:docPr id="8" name="Imagen 8"/>
            <wp:cNvGraphicFramePr>
              <a:graphicFrameLocks xmlns:a="http://schemas.openxmlformats.org/drawingml/2006/main" noGrp="1" noChangeAspect="1" noMove="1" noResize="1"/>
            </wp:cNvGraphicFramePr>
            <a:graphic xmlns:a="http://schemas.openxmlformats.org/drawingml/2006/main">
              <a:graphicData uri="http://schemas.openxmlformats.org/drawingml/2006/picture">
                <pic:pic xmlns:pic="http://schemas.openxmlformats.org/drawingml/2006/picture">
                  <pic:nvPicPr>
                    <pic:cNvPr id="0" name="Gráfico 1"/>
                    <pic:cNvPicPr>
                      <a:picLocks noGrp="1" noRot="1" noChangeAspect="1" noMove="1" noResize="1" noEditPoints="1" noAdjustHandles="1" noChangeArrowheads="1" noChangeShapeType="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tbl>
      <w:tblPr>
        <w:tblW w:w="3740" w:type="dxa"/>
        <w:jc w:val="center"/>
        <w:tblCellMar>
          <w:left w:w="70" w:type="dxa"/>
          <w:right w:w="70" w:type="dxa"/>
        </w:tblCellMar>
        <w:tblLook w:val="04A0" w:firstRow="1" w:lastRow="0" w:firstColumn="1" w:lastColumn="0" w:noHBand="0" w:noVBand="1"/>
      </w:tblPr>
      <w:tblGrid>
        <w:gridCol w:w="2540"/>
        <w:gridCol w:w="1200"/>
      </w:tblGrid>
      <w:tr w:rsidR="0048627B" w:rsidRPr="00601B37" w:rsidTr="0038761A">
        <w:trPr>
          <w:trHeight w:val="300"/>
          <w:jc w:val="center"/>
        </w:trPr>
        <w:tc>
          <w:tcPr>
            <w:tcW w:w="37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i/>
                <w:iCs/>
                <w:color w:val="000000"/>
                <w:sz w:val="22"/>
                <w:szCs w:val="22"/>
                <w:lang w:val="es-ES"/>
              </w:rPr>
            </w:pPr>
            <w:r w:rsidRPr="00601B37">
              <w:rPr>
                <w:rFonts w:ascii="Calibri" w:hAnsi="Calibri" w:cs="Calibri"/>
                <w:i/>
                <w:iCs/>
                <w:color w:val="000000"/>
                <w:sz w:val="22"/>
                <w:szCs w:val="22"/>
                <w:lang w:val="es-ES"/>
              </w:rPr>
              <w:t>RENTABILIDAD PATRIMONIO</w:t>
            </w:r>
          </w:p>
          <w:p w:rsidR="0048627B" w:rsidRPr="00601B37" w:rsidRDefault="0048627B" w:rsidP="0038761A">
            <w:pPr>
              <w:rPr>
                <w:rFonts w:ascii="Calibri" w:hAnsi="Calibri" w:cs="Calibri"/>
                <w:i/>
                <w:iCs/>
                <w:color w:val="000000"/>
                <w:sz w:val="22"/>
                <w:szCs w:val="22"/>
                <w:lang w:val="es-ES"/>
              </w:rPr>
            </w:pPr>
            <w:r w:rsidRPr="00601B37">
              <w:rPr>
                <w:rFonts w:ascii="Calibri" w:hAnsi="Calibri" w:cs="Calibri"/>
                <w:i/>
                <w:iCs/>
                <w:color w:val="000000"/>
                <w:sz w:val="22"/>
                <w:szCs w:val="22"/>
                <w:lang w:val="es-ES"/>
              </w:rPr>
              <w:t>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0,20256284</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Error típico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0,17084317</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Mediana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0,11964068</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Moda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color w:val="000000"/>
                <w:sz w:val="22"/>
                <w:szCs w:val="22"/>
                <w:lang w:val="es-ES"/>
              </w:rPr>
            </w:pPr>
            <w:r w:rsidRPr="00601B37">
              <w:rPr>
                <w:rFonts w:ascii="Calibri" w:hAnsi="Calibri" w:cs="Calibri"/>
                <w:color w:val="000000"/>
                <w:sz w:val="22"/>
                <w:szCs w:val="22"/>
                <w:lang w:val="es-ES"/>
              </w:rPr>
              <w:t>#N/A</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Desviación estándar</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0,87113264</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Varianza de la muestra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0,75887208</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Curtosis</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7,58090034</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Coeficiente de asimetría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-1,4078267</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Rango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5,07070368</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Mínimo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-3,00005181</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Máximo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2,07065186</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Suma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5,26663377</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Cuenta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26</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Mayor (1)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2,07065186</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proofErr w:type="gramStart"/>
            <w:r w:rsidRPr="00601B37">
              <w:rPr>
                <w:rFonts w:ascii="Calibri" w:hAnsi="Calibri" w:cs="Calibri"/>
                <w:color w:val="000000"/>
                <w:sz w:val="22"/>
                <w:szCs w:val="22"/>
                <w:lang w:val="es-ES"/>
              </w:rPr>
              <w:t>Menor(</w:t>
            </w:r>
            <w:proofErr w:type="gramEnd"/>
            <w:r w:rsidRPr="00601B37">
              <w:rPr>
                <w:rFonts w:ascii="Calibri" w:hAnsi="Calibri" w:cs="Calibri"/>
                <w:color w:val="000000"/>
                <w:sz w:val="22"/>
                <w:szCs w:val="22"/>
                <w:lang w:val="es-ES"/>
              </w:rPr>
              <w:t>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-3,00005181</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xml:space="preserve">Nivel de </w:t>
            </w:r>
            <w:proofErr w:type="gramStart"/>
            <w:r w:rsidRPr="00601B37">
              <w:rPr>
                <w:rFonts w:ascii="Calibri" w:hAnsi="Calibri" w:cs="Calibri"/>
                <w:color w:val="000000"/>
                <w:sz w:val="22"/>
                <w:szCs w:val="22"/>
                <w:lang w:val="es-ES"/>
              </w:rPr>
              <w:t>confianza(</w:t>
            </w:r>
            <w:proofErr w:type="gramEnd"/>
            <w:r w:rsidRPr="00601B37">
              <w:rPr>
                <w:rFonts w:ascii="Calibri" w:hAnsi="Calibri" w:cs="Calibri"/>
                <w:color w:val="000000"/>
                <w:sz w:val="22"/>
                <w:szCs w:val="22"/>
                <w:lang w:val="es-ES"/>
              </w:rPr>
              <w:t>95.0%)</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0,35185809</w:t>
            </w:r>
          </w:p>
        </w:tc>
      </w:tr>
    </w:tbl>
    <w:p w:rsidR="0048627B" w:rsidRDefault="0048627B" w:rsidP="0048627B">
      <w:pPr>
        <w:autoSpaceDE w:val="0"/>
        <w:adjustRightInd w:val="0"/>
        <w:spacing w:after="240" w:line="276" w:lineRule="auto"/>
        <w:ind w:left="37"/>
        <w:jc w:val="both"/>
        <w:rPr>
          <w:rFonts w:ascii="Arial" w:hAnsi="Arial" w:cs="Arial"/>
          <w:b/>
          <w:lang w:val="es-UY"/>
        </w:rPr>
      </w:pPr>
    </w:p>
    <w:p w:rsidR="0048627B" w:rsidRDefault="0048627B" w:rsidP="0048627B">
      <w:pPr>
        <w:autoSpaceDE w:val="0"/>
        <w:adjustRightInd w:val="0"/>
        <w:spacing w:after="240" w:line="276" w:lineRule="auto"/>
        <w:ind w:left="37"/>
        <w:jc w:val="center"/>
        <w:rPr>
          <w:rFonts w:ascii="Arial" w:hAnsi="Arial" w:cs="Arial"/>
          <w:b/>
          <w:lang w:val="es-UY"/>
        </w:rPr>
      </w:pPr>
      <w:r>
        <w:rPr>
          <w:noProof/>
          <w:lang w:eastAsia="es-CO" w:bidi="ar-SA"/>
        </w:rPr>
        <w:drawing>
          <wp:inline distT="0" distB="0" distL="0" distR="0">
            <wp:extent cx="4572000" cy="2743200"/>
            <wp:effectExtent l="0" t="0" r="0" b="0"/>
            <wp:docPr id="7" name="Imagen 7"/>
            <wp:cNvGraphicFramePr>
              <a:graphicFrameLocks xmlns:a="http://schemas.openxmlformats.org/drawingml/2006/main" noGrp="1" noChangeAspect="1" noMove="1" noResize="1"/>
            </wp:cNvGraphicFramePr>
            <a:graphic xmlns:a="http://schemas.openxmlformats.org/drawingml/2006/main">
              <a:graphicData uri="http://schemas.openxmlformats.org/drawingml/2006/picture">
                <pic:pic xmlns:pic="http://schemas.openxmlformats.org/drawingml/2006/picture">
                  <pic:nvPicPr>
                    <pic:cNvPr id="0" name="Gráfico 1"/>
                    <pic:cNvPicPr>
                      <a:picLocks noGrp="1" noRot="1" noChangeAspect="1" noMove="1" noResize="1" noEditPoints="1" noAdjustHandles="1" noChangeArrowheads="1" noChangeShapeType="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tbl>
      <w:tblPr>
        <w:tblW w:w="3740" w:type="dxa"/>
        <w:jc w:val="center"/>
        <w:tblCellMar>
          <w:left w:w="70" w:type="dxa"/>
          <w:right w:w="70" w:type="dxa"/>
        </w:tblCellMar>
        <w:tblLook w:val="04A0" w:firstRow="1" w:lastRow="0" w:firstColumn="1" w:lastColumn="0" w:noHBand="0" w:noVBand="1"/>
      </w:tblPr>
      <w:tblGrid>
        <w:gridCol w:w="2540"/>
        <w:gridCol w:w="1200"/>
      </w:tblGrid>
      <w:tr w:rsidR="0048627B" w:rsidRPr="00601B37" w:rsidTr="0038761A">
        <w:trPr>
          <w:trHeight w:val="300"/>
          <w:jc w:val="center"/>
        </w:trPr>
        <w:tc>
          <w:tcPr>
            <w:tcW w:w="37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i/>
                <w:iCs/>
                <w:color w:val="000000"/>
                <w:sz w:val="22"/>
                <w:szCs w:val="22"/>
                <w:lang w:val="es-ES"/>
              </w:rPr>
            </w:pPr>
            <w:r w:rsidRPr="00601B37">
              <w:rPr>
                <w:rFonts w:ascii="Calibri" w:hAnsi="Calibri" w:cs="Calibri"/>
                <w:i/>
                <w:iCs/>
                <w:color w:val="000000"/>
                <w:sz w:val="22"/>
                <w:szCs w:val="22"/>
                <w:lang w:val="es-ES"/>
              </w:rPr>
              <w:t>RENTABILIDAD ACTIVO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0,04986678</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Error típico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0,01117692</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Mediana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0,04098549</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Moda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center"/>
              <w:rPr>
                <w:rFonts w:ascii="Calibri" w:hAnsi="Calibri" w:cs="Calibri"/>
                <w:color w:val="000000"/>
                <w:sz w:val="22"/>
                <w:szCs w:val="22"/>
                <w:lang w:val="es-ES"/>
              </w:rPr>
            </w:pPr>
            <w:r w:rsidRPr="00601B37">
              <w:rPr>
                <w:rFonts w:ascii="Calibri" w:hAnsi="Calibri" w:cs="Calibri"/>
                <w:color w:val="000000"/>
                <w:sz w:val="22"/>
                <w:szCs w:val="22"/>
                <w:lang w:val="es-ES"/>
              </w:rPr>
              <w:t>#N/A</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Desviación estándar</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0,05699133</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Varianza de la muestra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0,00324801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Curtosis</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0,31658401</w:t>
            </w:r>
          </w:p>
        </w:tc>
      </w:tr>
      <w:tr w:rsidR="0048627B" w:rsidRPr="00601B37" w:rsidTr="0038761A">
        <w:trPr>
          <w:trHeight w:val="30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Coeficiente de asimetría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0,9573497</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Rango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0,20684129</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Mínimo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-0,02168888</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Máximo</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0,18515241</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Suma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1,29653616</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Cuenta</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26</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Mayor (1)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0,18515241</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proofErr w:type="gramStart"/>
            <w:r w:rsidRPr="00601B37">
              <w:rPr>
                <w:rFonts w:ascii="Calibri" w:hAnsi="Calibri" w:cs="Calibri"/>
                <w:color w:val="000000"/>
                <w:sz w:val="22"/>
                <w:szCs w:val="22"/>
                <w:lang w:val="es-ES"/>
              </w:rPr>
              <w:t>Menor(</w:t>
            </w:r>
            <w:proofErr w:type="gramEnd"/>
            <w:r w:rsidRPr="00601B37">
              <w:rPr>
                <w:rFonts w:ascii="Calibri" w:hAnsi="Calibri" w:cs="Calibri"/>
                <w:color w:val="000000"/>
                <w:sz w:val="22"/>
                <w:szCs w:val="22"/>
                <w:lang w:val="es-ES"/>
              </w:rPr>
              <w:t>1)</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-0,02168888</w:t>
            </w:r>
          </w:p>
        </w:tc>
      </w:tr>
      <w:tr w:rsidR="0048627B" w:rsidRPr="00601B37" w:rsidTr="0038761A">
        <w:trPr>
          <w:trHeight w:val="390"/>
          <w:jc w:val="center"/>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rsidR="0048627B" w:rsidRPr="00601B37" w:rsidRDefault="0048627B" w:rsidP="0038761A">
            <w:pPr>
              <w:rPr>
                <w:rFonts w:ascii="Calibri" w:hAnsi="Calibri" w:cs="Calibri"/>
                <w:color w:val="000000"/>
                <w:sz w:val="22"/>
                <w:szCs w:val="22"/>
                <w:lang w:val="es-ES"/>
              </w:rPr>
            </w:pPr>
            <w:r w:rsidRPr="00601B37">
              <w:rPr>
                <w:rFonts w:ascii="Calibri" w:hAnsi="Calibri" w:cs="Calibri"/>
                <w:color w:val="000000"/>
                <w:sz w:val="22"/>
                <w:szCs w:val="22"/>
                <w:lang w:val="es-ES"/>
              </w:rPr>
              <w:t xml:space="preserve">Nivel de </w:t>
            </w:r>
            <w:proofErr w:type="gramStart"/>
            <w:r w:rsidRPr="00601B37">
              <w:rPr>
                <w:rFonts w:ascii="Calibri" w:hAnsi="Calibri" w:cs="Calibri"/>
                <w:color w:val="000000"/>
                <w:sz w:val="22"/>
                <w:szCs w:val="22"/>
                <w:lang w:val="es-ES"/>
              </w:rPr>
              <w:t>confianza(</w:t>
            </w:r>
            <w:proofErr w:type="gramEnd"/>
            <w:r w:rsidRPr="00601B37">
              <w:rPr>
                <w:rFonts w:ascii="Calibri" w:hAnsi="Calibri" w:cs="Calibri"/>
                <w:color w:val="000000"/>
                <w:sz w:val="22"/>
                <w:szCs w:val="22"/>
                <w:lang w:val="es-ES"/>
              </w:rPr>
              <w:t>95.0%)</w:t>
            </w:r>
          </w:p>
        </w:tc>
        <w:tc>
          <w:tcPr>
            <w:tcW w:w="1200" w:type="dxa"/>
            <w:tcBorders>
              <w:top w:val="nil"/>
              <w:left w:val="nil"/>
              <w:bottom w:val="single" w:sz="4" w:space="0" w:color="auto"/>
              <w:right w:val="single" w:sz="4" w:space="0" w:color="auto"/>
            </w:tcBorders>
            <w:shd w:val="clear" w:color="auto" w:fill="auto"/>
            <w:noWrap/>
            <w:vAlign w:val="bottom"/>
            <w:hideMark/>
          </w:tcPr>
          <w:p w:rsidR="0048627B" w:rsidRPr="00601B37" w:rsidRDefault="0048627B" w:rsidP="0038761A">
            <w:pPr>
              <w:jc w:val="right"/>
              <w:rPr>
                <w:rFonts w:ascii="Calibri" w:hAnsi="Calibri" w:cs="Calibri"/>
                <w:color w:val="000000"/>
                <w:sz w:val="22"/>
                <w:szCs w:val="22"/>
                <w:lang w:val="es-ES"/>
              </w:rPr>
            </w:pPr>
            <w:r w:rsidRPr="00601B37">
              <w:rPr>
                <w:rFonts w:ascii="Calibri" w:hAnsi="Calibri" w:cs="Calibri"/>
                <w:color w:val="000000"/>
                <w:sz w:val="22"/>
                <w:szCs w:val="22"/>
                <w:lang w:val="es-ES"/>
              </w:rPr>
              <w:t>0,0230193</w:t>
            </w:r>
          </w:p>
        </w:tc>
      </w:tr>
    </w:tbl>
    <w:p w:rsidR="0048627B" w:rsidRDefault="0048627B" w:rsidP="0048627B">
      <w:pPr>
        <w:autoSpaceDE w:val="0"/>
        <w:adjustRightInd w:val="0"/>
        <w:spacing w:after="240" w:line="276" w:lineRule="auto"/>
        <w:ind w:left="37"/>
        <w:jc w:val="both"/>
        <w:rPr>
          <w:rFonts w:ascii="Arial" w:hAnsi="Arial" w:cs="Arial"/>
          <w:b/>
          <w:lang w:val="es-UY"/>
        </w:rPr>
      </w:pPr>
    </w:p>
    <w:p w:rsidR="0048627B" w:rsidRDefault="0048627B" w:rsidP="0048627B">
      <w:pPr>
        <w:autoSpaceDE w:val="0"/>
        <w:adjustRightInd w:val="0"/>
        <w:spacing w:after="240" w:line="276" w:lineRule="auto"/>
        <w:ind w:left="37"/>
        <w:jc w:val="center"/>
        <w:rPr>
          <w:noProof/>
        </w:rPr>
      </w:pPr>
      <w:r>
        <w:rPr>
          <w:noProof/>
          <w:lang w:eastAsia="es-CO" w:bidi="ar-SA"/>
        </w:rPr>
        <w:drawing>
          <wp:inline distT="0" distB="0" distL="0" distR="0">
            <wp:extent cx="4572000" cy="2743200"/>
            <wp:effectExtent l="0" t="0" r="0" b="0"/>
            <wp:docPr id="6" name="Imagen 6"/>
            <wp:cNvGraphicFramePr>
              <a:graphicFrameLocks xmlns:a="http://schemas.openxmlformats.org/drawingml/2006/main" noGrp="1" noChangeAspect="1" noMove="1" noResize="1"/>
            </wp:cNvGraphicFramePr>
            <a:graphic xmlns:a="http://schemas.openxmlformats.org/drawingml/2006/main">
              <a:graphicData uri="http://schemas.openxmlformats.org/drawingml/2006/picture">
                <pic:pic xmlns:pic="http://schemas.openxmlformats.org/drawingml/2006/picture">
                  <pic:nvPicPr>
                    <pic:cNvPr id="0" name="Gráfico 1"/>
                    <pic:cNvPicPr>
                      <a:picLocks noGrp="1" noRot="1" noChangeAspect="1" noMove="1" noResize="1" noEditPoints="1" noAdjustHandles="1" noChangeArrowheads="1" noChangeShapeType="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rsidR="0048627B" w:rsidRDefault="0048627B" w:rsidP="0048627B">
      <w:pPr>
        <w:autoSpaceDE w:val="0"/>
        <w:adjustRightInd w:val="0"/>
        <w:spacing w:after="240" w:line="276" w:lineRule="auto"/>
        <w:ind w:left="37"/>
        <w:jc w:val="center"/>
        <w:rPr>
          <w:rFonts w:ascii="Arial" w:hAnsi="Arial" w:cs="Arial"/>
          <w:b/>
          <w:lang w:val="es-UY"/>
        </w:rPr>
      </w:pPr>
    </w:p>
    <w:p w:rsidR="0048627B" w:rsidRPr="00665D9B" w:rsidRDefault="0048627B" w:rsidP="0048627B">
      <w:pPr>
        <w:autoSpaceDE w:val="0"/>
        <w:adjustRightInd w:val="0"/>
        <w:spacing w:after="240" w:line="276" w:lineRule="auto"/>
        <w:ind w:left="37"/>
        <w:jc w:val="both"/>
        <w:rPr>
          <w:rFonts w:ascii="Arial" w:hAnsi="Arial" w:cs="Arial"/>
          <w:lang w:val="es-UY"/>
        </w:rPr>
      </w:pPr>
      <w:r w:rsidRPr="00665D9B">
        <w:rPr>
          <w:rFonts w:ascii="Arial" w:hAnsi="Arial" w:cs="Arial"/>
          <w:lang w:val="es-UY"/>
        </w:rPr>
        <w:t>Adicionalmente se realiza un estudio comparativo de los indicadores de algunos de los posibles oferentes registrados en la página del SECOP II, así:</w:t>
      </w:r>
    </w:p>
    <w:p w:rsidR="0048627B" w:rsidRPr="00552615" w:rsidRDefault="0048627B" w:rsidP="0048627B">
      <w:pPr>
        <w:pStyle w:val="Textoindependiente"/>
        <w:spacing w:before="240" w:line="276" w:lineRule="auto"/>
        <w:ind w:hanging="993"/>
        <w:rPr>
          <w:rFonts w:ascii="Arial" w:hAnsi="Arial" w:cs="Arial"/>
          <w:sz w:val="24"/>
          <w:szCs w:val="24"/>
        </w:rPr>
      </w:pPr>
      <w:r>
        <w:rPr>
          <w:noProof/>
          <w:lang w:val="es-CO" w:eastAsia="es-CO"/>
        </w:rPr>
        <w:drawing>
          <wp:inline distT="0" distB="0" distL="0" distR="0">
            <wp:extent cx="6772275" cy="10668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772275" cy="1066800"/>
                    </a:xfrm>
                    <a:prstGeom prst="rect">
                      <a:avLst/>
                    </a:prstGeom>
                    <a:noFill/>
                    <a:ln>
                      <a:noFill/>
                    </a:ln>
                  </pic:spPr>
                </pic:pic>
              </a:graphicData>
            </a:graphic>
          </wp:inline>
        </w:drawing>
      </w:r>
    </w:p>
    <w:p w:rsidR="0048627B" w:rsidRDefault="0048627B" w:rsidP="0048627B">
      <w:pPr>
        <w:spacing w:line="100" w:lineRule="atLeast"/>
        <w:jc w:val="both"/>
        <w:rPr>
          <w:rFonts w:ascii="Arial" w:hAnsi="Arial" w:cs="Arial"/>
          <w:bCs/>
        </w:rPr>
      </w:pPr>
    </w:p>
    <w:p w:rsidR="0048627B" w:rsidRDefault="0048627B" w:rsidP="0048627B">
      <w:pPr>
        <w:spacing w:line="100" w:lineRule="atLeast"/>
        <w:jc w:val="both"/>
        <w:rPr>
          <w:rFonts w:ascii="Arial" w:hAnsi="Arial" w:cs="Arial"/>
          <w:bCs/>
        </w:rPr>
      </w:pPr>
    </w:p>
    <w:p w:rsidR="0048627B" w:rsidRDefault="0048627B" w:rsidP="0048627B">
      <w:pPr>
        <w:spacing w:line="100" w:lineRule="atLeast"/>
        <w:ind w:hanging="993"/>
        <w:jc w:val="both"/>
        <w:rPr>
          <w:rFonts w:ascii="Arial" w:hAnsi="Arial" w:cs="Arial"/>
          <w:bCs/>
        </w:rPr>
      </w:pPr>
      <w:r>
        <w:rPr>
          <w:noProof/>
          <w:lang w:eastAsia="es-CO" w:bidi="ar-SA"/>
        </w:rPr>
        <w:drawing>
          <wp:inline distT="0" distB="0" distL="0" distR="0">
            <wp:extent cx="6753225" cy="6191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753225" cy="619125"/>
                    </a:xfrm>
                    <a:prstGeom prst="rect">
                      <a:avLst/>
                    </a:prstGeom>
                    <a:noFill/>
                    <a:ln>
                      <a:noFill/>
                    </a:ln>
                  </pic:spPr>
                </pic:pic>
              </a:graphicData>
            </a:graphic>
          </wp:inline>
        </w:drawing>
      </w:r>
    </w:p>
    <w:p w:rsidR="0048627B" w:rsidRDefault="0048627B" w:rsidP="0048627B">
      <w:pPr>
        <w:spacing w:line="100" w:lineRule="atLeast"/>
        <w:jc w:val="both"/>
        <w:rPr>
          <w:rFonts w:ascii="Arial" w:hAnsi="Arial" w:cs="Arial"/>
          <w:bCs/>
        </w:rPr>
      </w:pPr>
    </w:p>
    <w:p w:rsidR="0048627B" w:rsidRDefault="0048627B" w:rsidP="0048627B">
      <w:pPr>
        <w:spacing w:line="100" w:lineRule="atLeast"/>
        <w:jc w:val="both"/>
        <w:rPr>
          <w:rFonts w:ascii="Arial" w:hAnsi="Arial" w:cs="Arial"/>
          <w:bCs/>
        </w:rPr>
      </w:pPr>
    </w:p>
    <w:p w:rsidR="0048627B" w:rsidRDefault="0048627B" w:rsidP="0048627B">
      <w:pPr>
        <w:spacing w:line="100" w:lineRule="atLeast"/>
        <w:jc w:val="both"/>
        <w:rPr>
          <w:rFonts w:ascii="Arial" w:hAnsi="Arial" w:cs="Arial"/>
          <w:bCs/>
        </w:rPr>
      </w:pPr>
      <w:r w:rsidRPr="00552615">
        <w:rPr>
          <w:rFonts w:ascii="Arial" w:hAnsi="Arial" w:cs="Arial"/>
          <w:bCs/>
        </w:rPr>
        <w:t>De esta forma, teniendo en cuenta la anterior información y de conformidad con lo establecido en el Articulo 2.1.1.1.1.5.3 del Decreto 1082 de 2015, se determina la capacidad financiera y de organización para el presente proceso los siguientes indicadores</w:t>
      </w:r>
      <w:r>
        <w:rPr>
          <w:rFonts w:ascii="Arial" w:hAnsi="Arial" w:cs="Arial"/>
          <w:bCs/>
        </w:rPr>
        <w:t>, de acuerdo con la media arrojada por el análisis de datos de la Super Sociedades, así:</w:t>
      </w:r>
    </w:p>
    <w:p w:rsidR="0048627B" w:rsidRPr="00552615" w:rsidRDefault="0048627B" w:rsidP="0048627B">
      <w:pPr>
        <w:spacing w:line="100" w:lineRule="atLeast"/>
        <w:jc w:val="both"/>
        <w:rPr>
          <w:rFonts w:ascii="Arial" w:hAnsi="Arial" w:cs="Arial"/>
          <w:bCs/>
        </w:rPr>
      </w:pPr>
    </w:p>
    <w:p w:rsidR="0048627B" w:rsidRDefault="0048627B" w:rsidP="0048627B">
      <w:pPr>
        <w:spacing w:line="100" w:lineRule="atLeast"/>
        <w:jc w:val="both"/>
        <w:rPr>
          <w:rFonts w:ascii="Arial" w:hAnsi="Arial" w:cs="Arial"/>
          <w:bCs/>
        </w:rPr>
      </w:pPr>
    </w:p>
    <w:p w:rsidR="0048627B" w:rsidRPr="00552615" w:rsidRDefault="0048627B" w:rsidP="0048627B">
      <w:pPr>
        <w:spacing w:line="100" w:lineRule="atLeast"/>
        <w:jc w:val="both"/>
        <w:rPr>
          <w:rFonts w:ascii="Arial" w:hAnsi="Arial" w:cs="Arial"/>
          <w:bCs/>
        </w:rPr>
      </w:pPr>
    </w:p>
    <w:tbl>
      <w:tblPr>
        <w:tblW w:w="7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58"/>
        <w:gridCol w:w="3042"/>
      </w:tblGrid>
      <w:tr w:rsidR="0048627B" w:rsidRPr="00552615" w:rsidTr="0038761A">
        <w:trPr>
          <w:trHeight w:val="48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rPr>
                <w:rFonts w:ascii="Arial" w:hAnsi="Arial" w:cs="Arial"/>
                <w:b/>
                <w:bCs/>
              </w:rPr>
            </w:pPr>
            <w:bookmarkStart w:id="2" w:name="_Hlk522845726"/>
            <w:r w:rsidRPr="00552615">
              <w:rPr>
                <w:rFonts w:ascii="Arial" w:hAnsi="Arial" w:cs="Arial"/>
                <w:b/>
                <w:bCs/>
              </w:rPr>
              <w:t>LIQUIDEZ</w:t>
            </w:r>
          </w:p>
        </w:tc>
        <w:tc>
          <w:tcPr>
            <w:tcW w:w="3042"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jc w:val="both"/>
              <w:rPr>
                <w:rFonts w:ascii="Arial" w:hAnsi="Arial" w:cs="Arial"/>
              </w:rPr>
            </w:pPr>
            <w:r w:rsidRPr="00552615">
              <w:rPr>
                <w:rFonts w:ascii="Arial" w:hAnsi="Arial" w:cs="Arial"/>
              </w:rPr>
              <w:t xml:space="preserve">Mayor o igual a </w:t>
            </w:r>
            <w:r w:rsidRPr="00552615">
              <w:rPr>
                <w:rFonts w:ascii="Arial" w:hAnsi="Arial" w:cs="Arial"/>
                <w:color w:val="000000"/>
                <w:lang w:eastAsia="es-CO"/>
              </w:rPr>
              <w:t>1,2</w:t>
            </w:r>
          </w:p>
        </w:tc>
      </w:tr>
      <w:tr w:rsidR="0048627B" w:rsidRPr="00552615" w:rsidTr="0038761A">
        <w:trPr>
          <w:trHeight w:val="505"/>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rPr>
                <w:rFonts w:ascii="Arial" w:hAnsi="Arial" w:cs="Arial"/>
                <w:b/>
                <w:bCs/>
              </w:rPr>
            </w:pPr>
            <w:r w:rsidRPr="00552615">
              <w:rPr>
                <w:rFonts w:ascii="Arial" w:hAnsi="Arial" w:cs="Arial"/>
                <w:b/>
                <w:bCs/>
              </w:rPr>
              <w:t>ENDEUDAMIENTO</w:t>
            </w:r>
          </w:p>
        </w:tc>
        <w:tc>
          <w:tcPr>
            <w:tcW w:w="3042"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jc w:val="both"/>
              <w:rPr>
                <w:rFonts w:ascii="Arial" w:hAnsi="Arial" w:cs="Arial"/>
              </w:rPr>
            </w:pPr>
            <w:r w:rsidRPr="00552615">
              <w:rPr>
                <w:rFonts w:ascii="Arial" w:hAnsi="Arial" w:cs="Arial"/>
              </w:rPr>
              <w:t xml:space="preserve">Menor o igual al </w:t>
            </w:r>
            <w:r>
              <w:rPr>
                <w:rFonts w:ascii="Arial" w:hAnsi="Arial" w:cs="Arial"/>
              </w:rPr>
              <w:t>51</w:t>
            </w:r>
            <w:r w:rsidRPr="00552615">
              <w:rPr>
                <w:rFonts w:ascii="Arial" w:hAnsi="Arial" w:cs="Arial"/>
                <w:color w:val="000000"/>
                <w:lang w:eastAsia="es-CO"/>
              </w:rPr>
              <w:t>%</w:t>
            </w:r>
          </w:p>
        </w:tc>
      </w:tr>
      <w:tr w:rsidR="0048627B" w:rsidRPr="00552615" w:rsidTr="0038761A">
        <w:trPr>
          <w:trHeight w:val="845"/>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rPr>
                <w:rFonts w:ascii="Arial" w:hAnsi="Arial" w:cs="Arial"/>
                <w:b/>
                <w:bCs/>
              </w:rPr>
            </w:pPr>
            <w:r w:rsidRPr="00552615">
              <w:rPr>
                <w:rFonts w:ascii="Arial" w:hAnsi="Arial" w:cs="Arial"/>
                <w:b/>
                <w:bCs/>
              </w:rPr>
              <w:t>RAZÓN DE COBERTURA DE INTERESES</w:t>
            </w:r>
          </w:p>
        </w:tc>
        <w:tc>
          <w:tcPr>
            <w:tcW w:w="3042"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jc w:val="both"/>
              <w:rPr>
                <w:rFonts w:ascii="Arial" w:hAnsi="Arial" w:cs="Arial"/>
              </w:rPr>
            </w:pPr>
            <w:r w:rsidRPr="00552615">
              <w:rPr>
                <w:rFonts w:ascii="Arial" w:hAnsi="Arial" w:cs="Arial"/>
              </w:rPr>
              <w:t xml:space="preserve">Mayor o igual a </w:t>
            </w:r>
            <w:r w:rsidRPr="00552615">
              <w:rPr>
                <w:rFonts w:ascii="Arial" w:hAnsi="Arial" w:cs="Arial"/>
                <w:color w:val="000000"/>
                <w:lang w:eastAsia="es-CO"/>
              </w:rPr>
              <w:t>0</w:t>
            </w:r>
            <w:r>
              <w:rPr>
                <w:rFonts w:ascii="Arial" w:hAnsi="Arial" w:cs="Arial"/>
                <w:color w:val="000000"/>
                <w:lang w:eastAsia="es-CO"/>
              </w:rPr>
              <w:t>,72</w:t>
            </w:r>
          </w:p>
        </w:tc>
      </w:tr>
      <w:tr w:rsidR="0048627B" w:rsidRPr="00552615" w:rsidTr="0038761A">
        <w:trPr>
          <w:trHeight w:val="536"/>
          <w:jc w:val="center"/>
        </w:trPr>
        <w:tc>
          <w:tcPr>
            <w:tcW w:w="4058" w:type="dxa"/>
            <w:tcBorders>
              <w:top w:val="single" w:sz="4" w:space="0" w:color="auto"/>
              <w:left w:val="single" w:sz="4" w:space="0" w:color="auto"/>
              <w:bottom w:val="single" w:sz="4" w:space="0" w:color="auto"/>
              <w:right w:val="single" w:sz="4" w:space="0" w:color="auto"/>
            </w:tcBorders>
            <w:vAlign w:val="center"/>
          </w:tcPr>
          <w:p w:rsidR="0048627B" w:rsidRPr="00552615" w:rsidRDefault="0048627B" w:rsidP="0038761A">
            <w:pPr>
              <w:spacing w:line="100" w:lineRule="atLeast"/>
              <w:rPr>
                <w:rFonts w:ascii="Arial" w:hAnsi="Arial" w:cs="Arial"/>
                <w:b/>
                <w:bCs/>
              </w:rPr>
            </w:pPr>
            <w:r>
              <w:rPr>
                <w:rFonts w:ascii="Arial" w:hAnsi="Arial" w:cs="Arial"/>
                <w:b/>
                <w:bCs/>
              </w:rPr>
              <w:t>CAPITAL DE TRABAJO</w:t>
            </w:r>
          </w:p>
        </w:tc>
        <w:tc>
          <w:tcPr>
            <w:tcW w:w="3042" w:type="dxa"/>
            <w:tcBorders>
              <w:top w:val="single" w:sz="4" w:space="0" w:color="auto"/>
              <w:left w:val="single" w:sz="4" w:space="0" w:color="auto"/>
              <w:bottom w:val="single" w:sz="4" w:space="0" w:color="auto"/>
              <w:right w:val="single" w:sz="4" w:space="0" w:color="auto"/>
            </w:tcBorders>
            <w:vAlign w:val="center"/>
          </w:tcPr>
          <w:p w:rsidR="0048627B" w:rsidRPr="00552615" w:rsidRDefault="0048627B" w:rsidP="0038761A">
            <w:pPr>
              <w:spacing w:line="100" w:lineRule="atLeast"/>
              <w:jc w:val="both"/>
              <w:rPr>
                <w:rFonts w:ascii="Arial" w:hAnsi="Arial" w:cs="Arial"/>
              </w:rPr>
            </w:pPr>
            <w:r w:rsidRPr="00552615">
              <w:rPr>
                <w:rFonts w:ascii="Arial" w:hAnsi="Arial" w:cs="Arial"/>
              </w:rPr>
              <w:t xml:space="preserve">Mayor o igual a </w:t>
            </w:r>
            <w:r>
              <w:rPr>
                <w:rFonts w:ascii="Arial" w:hAnsi="Arial" w:cs="Arial"/>
              </w:rPr>
              <w:t>100</w:t>
            </w:r>
            <w:r w:rsidRPr="00552615">
              <w:rPr>
                <w:rFonts w:ascii="Arial" w:hAnsi="Arial" w:cs="Arial"/>
                <w:color w:val="000000"/>
                <w:lang w:eastAsia="es-CO"/>
              </w:rPr>
              <w:t>%</w:t>
            </w:r>
          </w:p>
        </w:tc>
      </w:tr>
      <w:tr w:rsidR="0048627B" w:rsidRPr="00552615" w:rsidTr="0038761A">
        <w:trPr>
          <w:trHeight w:val="536"/>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rPr>
                <w:rFonts w:ascii="Arial" w:hAnsi="Arial" w:cs="Arial"/>
                <w:b/>
                <w:bCs/>
              </w:rPr>
            </w:pPr>
            <w:r w:rsidRPr="00552615">
              <w:rPr>
                <w:rFonts w:ascii="Arial" w:hAnsi="Arial" w:cs="Arial"/>
                <w:b/>
                <w:bCs/>
              </w:rPr>
              <w:t>RENTABILIDAD DEL PATRIMONIO</w:t>
            </w:r>
          </w:p>
        </w:tc>
        <w:tc>
          <w:tcPr>
            <w:tcW w:w="3042"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jc w:val="both"/>
              <w:rPr>
                <w:rFonts w:ascii="Arial" w:hAnsi="Arial" w:cs="Arial"/>
              </w:rPr>
            </w:pPr>
            <w:r w:rsidRPr="00552615">
              <w:rPr>
                <w:rFonts w:ascii="Arial" w:hAnsi="Arial" w:cs="Arial"/>
              </w:rPr>
              <w:t xml:space="preserve">Mayor o igual a </w:t>
            </w:r>
            <w:r>
              <w:rPr>
                <w:rFonts w:ascii="Arial" w:hAnsi="Arial" w:cs="Arial"/>
              </w:rPr>
              <w:t>12</w:t>
            </w:r>
            <w:r w:rsidRPr="00552615">
              <w:rPr>
                <w:rFonts w:ascii="Arial" w:hAnsi="Arial" w:cs="Arial"/>
                <w:color w:val="000000"/>
                <w:lang w:eastAsia="es-CO"/>
              </w:rPr>
              <w:t>%</w:t>
            </w:r>
            <w:r>
              <w:rPr>
                <w:rFonts w:ascii="Arial" w:hAnsi="Arial" w:cs="Arial"/>
                <w:color w:val="000000"/>
                <w:lang w:eastAsia="es-CO"/>
              </w:rPr>
              <w:t xml:space="preserve"> (0,12)</w:t>
            </w:r>
          </w:p>
        </w:tc>
      </w:tr>
      <w:tr w:rsidR="0048627B" w:rsidRPr="00552615" w:rsidTr="0038761A">
        <w:trPr>
          <w:trHeight w:val="5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rPr>
                <w:rFonts w:ascii="Arial" w:hAnsi="Arial" w:cs="Arial"/>
                <w:b/>
                <w:bCs/>
              </w:rPr>
            </w:pPr>
            <w:r w:rsidRPr="00552615">
              <w:rPr>
                <w:rFonts w:ascii="Arial" w:hAnsi="Arial" w:cs="Arial"/>
                <w:b/>
                <w:bCs/>
              </w:rPr>
              <w:t>RENTABILIDAD DEL ACTIVO</w:t>
            </w:r>
          </w:p>
        </w:tc>
        <w:tc>
          <w:tcPr>
            <w:tcW w:w="3042" w:type="dxa"/>
            <w:tcBorders>
              <w:top w:val="single" w:sz="4" w:space="0" w:color="auto"/>
              <w:left w:val="single" w:sz="4" w:space="0" w:color="auto"/>
              <w:bottom w:val="single" w:sz="4" w:space="0" w:color="auto"/>
              <w:right w:val="single" w:sz="4" w:space="0" w:color="auto"/>
            </w:tcBorders>
            <w:vAlign w:val="center"/>
            <w:hideMark/>
          </w:tcPr>
          <w:p w:rsidR="0048627B" w:rsidRPr="00552615" w:rsidRDefault="0048627B" w:rsidP="0038761A">
            <w:pPr>
              <w:spacing w:line="100" w:lineRule="atLeast"/>
              <w:jc w:val="both"/>
              <w:rPr>
                <w:rFonts w:ascii="Arial" w:hAnsi="Arial" w:cs="Arial"/>
              </w:rPr>
            </w:pPr>
            <w:r w:rsidRPr="00552615">
              <w:rPr>
                <w:rFonts w:ascii="Arial" w:hAnsi="Arial" w:cs="Arial"/>
              </w:rPr>
              <w:t xml:space="preserve">Mayor o igual a </w:t>
            </w:r>
            <w:r>
              <w:rPr>
                <w:rFonts w:ascii="Arial" w:hAnsi="Arial" w:cs="Arial"/>
              </w:rPr>
              <w:t>4</w:t>
            </w:r>
            <w:r w:rsidRPr="00552615">
              <w:rPr>
                <w:rFonts w:ascii="Arial" w:hAnsi="Arial" w:cs="Arial"/>
                <w:color w:val="000000"/>
                <w:lang w:eastAsia="es-CO"/>
              </w:rPr>
              <w:t>%</w:t>
            </w:r>
            <w:r>
              <w:rPr>
                <w:rFonts w:ascii="Arial" w:hAnsi="Arial" w:cs="Arial"/>
                <w:color w:val="000000"/>
                <w:lang w:eastAsia="es-CO"/>
              </w:rPr>
              <w:t xml:space="preserve"> (0,04)</w:t>
            </w:r>
          </w:p>
        </w:tc>
      </w:tr>
      <w:bookmarkEnd w:id="2"/>
    </w:tbl>
    <w:p w:rsidR="0048627B" w:rsidRPr="00552615" w:rsidRDefault="0048627B" w:rsidP="0048627B">
      <w:pPr>
        <w:spacing w:line="100" w:lineRule="atLeast"/>
        <w:jc w:val="both"/>
        <w:rPr>
          <w:rFonts w:ascii="Arial" w:hAnsi="Arial" w:cs="Arial"/>
          <w:bCs/>
        </w:rPr>
      </w:pPr>
    </w:p>
    <w:p w:rsidR="0048627B" w:rsidRPr="00552615" w:rsidRDefault="0048627B" w:rsidP="0048627B">
      <w:pPr>
        <w:spacing w:after="160" w:line="259" w:lineRule="auto"/>
        <w:jc w:val="both"/>
        <w:rPr>
          <w:rFonts w:ascii="Arial" w:eastAsia="Calibri" w:hAnsi="Arial" w:cs="Arial"/>
          <w:b/>
          <w:spacing w:val="-1"/>
          <w:u w:color="000000"/>
          <w:lang w:eastAsia="en-US"/>
        </w:rPr>
      </w:pPr>
    </w:p>
    <w:p w:rsidR="0048627B" w:rsidRPr="004C0EBD" w:rsidRDefault="0048627B" w:rsidP="0048627B">
      <w:pPr>
        <w:rPr>
          <w:rFonts w:ascii="Arial" w:eastAsia="Calibri" w:hAnsi="Arial" w:cs="Arial"/>
          <w:spacing w:val="-1"/>
          <w:sz w:val="10"/>
          <w:szCs w:val="10"/>
          <w:u w:color="000000"/>
          <w:lang w:eastAsia="en-US"/>
        </w:rPr>
      </w:pPr>
      <w:r w:rsidRPr="004C0EBD">
        <w:rPr>
          <w:rFonts w:ascii="Arial" w:eastAsia="Calibri" w:hAnsi="Arial" w:cs="Arial"/>
          <w:spacing w:val="-1"/>
          <w:sz w:val="10"/>
          <w:szCs w:val="10"/>
          <w:u w:color="000000"/>
          <w:lang w:eastAsia="en-US"/>
        </w:rPr>
        <w:t>Elaboró.   Dayan R. Martinez Palencia – Profesional Planeación ALBU</w:t>
      </w:r>
    </w:p>
    <w:p w:rsidR="0048627B" w:rsidRPr="004C0EBD" w:rsidRDefault="0048627B" w:rsidP="0048627B">
      <w:pPr>
        <w:rPr>
          <w:rFonts w:ascii="Arial" w:eastAsia="Calibri" w:hAnsi="Arial" w:cs="Arial"/>
          <w:spacing w:val="-1"/>
          <w:sz w:val="10"/>
          <w:szCs w:val="10"/>
          <w:u w:color="000000"/>
          <w:lang w:eastAsia="en-US"/>
        </w:rPr>
      </w:pPr>
      <w:r w:rsidRPr="004C0EBD">
        <w:rPr>
          <w:rFonts w:ascii="Arial" w:eastAsia="Calibri" w:hAnsi="Arial" w:cs="Arial"/>
          <w:spacing w:val="-1"/>
          <w:sz w:val="10"/>
          <w:szCs w:val="10"/>
          <w:u w:color="000000"/>
          <w:lang w:eastAsia="en-US"/>
        </w:rPr>
        <w:tab/>
        <w:t>Andrés Felipe Monroy - Profesional Planeación ALBU</w:t>
      </w:r>
    </w:p>
    <w:p w:rsidR="0048627B" w:rsidRPr="004C0EBD" w:rsidRDefault="0048627B" w:rsidP="0048627B">
      <w:pPr>
        <w:ind w:firstLine="708"/>
        <w:rPr>
          <w:rFonts w:ascii="Arial" w:eastAsia="Calibri" w:hAnsi="Arial" w:cs="Arial"/>
          <w:b/>
          <w:spacing w:val="-1"/>
          <w:sz w:val="10"/>
          <w:szCs w:val="10"/>
          <w:u w:color="000000"/>
          <w:lang w:eastAsia="en-US"/>
        </w:rPr>
      </w:pPr>
      <w:r w:rsidRPr="004C0EBD">
        <w:rPr>
          <w:rFonts w:ascii="Arial" w:eastAsia="Calibri" w:hAnsi="Arial" w:cs="Arial"/>
          <w:spacing w:val="-1"/>
          <w:sz w:val="10"/>
          <w:szCs w:val="10"/>
          <w:u w:color="000000"/>
          <w:lang w:eastAsia="en-US"/>
        </w:rPr>
        <w:t>Dickson Edward Ramírez López – Analista de Presupuesto FDSLBU</w:t>
      </w:r>
    </w:p>
    <w:p w:rsidR="0048627B" w:rsidRPr="004C0EBD" w:rsidRDefault="0048627B" w:rsidP="0048627B">
      <w:pPr>
        <w:rPr>
          <w:rFonts w:ascii="Arial" w:hAnsi="Arial" w:cs="Arial"/>
          <w:sz w:val="10"/>
          <w:szCs w:val="10"/>
        </w:rPr>
      </w:pPr>
    </w:p>
    <w:p w:rsidR="006E081E" w:rsidRPr="0048627B" w:rsidRDefault="006E081E" w:rsidP="0048627B"/>
    <w:sectPr w:rsidR="006E081E" w:rsidRPr="0048627B" w:rsidSect="00CE29F1">
      <w:headerReference w:type="default" r:id="rId40"/>
      <w:footerReference w:type="default" r:id="rId41"/>
      <w:pgSz w:w="12240" w:h="15840"/>
      <w:pgMar w:top="1418" w:right="1418" w:bottom="1418"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761A" w:rsidRDefault="0038761A">
      <w:r>
        <w:separator/>
      </w:r>
    </w:p>
  </w:endnote>
  <w:endnote w:type="continuationSeparator" w:id="0">
    <w:p w:rsidR="0038761A" w:rsidRDefault="00387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Hindi">
    <w:altName w:val="MS Gothic"/>
    <w:charset w:val="01"/>
    <w:family w:val="auto"/>
    <w:pitch w:val="variable"/>
  </w:font>
  <w:font w:name="Tahoma">
    <w:panose1 w:val="020B0604030504040204"/>
    <w:charset w:val="00"/>
    <w:family w:val="swiss"/>
    <w:pitch w:val="variable"/>
    <w:sig w:usb0="E1002EFF" w:usb1="C000605B" w:usb2="00000029" w:usb3="00000000" w:csb0="000101FF" w:csb1="00000000"/>
  </w:font>
  <w:font w:name="OpenSymbol">
    <w:altName w:val="MS Gothic"/>
    <w:charset w:val="80"/>
    <w:family w:val="auto"/>
    <w:pitch w:val="default"/>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761A" w:rsidRPr="00B65C01" w:rsidRDefault="0038761A" w:rsidP="00427D28">
    <w:pPr>
      <w:ind w:left="3540" w:firstLine="708"/>
      <w:jc w:val="right"/>
      <w:rPr>
        <w:rFonts w:ascii="Arial" w:hAnsi="Arial" w:cs="Arial"/>
        <w:sz w:val="16"/>
        <w:szCs w:val="16"/>
      </w:rPr>
    </w:pPr>
    <w:r w:rsidRPr="00B65C01">
      <w:rPr>
        <w:rFonts w:ascii="Arial" w:hAnsi="Arial" w:cs="Arial"/>
        <w:sz w:val="16"/>
        <w:szCs w:val="16"/>
      </w:rPr>
      <w:t>GCO-GCI-F007</w:t>
    </w:r>
  </w:p>
  <w:p w:rsidR="0038761A" w:rsidRPr="00B65C01" w:rsidRDefault="0038761A" w:rsidP="00427D28">
    <w:pPr>
      <w:jc w:val="right"/>
      <w:rPr>
        <w:rFonts w:ascii="Arial" w:hAnsi="Arial" w:cs="Arial"/>
        <w:sz w:val="16"/>
        <w:szCs w:val="16"/>
      </w:rPr>
    </w:pPr>
    <w:r w:rsidRPr="00B65C01">
      <w:rPr>
        <w:rFonts w:ascii="Arial" w:hAnsi="Arial" w:cs="Arial"/>
        <w:sz w:val="16"/>
        <w:szCs w:val="16"/>
      </w:rPr>
      <w:t>Versión: 0</w:t>
    </w:r>
    <w:r>
      <w:rPr>
        <w:rFonts w:ascii="Arial" w:hAnsi="Arial" w:cs="Arial"/>
        <w:sz w:val="16"/>
        <w:szCs w:val="16"/>
      </w:rPr>
      <w:t>2</w:t>
    </w:r>
  </w:p>
  <w:p w:rsidR="0038761A" w:rsidRPr="00B65C01" w:rsidRDefault="0038761A" w:rsidP="00427D28">
    <w:pPr>
      <w:pStyle w:val="Piedepgina"/>
      <w:jc w:val="right"/>
      <w:rPr>
        <w:rFonts w:ascii="Arial" w:hAnsi="Arial" w:cs="Arial"/>
        <w:sz w:val="16"/>
        <w:szCs w:val="16"/>
      </w:rPr>
    </w:pPr>
    <w:r w:rsidRPr="00B65C01">
      <w:rPr>
        <w:rFonts w:ascii="Arial" w:hAnsi="Arial" w:cs="Arial"/>
        <w:sz w:val="16"/>
        <w:szCs w:val="16"/>
      </w:rPr>
      <w:t xml:space="preserve">Vigencia: </w:t>
    </w:r>
    <w:r>
      <w:rPr>
        <w:rFonts w:ascii="Arial" w:hAnsi="Arial" w:cs="Arial"/>
        <w:sz w:val="16"/>
        <w:szCs w:val="16"/>
      </w:rPr>
      <w:t>24 de agosto de 2018</w:t>
    </w:r>
  </w:p>
  <w:p w:rsidR="0038761A" w:rsidRDefault="0038761A" w:rsidP="00427D28">
    <w:pPr>
      <w:pStyle w:val="Piedepgina"/>
      <w:ind w:left="180"/>
      <w:jc w:val="right"/>
      <w:rPr>
        <w:rStyle w:val="Nmerodepgina"/>
        <w:rFonts w:ascii="Arial" w:hAnsi="Arial" w:cs="Arial"/>
        <w:sz w:val="16"/>
        <w:szCs w:val="16"/>
      </w:rPr>
    </w:pPr>
    <w:r w:rsidRPr="00B65C01">
      <w:rPr>
        <w:rStyle w:val="Nmerodepgina"/>
        <w:rFonts w:ascii="Arial" w:hAnsi="Arial" w:cs="Arial"/>
        <w:sz w:val="16"/>
        <w:szCs w:val="16"/>
      </w:rPr>
      <w:t xml:space="preserve">Página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PAGE </w:instrText>
    </w:r>
    <w:r w:rsidRPr="00B65C01">
      <w:rPr>
        <w:rStyle w:val="Nmerodepgina"/>
        <w:rFonts w:ascii="Arial" w:hAnsi="Arial" w:cs="Arial"/>
        <w:sz w:val="16"/>
        <w:szCs w:val="16"/>
      </w:rPr>
      <w:fldChar w:fldCharType="separate"/>
    </w:r>
    <w:r>
      <w:rPr>
        <w:rStyle w:val="Nmerodepgina"/>
        <w:rFonts w:ascii="Arial" w:hAnsi="Arial" w:cs="Arial"/>
        <w:noProof/>
        <w:sz w:val="16"/>
        <w:szCs w:val="16"/>
      </w:rPr>
      <w:t>1</w:t>
    </w:r>
    <w:r w:rsidRPr="00B65C01">
      <w:rPr>
        <w:rStyle w:val="Nmerodepgina"/>
        <w:rFonts w:ascii="Arial" w:hAnsi="Arial" w:cs="Arial"/>
        <w:sz w:val="16"/>
        <w:szCs w:val="16"/>
      </w:rPr>
      <w:fldChar w:fldCharType="end"/>
    </w:r>
    <w:r w:rsidRPr="00B65C01">
      <w:rPr>
        <w:rStyle w:val="Nmerodepgina"/>
        <w:rFonts w:ascii="Arial" w:hAnsi="Arial" w:cs="Arial"/>
        <w:sz w:val="16"/>
        <w:szCs w:val="16"/>
      </w:rPr>
      <w:t xml:space="preserve"> de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NUMPAGES </w:instrText>
    </w:r>
    <w:r w:rsidRPr="00B65C01">
      <w:rPr>
        <w:rStyle w:val="Nmerodepgina"/>
        <w:rFonts w:ascii="Arial" w:hAnsi="Arial" w:cs="Arial"/>
        <w:sz w:val="16"/>
        <w:szCs w:val="16"/>
      </w:rPr>
      <w:fldChar w:fldCharType="separate"/>
    </w:r>
    <w:r>
      <w:rPr>
        <w:rStyle w:val="Nmerodepgina"/>
        <w:rFonts w:ascii="Arial" w:hAnsi="Arial" w:cs="Arial"/>
        <w:noProof/>
        <w:sz w:val="16"/>
        <w:szCs w:val="16"/>
      </w:rPr>
      <w:t>1</w:t>
    </w:r>
    <w:r w:rsidRPr="00B65C01">
      <w:rPr>
        <w:rStyle w:val="Nmerodepgina"/>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761A" w:rsidRDefault="0038761A">
      <w:r>
        <w:rPr>
          <w:color w:val="000000"/>
        </w:rPr>
        <w:separator/>
      </w:r>
    </w:p>
  </w:footnote>
  <w:footnote w:type="continuationSeparator" w:id="0">
    <w:p w:rsidR="0038761A" w:rsidRDefault="0038761A">
      <w:r>
        <w:continuationSeparator/>
      </w:r>
    </w:p>
  </w:footnote>
  <w:footnote w:id="1">
    <w:p w:rsidR="0038761A" w:rsidRPr="00552615" w:rsidRDefault="0038761A" w:rsidP="0048627B">
      <w:pPr>
        <w:spacing w:after="160" w:line="259" w:lineRule="auto"/>
        <w:jc w:val="both"/>
        <w:rPr>
          <w:rFonts w:ascii="Arial" w:hAnsi="Arial" w:cs="Arial"/>
          <w:bCs/>
          <w:sz w:val="16"/>
          <w:szCs w:val="16"/>
        </w:rPr>
      </w:pPr>
      <w:r>
        <w:rPr>
          <w:rStyle w:val="Refdenotaalpie"/>
        </w:rPr>
        <w:footnoteRef/>
      </w:r>
      <w:r>
        <w:t xml:space="preserve"> </w:t>
      </w:r>
      <w:r w:rsidRPr="00552615">
        <w:rPr>
          <w:rFonts w:ascii="Arial" w:hAnsi="Arial" w:cs="Arial"/>
          <w:bCs/>
          <w:sz w:val="16"/>
          <w:szCs w:val="16"/>
        </w:rPr>
        <w:t xml:space="preserve">Información tomada de </w:t>
      </w:r>
      <w:hyperlink r:id="rId1" w:history="1">
        <w:r w:rsidRPr="00552615">
          <w:rPr>
            <w:rStyle w:val="Hipervnculo"/>
            <w:rFonts w:ascii="Arial" w:hAnsi="Arial" w:cs="Arial"/>
            <w:bCs/>
            <w:sz w:val="16"/>
            <w:szCs w:val="16"/>
          </w:rPr>
          <w:t>www.dane.gov.co</w:t>
        </w:r>
      </w:hyperlink>
    </w:p>
    <w:p w:rsidR="0038761A" w:rsidRPr="00552615" w:rsidRDefault="0038761A" w:rsidP="0048627B">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761A" w:rsidRDefault="0038761A">
    <w:pPr>
      <w:pStyle w:val="Encabezado"/>
      <w:jc w:val="center"/>
      <w:rPr>
        <w:noProof/>
        <w:lang w:eastAsia="es-CO"/>
      </w:rPr>
    </w:pPr>
    <w:r>
      <w:rPr>
        <w:noProof/>
        <w:lang w:eastAsia="es-CO"/>
      </w:rPr>
      <w:drawing>
        <wp:inline distT="0" distB="0" distL="0" distR="0" wp14:anchorId="632DC597" wp14:editId="6E020C24">
          <wp:extent cx="990600" cy="1038225"/>
          <wp:effectExtent l="0" t="0" r="0" b="9525"/>
          <wp:docPr id="2"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p>
  <w:p w:rsidR="0038761A" w:rsidRPr="00B41D48" w:rsidRDefault="0038761A" w:rsidP="00427D28">
    <w:pPr>
      <w:pStyle w:val="Standard"/>
      <w:tabs>
        <w:tab w:val="left" w:pos="2131"/>
        <w:tab w:val="center" w:pos="4702"/>
      </w:tabs>
      <w:jc w:val="center"/>
      <w:rPr>
        <w:rFonts w:ascii="Garamond" w:hAnsi="Garamond" w:cs="Arial"/>
        <w:b/>
        <w:sz w:val="22"/>
        <w:szCs w:val="22"/>
      </w:rPr>
    </w:pPr>
    <w:r w:rsidRPr="00B41D48">
      <w:rPr>
        <w:rFonts w:ascii="Garamond" w:hAnsi="Garamond" w:cs="Arial"/>
        <w:b/>
        <w:sz w:val="22"/>
        <w:szCs w:val="22"/>
      </w:rPr>
      <w:t>ALCALDÍA LOCAL DE BARRIOS UNIDOS</w:t>
    </w:r>
  </w:p>
  <w:p w:rsidR="0038761A" w:rsidRPr="00B41D48" w:rsidRDefault="0038761A" w:rsidP="00427D28">
    <w:pPr>
      <w:pStyle w:val="Standard"/>
      <w:tabs>
        <w:tab w:val="left" w:pos="2131"/>
        <w:tab w:val="center" w:pos="4702"/>
      </w:tabs>
      <w:jc w:val="center"/>
      <w:rPr>
        <w:rFonts w:ascii="Garamond" w:hAnsi="Garamond" w:cs="Arial"/>
        <w:b/>
        <w:sz w:val="22"/>
        <w:szCs w:val="22"/>
      </w:rPr>
    </w:pPr>
    <w:r>
      <w:rPr>
        <w:rFonts w:ascii="Garamond" w:hAnsi="Garamond" w:cs="Arial"/>
        <w:b/>
        <w:sz w:val="22"/>
        <w:szCs w:val="22"/>
      </w:rPr>
      <w:t>ANALISIS DEL SECTOR</w:t>
    </w:r>
  </w:p>
  <w:p w:rsidR="0038761A" w:rsidRPr="00B41D48" w:rsidRDefault="0038761A" w:rsidP="00427D28">
    <w:pPr>
      <w:pStyle w:val="Standard"/>
      <w:jc w:val="center"/>
      <w:rPr>
        <w:rFonts w:ascii="Garamond" w:hAnsi="Garamond" w:cs="Arial"/>
        <w:b/>
        <w:sz w:val="22"/>
        <w:szCs w:val="22"/>
      </w:rPr>
    </w:pPr>
    <w:r w:rsidRPr="00B41D48">
      <w:rPr>
        <w:rFonts w:ascii="Garamond" w:hAnsi="Garamond" w:cs="Arial"/>
        <w:b/>
        <w:sz w:val="22"/>
        <w:szCs w:val="22"/>
      </w:rPr>
      <w:t>SELECCIÓN ABREVIADA DE MENOR CUANTÍA</w:t>
    </w:r>
  </w:p>
  <w:p w:rsidR="0038761A" w:rsidRDefault="0038761A" w:rsidP="004219D3">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 w15:restartNumberingAfterBreak="0">
    <w:nsid w:val="039235DB"/>
    <w:multiLevelType w:val="hybridMultilevel"/>
    <w:tmpl w:val="26D4F7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A95587"/>
    <w:multiLevelType w:val="hybridMultilevel"/>
    <w:tmpl w:val="DC9E3E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DF793C"/>
    <w:multiLevelType w:val="multilevel"/>
    <w:tmpl w:val="AFC46D56"/>
    <w:styleLink w:val="WW8Num7"/>
    <w:lvl w:ilvl="0">
      <w:numFmt w:val="bullet"/>
      <w:lvlText w:val=""/>
      <w:lvlJc w:val="left"/>
      <w:rPr>
        <w:rFonts w:ascii="Symbol" w:hAnsi="Symbol"/>
        <w:color w:val="8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A836338"/>
    <w:multiLevelType w:val="multilevel"/>
    <w:tmpl w:val="37122C8C"/>
    <w:styleLink w:val="WW8Num2"/>
    <w:lvl w:ilvl="0">
      <w:start w:val="1"/>
      <w:numFmt w:val="lowerLetter"/>
      <w:lvlText w:val="%1."/>
      <w:lvlJc w:val="left"/>
      <w:rPr>
        <w:rFonts w:ascii="Arial" w:hAnsi="Arial" w:cs="Times New Roman"/>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12772309"/>
    <w:multiLevelType w:val="hybridMultilevel"/>
    <w:tmpl w:val="0C56BECC"/>
    <w:lvl w:ilvl="0" w:tplc="240A0015">
      <w:start w:val="1"/>
      <w:numFmt w:val="upperLetter"/>
      <w:lvlText w:val="%1."/>
      <w:lvlJc w:val="left"/>
      <w:pPr>
        <w:ind w:left="720" w:hanging="360"/>
      </w:pPr>
      <w:rPr>
        <w:rFonts w:hint="default"/>
      </w:rPr>
    </w:lvl>
    <w:lvl w:ilvl="1" w:tplc="264A33CE">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001CEB"/>
    <w:multiLevelType w:val="hybridMultilevel"/>
    <w:tmpl w:val="25FA3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821E5A"/>
    <w:multiLevelType w:val="multilevel"/>
    <w:tmpl w:val="4142E222"/>
    <w:styleLink w:val="WW8Num3"/>
    <w:lvl w:ilvl="0">
      <w:numFmt w:val="bullet"/>
      <w:lvlText w:val=""/>
      <w:lvlJc w:val="left"/>
      <w:rPr>
        <w:rFonts w:ascii="Symbol" w:hAnsi="Symbol"/>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51F51C0"/>
    <w:multiLevelType w:val="hybridMultilevel"/>
    <w:tmpl w:val="0B10A9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284894"/>
    <w:multiLevelType w:val="hybridMultilevel"/>
    <w:tmpl w:val="C6543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DD916CE"/>
    <w:multiLevelType w:val="hybridMultilevel"/>
    <w:tmpl w:val="3F726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226F38"/>
    <w:multiLevelType w:val="multilevel"/>
    <w:tmpl w:val="31A03844"/>
    <w:styleLink w:val="WW8Num5"/>
    <w:lvl w:ilvl="0">
      <w:start w:val="1"/>
      <w:numFmt w:val="lowerLetter"/>
      <w:lvlText w:val="%1."/>
      <w:lvlJc w:val="left"/>
      <w:rPr>
        <w:rFonts w:cs="Times New Roman"/>
        <w:b/>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2F97713E"/>
    <w:multiLevelType w:val="hybridMultilevel"/>
    <w:tmpl w:val="49CC70C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58E491A"/>
    <w:multiLevelType w:val="multilevel"/>
    <w:tmpl w:val="7B3E6E46"/>
    <w:styleLink w:val="WW8Num9"/>
    <w:lvl w:ilvl="0">
      <w:start w:val="1"/>
      <w:numFmt w:val="none"/>
      <w:lvlText w:val="%1"/>
      <w:lvlJc w:val="left"/>
      <w:rPr>
        <w:rFonts w:cs="Times New Roman"/>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4" w15:restartNumberingAfterBreak="0">
    <w:nsid w:val="5AD146EC"/>
    <w:multiLevelType w:val="multilevel"/>
    <w:tmpl w:val="1714C49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D010357"/>
    <w:multiLevelType w:val="multilevel"/>
    <w:tmpl w:val="BD5281E0"/>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78081261"/>
    <w:multiLevelType w:val="multilevel"/>
    <w:tmpl w:val="9CEC84A4"/>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A23763E"/>
    <w:multiLevelType w:val="hybridMultilevel"/>
    <w:tmpl w:val="4DC86C14"/>
    <w:lvl w:ilvl="0" w:tplc="5BE2728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5"/>
  </w:num>
  <w:num w:numId="2">
    <w:abstractNumId w:val="4"/>
  </w:num>
  <w:num w:numId="3">
    <w:abstractNumId w:val="7"/>
  </w:num>
  <w:num w:numId="4">
    <w:abstractNumId w:val="14"/>
  </w:num>
  <w:num w:numId="5">
    <w:abstractNumId w:val="11"/>
  </w:num>
  <w:num w:numId="6">
    <w:abstractNumId w:val="16"/>
  </w:num>
  <w:num w:numId="7">
    <w:abstractNumId w:val="3"/>
  </w:num>
  <w:num w:numId="8">
    <w:abstractNumId w:val="0"/>
  </w:num>
  <w:num w:numId="9">
    <w:abstractNumId w:val="13"/>
  </w:num>
  <w:num w:numId="10">
    <w:abstractNumId w:val="4"/>
    <w:lvlOverride w:ilvl="0">
      <w:startOverride w:val="1"/>
    </w:lvlOverride>
  </w:num>
  <w:num w:numId="11">
    <w:abstractNumId w:val="3"/>
  </w:num>
  <w:num w:numId="12">
    <w:abstractNumId w:val="7"/>
  </w:num>
  <w:num w:numId="13">
    <w:abstractNumId w:val="16"/>
  </w:num>
  <w:num w:numId="14">
    <w:abstractNumId w:val="14"/>
    <w:lvlOverride w:ilvl="0">
      <w:startOverride w:val="1"/>
    </w:lvlOverride>
  </w:num>
  <w:num w:numId="15">
    <w:abstractNumId w:val="15"/>
    <w:lvlOverride w:ilvl="0">
      <w:startOverride w:val="1"/>
    </w:lvlOverride>
  </w:num>
  <w:num w:numId="16">
    <w:abstractNumId w:val="10"/>
  </w:num>
  <w:num w:numId="17">
    <w:abstractNumId w:val="12"/>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
  </w:num>
  <w:num w:numId="21">
    <w:abstractNumId w:val="8"/>
  </w:num>
  <w:num w:numId="22">
    <w:abstractNumId w:val="6"/>
  </w:num>
  <w:num w:numId="23">
    <w:abstractNumId w:val="5"/>
  </w:num>
  <w:num w:numId="24">
    <w:abstractNumId w:val="1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2B"/>
    <w:rsid w:val="00035F5C"/>
    <w:rsid w:val="000E5594"/>
    <w:rsid w:val="001B1BB3"/>
    <w:rsid w:val="001C0D78"/>
    <w:rsid w:val="001D39FA"/>
    <w:rsid w:val="001E0610"/>
    <w:rsid w:val="00287A11"/>
    <w:rsid w:val="00291971"/>
    <w:rsid w:val="0038761A"/>
    <w:rsid w:val="003F1520"/>
    <w:rsid w:val="004219D3"/>
    <w:rsid w:val="00427D28"/>
    <w:rsid w:val="0043764D"/>
    <w:rsid w:val="00446037"/>
    <w:rsid w:val="00470B36"/>
    <w:rsid w:val="00484A7C"/>
    <w:rsid w:val="0048627B"/>
    <w:rsid w:val="004A2DFE"/>
    <w:rsid w:val="004C0EBD"/>
    <w:rsid w:val="004D043A"/>
    <w:rsid w:val="00507085"/>
    <w:rsid w:val="0057162D"/>
    <w:rsid w:val="00594E41"/>
    <w:rsid w:val="006257C9"/>
    <w:rsid w:val="0062723F"/>
    <w:rsid w:val="006E081E"/>
    <w:rsid w:val="00722BE2"/>
    <w:rsid w:val="00765083"/>
    <w:rsid w:val="00791A9A"/>
    <w:rsid w:val="007C03EB"/>
    <w:rsid w:val="007F6043"/>
    <w:rsid w:val="008215A0"/>
    <w:rsid w:val="00832BC0"/>
    <w:rsid w:val="00883291"/>
    <w:rsid w:val="00893BEE"/>
    <w:rsid w:val="008B3157"/>
    <w:rsid w:val="008D7631"/>
    <w:rsid w:val="008F1DB9"/>
    <w:rsid w:val="009C0FEA"/>
    <w:rsid w:val="009D68A2"/>
    <w:rsid w:val="00A240A1"/>
    <w:rsid w:val="00AB5D52"/>
    <w:rsid w:val="00AC5866"/>
    <w:rsid w:val="00AD7A40"/>
    <w:rsid w:val="00AF7C14"/>
    <w:rsid w:val="00B3242B"/>
    <w:rsid w:val="00B41D48"/>
    <w:rsid w:val="00B623B5"/>
    <w:rsid w:val="00B65C01"/>
    <w:rsid w:val="00B709E1"/>
    <w:rsid w:val="00B97074"/>
    <w:rsid w:val="00BC40FB"/>
    <w:rsid w:val="00C13C56"/>
    <w:rsid w:val="00C2656C"/>
    <w:rsid w:val="00C30CAC"/>
    <w:rsid w:val="00C572B7"/>
    <w:rsid w:val="00C601A8"/>
    <w:rsid w:val="00C95B42"/>
    <w:rsid w:val="00CB2386"/>
    <w:rsid w:val="00CD3020"/>
    <w:rsid w:val="00CE29F1"/>
    <w:rsid w:val="00CE56B0"/>
    <w:rsid w:val="00D20D80"/>
    <w:rsid w:val="00D246F6"/>
    <w:rsid w:val="00D30573"/>
    <w:rsid w:val="00D5034A"/>
    <w:rsid w:val="00DD314F"/>
    <w:rsid w:val="00E05D64"/>
    <w:rsid w:val="00E16876"/>
    <w:rsid w:val="00E25346"/>
    <w:rsid w:val="00E405BB"/>
    <w:rsid w:val="00E5776A"/>
    <w:rsid w:val="00E61B56"/>
    <w:rsid w:val="00EA5995"/>
    <w:rsid w:val="00EC53DD"/>
    <w:rsid w:val="00EF71C8"/>
    <w:rsid w:val="00F374E7"/>
    <w:rsid w:val="00F71DD6"/>
    <w:rsid w:val="00F740F7"/>
    <w:rsid w:val="00F77FA5"/>
    <w:rsid w:val="00FE06E3"/>
    <w:rsid w:val="00FE1E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B02BAAD-E54C-47B5-AEB0-FDCB5DA6D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29F1"/>
    <w:pPr>
      <w:widowControl w:val="0"/>
      <w:suppressAutoHyphens/>
      <w:autoSpaceDN w:val="0"/>
      <w:textAlignment w:val="baseline"/>
    </w:pPr>
    <w:rPr>
      <w:rFonts w:cs="Lohit Hindi"/>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CE29F1"/>
    <w:pPr>
      <w:suppressAutoHyphens/>
      <w:autoSpaceDN w:val="0"/>
      <w:textAlignment w:val="baseline"/>
    </w:pPr>
    <w:rPr>
      <w:kern w:val="3"/>
      <w:lang w:eastAsia="zh-CN"/>
    </w:rPr>
  </w:style>
  <w:style w:type="paragraph" w:customStyle="1" w:styleId="Heading">
    <w:name w:val="Heading"/>
    <w:basedOn w:val="Standard"/>
    <w:next w:val="Textbody"/>
    <w:rsid w:val="00CE29F1"/>
    <w:pPr>
      <w:keepNext/>
      <w:spacing w:before="240" w:after="120"/>
    </w:pPr>
    <w:rPr>
      <w:rFonts w:ascii="Arial" w:hAnsi="Arial" w:cs="Lohit Hindi"/>
      <w:sz w:val="28"/>
      <w:szCs w:val="28"/>
    </w:rPr>
  </w:style>
  <w:style w:type="paragraph" w:customStyle="1" w:styleId="Textbody">
    <w:name w:val="Text body"/>
    <w:basedOn w:val="Standard"/>
    <w:rsid w:val="00CE29F1"/>
    <w:pPr>
      <w:spacing w:after="120"/>
    </w:pPr>
  </w:style>
  <w:style w:type="paragraph" w:styleId="Lista">
    <w:name w:val="List"/>
    <w:basedOn w:val="Textbody"/>
    <w:uiPriority w:val="99"/>
    <w:rsid w:val="00CE29F1"/>
    <w:rPr>
      <w:rFonts w:cs="Lohit Hindi"/>
    </w:rPr>
  </w:style>
  <w:style w:type="paragraph" w:styleId="Descripcin">
    <w:name w:val="caption"/>
    <w:basedOn w:val="Standard"/>
    <w:uiPriority w:val="35"/>
    <w:qFormat/>
    <w:rsid w:val="00CE29F1"/>
    <w:pPr>
      <w:suppressLineNumbers/>
      <w:spacing w:before="120" w:after="120"/>
    </w:pPr>
    <w:rPr>
      <w:rFonts w:cs="Lohit Hindi"/>
      <w:i/>
      <w:iCs/>
      <w:sz w:val="24"/>
      <w:szCs w:val="24"/>
    </w:rPr>
  </w:style>
  <w:style w:type="paragraph" w:customStyle="1" w:styleId="Index">
    <w:name w:val="Index"/>
    <w:basedOn w:val="Standard"/>
    <w:rsid w:val="00CE29F1"/>
    <w:pPr>
      <w:suppressLineNumbers/>
    </w:pPr>
    <w:rPr>
      <w:rFonts w:cs="Lohit Hindi"/>
    </w:rPr>
  </w:style>
  <w:style w:type="paragraph" w:customStyle="1" w:styleId="Encabezado1">
    <w:name w:val="Encabezado1"/>
    <w:basedOn w:val="Standard"/>
    <w:next w:val="Textbody"/>
    <w:rsid w:val="00CE29F1"/>
    <w:pPr>
      <w:keepNext/>
      <w:spacing w:before="240" w:after="120"/>
    </w:pPr>
    <w:rPr>
      <w:rFonts w:ascii="Arial" w:hAnsi="Arial" w:cs="Lohit Hindi"/>
      <w:sz w:val="28"/>
      <w:szCs w:val="28"/>
    </w:rPr>
  </w:style>
  <w:style w:type="paragraph" w:styleId="Encabezado">
    <w:name w:val="header"/>
    <w:basedOn w:val="Standard"/>
    <w:link w:val="EncabezadoCar"/>
    <w:uiPriority w:val="99"/>
    <w:rsid w:val="00CE29F1"/>
    <w:pPr>
      <w:tabs>
        <w:tab w:val="center" w:pos="4252"/>
        <w:tab w:val="right" w:pos="8504"/>
      </w:tabs>
    </w:pPr>
  </w:style>
  <w:style w:type="character" w:customStyle="1" w:styleId="EncabezadoCar">
    <w:name w:val="Encabezado Car"/>
    <w:link w:val="Encabezado"/>
    <w:uiPriority w:val="99"/>
    <w:rsid w:val="00CE29F1"/>
    <w:rPr>
      <w:rFonts w:ascii="Times New Roman" w:hAnsi="Times New Roman" w:cs="Times New Roman"/>
      <w:sz w:val="20"/>
      <w:szCs w:val="20"/>
      <w:lang w:val="es-CO" w:eastAsia="x-none"/>
    </w:rPr>
  </w:style>
  <w:style w:type="paragraph" w:styleId="Piedepgina">
    <w:name w:val="footer"/>
    <w:aliases w:val="pie de página,Car"/>
    <w:basedOn w:val="Standard"/>
    <w:link w:val="PiedepginaCar"/>
    <w:rsid w:val="00CE29F1"/>
    <w:pPr>
      <w:tabs>
        <w:tab w:val="center" w:pos="4252"/>
        <w:tab w:val="right" w:pos="8504"/>
      </w:tabs>
    </w:pPr>
  </w:style>
  <w:style w:type="character" w:customStyle="1" w:styleId="PiedepginaCar">
    <w:name w:val="Pie de página Car"/>
    <w:aliases w:val="pie de página Car,Car Car"/>
    <w:link w:val="Piedepgina"/>
    <w:rsid w:val="00CE29F1"/>
    <w:rPr>
      <w:rFonts w:ascii="Times New Roman" w:hAnsi="Times New Roman" w:cs="Times New Roman"/>
      <w:sz w:val="20"/>
      <w:szCs w:val="20"/>
      <w:lang w:val="es-CO" w:eastAsia="x-none"/>
    </w:rPr>
  </w:style>
  <w:style w:type="paragraph" w:customStyle="1" w:styleId="Default">
    <w:name w:val="Default"/>
    <w:rsid w:val="00CE29F1"/>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rsid w:val="00CE29F1"/>
    <w:pPr>
      <w:ind w:left="708"/>
    </w:pPr>
  </w:style>
  <w:style w:type="paragraph" w:customStyle="1" w:styleId="TableContents">
    <w:name w:val="Table Contents"/>
    <w:basedOn w:val="Standard"/>
    <w:rsid w:val="00CE29F1"/>
    <w:pPr>
      <w:suppressLineNumbers/>
    </w:pPr>
  </w:style>
  <w:style w:type="paragraph" w:customStyle="1" w:styleId="TableHeading">
    <w:name w:val="Table Heading"/>
    <w:basedOn w:val="TableContents"/>
    <w:rsid w:val="00CE29F1"/>
    <w:pPr>
      <w:jc w:val="center"/>
    </w:pPr>
    <w:rPr>
      <w:b/>
      <w:bCs/>
    </w:rPr>
  </w:style>
  <w:style w:type="character" w:customStyle="1" w:styleId="WW8Num1z0">
    <w:name w:val="WW8Num1z0"/>
    <w:rsid w:val="00CE29F1"/>
    <w:rPr>
      <w:rFonts w:ascii="Symbol" w:hAnsi="Symbol"/>
      <w:b/>
      <w:sz w:val="22"/>
    </w:rPr>
  </w:style>
  <w:style w:type="character" w:customStyle="1" w:styleId="WW8Num2z0">
    <w:name w:val="WW8Num2z0"/>
    <w:rsid w:val="00CE29F1"/>
    <w:rPr>
      <w:rFonts w:ascii="Arial" w:hAnsi="Arial"/>
      <w:sz w:val="22"/>
    </w:rPr>
  </w:style>
  <w:style w:type="character" w:customStyle="1" w:styleId="WW8Num3z0">
    <w:name w:val="WW8Num3z0"/>
    <w:rsid w:val="00CE29F1"/>
    <w:rPr>
      <w:b/>
    </w:rPr>
  </w:style>
  <w:style w:type="character" w:customStyle="1" w:styleId="WW8Num4z0">
    <w:name w:val="WW8Num4z0"/>
    <w:rsid w:val="00CE29F1"/>
    <w:rPr>
      <w:rFonts w:ascii="Arial" w:hAnsi="Arial"/>
      <w:b/>
      <w:sz w:val="22"/>
    </w:rPr>
  </w:style>
  <w:style w:type="character" w:customStyle="1" w:styleId="WW8Num5z0">
    <w:name w:val="WW8Num5z0"/>
    <w:rsid w:val="00CE29F1"/>
    <w:rPr>
      <w:b/>
    </w:rPr>
  </w:style>
  <w:style w:type="character" w:customStyle="1" w:styleId="WW8Num5z1">
    <w:name w:val="WW8Num5z1"/>
    <w:rsid w:val="00CE29F1"/>
  </w:style>
  <w:style w:type="character" w:customStyle="1" w:styleId="WW8Num6z0">
    <w:name w:val="WW8Num6z0"/>
    <w:rsid w:val="00CE29F1"/>
    <w:rPr>
      <w:rFonts w:ascii="Symbol" w:hAnsi="Symbol"/>
      <w:sz w:val="22"/>
      <w:lang w:val="es-ES" w:eastAsia="x-none"/>
    </w:rPr>
  </w:style>
  <w:style w:type="character" w:customStyle="1" w:styleId="WW8Num7z0">
    <w:name w:val="WW8Num7z0"/>
    <w:rsid w:val="00CE29F1"/>
    <w:rPr>
      <w:rFonts w:ascii="Arial" w:hAnsi="Arial"/>
      <w:color w:val="800000"/>
      <w:sz w:val="22"/>
    </w:rPr>
  </w:style>
  <w:style w:type="character" w:customStyle="1" w:styleId="WW8Num8z0">
    <w:name w:val="WW8Num8z0"/>
    <w:rsid w:val="00CE29F1"/>
    <w:rPr>
      <w:b/>
    </w:rPr>
  </w:style>
  <w:style w:type="character" w:customStyle="1" w:styleId="WW8Num9z0">
    <w:name w:val="WW8Num9z0"/>
    <w:rsid w:val="00CE29F1"/>
    <w:rPr>
      <w:b/>
    </w:rPr>
  </w:style>
  <w:style w:type="character" w:customStyle="1" w:styleId="WW8Num9z1">
    <w:name w:val="WW8Num9z1"/>
    <w:rsid w:val="00CE29F1"/>
  </w:style>
  <w:style w:type="character" w:customStyle="1" w:styleId="WW8Num9z2">
    <w:name w:val="WW8Num9z2"/>
    <w:rsid w:val="00CE29F1"/>
  </w:style>
  <w:style w:type="character" w:customStyle="1" w:styleId="WW8Num9z3">
    <w:name w:val="WW8Num9z3"/>
    <w:rsid w:val="00CE29F1"/>
  </w:style>
  <w:style w:type="character" w:customStyle="1" w:styleId="WW8Num9z4">
    <w:name w:val="WW8Num9z4"/>
    <w:rsid w:val="00CE29F1"/>
  </w:style>
  <w:style w:type="character" w:customStyle="1" w:styleId="WW8Num9z5">
    <w:name w:val="WW8Num9z5"/>
    <w:rsid w:val="00CE29F1"/>
  </w:style>
  <w:style w:type="character" w:customStyle="1" w:styleId="WW8Num9z6">
    <w:name w:val="WW8Num9z6"/>
    <w:rsid w:val="00CE29F1"/>
  </w:style>
  <w:style w:type="character" w:customStyle="1" w:styleId="WW8Num9z7">
    <w:name w:val="WW8Num9z7"/>
    <w:rsid w:val="00CE29F1"/>
  </w:style>
  <w:style w:type="character" w:customStyle="1" w:styleId="WW8Num9z8">
    <w:name w:val="WW8Num9z8"/>
    <w:rsid w:val="00CE29F1"/>
  </w:style>
  <w:style w:type="character" w:customStyle="1" w:styleId="WW8Num6z1">
    <w:name w:val="WW8Num6z1"/>
    <w:rsid w:val="00CE29F1"/>
    <w:rPr>
      <w:rFonts w:ascii="Courier New" w:hAnsi="Courier New"/>
    </w:rPr>
  </w:style>
  <w:style w:type="character" w:customStyle="1" w:styleId="WW8Num10z0">
    <w:name w:val="WW8Num10z0"/>
    <w:rsid w:val="00CE29F1"/>
    <w:rPr>
      <w:rFonts w:ascii="Symbol" w:hAnsi="Symbol"/>
      <w:sz w:val="22"/>
      <w:lang w:val="es-ES" w:eastAsia="x-none"/>
    </w:rPr>
  </w:style>
  <w:style w:type="character" w:customStyle="1" w:styleId="WW8Num10z1">
    <w:name w:val="WW8Num10z1"/>
    <w:rsid w:val="00CE29F1"/>
    <w:rPr>
      <w:rFonts w:ascii="Courier New" w:hAnsi="Courier New"/>
    </w:rPr>
  </w:style>
  <w:style w:type="character" w:customStyle="1" w:styleId="WW8Num10z2">
    <w:name w:val="WW8Num10z2"/>
    <w:rsid w:val="00CE29F1"/>
    <w:rPr>
      <w:rFonts w:ascii="Wingdings" w:hAnsi="Wingdings"/>
    </w:rPr>
  </w:style>
  <w:style w:type="character" w:customStyle="1" w:styleId="WW8Num10z3">
    <w:name w:val="WW8Num10z3"/>
    <w:rsid w:val="00CE29F1"/>
  </w:style>
  <w:style w:type="character" w:customStyle="1" w:styleId="WW8Num10z4">
    <w:name w:val="WW8Num10z4"/>
    <w:rsid w:val="00CE29F1"/>
  </w:style>
  <w:style w:type="character" w:customStyle="1" w:styleId="WW8Num10z5">
    <w:name w:val="WW8Num10z5"/>
    <w:rsid w:val="00CE29F1"/>
  </w:style>
  <w:style w:type="character" w:customStyle="1" w:styleId="WW8Num10z6">
    <w:name w:val="WW8Num10z6"/>
    <w:rsid w:val="00CE29F1"/>
  </w:style>
  <w:style w:type="character" w:customStyle="1" w:styleId="WW8Num10z7">
    <w:name w:val="WW8Num10z7"/>
    <w:rsid w:val="00CE29F1"/>
  </w:style>
  <w:style w:type="character" w:customStyle="1" w:styleId="WW8Num10z8">
    <w:name w:val="WW8Num10z8"/>
    <w:rsid w:val="00CE29F1"/>
  </w:style>
  <w:style w:type="character" w:customStyle="1" w:styleId="WW8Num1z1">
    <w:name w:val="WW8Num1z1"/>
    <w:rsid w:val="00CE29F1"/>
  </w:style>
  <w:style w:type="character" w:customStyle="1" w:styleId="WW8Num4z1">
    <w:name w:val="WW8Num4z1"/>
    <w:rsid w:val="00CE29F1"/>
  </w:style>
  <w:style w:type="character" w:customStyle="1" w:styleId="WW8Num6z2">
    <w:name w:val="WW8Num6z2"/>
    <w:rsid w:val="00CE29F1"/>
    <w:rPr>
      <w:rFonts w:ascii="Wingdings" w:hAnsi="Wingdings"/>
    </w:rPr>
  </w:style>
  <w:style w:type="character" w:customStyle="1" w:styleId="WW8Num8z1">
    <w:name w:val="WW8Num8z1"/>
    <w:rsid w:val="00CE29F1"/>
  </w:style>
  <w:style w:type="character" w:customStyle="1" w:styleId="WW8Num11z0">
    <w:name w:val="WW8Num11z0"/>
    <w:rsid w:val="00CE29F1"/>
  </w:style>
  <w:style w:type="character" w:customStyle="1" w:styleId="WW8Num11z1">
    <w:name w:val="WW8Num11z1"/>
    <w:rsid w:val="00CE29F1"/>
  </w:style>
  <w:style w:type="character" w:customStyle="1" w:styleId="WW8Num12z0">
    <w:name w:val="WW8Num12z0"/>
    <w:rsid w:val="00CE29F1"/>
    <w:rPr>
      <w:rFonts w:ascii="Wingdings" w:hAnsi="Wingdings"/>
    </w:rPr>
  </w:style>
  <w:style w:type="character" w:customStyle="1" w:styleId="WW8Num12z1">
    <w:name w:val="WW8Num12z1"/>
    <w:rsid w:val="00CE29F1"/>
    <w:rPr>
      <w:rFonts w:ascii="Courier New" w:hAnsi="Courier New"/>
    </w:rPr>
  </w:style>
  <w:style w:type="character" w:customStyle="1" w:styleId="WW8Num12z3">
    <w:name w:val="WW8Num12z3"/>
    <w:rsid w:val="00CE29F1"/>
    <w:rPr>
      <w:rFonts w:ascii="Symbol" w:hAnsi="Symbol"/>
    </w:rPr>
  </w:style>
  <w:style w:type="character" w:customStyle="1" w:styleId="WW8Num13z0">
    <w:name w:val="WW8Num13z0"/>
    <w:rsid w:val="00CE29F1"/>
    <w:rPr>
      <w:rFonts w:ascii="Wingdings" w:hAnsi="Wingdings"/>
    </w:rPr>
  </w:style>
  <w:style w:type="character" w:customStyle="1" w:styleId="WW8Num13z1">
    <w:name w:val="WW8Num13z1"/>
    <w:rsid w:val="00CE29F1"/>
    <w:rPr>
      <w:rFonts w:ascii="Courier New" w:hAnsi="Courier New"/>
    </w:rPr>
  </w:style>
  <w:style w:type="character" w:customStyle="1" w:styleId="WW8Num13z3">
    <w:name w:val="WW8Num13z3"/>
    <w:rsid w:val="00CE29F1"/>
    <w:rPr>
      <w:rFonts w:ascii="Symbol" w:hAnsi="Symbol"/>
    </w:rPr>
  </w:style>
  <w:style w:type="character" w:customStyle="1" w:styleId="WW8Num14z0">
    <w:name w:val="WW8Num14z0"/>
    <w:rsid w:val="00CE29F1"/>
    <w:rPr>
      <w:rFonts w:ascii="Symbol" w:hAnsi="Symbol"/>
    </w:rPr>
  </w:style>
  <w:style w:type="character" w:customStyle="1" w:styleId="WW8Num14z1">
    <w:name w:val="WW8Num14z1"/>
    <w:rsid w:val="00CE29F1"/>
    <w:rPr>
      <w:rFonts w:ascii="Courier New" w:hAnsi="Courier New"/>
    </w:rPr>
  </w:style>
  <w:style w:type="character" w:customStyle="1" w:styleId="WW8Num14z2">
    <w:name w:val="WW8Num14z2"/>
    <w:rsid w:val="00CE29F1"/>
    <w:rPr>
      <w:rFonts w:ascii="Wingdings" w:hAnsi="Wingdings"/>
    </w:rPr>
  </w:style>
  <w:style w:type="character" w:customStyle="1" w:styleId="WW8Num15z0">
    <w:name w:val="WW8Num15z0"/>
    <w:rsid w:val="00CE29F1"/>
    <w:rPr>
      <w:rFonts w:ascii="Wingdings" w:hAnsi="Wingdings"/>
    </w:rPr>
  </w:style>
  <w:style w:type="character" w:customStyle="1" w:styleId="WW8Num15z1">
    <w:name w:val="WW8Num15z1"/>
    <w:rsid w:val="00CE29F1"/>
    <w:rPr>
      <w:rFonts w:ascii="Courier New" w:hAnsi="Courier New"/>
    </w:rPr>
  </w:style>
  <w:style w:type="character" w:customStyle="1" w:styleId="WW8Num15z3">
    <w:name w:val="WW8Num15z3"/>
    <w:rsid w:val="00CE29F1"/>
    <w:rPr>
      <w:rFonts w:ascii="Symbol" w:hAnsi="Symbol"/>
    </w:rPr>
  </w:style>
  <w:style w:type="character" w:customStyle="1" w:styleId="WW8Num16z0">
    <w:name w:val="WW8Num16z0"/>
    <w:rsid w:val="00CE29F1"/>
  </w:style>
  <w:style w:type="character" w:customStyle="1" w:styleId="WW8Num17z0">
    <w:name w:val="WW8Num17z0"/>
    <w:rsid w:val="00CE29F1"/>
    <w:rPr>
      <w:b/>
    </w:rPr>
  </w:style>
  <w:style w:type="character" w:customStyle="1" w:styleId="WW8Num17z1">
    <w:name w:val="WW8Num17z1"/>
    <w:rsid w:val="00CE29F1"/>
  </w:style>
  <w:style w:type="character" w:customStyle="1" w:styleId="WW8Num18z0">
    <w:name w:val="WW8Num18z0"/>
    <w:rsid w:val="00CE29F1"/>
    <w:rPr>
      <w:rFonts w:ascii="Wingdings" w:hAnsi="Wingdings"/>
    </w:rPr>
  </w:style>
  <w:style w:type="character" w:customStyle="1" w:styleId="WW8Num18z1">
    <w:name w:val="WW8Num18z1"/>
    <w:rsid w:val="00CE29F1"/>
    <w:rPr>
      <w:rFonts w:ascii="Courier New" w:hAnsi="Courier New"/>
    </w:rPr>
  </w:style>
  <w:style w:type="character" w:customStyle="1" w:styleId="WW8Num18z3">
    <w:name w:val="WW8Num18z3"/>
    <w:rsid w:val="00CE29F1"/>
    <w:rPr>
      <w:rFonts w:ascii="Symbol" w:hAnsi="Symbol"/>
    </w:rPr>
  </w:style>
  <w:style w:type="character" w:customStyle="1" w:styleId="WW8Num19z0">
    <w:name w:val="WW8Num19z0"/>
    <w:rsid w:val="00CE29F1"/>
    <w:rPr>
      <w:rFonts w:ascii="Arial" w:hAnsi="Arial"/>
      <w:b/>
      <w:sz w:val="22"/>
    </w:rPr>
  </w:style>
  <w:style w:type="character" w:customStyle="1" w:styleId="WW8Num19z1">
    <w:name w:val="WW8Num19z1"/>
    <w:rsid w:val="00CE29F1"/>
  </w:style>
  <w:style w:type="character" w:customStyle="1" w:styleId="Fuentedeprrafopredeter1">
    <w:name w:val="Fuente de párrafo predeter.1"/>
    <w:rsid w:val="00CE29F1"/>
  </w:style>
  <w:style w:type="character" w:styleId="Nmerodepgina">
    <w:name w:val="page number"/>
    <w:rsid w:val="00CE29F1"/>
    <w:rPr>
      <w:rFonts w:cs="Times New Roman"/>
    </w:rPr>
  </w:style>
  <w:style w:type="character" w:customStyle="1" w:styleId="Internetlink">
    <w:name w:val="Internet link"/>
    <w:rsid w:val="00CE29F1"/>
    <w:rPr>
      <w:color w:val="000080"/>
      <w:u w:val="single"/>
    </w:rPr>
  </w:style>
  <w:style w:type="character" w:customStyle="1" w:styleId="BulletSymbols">
    <w:name w:val="Bullet Symbols"/>
    <w:rsid w:val="00CE29F1"/>
    <w:rPr>
      <w:rFonts w:ascii="OpenSymbol" w:eastAsia="Times New Roman" w:hAnsi="OpenSymbol"/>
    </w:rPr>
  </w:style>
  <w:style w:type="paragraph" w:styleId="Textodeglobo">
    <w:name w:val="Balloon Text"/>
    <w:basedOn w:val="Normal"/>
    <w:link w:val="TextodegloboCar"/>
    <w:uiPriority w:val="99"/>
    <w:semiHidden/>
    <w:unhideWhenUsed/>
    <w:rsid w:val="001D39FA"/>
    <w:rPr>
      <w:rFonts w:ascii="Tahoma" w:hAnsi="Tahoma" w:cs="Mangal"/>
      <w:sz w:val="16"/>
      <w:szCs w:val="14"/>
    </w:rPr>
  </w:style>
  <w:style w:type="character" w:customStyle="1" w:styleId="TextodegloboCar">
    <w:name w:val="Texto de globo Car"/>
    <w:link w:val="Textodeglobo"/>
    <w:uiPriority w:val="99"/>
    <w:semiHidden/>
    <w:locked/>
    <w:rsid w:val="001D39FA"/>
    <w:rPr>
      <w:rFonts w:ascii="Tahoma" w:hAnsi="Tahoma" w:cs="Mangal"/>
      <w:sz w:val="14"/>
      <w:szCs w:val="14"/>
    </w:rPr>
  </w:style>
  <w:style w:type="character" w:styleId="Refdecomentario">
    <w:name w:val="annotation reference"/>
    <w:uiPriority w:val="99"/>
    <w:semiHidden/>
    <w:unhideWhenUsed/>
    <w:rsid w:val="001D39FA"/>
    <w:rPr>
      <w:rFonts w:cs="Times New Roman"/>
      <w:sz w:val="16"/>
      <w:szCs w:val="16"/>
    </w:rPr>
  </w:style>
  <w:style w:type="paragraph" w:styleId="Textocomentario">
    <w:name w:val="annotation text"/>
    <w:basedOn w:val="Normal"/>
    <w:link w:val="TextocomentarioCar"/>
    <w:uiPriority w:val="99"/>
    <w:unhideWhenUsed/>
    <w:rsid w:val="001D39FA"/>
    <w:rPr>
      <w:rFonts w:cs="Mangal"/>
      <w:sz w:val="20"/>
      <w:szCs w:val="18"/>
    </w:rPr>
  </w:style>
  <w:style w:type="character" w:customStyle="1" w:styleId="TextocomentarioCar">
    <w:name w:val="Texto comentario Car"/>
    <w:link w:val="Textocomentario"/>
    <w:locked/>
    <w:rsid w:val="001D39FA"/>
    <w:rPr>
      <w:rFonts w:cs="Mangal"/>
      <w:sz w:val="18"/>
      <w:szCs w:val="18"/>
    </w:rPr>
  </w:style>
  <w:style w:type="paragraph" w:styleId="Asuntodelcomentario">
    <w:name w:val="annotation subject"/>
    <w:basedOn w:val="Textocomentario"/>
    <w:next w:val="Textocomentario"/>
    <w:link w:val="AsuntodelcomentarioCar"/>
    <w:uiPriority w:val="99"/>
    <w:semiHidden/>
    <w:unhideWhenUsed/>
    <w:rsid w:val="001D39FA"/>
    <w:rPr>
      <w:b/>
      <w:bCs/>
    </w:rPr>
  </w:style>
  <w:style w:type="character" w:customStyle="1" w:styleId="AsuntodelcomentarioCar">
    <w:name w:val="Asunto del comentario Car"/>
    <w:link w:val="Asuntodelcomentario"/>
    <w:uiPriority w:val="99"/>
    <w:semiHidden/>
    <w:locked/>
    <w:rsid w:val="001D39FA"/>
    <w:rPr>
      <w:rFonts w:cs="Mangal"/>
      <w:b/>
      <w:bCs/>
      <w:sz w:val="18"/>
      <w:szCs w:val="18"/>
    </w:rPr>
  </w:style>
  <w:style w:type="table" w:styleId="Tablaconcuadrcula">
    <w:name w:val="Table Grid"/>
    <w:basedOn w:val="Tablanormal"/>
    <w:uiPriority w:val="59"/>
    <w:rsid w:val="00A240A1"/>
    <w:rPr>
      <w:rFonts w:cs="Lohit Hin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
    <w:name w:val="WW8Num8"/>
    <w:rsid w:val="00F96F69"/>
    <w:pPr>
      <w:numPr>
        <w:numId w:val="8"/>
      </w:numPr>
    </w:pPr>
  </w:style>
  <w:style w:type="numbering" w:customStyle="1" w:styleId="WW8Num7">
    <w:name w:val="WW8Num7"/>
    <w:rsid w:val="00F96F69"/>
    <w:pPr>
      <w:numPr>
        <w:numId w:val="7"/>
      </w:numPr>
    </w:pPr>
  </w:style>
  <w:style w:type="numbering" w:customStyle="1" w:styleId="WW8Num2">
    <w:name w:val="WW8Num2"/>
    <w:rsid w:val="00F96F69"/>
    <w:pPr>
      <w:numPr>
        <w:numId w:val="2"/>
      </w:numPr>
    </w:pPr>
  </w:style>
  <w:style w:type="numbering" w:customStyle="1" w:styleId="WW8Num3">
    <w:name w:val="WW8Num3"/>
    <w:rsid w:val="00F96F69"/>
    <w:pPr>
      <w:numPr>
        <w:numId w:val="3"/>
      </w:numPr>
    </w:pPr>
  </w:style>
  <w:style w:type="numbering" w:customStyle="1" w:styleId="WW8Num5">
    <w:name w:val="WW8Num5"/>
    <w:rsid w:val="00F96F69"/>
    <w:pPr>
      <w:numPr>
        <w:numId w:val="5"/>
      </w:numPr>
    </w:pPr>
  </w:style>
  <w:style w:type="numbering" w:customStyle="1" w:styleId="WW8Num9">
    <w:name w:val="WW8Num9"/>
    <w:rsid w:val="00F96F69"/>
    <w:pPr>
      <w:numPr>
        <w:numId w:val="9"/>
      </w:numPr>
    </w:pPr>
  </w:style>
  <w:style w:type="numbering" w:customStyle="1" w:styleId="WW8Num4">
    <w:name w:val="WW8Num4"/>
    <w:rsid w:val="00F96F69"/>
    <w:pPr>
      <w:numPr>
        <w:numId w:val="4"/>
      </w:numPr>
    </w:pPr>
  </w:style>
  <w:style w:type="numbering" w:customStyle="1" w:styleId="WW8Num1">
    <w:name w:val="WW8Num1"/>
    <w:rsid w:val="00F96F69"/>
    <w:pPr>
      <w:numPr>
        <w:numId w:val="1"/>
      </w:numPr>
    </w:pPr>
  </w:style>
  <w:style w:type="numbering" w:customStyle="1" w:styleId="WW8Num6">
    <w:name w:val="WW8Num6"/>
    <w:rsid w:val="00F96F69"/>
    <w:pPr>
      <w:numPr>
        <w:numId w:val="6"/>
      </w:numPr>
    </w:pPr>
  </w:style>
  <w:style w:type="paragraph" w:styleId="Sinespaciado">
    <w:name w:val="No Spacing"/>
    <w:link w:val="SinespaciadoCar"/>
    <w:uiPriority w:val="1"/>
    <w:qFormat/>
    <w:rsid w:val="00B41D48"/>
    <w:pPr>
      <w:suppressAutoHyphens/>
    </w:pPr>
    <w:rPr>
      <w:rFonts w:ascii="Calibri" w:eastAsia="Calibri" w:hAnsi="Calibri"/>
      <w:sz w:val="22"/>
      <w:szCs w:val="22"/>
      <w:lang w:val="es-ES" w:eastAsia="ar-SA"/>
    </w:rPr>
  </w:style>
  <w:style w:type="character" w:customStyle="1" w:styleId="SinespaciadoCar">
    <w:name w:val="Sin espaciado Car"/>
    <w:link w:val="Sinespaciado"/>
    <w:rsid w:val="00B41D48"/>
    <w:rPr>
      <w:rFonts w:ascii="Calibri" w:eastAsia="Calibri" w:hAnsi="Calibri"/>
      <w:sz w:val="22"/>
      <w:szCs w:val="22"/>
      <w:lang w:val="es-ES" w:eastAsia="ar-SA"/>
    </w:rPr>
  </w:style>
  <w:style w:type="character" w:styleId="Hipervnculo">
    <w:name w:val="Hyperlink"/>
    <w:uiPriority w:val="99"/>
    <w:rsid w:val="0048627B"/>
    <w:rPr>
      <w:rFonts w:cs="Times New Roman"/>
      <w:color w:val="0000FF"/>
      <w:u w:val="single"/>
    </w:rPr>
  </w:style>
  <w:style w:type="paragraph" w:styleId="Textoindependiente">
    <w:name w:val="Body Text"/>
    <w:aliases w:val="body text,bt Car,Subsection Body Text"/>
    <w:basedOn w:val="Normal"/>
    <w:link w:val="TextoindependienteCar"/>
    <w:uiPriority w:val="1"/>
    <w:qFormat/>
    <w:rsid w:val="0048627B"/>
    <w:pPr>
      <w:widowControl/>
      <w:suppressAutoHyphens w:val="0"/>
      <w:autoSpaceDN/>
      <w:spacing w:line="360" w:lineRule="auto"/>
      <w:jc w:val="both"/>
      <w:textAlignment w:val="auto"/>
    </w:pPr>
    <w:rPr>
      <w:rFonts w:cs="Times New Roman"/>
      <w:kern w:val="0"/>
      <w:sz w:val="20"/>
      <w:szCs w:val="20"/>
      <w:lang w:val="x-none" w:eastAsia="es-ES" w:bidi="ar-SA"/>
    </w:rPr>
  </w:style>
  <w:style w:type="character" w:customStyle="1" w:styleId="TextoindependienteCar">
    <w:name w:val="Texto independiente Car"/>
    <w:aliases w:val="body text Car,bt Car Car,Subsection Body Text Car"/>
    <w:basedOn w:val="Fuentedeprrafopredeter"/>
    <w:link w:val="Textoindependiente"/>
    <w:uiPriority w:val="1"/>
    <w:rsid w:val="0048627B"/>
    <w:rPr>
      <w:lang w:val="x-none" w:eastAsia="es-ES"/>
    </w:rPr>
  </w:style>
  <w:style w:type="paragraph" w:styleId="Textonotapie">
    <w:name w:val="footnote text"/>
    <w:basedOn w:val="Normal"/>
    <w:link w:val="TextonotapieCar"/>
    <w:rsid w:val="0048627B"/>
    <w:pPr>
      <w:widowControl/>
      <w:suppressAutoHyphens w:val="0"/>
      <w:autoSpaceDN/>
      <w:textAlignment w:val="auto"/>
    </w:pPr>
    <w:rPr>
      <w:rFonts w:cs="Times New Roman"/>
      <w:kern w:val="0"/>
      <w:sz w:val="20"/>
      <w:szCs w:val="20"/>
      <w:lang w:eastAsia="es-ES" w:bidi="ar-SA"/>
    </w:rPr>
  </w:style>
  <w:style w:type="character" w:customStyle="1" w:styleId="TextonotapieCar">
    <w:name w:val="Texto nota pie Car"/>
    <w:basedOn w:val="Fuentedeprrafopredeter"/>
    <w:link w:val="Textonotapie"/>
    <w:rsid w:val="0048627B"/>
    <w:rPr>
      <w:lang w:eastAsia="es-ES"/>
    </w:rPr>
  </w:style>
  <w:style w:type="character" w:styleId="Refdenotaalpie">
    <w:name w:val="footnote reference"/>
    <w:uiPriority w:val="99"/>
    <w:semiHidden/>
    <w:rsid w:val="0048627B"/>
    <w:rPr>
      <w:rFonts w:cs="Times New Roman"/>
      <w:vertAlign w:val="superscript"/>
    </w:rPr>
  </w:style>
  <w:style w:type="paragraph" w:styleId="Prrafodelista">
    <w:name w:val="List Paragraph"/>
    <w:basedOn w:val="Normal"/>
    <w:link w:val="PrrafodelistaCar"/>
    <w:uiPriority w:val="34"/>
    <w:qFormat/>
    <w:rsid w:val="0048627B"/>
    <w:pPr>
      <w:widowControl/>
      <w:suppressAutoHyphens w:val="0"/>
      <w:autoSpaceDN/>
      <w:ind w:left="708"/>
      <w:textAlignment w:val="auto"/>
    </w:pPr>
    <w:rPr>
      <w:rFonts w:cs="Times New Roman"/>
      <w:kern w:val="0"/>
      <w:sz w:val="20"/>
      <w:szCs w:val="20"/>
      <w:lang w:val="x-none" w:eastAsia="es-ES" w:bidi="ar-SA"/>
    </w:rPr>
  </w:style>
  <w:style w:type="character" w:customStyle="1" w:styleId="PrrafodelistaCar">
    <w:name w:val="Párrafo de lista Car"/>
    <w:link w:val="Prrafodelista"/>
    <w:uiPriority w:val="34"/>
    <w:locked/>
    <w:rsid w:val="0048627B"/>
    <w:rPr>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javascript:%20popUpSecop('/consultas/detalleProceso.do?numConstancia=16-1-164899')" TargetMode="External"/><Relationship Id="rId26" Type="http://schemas.openxmlformats.org/officeDocument/2006/relationships/hyperlink" Target="javascript:%20popUpSecop('/consultas/detalleProceso.do?numConstancia=15-1-151777')" TargetMode="External"/><Relationship Id="rId39" Type="http://schemas.openxmlformats.org/officeDocument/2006/relationships/image" Target="media/image20.emf"/><Relationship Id="rId3" Type="http://schemas.openxmlformats.org/officeDocument/2006/relationships/styles" Target="styles.xml"/><Relationship Id="rId21" Type="http://schemas.openxmlformats.org/officeDocument/2006/relationships/hyperlink" Target="javascript:%20popUpSecop('/consultas/detalleProceso.do?numConstancia=14-11-3057498')" TargetMode="External"/><Relationship Id="rId34" Type="http://schemas.openxmlformats.org/officeDocument/2006/relationships/image" Target="media/image15.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javascript:%20popUpSecop('/consultas/detalleProceso.do?numConstancia=16-13-5963134')" TargetMode="External"/><Relationship Id="rId25" Type="http://schemas.openxmlformats.org/officeDocument/2006/relationships/hyperlink" Target="javascript:%20popUpSecop('/consultas/detalleProceso.do?numConstancia=17-1-181947')" TargetMode="External"/><Relationship Id="rId33" Type="http://schemas.openxmlformats.org/officeDocument/2006/relationships/image" Target="media/image14.png"/><Relationship Id="rId38" Type="http://schemas.openxmlformats.org/officeDocument/2006/relationships/image" Target="media/image19.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javascript:%20popUpSecop('/consultas/detalleProceso.do?numConstancia=14-11-3160383')" TargetMode="External"/><Relationship Id="rId29" Type="http://schemas.openxmlformats.org/officeDocument/2006/relationships/image" Target="media/image10.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javascript:%20popUpSecop('/consultas/detalleProceso.do?numConstancia=17-11-7370392')"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javascript:%20popUpSecop('/consultas/detalleProceso.do?numConstancia=16-11-5554233')" TargetMode="External"/><Relationship Id="rId28" Type="http://schemas.openxmlformats.org/officeDocument/2006/relationships/hyperlink" Target="javascript:%20popUpSecop('/consultas/detalleProceso.do?numConstancia=14-1-122662')" TargetMode="External"/><Relationship Id="rId36" Type="http://schemas.openxmlformats.org/officeDocument/2006/relationships/image" Target="media/image17.png"/><Relationship Id="rId10" Type="http://schemas.openxmlformats.org/officeDocument/2006/relationships/image" Target="media/image3.png"/><Relationship Id="rId19" Type="http://schemas.openxmlformats.org/officeDocument/2006/relationships/hyperlink" Target="javascript:%20popUpSecop('/consultas/detalleProceso.do?numConstancia=16-11-5842841')" TargetMode="External"/><Relationship Id="rId31"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javascript:%20popUpSecop('/consultas/detalleProceso.do?numConstancia=12-13-1357766')" TargetMode="External"/><Relationship Id="rId27" Type="http://schemas.openxmlformats.org/officeDocument/2006/relationships/hyperlink" Target="javascript:%20popUpSecop('/consultas/detalleProceso.do?numConstancia=13-11-2098252')" TargetMode="External"/><Relationship Id="rId30" Type="http://schemas.openxmlformats.org/officeDocument/2006/relationships/image" Target="media/image11.emf"/><Relationship Id="rId35" Type="http://schemas.openxmlformats.org/officeDocument/2006/relationships/image" Target="media/image16.png"/><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dan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072D4-F2EF-40F7-84DB-4418A0816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4403</Words>
  <Characters>26432</Characters>
  <Application>Microsoft Office Word</Application>
  <DocSecurity>0</DocSecurity>
  <Lines>220</Lines>
  <Paragraphs>61</Paragraphs>
  <ScaleCrop>false</ScaleCrop>
  <HeadingPairs>
    <vt:vector size="2" baseType="variant">
      <vt:variant>
        <vt:lpstr>Título</vt:lpstr>
      </vt:variant>
      <vt:variant>
        <vt:i4>1</vt:i4>
      </vt:variant>
    </vt:vector>
  </HeadingPairs>
  <TitlesOfParts>
    <vt:vector size="1" baseType="lpstr">
      <vt:lpstr>FORMATO ESTUDIOS PREVIOS</vt:lpstr>
    </vt:vector>
  </TitlesOfParts>
  <Company>Hewlett-Packard Company</Company>
  <LinksUpToDate>false</LinksUpToDate>
  <CharactersWithSpaces>30774</CharactersWithSpaces>
  <SharedDoc>false</SharedDoc>
  <HLinks>
    <vt:vector size="24" baseType="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5046301</vt:i4>
      </vt:variant>
      <vt:variant>
        <vt:i4>3</vt:i4>
      </vt:variant>
      <vt:variant>
        <vt:i4>0</vt:i4>
      </vt:variant>
      <vt:variant>
        <vt:i4>5</vt:i4>
      </vt:variant>
      <vt:variant>
        <vt:lpwstr>http://www.colombiacompra.gov.co/amp</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ESTUDIOS PREVIOS</dc:title>
  <dc:creator>Claudia.Herrera</dc:creator>
  <cp:lastModifiedBy>Andres Felipe Monroy Ortegon</cp:lastModifiedBy>
  <cp:revision>5</cp:revision>
  <dcterms:created xsi:type="dcterms:W3CDTF">2018-11-19T13:33:00Z</dcterms:created>
  <dcterms:modified xsi:type="dcterms:W3CDTF">2018-11-19T15:19:00Z</dcterms:modified>
</cp:coreProperties>
</file>