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6AB" w:rsidRDefault="004E46AB" w:rsidP="004E46AB">
      <w:pPr>
        <w:jc w:val="center"/>
        <w:rPr>
          <w:rFonts w:ascii="Arial" w:hAnsi="Arial" w:cs="Arial"/>
          <w:b/>
          <w:sz w:val="22"/>
          <w:szCs w:val="22"/>
        </w:rPr>
      </w:pPr>
      <w:r>
        <w:rPr>
          <w:rFonts w:ascii="Arial" w:hAnsi="Arial" w:cs="Arial"/>
          <w:b/>
          <w:sz w:val="22"/>
          <w:szCs w:val="22"/>
        </w:rPr>
        <w:t>ANEXO</w:t>
      </w:r>
    </w:p>
    <w:p w:rsidR="004E46AB" w:rsidRPr="00D51A31" w:rsidRDefault="004E46AB" w:rsidP="004E46AB">
      <w:pPr>
        <w:tabs>
          <w:tab w:val="left" w:pos="615"/>
        </w:tabs>
        <w:rPr>
          <w:rFonts w:ascii="Arial" w:hAnsi="Arial" w:cs="Arial"/>
          <w:b/>
          <w:sz w:val="12"/>
          <w:szCs w:val="22"/>
        </w:rPr>
      </w:pPr>
      <w:r>
        <w:rPr>
          <w:rFonts w:ascii="Arial" w:hAnsi="Arial" w:cs="Arial"/>
          <w:b/>
          <w:sz w:val="12"/>
          <w:szCs w:val="22"/>
        </w:rPr>
        <w:tab/>
      </w:r>
    </w:p>
    <w:p w:rsidR="004E46AB" w:rsidRDefault="004E46AB" w:rsidP="004E46AB">
      <w:pPr>
        <w:jc w:val="center"/>
        <w:rPr>
          <w:rFonts w:ascii="Arial" w:hAnsi="Arial" w:cs="Arial"/>
          <w:b/>
          <w:sz w:val="22"/>
          <w:szCs w:val="22"/>
        </w:rPr>
      </w:pPr>
      <w:r w:rsidRPr="00012413">
        <w:rPr>
          <w:rFonts w:ascii="Arial" w:hAnsi="Arial" w:cs="Arial"/>
          <w:b/>
          <w:sz w:val="22"/>
          <w:szCs w:val="22"/>
        </w:rPr>
        <w:t>ESTUDIO DEL SECTOR</w:t>
      </w:r>
    </w:p>
    <w:p w:rsidR="004E46AB" w:rsidRPr="00D51A31" w:rsidRDefault="004E46AB" w:rsidP="004E46AB">
      <w:pPr>
        <w:jc w:val="center"/>
        <w:rPr>
          <w:rFonts w:ascii="Arial" w:hAnsi="Arial" w:cs="Arial"/>
          <w:b/>
          <w:sz w:val="12"/>
          <w:szCs w:val="22"/>
        </w:rPr>
      </w:pPr>
    </w:p>
    <w:p w:rsidR="004E46AB" w:rsidRDefault="004E46AB" w:rsidP="004E46AB">
      <w:pPr>
        <w:jc w:val="center"/>
        <w:rPr>
          <w:rFonts w:ascii="Arial" w:hAnsi="Arial" w:cs="Arial"/>
          <w:b/>
          <w:sz w:val="22"/>
          <w:szCs w:val="22"/>
        </w:rPr>
      </w:pPr>
    </w:p>
    <w:p w:rsidR="004E46AB" w:rsidRPr="00B26329" w:rsidRDefault="004E46AB" w:rsidP="004E46AB">
      <w:pPr>
        <w:jc w:val="center"/>
        <w:rPr>
          <w:rFonts w:ascii="Arial" w:hAnsi="Arial" w:cs="Arial"/>
          <w:b/>
          <w:sz w:val="22"/>
          <w:szCs w:val="22"/>
        </w:rPr>
      </w:pPr>
    </w:p>
    <w:p w:rsidR="004E46AB" w:rsidRPr="004E46AB" w:rsidRDefault="004E46AB" w:rsidP="004E46AB">
      <w:pPr>
        <w:jc w:val="both"/>
        <w:rPr>
          <w:rFonts w:ascii="Arial" w:hAnsi="Arial" w:cs="Arial"/>
          <w:b/>
          <w:color w:val="000000"/>
          <w:sz w:val="14"/>
        </w:rPr>
      </w:pPr>
      <w:r w:rsidRPr="004E46AB">
        <w:rPr>
          <w:rFonts w:ascii="Arial" w:hAnsi="Arial" w:cs="Arial"/>
          <w:b/>
          <w:sz w:val="22"/>
          <w:szCs w:val="22"/>
          <w:lang w:eastAsia="en-US"/>
        </w:rPr>
        <w:t xml:space="preserve">REALIZAR LA INTERVENTORÍA TÉCNICA, ADMINISTRATIVA, FINANCIERA Y CONTABLE A LA EJECUCIÓN DEL CONTRATO QUE SE GENERE DEL PROCESO FDLE-SAMC-279-2018, CUYO OBJETO ES </w:t>
      </w:r>
      <w:r w:rsidRPr="004E46AB">
        <w:rPr>
          <w:rFonts w:ascii="Arial" w:hAnsi="Arial" w:cs="Arial"/>
          <w:b/>
          <w:sz w:val="22"/>
          <w:szCs w:val="22"/>
        </w:rPr>
        <w:t>REALIZAR INTERVENTORIA AL PROCESO  “REALIZAR ACCIONES QUE FORTALEZCAN LA PROMOCIÓN DEL BUEN TRATO INFANTIL Y LA PREVENCIÓN DE LA VIOLENCIA INTRAFAMILIAR EN LA LOCALIDAD DE ENGATIVÁ”</w:t>
      </w:r>
    </w:p>
    <w:p w:rsidR="004E46AB" w:rsidRDefault="004E46AB" w:rsidP="004E46AB">
      <w:pPr>
        <w:jc w:val="both"/>
        <w:rPr>
          <w:rFonts w:ascii="Arial" w:hAnsi="Arial" w:cs="Arial"/>
          <w:b/>
          <w:sz w:val="22"/>
          <w:szCs w:val="22"/>
        </w:rPr>
      </w:pPr>
    </w:p>
    <w:p w:rsidR="004E46AB" w:rsidRPr="00C75126" w:rsidRDefault="004E46AB" w:rsidP="004E46AB">
      <w:pPr>
        <w:jc w:val="both"/>
        <w:rPr>
          <w:rFonts w:ascii="Arial" w:hAnsi="Arial" w:cs="Arial"/>
          <w:sz w:val="22"/>
          <w:szCs w:val="22"/>
          <w:lang w:eastAsia="en-US"/>
        </w:rPr>
      </w:pPr>
      <w:r w:rsidRPr="00C75126">
        <w:rPr>
          <w:rFonts w:ascii="Arial" w:hAnsi="Arial" w:cs="Arial"/>
          <w:b/>
          <w:sz w:val="22"/>
          <w:szCs w:val="22"/>
        </w:rPr>
        <w:t>INTRODUCCIÓN</w:t>
      </w:r>
    </w:p>
    <w:p w:rsidR="004E46AB" w:rsidRPr="00C75126" w:rsidRDefault="004E46AB" w:rsidP="004E46AB">
      <w:pPr>
        <w:jc w:val="both"/>
        <w:rPr>
          <w:rFonts w:ascii="Arial" w:hAnsi="Arial" w:cs="Arial"/>
          <w:color w:val="000000"/>
          <w:sz w:val="22"/>
          <w:szCs w:val="22"/>
        </w:rPr>
      </w:pPr>
    </w:p>
    <w:p w:rsidR="004E46AB" w:rsidRPr="00C75126" w:rsidRDefault="004E46AB" w:rsidP="004E46AB">
      <w:pPr>
        <w:jc w:val="both"/>
        <w:rPr>
          <w:rFonts w:ascii="Arial" w:hAnsi="Arial" w:cs="Arial"/>
          <w:sz w:val="22"/>
          <w:szCs w:val="22"/>
        </w:rPr>
      </w:pPr>
      <w:r w:rsidRPr="00C75126">
        <w:rPr>
          <w:rFonts w:ascii="Arial" w:hAnsi="Arial" w:cs="Arial"/>
          <w:sz w:val="22"/>
          <w:szCs w:val="22"/>
        </w:rPr>
        <w:t>Según el Decreto 1082 de 2015, en su artículo 2.2.1.1.1.6,1, el cual señala: "La Entidad Estatal debe hacer durante la etapa de planeación e/ análisis necesario para conocer el sector relativo al objeto del Proceso de Contratación desde la perspectiva Legal, comercial, financiera, organizacional, técnica, y de Análisis de Riesgo. La Entidad Estatal debe dejar constancia de este análisis en los Documentos del Proceso", el Área de Gestión Desarrollo Local, siguiendo las recomendaciones de Colombia Compra Eficiente a través de la Guía para Elaboración de Estudios del Sector, procede a realizar el presente Estudio del Sector como parte del Proceso de Contratación en cumplimiento de los principios de planificación, responsabilidad y transparencia consagrado en la Ley 80 de 1993.</w:t>
      </w:r>
    </w:p>
    <w:p w:rsidR="004E46AB" w:rsidRPr="00C75126" w:rsidRDefault="004E46AB" w:rsidP="004E46AB">
      <w:pPr>
        <w:jc w:val="both"/>
        <w:rPr>
          <w:rFonts w:ascii="Arial" w:hAnsi="Arial" w:cs="Arial"/>
          <w:sz w:val="22"/>
          <w:szCs w:val="22"/>
        </w:rPr>
      </w:pPr>
    </w:p>
    <w:p w:rsidR="004E46AB" w:rsidRDefault="004E46AB" w:rsidP="004E46AB">
      <w:pPr>
        <w:ind w:right="30"/>
        <w:jc w:val="both"/>
        <w:rPr>
          <w:rFonts w:ascii="Arial" w:hAnsi="Arial" w:cs="Arial"/>
          <w:sz w:val="22"/>
          <w:szCs w:val="22"/>
        </w:rPr>
      </w:pPr>
      <w:r>
        <w:rPr>
          <w:rFonts w:ascii="Arial" w:hAnsi="Arial" w:cs="Arial"/>
          <w:sz w:val="22"/>
          <w:szCs w:val="22"/>
        </w:rPr>
        <w:t>Es así como l</w:t>
      </w:r>
      <w:r w:rsidRPr="00012413">
        <w:rPr>
          <w:rFonts w:ascii="Arial" w:hAnsi="Arial" w:cs="Arial"/>
          <w:sz w:val="22"/>
          <w:szCs w:val="22"/>
        </w:rPr>
        <w:t xml:space="preserve">a Guía para la Elaboración de Estudios de Sector versión G-EES-02, con el propósito de fortalecer las buenas prácticas en materia de promoción de la competencia en la contratación pública, establece: </w:t>
      </w:r>
      <w:r w:rsidRPr="00012413">
        <w:rPr>
          <w:rFonts w:ascii="Arial" w:hAnsi="Arial" w:cs="Arial"/>
          <w:i/>
        </w:rPr>
        <w:t>“(…) La Entidad Estatal debe revisar los aspectos generales del mercado del bien, obra o servicio que sean relevantes en el Proceso de Contratación. Para el efecto, Colombia Compra Eficiente recomienda analizar, entre otros, los siguientes contextos, los cuales pueden tener un alcance local, regional, nacional o internacional, dependiendo del Proceso de Contratación (…)</w:t>
      </w:r>
      <w:r w:rsidRPr="00012413">
        <w:rPr>
          <w:rFonts w:ascii="Arial" w:hAnsi="Arial" w:cs="Arial"/>
          <w:sz w:val="22"/>
          <w:szCs w:val="22"/>
        </w:rPr>
        <w:t>”, con base en lo anterior, se elaboró el presente</w:t>
      </w:r>
      <w:r>
        <w:rPr>
          <w:rFonts w:ascii="Arial" w:hAnsi="Arial" w:cs="Arial"/>
          <w:sz w:val="22"/>
          <w:szCs w:val="22"/>
        </w:rPr>
        <w:t xml:space="preserve"> documento, el cual presenta la siguiente estructura</w:t>
      </w:r>
      <w:bookmarkStart w:id="0" w:name="_Hlk500438316"/>
      <w:r>
        <w:rPr>
          <w:rFonts w:ascii="Arial" w:hAnsi="Arial" w:cs="Arial"/>
          <w:sz w:val="22"/>
          <w:szCs w:val="22"/>
        </w:rPr>
        <w:t>:</w:t>
      </w:r>
    </w:p>
    <w:p w:rsidR="004E46AB" w:rsidRPr="00B26329" w:rsidRDefault="004E46AB" w:rsidP="004E46AB">
      <w:pPr>
        <w:ind w:right="30"/>
        <w:jc w:val="both"/>
        <w:rPr>
          <w:rFonts w:ascii="Arial" w:hAnsi="Arial" w:cs="Arial"/>
          <w:sz w:val="12"/>
          <w:szCs w:val="22"/>
        </w:rPr>
      </w:pPr>
    </w:p>
    <w:p w:rsidR="004E46AB" w:rsidRDefault="004E46AB" w:rsidP="004E46AB">
      <w:pPr>
        <w:pStyle w:val="Prrafodelista"/>
        <w:numPr>
          <w:ilvl w:val="0"/>
          <w:numId w:val="39"/>
        </w:numPr>
        <w:spacing w:after="200" w:line="276" w:lineRule="auto"/>
        <w:ind w:left="284" w:hanging="284"/>
        <w:contextualSpacing/>
        <w:jc w:val="both"/>
        <w:rPr>
          <w:rFonts w:ascii="Arial" w:hAnsi="Arial" w:cs="Arial"/>
        </w:rPr>
      </w:pPr>
      <w:r w:rsidRPr="00F9720C">
        <w:rPr>
          <w:rFonts w:ascii="Arial" w:hAnsi="Arial" w:cs="Arial"/>
          <w:b/>
        </w:rPr>
        <w:t>OBJETIVO DEL ESTUDIO DEL SECTOR.</w:t>
      </w:r>
      <w:r w:rsidRPr="00F9720C">
        <w:rPr>
          <w:rFonts w:ascii="Arial" w:hAnsi="Arial" w:cs="Arial"/>
        </w:rPr>
        <w:t xml:space="preserve"> Identificar y analizar proveedores, productos y precios requeridos para establecer comparación y asignación de valores a bienes y/o servicios relativos al objeto del proceso de contratación desde la perspectiva legal, comercial, financiera, organizacional, técnica y de análisis de riesgo.</w:t>
      </w:r>
    </w:p>
    <w:p w:rsidR="004E46AB" w:rsidRPr="00B26329" w:rsidRDefault="004E46AB" w:rsidP="004E46AB">
      <w:pPr>
        <w:pStyle w:val="Prrafodelista"/>
        <w:spacing w:line="276" w:lineRule="auto"/>
        <w:ind w:left="284"/>
        <w:rPr>
          <w:rFonts w:ascii="Arial" w:hAnsi="Arial" w:cs="Arial"/>
          <w:sz w:val="6"/>
        </w:rPr>
      </w:pPr>
    </w:p>
    <w:p w:rsidR="004E46AB" w:rsidRDefault="004E46AB" w:rsidP="004E46AB">
      <w:pPr>
        <w:pStyle w:val="Prrafodelista"/>
        <w:numPr>
          <w:ilvl w:val="0"/>
          <w:numId w:val="39"/>
        </w:numPr>
        <w:spacing w:after="200" w:line="276" w:lineRule="auto"/>
        <w:ind w:left="284" w:hanging="284"/>
        <w:contextualSpacing/>
        <w:jc w:val="both"/>
        <w:rPr>
          <w:rFonts w:ascii="Arial" w:hAnsi="Arial" w:cs="Arial"/>
        </w:rPr>
      </w:pPr>
      <w:r w:rsidRPr="00F9720C">
        <w:rPr>
          <w:rFonts w:ascii="Arial" w:hAnsi="Arial" w:cs="Arial"/>
          <w:b/>
        </w:rPr>
        <w:t>ALCANCE.</w:t>
      </w:r>
      <w:r w:rsidRPr="00F9720C">
        <w:rPr>
          <w:rFonts w:ascii="Arial" w:hAnsi="Arial" w:cs="Arial"/>
        </w:rPr>
        <w:t xml:space="preserve"> Seleccionar y comparar económicamente bienes y servicios que satisfagan las necesidades objeto de contratación, y permitir establecer el contexto financiero, económico y competitivo dentro de los procesos contractuales.</w:t>
      </w:r>
    </w:p>
    <w:p w:rsidR="004E46AB" w:rsidRPr="00B26329" w:rsidRDefault="004E46AB" w:rsidP="004E46AB">
      <w:pPr>
        <w:pStyle w:val="Prrafodelista"/>
        <w:spacing w:line="276" w:lineRule="auto"/>
        <w:ind w:left="284"/>
        <w:rPr>
          <w:rFonts w:ascii="Arial" w:hAnsi="Arial" w:cs="Arial"/>
          <w:sz w:val="8"/>
        </w:rPr>
      </w:pPr>
    </w:p>
    <w:p w:rsidR="004E46AB" w:rsidRPr="00F9720C" w:rsidRDefault="004E46AB" w:rsidP="004E46AB">
      <w:pPr>
        <w:pStyle w:val="Prrafodelista"/>
        <w:numPr>
          <w:ilvl w:val="0"/>
          <w:numId w:val="39"/>
        </w:numPr>
        <w:spacing w:after="200" w:line="276" w:lineRule="auto"/>
        <w:ind w:left="284" w:hanging="284"/>
        <w:contextualSpacing/>
        <w:jc w:val="both"/>
        <w:rPr>
          <w:rFonts w:ascii="Arial" w:hAnsi="Arial" w:cs="Arial"/>
        </w:rPr>
      </w:pPr>
      <w:r w:rsidRPr="00F9720C">
        <w:rPr>
          <w:rFonts w:ascii="Arial" w:hAnsi="Arial" w:cs="Arial"/>
          <w:b/>
        </w:rPr>
        <w:t>ESTRUCTURA DEL ANÁLISIS DEL SECTOR</w:t>
      </w:r>
      <w:r w:rsidRPr="00F9720C">
        <w:rPr>
          <w:rFonts w:ascii="Arial" w:hAnsi="Arial" w:cs="Arial"/>
        </w:rPr>
        <w:t>. El presente análisis contiene frente al sector servicios comercio industria y turismo:</w:t>
      </w:r>
    </w:p>
    <w:p w:rsidR="004E46AB" w:rsidRPr="00D51A31" w:rsidRDefault="004E46AB" w:rsidP="004E46AB">
      <w:pPr>
        <w:pStyle w:val="Prrafodelista"/>
        <w:numPr>
          <w:ilvl w:val="0"/>
          <w:numId w:val="41"/>
        </w:numPr>
        <w:spacing w:line="276" w:lineRule="auto"/>
        <w:ind w:left="1134" w:hanging="141"/>
        <w:rPr>
          <w:rFonts w:ascii="Arial" w:hAnsi="Arial" w:cs="Arial"/>
          <w:bCs/>
          <w:sz w:val="18"/>
        </w:rPr>
      </w:pPr>
      <w:r w:rsidRPr="00D51A31">
        <w:rPr>
          <w:rFonts w:ascii="Arial" w:hAnsi="Arial" w:cs="Arial"/>
          <w:bCs/>
          <w:sz w:val="18"/>
        </w:rPr>
        <w:t>ASPECTOS GENERALES</w:t>
      </w:r>
    </w:p>
    <w:p w:rsidR="004E46AB" w:rsidRPr="00D51A31" w:rsidRDefault="004E46AB" w:rsidP="004E46AB">
      <w:pPr>
        <w:pStyle w:val="Prrafodelista"/>
        <w:numPr>
          <w:ilvl w:val="0"/>
          <w:numId w:val="42"/>
        </w:numPr>
        <w:spacing w:line="276" w:lineRule="auto"/>
        <w:ind w:left="1276" w:hanging="142"/>
        <w:rPr>
          <w:rFonts w:ascii="Arial" w:hAnsi="Arial" w:cs="Arial"/>
          <w:sz w:val="16"/>
        </w:rPr>
      </w:pPr>
      <w:r w:rsidRPr="00D51A31">
        <w:rPr>
          <w:rFonts w:ascii="Arial" w:hAnsi="Arial" w:cs="Arial"/>
          <w:sz w:val="16"/>
        </w:rPr>
        <w:t>IDENTIFICACIÓN DEL SERVICIO</w:t>
      </w:r>
    </w:p>
    <w:p w:rsidR="004E46AB" w:rsidRPr="00D51A31" w:rsidRDefault="004E46AB" w:rsidP="004E46AB">
      <w:pPr>
        <w:pStyle w:val="Prrafodelista"/>
        <w:numPr>
          <w:ilvl w:val="0"/>
          <w:numId w:val="42"/>
        </w:numPr>
        <w:spacing w:line="276" w:lineRule="auto"/>
        <w:ind w:left="1276" w:hanging="142"/>
        <w:rPr>
          <w:rFonts w:ascii="Arial" w:hAnsi="Arial" w:cs="Arial"/>
          <w:sz w:val="16"/>
        </w:rPr>
      </w:pPr>
      <w:r w:rsidRPr="00D51A31">
        <w:rPr>
          <w:rFonts w:ascii="Arial" w:hAnsi="Arial" w:cs="Arial"/>
          <w:sz w:val="16"/>
        </w:rPr>
        <w:t>ASPECTOS ECONÓMICOS GENERALES</w:t>
      </w:r>
    </w:p>
    <w:p w:rsidR="004E46AB" w:rsidRPr="00D51A31" w:rsidRDefault="004E46AB" w:rsidP="004E46AB">
      <w:pPr>
        <w:pStyle w:val="Prrafodelista"/>
        <w:numPr>
          <w:ilvl w:val="0"/>
          <w:numId w:val="42"/>
        </w:numPr>
        <w:spacing w:line="276" w:lineRule="auto"/>
        <w:ind w:left="1276" w:hanging="142"/>
        <w:rPr>
          <w:rFonts w:ascii="Arial" w:hAnsi="Arial" w:cs="Arial"/>
          <w:sz w:val="16"/>
        </w:rPr>
      </w:pPr>
      <w:r w:rsidRPr="00D51A31">
        <w:rPr>
          <w:rFonts w:ascii="Arial" w:hAnsi="Arial" w:cs="Arial"/>
          <w:sz w:val="16"/>
        </w:rPr>
        <w:lastRenderedPageBreak/>
        <w:t>ASPECTO REGULATORIO</w:t>
      </w:r>
    </w:p>
    <w:p w:rsidR="004E46AB" w:rsidRPr="00D51A31" w:rsidRDefault="004E46AB" w:rsidP="004E46AB">
      <w:pPr>
        <w:pStyle w:val="Prrafodelista"/>
        <w:numPr>
          <w:ilvl w:val="0"/>
          <w:numId w:val="41"/>
        </w:numPr>
        <w:spacing w:line="276" w:lineRule="auto"/>
        <w:ind w:left="1134" w:hanging="141"/>
        <w:rPr>
          <w:rFonts w:ascii="Arial" w:hAnsi="Arial" w:cs="Arial"/>
          <w:bCs/>
          <w:sz w:val="18"/>
        </w:rPr>
      </w:pPr>
      <w:r w:rsidRPr="00D51A31">
        <w:rPr>
          <w:rFonts w:ascii="Arial" w:hAnsi="Arial" w:cs="Arial"/>
          <w:bCs/>
          <w:sz w:val="18"/>
        </w:rPr>
        <w:t>ESTUDIO DE LA DEMANDA</w:t>
      </w:r>
    </w:p>
    <w:p w:rsidR="004E46AB" w:rsidRDefault="004E46AB" w:rsidP="004E46AB">
      <w:pPr>
        <w:pStyle w:val="Prrafodelista"/>
        <w:numPr>
          <w:ilvl w:val="0"/>
          <w:numId w:val="41"/>
        </w:numPr>
        <w:spacing w:line="276" w:lineRule="auto"/>
        <w:ind w:left="1134" w:hanging="141"/>
        <w:rPr>
          <w:rFonts w:ascii="Arial" w:hAnsi="Arial" w:cs="Arial"/>
          <w:bCs/>
          <w:sz w:val="18"/>
        </w:rPr>
      </w:pPr>
      <w:r w:rsidRPr="00D51A31">
        <w:rPr>
          <w:rFonts w:ascii="Arial" w:hAnsi="Arial" w:cs="Arial"/>
          <w:bCs/>
          <w:sz w:val="18"/>
        </w:rPr>
        <w:t>ESTUDIO DE LA OFERTA</w:t>
      </w:r>
    </w:p>
    <w:p w:rsidR="004E46AB" w:rsidRDefault="004E46AB" w:rsidP="004E46AB">
      <w:pPr>
        <w:spacing w:line="276" w:lineRule="auto"/>
        <w:rPr>
          <w:rFonts w:ascii="Arial" w:hAnsi="Arial" w:cs="Arial"/>
          <w:bCs/>
          <w:sz w:val="18"/>
        </w:rPr>
      </w:pPr>
    </w:p>
    <w:p w:rsidR="004E46AB" w:rsidRPr="00A14381" w:rsidRDefault="004E46AB" w:rsidP="004E46AB">
      <w:pPr>
        <w:spacing w:line="276" w:lineRule="auto"/>
        <w:rPr>
          <w:rFonts w:ascii="Arial" w:hAnsi="Arial" w:cs="Arial"/>
          <w:bCs/>
          <w:sz w:val="18"/>
        </w:rPr>
      </w:pPr>
    </w:p>
    <w:p w:rsidR="004E46AB" w:rsidRPr="00C75126" w:rsidRDefault="004E46AB" w:rsidP="004E46AB">
      <w:pPr>
        <w:pStyle w:val="Prrafodelista"/>
        <w:numPr>
          <w:ilvl w:val="0"/>
          <w:numId w:val="31"/>
        </w:numPr>
        <w:autoSpaceDE w:val="0"/>
        <w:autoSpaceDN w:val="0"/>
        <w:adjustRightInd w:val="0"/>
        <w:ind w:left="284" w:hanging="284"/>
        <w:contextualSpacing/>
        <w:jc w:val="center"/>
        <w:rPr>
          <w:rFonts w:ascii="Arial" w:hAnsi="Arial" w:cs="Arial"/>
          <w:b/>
          <w:sz w:val="22"/>
          <w:szCs w:val="22"/>
        </w:rPr>
      </w:pPr>
      <w:r w:rsidRPr="00C75126">
        <w:rPr>
          <w:rFonts w:ascii="Arial" w:hAnsi="Arial" w:cs="Arial"/>
          <w:b/>
          <w:sz w:val="22"/>
          <w:szCs w:val="22"/>
        </w:rPr>
        <w:t>ASPECTOS GENERALES</w:t>
      </w:r>
    </w:p>
    <w:bookmarkEnd w:id="0"/>
    <w:p w:rsidR="004E46AB" w:rsidRDefault="004E46AB" w:rsidP="004E46AB">
      <w:pPr>
        <w:jc w:val="both"/>
        <w:rPr>
          <w:b/>
        </w:rPr>
      </w:pPr>
    </w:p>
    <w:p w:rsidR="004E46AB" w:rsidRPr="00C75126" w:rsidRDefault="004E46AB" w:rsidP="004E46AB">
      <w:pPr>
        <w:jc w:val="both"/>
        <w:rPr>
          <w:b/>
        </w:rPr>
      </w:pPr>
    </w:p>
    <w:p w:rsidR="004E46AB" w:rsidRPr="00C75126" w:rsidRDefault="004E46AB" w:rsidP="004E46AB">
      <w:pPr>
        <w:numPr>
          <w:ilvl w:val="0"/>
          <w:numId w:val="35"/>
        </w:numPr>
        <w:jc w:val="both"/>
        <w:rPr>
          <w:rFonts w:ascii="Arial" w:hAnsi="Arial" w:cs="Arial"/>
          <w:b/>
          <w:sz w:val="22"/>
          <w:szCs w:val="22"/>
        </w:rPr>
      </w:pPr>
      <w:r w:rsidRPr="00C75126">
        <w:rPr>
          <w:rFonts w:ascii="Arial" w:hAnsi="Arial" w:cs="Arial"/>
          <w:b/>
          <w:sz w:val="22"/>
          <w:szCs w:val="22"/>
        </w:rPr>
        <w:t>IDENTIFICACIÓN DEL SERVICIO</w:t>
      </w:r>
    </w:p>
    <w:p w:rsidR="004E46AB" w:rsidRDefault="004E46AB" w:rsidP="004E46AB">
      <w:pPr>
        <w:ind w:left="14"/>
        <w:jc w:val="both"/>
        <w:rPr>
          <w:rFonts w:ascii="Arial" w:hAnsi="Arial" w:cs="Arial"/>
          <w:sz w:val="22"/>
          <w:szCs w:val="22"/>
        </w:rPr>
      </w:pPr>
    </w:p>
    <w:p w:rsidR="004E46AB" w:rsidRDefault="004E46AB" w:rsidP="004E46AB">
      <w:pPr>
        <w:ind w:left="14"/>
        <w:jc w:val="both"/>
        <w:rPr>
          <w:rFonts w:ascii="Arial" w:hAnsi="Arial" w:cs="Arial"/>
          <w:sz w:val="22"/>
          <w:szCs w:val="22"/>
        </w:rPr>
      </w:pPr>
      <w:r>
        <w:rPr>
          <w:rFonts w:ascii="Arial" w:hAnsi="Arial" w:cs="Arial"/>
          <w:sz w:val="22"/>
          <w:szCs w:val="22"/>
        </w:rPr>
        <w:t xml:space="preserve">Para el proceso de </w:t>
      </w:r>
      <w:r w:rsidRPr="008411FE">
        <w:rPr>
          <w:rFonts w:ascii="Arial" w:hAnsi="Arial" w:cs="Arial"/>
          <w:sz w:val="22"/>
          <w:szCs w:val="22"/>
        </w:rPr>
        <w:t>verifica</w:t>
      </w:r>
      <w:r>
        <w:rPr>
          <w:rFonts w:ascii="Arial" w:hAnsi="Arial" w:cs="Arial"/>
          <w:sz w:val="22"/>
          <w:szCs w:val="22"/>
        </w:rPr>
        <w:t>ción de</w:t>
      </w:r>
      <w:r w:rsidRPr="008411FE">
        <w:rPr>
          <w:rFonts w:ascii="Arial" w:hAnsi="Arial" w:cs="Arial"/>
          <w:sz w:val="22"/>
          <w:szCs w:val="22"/>
        </w:rPr>
        <w:t xml:space="preserve"> la ejecución y</w:t>
      </w:r>
      <w:r>
        <w:rPr>
          <w:rFonts w:ascii="Arial" w:hAnsi="Arial" w:cs="Arial"/>
          <w:sz w:val="22"/>
          <w:szCs w:val="22"/>
        </w:rPr>
        <w:t xml:space="preserve"> </w:t>
      </w:r>
      <w:r w:rsidRPr="008411FE">
        <w:rPr>
          <w:rFonts w:ascii="Arial" w:hAnsi="Arial" w:cs="Arial"/>
          <w:sz w:val="22"/>
          <w:szCs w:val="22"/>
        </w:rPr>
        <w:t xml:space="preserve">cumplimiento de los trabajos y actividades </w:t>
      </w:r>
      <w:r>
        <w:rPr>
          <w:rFonts w:ascii="Arial" w:hAnsi="Arial" w:cs="Arial"/>
          <w:sz w:val="22"/>
          <w:szCs w:val="22"/>
        </w:rPr>
        <w:t>del contrato que tiene como objeto</w:t>
      </w:r>
      <w:r w:rsidRPr="00D05BE8">
        <w:rPr>
          <w:rFonts w:ascii="Arial" w:hAnsi="Arial" w:cs="Arial"/>
          <w:sz w:val="22"/>
          <w:szCs w:val="22"/>
        </w:rPr>
        <w:t xml:space="preserve"> </w:t>
      </w:r>
      <w:r>
        <w:rPr>
          <w:rFonts w:ascii="Arial" w:hAnsi="Arial" w:cs="Arial"/>
          <w:sz w:val="22"/>
          <w:szCs w:val="22"/>
        </w:rPr>
        <w:t>el p</w:t>
      </w:r>
      <w:r w:rsidRPr="00D05BE8">
        <w:rPr>
          <w:rFonts w:ascii="Arial" w:hAnsi="Arial" w:cs="Arial"/>
          <w:sz w:val="22"/>
          <w:szCs w:val="22"/>
        </w:rPr>
        <w:t xml:space="preserve">romover acciones para </w:t>
      </w:r>
      <w:r w:rsidRPr="00727AE8">
        <w:rPr>
          <w:rFonts w:ascii="Arial" w:hAnsi="Arial" w:cs="Arial"/>
          <w:sz w:val="22"/>
          <w:szCs w:val="22"/>
        </w:rPr>
        <w:t>Desarrollar acciones de prevención de la violencia y la discriminación de las mujer</w:t>
      </w:r>
      <w:r>
        <w:rPr>
          <w:rFonts w:ascii="Arial" w:hAnsi="Arial" w:cs="Arial"/>
          <w:sz w:val="22"/>
          <w:szCs w:val="22"/>
        </w:rPr>
        <w:t xml:space="preserve">es de la localidad de Engativá, el FDLE requiere del servicio de consultoría (interventoría) </w:t>
      </w:r>
      <w:r w:rsidRPr="0044037F">
        <w:rPr>
          <w:rFonts w:ascii="Arial" w:hAnsi="Arial" w:cs="Arial"/>
          <w:sz w:val="22"/>
          <w:szCs w:val="22"/>
        </w:rPr>
        <w:t>técnica, administrativa, financiera y contable</w:t>
      </w:r>
      <w:r>
        <w:rPr>
          <w:rFonts w:ascii="Arial" w:hAnsi="Arial" w:cs="Arial"/>
          <w:sz w:val="22"/>
          <w:szCs w:val="22"/>
        </w:rPr>
        <w:t>.</w:t>
      </w:r>
    </w:p>
    <w:p w:rsidR="004E46AB" w:rsidRDefault="004E46AB" w:rsidP="004E46AB">
      <w:pPr>
        <w:ind w:left="14"/>
        <w:jc w:val="both"/>
        <w:rPr>
          <w:rFonts w:ascii="Arial" w:hAnsi="Arial" w:cs="Arial"/>
          <w:sz w:val="22"/>
          <w:szCs w:val="22"/>
        </w:rPr>
      </w:pPr>
    </w:p>
    <w:p w:rsidR="004E46AB" w:rsidRDefault="004E46AB" w:rsidP="004E46AB">
      <w:pPr>
        <w:ind w:left="14"/>
        <w:jc w:val="both"/>
        <w:rPr>
          <w:rFonts w:ascii="Arial" w:hAnsi="Arial" w:cs="Arial"/>
          <w:sz w:val="22"/>
          <w:szCs w:val="22"/>
        </w:rPr>
      </w:pPr>
      <w:r>
        <w:rPr>
          <w:rFonts w:ascii="Arial" w:hAnsi="Arial" w:cs="Arial"/>
          <w:sz w:val="22"/>
          <w:szCs w:val="22"/>
        </w:rPr>
        <w:t xml:space="preserve">El contrato en mención se enmarca en el proyecto N° 1496 denominado </w:t>
      </w:r>
      <w:r w:rsidRPr="00193F59">
        <w:rPr>
          <w:rFonts w:ascii="Arial" w:hAnsi="Arial" w:cs="Arial"/>
          <w:sz w:val="22"/>
          <w:szCs w:val="22"/>
        </w:rPr>
        <w:t>en el programa Fortalecimiento del sistema de Protección Integral a Mujeres Víctimas de Violencia SOFIA, el cual tiene como meta “</w:t>
      </w:r>
      <w:r w:rsidRPr="00193F59">
        <w:rPr>
          <w:rFonts w:ascii="Arial" w:hAnsi="Arial" w:cs="Arial"/>
          <w:i/>
          <w:sz w:val="22"/>
          <w:szCs w:val="22"/>
        </w:rPr>
        <w:t>Vincular 7000 personas en acciones contra la violencia y la discriminación de la mujer.</w:t>
      </w:r>
      <w:r w:rsidRPr="00193F59">
        <w:rPr>
          <w:rFonts w:ascii="Arial" w:hAnsi="Arial" w:cs="Arial"/>
          <w:sz w:val="22"/>
          <w:szCs w:val="22"/>
        </w:rPr>
        <w:t>”</w:t>
      </w:r>
    </w:p>
    <w:p w:rsidR="004E46AB" w:rsidRPr="00C75126" w:rsidRDefault="004E46AB" w:rsidP="004E46AB">
      <w:pPr>
        <w:ind w:left="14"/>
        <w:jc w:val="both"/>
        <w:rPr>
          <w:rFonts w:ascii="Arial" w:hAnsi="Arial" w:cs="Arial"/>
          <w:sz w:val="22"/>
          <w:szCs w:val="22"/>
        </w:rPr>
      </w:pPr>
    </w:p>
    <w:p w:rsidR="004E46AB" w:rsidRPr="00C75126" w:rsidRDefault="004E46AB" w:rsidP="004E46AB">
      <w:pPr>
        <w:pStyle w:val="Ttulo1"/>
        <w:spacing w:before="0" w:after="0"/>
        <w:ind w:right="15"/>
        <w:rPr>
          <w:rFonts w:ascii="Arial" w:hAnsi="Arial" w:cs="Arial"/>
          <w:b w:val="0"/>
          <w:sz w:val="22"/>
          <w:szCs w:val="22"/>
        </w:rPr>
      </w:pPr>
      <w:r w:rsidRPr="00C75126">
        <w:rPr>
          <w:rFonts w:ascii="Arial" w:hAnsi="Arial" w:cs="Arial"/>
          <w:sz w:val="22"/>
          <w:szCs w:val="22"/>
        </w:rPr>
        <w:t>1.1. Objeto a Contratar:</w:t>
      </w:r>
    </w:p>
    <w:p w:rsidR="004E46AB" w:rsidRDefault="004E46AB" w:rsidP="004E46AB">
      <w:pPr>
        <w:jc w:val="both"/>
        <w:rPr>
          <w:rFonts w:ascii="Arial" w:hAnsi="Arial" w:cs="Arial"/>
          <w:sz w:val="22"/>
          <w:szCs w:val="22"/>
        </w:rPr>
      </w:pPr>
    </w:p>
    <w:p w:rsidR="004E46AB" w:rsidRDefault="004E46AB" w:rsidP="004E46AB">
      <w:pPr>
        <w:jc w:val="both"/>
        <w:rPr>
          <w:rFonts w:ascii="Garamond" w:hAnsi="Garamond" w:cs="Arial"/>
          <w:b/>
          <w:i/>
          <w:sz w:val="22"/>
          <w:szCs w:val="22"/>
          <w:lang w:eastAsia="en-US"/>
        </w:rPr>
      </w:pPr>
      <w:r>
        <w:rPr>
          <w:rFonts w:ascii="Arial" w:hAnsi="Arial" w:cs="Arial"/>
          <w:i/>
          <w:sz w:val="22"/>
          <w:szCs w:val="22"/>
        </w:rPr>
        <w:t>“</w:t>
      </w:r>
      <w:r w:rsidRPr="00651608">
        <w:rPr>
          <w:rFonts w:ascii="Garamond" w:hAnsi="Garamond" w:cs="Arial"/>
          <w:b/>
          <w:i/>
          <w:sz w:val="22"/>
          <w:szCs w:val="22"/>
          <w:lang w:eastAsia="en-US"/>
        </w:rPr>
        <w:t>Realizar la interventoría técnica, administrativa, financiera y contable a la ejecución del contrato que se genere del proceso FDLE-LP-</w:t>
      </w:r>
      <w:r w:rsidRPr="00DF62EC">
        <w:rPr>
          <w:rFonts w:ascii="Garamond" w:hAnsi="Garamond" w:cs="Arial"/>
          <w:b/>
          <w:i/>
          <w:sz w:val="22"/>
          <w:szCs w:val="22"/>
          <w:lang w:eastAsia="en-US"/>
        </w:rPr>
        <w:t>289</w:t>
      </w:r>
      <w:r w:rsidRPr="00651608">
        <w:rPr>
          <w:rFonts w:ascii="Garamond" w:hAnsi="Garamond" w:cs="Arial"/>
          <w:b/>
          <w:i/>
          <w:sz w:val="22"/>
          <w:szCs w:val="22"/>
          <w:lang w:eastAsia="en-US"/>
        </w:rPr>
        <w:t xml:space="preserve">-2018, cuyo objeto es: </w:t>
      </w:r>
      <w:r w:rsidRPr="002425AA">
        <w:rPr>
          <w:rFonts w:ascii="Garamond" w:hAnsi="Garamond" w:cs="Arial"/>
          <w:b/>
          <w:i/>
          <w:sz w:val="22"/>
          <w:szCs w:val="22"/>
          <w:lang w:eastAsia="en-US"/>
        </w:rPr>
        <w:t>“Desarrollar acciones de prevención de la violencia y la discriminación de las mujeres de la localidad de Engativá.”</w:t>
      </w:r>
    </w:p>
    <w:p w:rsidR="004E46AB" w:rsidRPr="00C75126" w:rsidRDefault="004E46AB" w:rsidP="004E46AB">
      <w:pPr>
        <w:jc w:val="both"/>
        <w:rPr>
          <w:rFonts w:ascii="Arial" w:hAnsi="Arial" w:cs="Arial"/>
          <w:sz w:val="22"/>
          <w:szCs w:val="22"/>
        </w:rPr>
      </w:pPr>
    </w:p>
    <w:p w:rsidR="004E46AB" w:rsidRPr="00C75126" w:rsidRDefault="004E46AB" w:rsidP="004E46AB">
      <w:pPr>
        <w:jc w:val="both"/>
        <w:rPr>
          <w:rFonts w:ascii="Arial" w:hAnsi="Arial" w:cs="Arial"/>
          <w:b/>
          <w:sz w:val="22"/>
          <w:szCs w:val="22"/>
        </w:rPr>
      </w:pPr>
      <w:r w:rsidRPr="00C75126">
        <w:rPr>
          <w:rFonts w:ascii="Arial" w:hAnsi="Arial" w:cs="Arial"/>
          <w:b/>
          <w:sz w:val="22"/>
          <w:szCs w:val="22"/>
        </w:rPr>
        <w:t>1.2. Denominación Técnica del Servicio</w:t>
      </w:r>
    </w:p>
    <w:p w:rsidR="004E46AB" w:rsidRDefault="004E46AB" w:rsidP="004E46AB">
      <w:pPr>
        <w:jc w:val="both"/>
        <w:rPr>
          <w:rFonts w:ascii="Arial" w:hAnsi="Arial" w:cs="Arial"/>
          <w:sz w:val="22"/>
          <w:szCs w:val="22"/>
        </w:rPr>
      </w:pPr>
    </w:p>
    <w:p w:rsidR="004E46AB" w:rsidRDefault="004E46AB" w:rsidP="004E46AB">
      <w:pPr>
        <w:spacing w:line="276" w:lineRule="auto"/>
        <w:jc w:val="both"/>
        <w:rPr>
          <w:rFonts w:ascii="Arial" w:hAnsi="Arial" w:cs="Arial"/>
          <w:sz w:val="22"/>
          <w:szCs w:val="22"/>
        </w:rPr>
      </w:pPr>
      <w:r w:rsidRPr="00920C8B">
        <w:rPr>
          <w:rFonts w:ascii="Arial" w:hAnsi="Arial" w:cs="Arial"/>
          <w:sz w:val="22"/>
          <w:szCs w:val="22"/>
        </w:rPr>
        <w:t>Los servicios a contratar se clasifican en los siguientes rubros según el Código Estándar de Productos y Servicios de Naciones Unidas (UNSPSC):</w:t>
      </w:r>
    </w:p>
    <w:p w:rsidR="004E46AB" w:rsidRPr="00C75126" w:rsidRDefault="004E46AB" w:rsidP="004E46AB">
      <w:pPr>
        <w:jc w:val="both"/>
        <w:rPr>
          <w:rFonts w:ascii="Arial" w:hAnsi="Arial" w:cs="Arial"/>
          <w:sz w:val="22"/>
          <w:szCs w:val="22"/>
        </w:rPr>
      </w:pPr>
    </w:p>
    <w:tbl>
      <w:tblPr>
        <w:tblW w:w="7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1372"/>
        <w:gridCol w:w="1182"/>
        <w:gridCol w:w="3190"/>
      </w:tblGrid>
      <w:tr w:rsidR="004E46AB" w:rsidRPr="004B04F8" w:rsidTr="00BF0E50">
        <w:trPr>
          <w:trHeight w:val="10"/>
          <w:jc w:val="center"/>
        </w:trPr>
        <w:tc>
          <w:tcPr>
            <w:tcW w:w="16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E46AB" w:rsidRPr="00B26329" w:rsidRDefault="004E46AB" w:rsidP="00BF0E50">
            <w:pPr>
              <w:jc w:val="center"/>
              <w:rPr>
                <w:rFonts w:ascii="Arial Narrow" w:hAnsi="Arial Narrow"/>
                <w:b/>
                <w:lang w:eastAsia="es-MX"/>
              </w:rPr>
            </w:pPr>
            <w:r w:rsidRPr="00B26329">
              <w:rPr>
                <w:rFonts w:ascii="Arial Narrow" w:hAnsi="Arial Narrow"/>
                <w:b/>
              </w:rPr>
              <w:t>COD. SEGMENTO</w:t>
            </w: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E46AB" w:rsidRPr="00B26329" w:rsidRDefault="004E46AB" w:rsidP="00BF0E50">
            <w:pPr>
              <w:jc w:val="center"/>
              <w:rPr>
                <w:rFonts w:ascii="Arial Narrow" w:hAnsi="Arial Narrow"/>
                <w:b/>
                <w:lang w:eastAsia="es-MX"/>
              </w:rPr>
            </w:pPr>
            <w:r w:rsidRPr="00B26329">
              <w:rPr>
                <w:rFonts w:ascii="Arial Narrow" w:hAnsi="Arial Narrow"/>
                <w:b/>
              </w:rPr>
              <w:t>COD. FAMILIA</w:t>
            </w:r>
          </w:p>
        </w:tc>
        <w:tc>
          <w:tcPr>
            <w:tcW w:w="11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E46AB" w:rsidRPr="00B26329" w:rsidRDefault="004E46AB" w:rsidP="00BF0E50">
            <w:pPr>
              <w:jc w:val="center"/>
              <w:rPr>
                <w:rFonts w:ascii="Arial Narrow" w:hAnsi="Arial Narrow"/>
                <w:b/>
                <w:lang w:eastAsia="es-MX"/>
              </w:rPr>
            </w:pPr>
            <w:r w:rsidRPr="00B26329">
              <w:rPr>
                <w:rFonts w:ascii="Arial Narrow" w:hAnsi="Arial Narrow"/>
                <w:b/>
              </w:rPr>
              <w:t>COD. CLASE</w:t>
            </w:r>
          </w:p>
        </w:tc>
        <w:tc>
          <w:tcPr>
            <w:tcW w:w="3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E46AB" w:rsidRPr="00B26329" w:rsidRDefault="004E46AB" w:rsidP="00BF0E50">
            <w:pPr>
              <w:jc w:val="center"/>
              <w:rPr>
                <w:rFonts w:ascii="Arial Narrow" w:hAnsi="Arial Narrow"/>
                <w:b/>
                <w:lang w:eastAsia="es-MX"/>
              </w:rPr>
            </w:pPr>
            <w:r w:rsidRPr="00B26329">
              <w:rPr>
                <w:rFonts w:ascii="Arial Narrow" w:hAnsi="Arial Narrow"/>
                <w:b/>
              </w:rPr>
              <w:t>DESCRIPCIÓN</w:t>
            </w:r>
          </w:p>
        </w:tc>
      </w:tr>
      <w:tr w:rsidR="004E46AB" w:rsidRPr="004B04F8" w:rsidTr="00BF0E50">
        <w:trPr>
          <w:trHeight w:val="567"/>
          <w:jc w:val="center"/>
        </w:trPr>
        <w:tc>
          <w:tcPr>
            <w:tcW w:w="1650" w:type="dxa"/>
            <w:tcBorders>
              <w:top w:val="single" w:sz="4" w:space="0" w:color="auto"/>
              <w:left w:val="single" w:sz="4" w:space="0" w:color="auto"/>
              <w:bottom w:val="single" w:sz="4" w:space="0" w:color="auto"/>
              <w:right w:val="single" w:sz="4" w:space="0" w:color="auto"/>
            </w:tcBorders>
            <w:vAlign w:val="center"/>
            <w:hideMark/>
          </w:tcPr>
          <w:p w:rsidR="004E46AB" w:rsidRDefault="004E46AB" w:rsidP="00BF0E50">
            <w:pPr>
              <w:jc w:val="center"/>
              <w:rPr>
                <w:sz w:val="22"/>
                <w:lang w:eastAsia="en-US"/>
              </w:rPr>
            </w:pPr>
            <w:r>
              <w:t>80</w:t>
            </w:r>
          </w:p>
        </w:tc>
        <w:tc>
          <w:tcPr>
            <w:tcW w:w="1372" w:type="dxa"/>
            <w:tcBorders>
              <w:top w:val="single" w:sz="4" w:space="0" w:color="auto"/>
              <w:left w:val="single" w:sz="4" w:space="0" w:color="auto"/>
              <w:bottom w:val="single" w:sz="4" w:space="0" w:color="auto"/>
              <w:right w:val="single" w:sz="4" w:space="0" w:color="auto"/>
            </w:tcBorders>
            <w:vAlign w:val="center"/>
            <w:hideMark/>
          </w:tcPr>
          <w:p w:rsidR="004E46AB" w:rsidRDefault="004E46AB" w:rsidP="00BF0E50">
            <w:pPr>
              <w:jc w:val="center"/>
            </w:pPr>
            <w:r>
              <w:t>10</w:t>
            </w:r>
          </w:p>
        </w:tc>
        <w:tc>
          <w:tcPr>
            <w:tcW w:w="1182" w:type="dxa"/>
            <w:tcBorders>
              <w:top w:val="single" w:sz="4" w:space="0" w:color="auto"/>
              <w:left w:val="single" w:sz="4" w:space="0" w:color="auto"/>
              <w:bottom w:val="single" w:sz="4" w:space="0" w:color="auto"/>
              <w:right w:val="single" w:sz="4" w:space="0" w:color="auto"/>
            </w:tcBorders>
            <w:vAlign w:val="center"/>
            <w:hideMark/>
          </w:tcPr>
          <w:p w:rsidR="004E46AB" w:rsidRDefault="004E46AB" w:rsidP="00BF0E50">
            <w:pPr>
              <w:jc w:val="center"/>
            </w:pPr>
            <w:r>
              <w:t>15</w:t>
            </w:r>
          </w:p>
        </w:tc>
        <w:tc>
          <w:tcPr>
            <w:tcW w:w="3190" w:type="dxa"/>
            <w:tcBorders>
              <w:top w:val="single" w:sz="4" w:space="0" w:color="auto"/>
              <w:left w:val="single" w:sz="4" w:space="0" w:color="auto"/>
              <w:bottom w:val="single" w:sz="4" w:space="0" w:color="auto"/>
              <w:right w:val="single" w:sz="4" w:space="0" w:color="auto"/>
            </w:tcBorders>
            <w:vAlign w:val="center"/>
            <w:hideMark/>
          </w:tcPr>
          <w:p w:rsidR="004E46AB" w:rsidRDefault="004E46AB" w:rsidP="00BF0E50">
            <w:r w:rsidRPr="00D914E8">
              <w:t>Servicios de consultoría de negocios y administración corporativa</w:t>
            </w:r>
          </w:p>
        </w:tc>
      </w:tr>
      <w:tr w:rsidR="004E46AB" w:rsidRPr="004B04F8" w:rsidTr="00BF0E50">
        <w:trPr>
          <w:trHeight w:val="564"/>
          <w:jc w:val="center"/>
        </w:trPr>
        <w:tc>
          <w:tcPr>
            <w:tcW w:w="1650" w:type="dxa"/>
            <w:tcBorders>
              <w:top w:val="single" w:sz="4" w:space="0" w:color="auto"/>
              <w:left w:val="single" w:sz="4" w:space="0" w:color="auto"/>
              <w:bottom w:val="single" w:sz="4" w:space="0" w:color="auto"/>
              <w:right w:val="single" w:sz="4" w:space="0" w:color="auto"/>
            </w:tcBorders>
            <w:vAlign w:val="center"/>
          </w:tcPr>
          <w:p w:rsidR="004E46AB" w:rsidRDefault="004E46AB" w:rsidP="00BF0E50">
            <w:pPr>
              <w:jc w:val="center"/>
            </w:pPr>
            <w:r>
              <w:t>80</w:t>
            </w:r>
          </w:p>
        </w:tc>
        <w:tc>
          <w:tcPr>
            <w:tcW w:w="1372" w:type="dxa"/>
            <w:tcBorders>
              <w:top w:val="single" w:sz="4" w:space="0" w:color="auto"/>
              <w:left w:val="single" w:sz="4" w:space="0" w:color="auto"/>
              <w:bottom w:val="single" w:sz="4" w:space="0" w:color="auto"/>
              <w:right w:val="single" w:sz="4" w:space="0" w:color="auto"/>
            </w:tcBorders>
            <w:vAlign w:val="center"/>
          </w:tcPr>
          <w:p w:rsidR="004E46AB" w:rsidRDefault="004E46AB" w:rsidP="00BF0E50">
            <w:pPr>
              <w:jc w:val="center"/>
            </w:pPr>
            <w:r>
              <w:t>10</w:t>
            </w:r>
          </w:p>
        </w:tc>
        <w:tc>
          <w:tcPr>
            <w:tcW w:w="1182" w:type="dxa"/>
            <w:tcBorders>
              <w:top w:val="single" w:sz="4" w:space="0" w:color="auto"/>
              <w:left w:val="single" w:sz="4" w:space="0" w:color="auto"/>
              <w:bottom w:val="single" w:sz="4" w:space="0" w:color="auto"/>
              <w:right w:val="single" w:sz="4" w:space="0" w:color="auto"/>
            </w:tcBorders>
            <w:vAlign w:val="center"/>
          </w:tcPr>
          <w:p w:rsidR="004E46AB" w:rsidRDefault="004E46AB" w:rsidP="00BF0E50">
            <w:pPr>
              <w:jc w:val="center"/>
            </w:pPr>
            <w:r>
              <w:t>16</w:t>
            </w:r>
          </w:p>
        </w:tc>
        <w:tc>
          <w:tcPr>
            <w:tcW w:w="3190" w:type="dxa"/>
            <w:tcBorders>
              <w:top w:val="single" w:sz="4" w:space="0" w:color="auto"/>
              <w:left w:val="single" w:sz="4" w:space="0" w:color="auto"/>
              <w:bottom w:val="single" w:sz="4" w:space="0" w:color="auto"/>
              <w:right w:val="single" w:sz="4" w:space="0" w:color="auto"/>
            </w:tcBorders>
            <w:vAlign w:val="center"/>
          </w:tcPr>
          <w:p w:rsidR="004E46AB" w:rsidRDefault="004E46AB" w:rsidP="00BF0E50">
            <w:r>
              <w:t xml:space="preserve">Servicios de </w:t>
            </w:r>
            <w:r w:rsidRPr="00D914E8">
              <w:t>Gerencia de proyectos</w:t>
            </w:r>
          </w:p>
        </w:tc>
      </w:tr>
      <w:tr w:rsidR="004E46AB" w:rsidRPr="004B04F8" w:rsidTr="00BF0E50">
        <w:trPr>
          <w:trHeight w:val="564"/>
          <w:jc w:val="center"/>
        </w:trPr>
        <w:tc>
          <w:tcPr>
            <w:tcW w:w="1650" w:type="dxa"/>
            <w:tcBorders>
              <w:top w:val="single" w:sz="4" w:space="0" w:color="auto"/>
              <w:left w:val="single" w:sz="4" w:space="0" w:color="auto"/>
              <w:bottom w:val="single" w:sz="4" w:space="0" w:color="auto"/>
              <w:right w:val="single" w:sz="4" w:space="0" w:color="auto"/>
            </w:tcBorders>
            <w:vAlign w:val="center"/>
          </w:tcPr>
          <w:p w:rsidR="004E46AB" w:rsidRDefault="004E46AB" w:rsidP="00BF0E50">
            <w:pPr>
              <w:jc w:val="center"/>
            </w:pPr>
            <w:r>
              <w:t>80</w:t>
            </w:r>
          </w:p>
        </w:tc>
        <w:tc>
          <w:tcPr>
            <w:tcW w:w="1372" w:type="dxa"/>
            <w:tcBorders>
              <w:top w:val="single" w:sz="4" w:space="0" w:color="auto"/>
              <w:left w:val="single" w:sz="4" w:space="0" w:color="auto"/>
              <w:bottom w:val="single" w:sz="4" w:space="0" w:color="auto"/>
              <w:right w:val="single" w:sz="4" w:space="0" w:color="auto"/>
            </w:tcBorders>
            <w:vAlign w:val="center"/>
          </w:tcPr>
          <w:p w:rsidR="004E46AB" w:rsidRDefault="004E46AB" w:rsidP="00BF0E50">
            <w:pPr>
              <w:jc w:val="center"/>
            </w:pPr>
            <w:r>
              <w:t>16</w:t>
            </w:r>
          </w:p>
        </w:tc>
        <w:tc>
          <w:tcPr>
            <w:tcW w:w="1182" w:type="dxa"/>
            <w:tcBorders>
              <w:top w:val="single" w:sz="4" w:space="0" w:color="auto"/>
              <w:left w:val="single" w:sz="4" w:space="0" w:color="auto"/>
              <w:bottom w:val="single" w:sz="4" w:space="0" w:color="auto"/>
              <w:right w:val="single" w:sz="4" w:space="0" w:color="auto"/>
            </w:tcBorders>
            <w:vAlign w:val="center"/>
          </w:tcPr>
          <w:p w:rsidR="004E46AB" w:rsidRDefault="004E46AB" w:rsidP="00BF0E50">
            <w:pPr>
              <w:jc w:val="center"/>
            </w:pPr>
            <w:r>
              <w:t>15</w:t>
            </w:r>
          </w:p>
        </w:tc>
        <w:tc>
          <w:tcPr>
            <w:tcW w:w="3190" w:type="dxa"/>
            <w:tcBorders>
              <w:top w:val="single" w:sz="4" w:space="0" w:color="auto"/>
              <w:left w:val="single" w:sz="4" w:space="0" w:color="auto"/>
              <w:bottom w:val="single" w:sz="4" w:space="0" w:color="auto"/>
              <w:right w:val="single" w:sz="4" w:space="0" w:color="auto"/>
            </w:tcBorders>
            <w:vAlign w:val="center"/>
          </w:tcPr>
          <w:p w:rsidR="004E46AB" w:rsidRDefault="004E46AB" w:rsidP="00BF0E50">
            <w:r w:rsidRPr="00EB1D9E">
              <w:rPr>
                <w:rFonts w:ascii="Garamond" w:hAnsi="Garamond" w:cs="Arial"/>
                <w:sz w:val="22"/>
                <w:szCs w:val="22"/>
              </w:rPr>
              <w:t xml:space="preserve">Servicios de </w:t>
            </w:r>
            <w:r>
              <w:rPr>
                <w:rFonts w:ascii="Garamond" w:hAnsi="Garamond" w:cs="Arial"/>
                <w:sz w:val="22"/>
                <w:szCs w:val="22"/>
              </w:rPr>
              <w:t>A</w:t>
            </w:r>
            <w:r w:rsidRPr="00EB1D9E">
              <w:rPr>
                <w:rFonts w:ascii="Garamond" w:hAnsi="Garamond" w:cs="Arial"/>
                <w:sz w:val="22"/>
                <w:szCs w:val="22"/>
              </w:rPr>
              <w:t xml:space="preserve">poyo </w:t>
            </w:r>
            <w:r>
              <w:rPr>
                <w:rFonts w:ascii="Garamond" w:hAnsi="Garamond" w:cs="Arial"/>
                <w:sz w:val="22"/>
                <w:szCs w:val="22"/>
              </w:rPr>
              <w:t>G</w:t>
            </w:r>
            <w:r w:rsidRPr="00EB1D9E">
              <w:rPr>
                <w:rFonts w:ascii="Garamond" w:hAnsi="Garamond" w:cs="Arial"/>
                <w:sz w:val="22"/>
                <w:szCs w:val="22"/>
              </w:rPr>
              <w:t>erencial</w:t>
            </w:r>
          </w:p>
        </w:tc>
      </w:tr>
    </w:tbl>
    <w:p w:rsidR="004E46AB" w:rsidRDefault="004E46AB" w:rsidP="004E46AB">
      <w:pPr>
        <w:jc w:val="both"/>
        <w:rPr>
          <w:rFonts w:eastAsia="WenQuanYi Micro Hei"/>
          <w:sz w:val="22"/>
          <w:szCs w:val="22"/>
          <w:lang w:val="es-MX" w:eastAsia="en-US"/>
        </w:rPr>
      </w:pPr>
    </w:p>
    <w:p w:rsidR="004E46AB" w:rsidRPr="00C75126" w:rsidRDefault="004E46AB" w:rsidP="004E46AB">
      <w:pPr>
        <w:jc w:val="both"/>
        <w:rPr>
          <w:rFonts w:ascii="Arial" w:hAnsi="Arial" w:cs="Arial"/>
          <w:sz w:val="22"/>
          <w:szCs w:val="22"/>
        </w:rPr>
      </w:pPr>
    </w:p>
    <w:p w:rsidR="004E46AB" w:rsidRPr="00C75126" w:rsidRDefault="004E46AB" w:rsidP="004E46AB">
      <w:pPr>
        <w:jc w:val="both"/>
        <w:rPr>
          <w:rFonts w:ascii="Arial" w:hAnsi="Arial" w:cs="Arial"/>
          <w:sz w:val="22"/>
          <w:szCs w:val="22"/>
        </w:rPr>
      </w:pPr>
      <w:r w:rsidRPr="00C75126">
        <w:rPr>
          <w:rFonts w:ascii="Arial" w:hAnsi="Arial" w:cs="Arial"/>
          <w:sz w:val="22"/>
          <w:szCs w:val="22"/>
        </w:rPr>
        <w:t>En cumplimiento del objeto del contrato, el contratista deberá “</w:t>
      </w:r>
      <w:r w:rsidRPr="003E5E0A">
        <w:rPr>
          <w:rFonts w:ascii="Arial" w:hAnsi="Arial" w:cs="Arial"/>
          <w:i/>
          <w:sz w:val="22"/>
          <w:szCs w:val="22"/>
        </w:rPr>
        <w:t xml:space="preserve">Realizar la interventoría técnica, administrativa, financiera y contable a la ejecución del contrato que se genere del </w:t>
      </w:r>
      <w:r w:rsidRPr="003E5E0A">
        <w:rPr>
          <w:rFonts w:ascii="Arial" w:hAnsi="Arial" w:cs="Arial"/>
          <w:i/>
          <w:sz w:val="22"/>
          <w:szCs w:val="22"/>
        </w:rPr>
        <w:lastRenderedPageBreak/>
        <w:t>proceso FDLE-LP-</w:t>
      </w:r>
      <w:r>
        <w:rPr>
          <w:rFonts w:ascii="Arial" w:hAnsi="Arial" w:cs="Arial"/>
          <w:i/>
          <w:sz w:val="22"/>
          <w:szCs w:val="22"/>
        </w:rPr>
        <w:t>289</w:t>
      </w:r>
      <w:r w:rsidRPr="003E5E0A">
        <w:rPr>
          <w:rFonts w:ascii="Arial" w:hAnsi="Arial" w:cs="Arial"/>
          <w:i/>
          <w:sz w:val="22"/>
          <w:szCs w:val="22"/>
        </w:rPr>
        <w:t>-2018, cuyo objeto es</w:t>
      </w:r>
      <w:r>
        <w:rPr>
          <w:rFonts w:ascii="Arial" w:hAnsi="Arial" w:cs="Arial"/>
          <w:i/>
          <w:sz w:val="22"/>
          <w:szCs w:val="22"/>
        </w:rPr>
        <w:t xml:space="preserve"> </w:t>
      </w:r>
      <w:r w:rsidRPr="002425AA">
        <w:rPr>
          <w:rFonts w:ascii="Arial" w:hAnsi="Arial" w:cs="Arial"/>
          <w:i/>
          <w:sz w:val="22"/>
          <w:szCs w:val="22"/>
        </w:rPr>
        <w:t>“Desarrollar acciones de prevención de la violencia y la discriminación de las mujeres de la localidad de Engativá.</w:t>
      </w:r>
      <w:r w:rsidRPr="00C75126">
        <w:rPr>
          <w:rFonts w:ascii="Arial" w:hAnsi="Arial" w:cs="Arial"/>
          <w:sz w:val="22"/>
          <w:szCs w:val="22"/>
        </w:rPr>
        <w:t>”, con el propósito de realizar el seguimiento y control al contrato principal, de conformidad con los presentes estudios previos.</w:t>
      </w:r>
    </w:p>
    <w:p w:rsidR="004E46AB" w:rsidRPr="00C75126" w:rsidRDefault="004E46AB" w:rsidP="004E46AB">
      <w:pPr>
        <w:jc w:val="both"/>
        <w:rPr>
          <w:rFonts w:ascii="Arial" w:hAnsi="Arial" w:cs="Arial"/>
          <w:sz w:val="22"/>
          <w:szCs w:val="22"/>
        </w:rPr>
      </w:pPr>
    </w:p>
    <w:p w:rsidR="004E46AB" w:rsidRPr="00E22366" w:rsidRDefault="004E46AB" w:rsidP="004E46AB">
      <w:pPr>
        <w:pStyle w:val="Ttulo1"/>
        <w:spacing w:before="0" w:after="0"/>
        <w:ind w:right="15"/>
        <w:rPr>
          <w:rFonts w:ascii="Arial" w:hAnsi="Arial" w:cs="Arial"/>
          <w:sz w:val="22"/>
          <w:szCs w:val="22"/>
        </w:rPr>
      </w:pPr>
      <w:r>
        <w:rPr>
          <w:rFonts w:ascii="Arial" w:hAnsi="Arial" w:cs="Arial"/>
          <w:sz w:val="22"/>
          <w:szCs w:val="22"/>
          <w:lang w:val="es-CO"/>
        </w:rPr>
        <w:t xml:space="preserve">1.3. </w:t>
      </w:r>
      <w:r w:rsidRPr="00E22366">
        <w:rPr>
          <w:rFonts w:ascii="Arial" w:hAnsi="Arial" w:cs="Arial"/>
          <w:sz w:val="22"/>
          <w:szCs w:val="22"/>
        </w:rPr>
        <w:t xml:space="preserve">Definición </w:t>
      </w:r>
      <w:r>
        <w:rPr>
          <w:rFonts w:ascii="Arial" w:hAnsi="Arial" w:cs="Arial"/>
          <w:sz w:val="22"/>
          <w:szCs w:val="22"/>
          <w:lang w:val="es-CO"/>
        </w:rPr>
        <w:t>y</w:t>
      </w:r>
      <w:r w:rsidRPr="00E22366">
        <w:rPr>
          <w:rFonts w:ascii="Arial" w:hAnsi="Arial" w:cs="Arial"/>
          <w:sz w:val="22"/>
          <w:szCs w:val="22"/>
        </w:rPr>
        <w:t xml:space="preserve"> Alcance </w:t>
      </w:r>
      <w:r>
        <w:rPr>
          <w:rFonts w:ascii="Arial" w:hAnsi="Arial" w:cs="Arial"/>
          <w:sz w:val="22"/>
          <w:szCs w:val="22"/>
          <w:lang w:val="es-CO"/>
        </w:rPr>
        <w:t xml:space="preserve">de los </w:t>
      </w:r>
      <w:r w:rsidRPr="00E22366">
        <w:rPr>
          <w:rFonts w:ascii="Arial" w:hAnsi="Arial" w:cs="Arial"/>
          <w:sz w:val="22"/>
          <w:szCs w:val="22"/>
        </w:rPr>
        <w:t>Procesos</w:t>
      </w:r>
      <w:r>
        <w:rPr>
          <w:rFonts w:ascii="Arial" w:hAnsi="Arial" w:cs="Arial"/>
          <w:sz w:val="22"/>
          <w:szCs w:val="22"/>
          <w:lang w:val="es-CO"/>
        </w:rPr>
        <w:t xml:space="preserve"> de </w:t>
      </w:r>
      <w:r w:rsidRPr="00E22366">
        <w:rPr>
          <w:rFonts w:ascii="Arial" w:hAnsi="Arial" w:cs="Arial"/>
          <w:sz w:val="22"/>
          <w:szCs w:val="22"/>
        </w:rPr>
        <w:t xml:space="preserve">Consultoría. </w:t>
      </w:r>
    </w:p>
    <w:p w:rsidR="004E46AB" w:rsidRPr="00A90D03" w:rsidRDefault="004E46AB" w:rsidP="004E46AB">
      <w:pPr>
        <w:pStyle w:val="Textoindependiente"/>
        <w:spacing w:line="240" w:lineRule="auto"/>
        <w:rPr>
          <w:rFonts w:ascii="Arial" w:hAnsi="Arial" w:cs="Arial"/>
          <w:i/>
          <w:sz w:val="22"/>
          <w:szCs w:val="22"/>
        </w:rPr>
      </w:pPr>
    </w:p>
    <w:p w:rsidR="004E46AB" w:rsidRPr="00E22366" w:rsidRDefault="004E46AB" w:rsidP="004E46AB">
      <w:pPr>
        <w:pStyle w:val="Textoindependiente"/>
        <w:spacing w:line="240" w:lineRule="auto"/>
        <w:rPr>
          <w:rFonts w:ascii="Arial" w:hAnsi="Arial" w:cs="Arial"/>
          <w:color w:val="252525"/>
          <w:sz w:val="22"/>
          <w:szCs w:val="22"/>
          <w:shd w:val="clear" w:color="auto" w:fill="FFFFFF"/>
        </w:rPr>
      </w:pPr>
      <w:r w:rsidRPr="00E22366">
        <w:rPr>
          <w:rFonts w:ascii="Arial" w:hAnsi="Arial" w:cs="Arial"/>
          <w:color w:val="252525"/>
          <w:sz w:val="22"/>
          <w:szCs w:val="22"/>
          <w:shd w:val="clear" w:color="auto" w:fill="FFFFFF"/>
        </w:rPr>
        <w:t>La</w:t>
      </w:r>
      <w:r w:rsidRPr="00E22366">
        <w:rPr>
          <w:rStyle w:val="apple-converted-space"/>
          <w:rFonts w:ascii="Arial" w:hAnsi="Arial" w:cs="Arial"/>
          <w:color w:val="252525"/>
          <w:sz w:val="22"/>
          <w:szCs w:val="22"/>
          <w:shd w:val="clear" w:color="auto" w:fill="FFFFFF"/>
        </w:rPr>
        <w:t> </w:t>
      </w:r>
      <w:r w:rsidRPr="00E22366">
        <w:rPr>
          <w:rFonts w:ascii="Arial" w:hAnsi="Arial" w:cs="Arial"/>
          <w:bCs/>
          <w:color w:val="252525"/>
          <w:sz w:val="22"/>
          <w:szCs w:val="22"/>
          <w:shd w:val="clear" w:color="auto" w:fill="FFFFFF"/>
        </w:rPr>
        <w:t>consultoría</w:t>
      </w:r>
      <w:r w:rsidRPr="00E22366">
        <w:rPr>
          <w:rStyle w:val="apple-converted-space"/>
          <w:rFonts w:ascii="Arial" w:hAnsi="Arial" w:cs="Arial"/>
          <w:color w:val="252525"/>
          <w:sz w:val="22"/>
          <w:szCs w:val="22"/>
          <w:shd w:val="clear" w:color="auto" w:fill="FFFFFF"/>
        </w:rPr>
        <w:t> </w:t>
      </w:r>
      <w:r w:rsidRPr="00E22366">
        <w:rPr>
          <w:rFonts w:ascii="Arial" w:hAnsi="Arial" w:cs="Arial"/>
          <w:color w:val="252525"/>
          <w:sz w:val="22"/>
          <w:szCs w:val="22"/>
          <w:shd w:val="clear" w:color="auto" w:fill="FFFFFF"/>
        </w:rPr>
        <w:t>es un servicio profesional prestado por empresas, o por profesionales en forma individual conocidas como consultoras o consultores respectivamente con experiencia o conocimiento específico en un área, asesorando personas, asesorando a otras empresas, a grupos de empresas, a países o a organizaciones en general.</w:t>
      </w:r>
    </w:p>
    <w:p w:rsidR="004E46AB" w:rsidRDefault="004E46AB" w:rsidP="004E46AB">
      <w:pPr>
        <w:pStyle w:val="Textoindependiente"/>
        <w:spacing w:line="240" w:lineRule="auto"/>
        <w:rPr>
          <w:rFonts w:ascii="Arial" w:hAnsi="Arial" w:cs="Arial"/>
          <w:i/>
          <w:color w:val="252525"/>
          <w:sz w:val="22"/>
          <w:szCs w:val="22"/>
          <w:shd w:val="clear" w:color="auto" w:fill="FFFFFF"/>
        </w:rPr>
      </w:pPr>
    </w:p>
    <w:p w:rsidR="004E46AB" w:rsidRDefault="004E46AB" w:rsidP="004E46AB">
      <w:pPr>
        <w:autoSpaceDE w:val="0"/>
        <w:autoSpaceDN w:val="0"/>
        <w:adjustRightInd w:val="0"/>
        <w:jc w:val="both"/>
        <w:rPr>
          <w:rFonts w:ascii="Arial" w:hAnsi="Arial" w:cs="Arial"/>
          <w:sz w:val="22"/>
          <w:szCs w:val="22"/>
        </w:rPr>
      </w:pPr>
      <w:r w:rsidRPr="00A90D03">
        <w:rPr>
          <w:rFonts w:ascii="Arial" w:hAnsi="Arial" w:cs="Arial"/>
          <w:sz w:val="22"/>
          <w:szCs w:val="22"/>
        </w:rPr>
        <w:t xml:space="preserve">Se identifican como </w:t>
      </w:r>
      <w:r>
        <w:rPr>
          <w:rFonts w:ascii="Arial" w:hAnsi="Arial" w:cs="Arial"/>
          <w:sz w:val="22"/>
          <w:szCs w:val="22"/>
        </w:rPr>
        <w:t>c</w:t>
      </w:r>
      <w:r w:rsidRPr="00A90D03">
        <w:rPr>
          <w:rFonts w:ascii="Arial" w:hAnsi="Arial" w:cs="Arial"/>
          <w:sz w:val="22"/>
          <w:szCs w:val="22"/>
        </w:rPr>
        <w:t xml:space="preserve">onsultores, a las diferentes empresas o entidades dedicadas a la actividad de la consultoría, las cuales se desempeñan principalmente en estudios de diagnóstico, </w:t>
      </w:r>
      <w:proofErr w:type="spellStart"/>
      <w:r w:rsidRPr="00A90D03">
        <w:rPr>
          <w:rFonts w:ascii="Arial" w:hAnsi="Arial" w:cs="Arial"/>
          <w:sz w:val="22"/>
          <w:szCs w:val="22"/>
        </w:rPr>
        <w:t>prefactibilidad</w:t>
      </w:r>
      <w:proofErr w:type="spellEnd"/>
      <w:r w:rsidRPr="00A90D03">
        <w:rPr>
          <w:rFonts w:ascii="Arial" w:hAnsi="Arial" w:cs="Arial"/>
          <w:sz w:val="22"/>
          <w:szCs w:val="22"/>
        </w:rPr>
        <w:t xml:space="preserve"> o factibilidad para programas o proyectos específicos, así como a las asesorías técnicas de coordinación, control y supervisión. Igualmente, las que se dedican a desarrollar la interventoría, asesoría, gerencia de obra o de proyectos, dirección, programación y la ejecución de diseños, planos, anteproyectos y proyectos</w:t>
      </w:r>
      <w:r>
        <w:rPr>
          <w:rFonts w:ascii="Arial" w:hAnsi="Arial" w:cs="Arial"/>
          <w:sz w:val="22"/>
          <w:szCs w:val="22"/>
        </w:rPr>
        <w:t>.</w:t>
      </w:r>
    </w:p>
    <w:p w:rsidR="004E46AB" w:rsidRDefault="004E46AB" w:rsidP="004E46AB">
      <w:pPr>
        <w:autoSpaceDE w:val="0"/>
        <w:autoSpaceDN w:val="0"/>
        <w:adjustRightInd w:val="0"/>
        <w:jc w:val="both"/>
        <w:rPr>
          <w:rFonts w:ascii="Arial" w:hAnsi="Arial" w:cs="Arial"/>
          <w:b/>
          <w:sz w:val="22"/>
          <w:szCs w:val="22"/>
        </w:rPr>
      </w:pPr>
    </w:p>
    <w:p w:rsidR="004E46AB" w:rsidRPr="00012413" w:rsidRDefault="004E46AB" w:rsidP="004E46AB">
      <w:pPr>
        <w:jc w:val="both"/>
        <w:rPr>
          <w:rFonts w:ascii="Arial" w:hAnsi="Arial" w:cs="Arial"/>
          <w:sz w:val="22"/>
          <w:szCs w:val="22"/>
          <w:lang w:eastAsia="es-CO"/>
        </w:rPr>
      </w:pPr>
      <w:r w:rsidRPr="00DB1C45">
        <w:rPr>
          <w:rFonts w:ascii="Arial" w:eastAsia="Calibri" w:hAnsi="Arial" w:cs="Arial"/>
          <w:color w:val="000000"/>
          <w:sz w:val="22"/>
          <w:szCs w:val="22"/>
          <w:lang w:eastAsia="en-US"/>
        </w:rPr>
        <w:t xml:space="preserve">La Consultoría involucra conocimientos teóricos y técnicas profesionales que sirven para resolver problemas prácticos de gestión, experiencia sobre las diferentes situaciones que se pueden presentar y requiere mantenerse actualizado sobre los conceptos, métodos y los sistemas relacionados con la gestión empresarial. </w:t>
      </w:r>
      <w:r w:rsidRPr="00012413">
        <w:rPr>
          <w:rFonts w:ascii="Arial" w:hAnsi="Arial" w:cs="Arial"/>
          <w:sz w:val="22"/>
          <w:szCs w:val="22"/>
          <w:lang w:eastAsia="es-CO"/>
        </w:rPr>
        <w:t>La identidad, la credibilidad y la reducción del riesgo en la prestación del servicio se pueden lograr solamente a partir de una buena organización y claridad en los conceptos.</w:t>
      </w:r>
    </w:p>
    <w:p w:rsidR="004E46AB" w:rsidRPr="00E22366" w:rsidRDefault="004E46AB" w:rsidP="004E46AB">
      <w:pPr>
        <w:pStyle w:val="Textoindependiente"/>
        <w:spacing w:line="240" w:lineRule="auto"/>
        <w:rPr>
          <w:rFonts w:ascii="Arial" w:hAnsi="Arial" w:cs="Arial"/>
          <w:color w:val="252525"/>
          <w:sz w:val="22"/>
          <w:szCs w:val="22"/>
          <w:shd w:val="clear" w:color="auto" w:fill="FFFFFF"/>
        </w:rPr>
      </w:pPr>
    </w:p>
    <w:p w:rsidR="004E46AB" w:rsidRPr="00012413" w:rsidRDefault="004E46AB" w:rsidP="004E46AB">
      <w:pPr>
        <w:autoSpaceDE w:val="0"/>
        <w:autoSpaceDN w:val="0"/>
        <w:adjustRightInd w:val="0"/>
        <w:jc w:val="both"/>
        <w:rPr>
          <w:rFonts w:ascii="Arial" w:hAnsi="Arial" w:cs="Arial"/>
          <w:sz w:val="22"/>
          <w:szCs w:val="22"/>
          <w:lang w:eastAsia="es-CO"/>
        </w:rPr>
      </w:pPr>
      <w:r>
        <w:rPr>
          <w:rFonts w:ascii="Arial" w:hAnsi="Arial" w:cs="Arial"/>
          <w:sz w:val="22"/>
          <w:szCs w:val="22"/>
          <w:lang w:eastAsia="es-CO"/>
        </w:rPr>
        <w:t xml:space="preserve">La interventoría es un proceso particular de consultoría en </w:t>
      </w:r>
      <w:r>
        <w:rPr>
          <w:rFonts w:ascii="Arial" w:eastAsia="Calibri" w:hAnsi="Arial" w:cs="Arial"/>
          <w:color w:val="000000"/>
          <w:sz w:val="22"/>
          <w:szCs w:val="22"/>
          <w:lang w:eastAsia="en-US"/>
        </w:rPr>
        <w:t>los cuales hay un</w:t>
      </w:r>
      <w:r w:rsidRPr="00DB1C45">
        <w:rPr>
          <w:rFonts w:ascii="Arial" w:eastAsia="Calibri" w:hAnsi="Arial" w:cs="Arial"/>
          <w:color w:val="000000"/>
          <w:sz w:val="22"/>
          <w:szCs w:val="22"/>
          <w:lang w:eastAsia="en-US"/>
        </w:rPr>
        <w:t xml:space="preserve"> acompañamiento de una empresa</w:t>
      </w:r>
      <w:r>
        <w:rPr>
          <w:rFonts w:ascii="Arial" w:eastAsia="Calibri" w:hAnsi="Arial" w:cs="Arial"/>
          <w:color w:val="000000"/>
          <w:sz w:val="22"/>
          <w:szCs w:val="22"/>
          <w:lang w:eastAsia="en-US"/>
        </w:rPr>
        <w:t xml:space="preserve"> (interventor)</w:t>
      </w:r>
      <w:r w:rsidRPr="00DB1C45">
        <w:rPr>
          <w:rFonts w:ascii="Arial" w:eastAsia="Calibri" w:hAnsi="Arial" w:cs="Arial"/>
          <w:color w:val="000000"/>
          <w:sz w:val="22"/>
          <w:szCs w:val="22"/>
          <w:lang w:eastAsia="en-US"/>
        </w:rPr>
        <w:t xml:space="preserve">, </w:t>
      </w:r>
      <w:r w:rsidRPr="00012413">
        <w:rPr>
          <w:rFonts w:ascii="Arial" w:hAnsi="Arial" w:cs="Arial"/>
          <w:sz w:val="22"/>
          <w:szCs w:val="22"/>
          <w:lang w:eastAsia="es-CO"/>
        </w:rPr>
        <w:t>durante el desarrollo de determinadas tareas</w:t>
      </w:r>
      <w:r w:rsidRPr="00DB1C45">
        <w:rPr>
          <w:rFonts w:ascii="Arial" w:eastAsia="Calibri" w:hAnsi="Arial" w:cs="Arial"/>
          <w:color w:val="000000"/>
          <w:sz w:val="22"/>
          <w:szCs w:val="22"/>
          <w:lang w:eastAsia="en-US"/>
        </w:rPr>
        <w:t xml:space="preserve"> hasta obtener resultados</w:t>
      </w:r>
      <w:r w:rsidRPr="00012413">
        <w:rPr>
          <w:rFonts w:ascii="Arial" w:hAnsi="Arial" w:cs="Arial"/>
          <w:sz w:val="22"/>
          <w:szCs w:val="22"/>
          <w:lang w:eastAsia="es-CO"/>
        </w:rPr>
        <w:t xml:space="preserve">. </w:t>
      </w:r>
      <w:r>
        <w:rPr>
          <w:rFonts w:ascii="Arial" w:hAnsi="Arial" w:cs="Arial"/>
          <w:sz w:val="22"/>
          <w:szCs w:val="22"/>
          <w:lang w:eastAsia="es-CO"/>
        </w:rPr>
        <w:t>Una de sus</w:t>
      </w:r>
      <w:r w:rsidRPr="00DB1C45">
        <w:rPr>
          <w:rFonts w:ascii="Arial" w:eastAsia="Calibri" w:hAnsi="Arial" w:cs="Arial"/>
          <w:color w:val="000000"/>
          <w:sz w:val="22"/>
          <w:szCs w:val="22"/>
          <w:lang w:eastAsia="en-US"/>
        </w:rPr>
        <w:t xml:space="preserve"> característica</w:t>
      </w:r>
      <w:r>
        <w:rPr>
          <w:rFonts w:ascii="Arial" w:eastAsia="Calibri" w:hAnsi="Arial" w:cs="Arial"/>
          <w:color w:val="000000"/>
          <w:sz w:val="22"/>
          <w:szCs w:val="22"/>
          <w:lang w:eastAsia="en-US"/>
        </w:rPr>
        <w:t>s principales</w:t>
      </w:r>
      <w:r w:rsidRPr="00DB1C45">
        <w:rPr>
          <w:rFonts w:ascii="Arial" w:eastAsia="Calibri" w:hAnsi="Arial" w:cs="Arial"/>
          <w:color w:val="000000"/>
          <w:sz w:val="22"/>
          <w:szCs w:val="22"/>
          <w:lang w:eastAsia="en-US"/>
        </w:rPr>
        <w:t xml:space="preserve"> es que se trata de un servicio de asesoría temporal, se realiza en un plazo determinado, ciñéndose casi siempre al cumplimiento de un plan u objetivo de la empresa.</w:t>
      </w:r>
      <w:r>
        <w:rPr>
          <w:rFonts w:ascii="Arial" w:eastAsia="Calibri" w:hAnsi="Arial" w:cs="Arial"/>
          <w:color w:val="000000"/>
          <w:sz w:val="22"/>
          <w:szCs w:val="22"/>
          <w:lang w:eastAsia="en-US"/>
        </w:rPr>
        <w:t xml:space="preserve"> </w:t>
      </w:r>
      <w:r>
        <w:rPr>
          <w:rFonts w:ascii="Arial" w:hAnsi="Arial" w:cs="Arial"/>
          <w:sz w:val="22"/>
          <w:szCs w:val="22"/>
          <w:lang w:eastAsia="es-CO"/>
        </w:rPr>
        <w:t xml:space="preserve">De esta forma, el interventor </w:t>
      </w:r>
      <w:r w:rsidRPr="00012413">
        <w:rPr>
          <w:rFonts w:ascii="Arial" w:hAnsi="Arial" w:cs="Arial"/>
          <w:sz w:val="22"/>
          <w:szCs w:val="22"/>
          <w:lang w:eastAsia="es-CO"/>
        </w:rPr>
        <w:t>presta un soporte o apoyo externo en el seguimiento y control a la ejecución de proyectos de inversión, que para el caso de las entidades públicas, en su mayoría se refieren al sector de la infraestructura, siendo mucho menos numeroso los que realizan interventorías a proyectos sociales.</w:t>
      </w:r>
    </w:p>
    <w:p w:rsidR="004E46AB" w:rsidRDefault="004E46AB" w:rsidP="004E46AB">
      <w:pPr>
        <w:autoSpaceDE w:val="0"/>
        <w:autoSpaceDN w:val="0"/>
        <w:adjustRightInd w:val="0"/>
        <w:jc w:val="both"/>
        <w:rPr>
          <w:rFonts w:ascii="Arial" w:hAnsi="Arial" w:cs="Arial"/>
          <w:b/>
          <w:sz w:val="22"/>
          <w:szCs w:val="22"/>
        </w:rPr>
      </w:pPr>
    </w:p>
    <w:p w:rsidR="004E46AB" w:rsidRPr="00233564" w:rsidRDefault="004E46AB" w:rsidP="004E46AB">
      <w:pPr>
        <w:numPr>
          <w:ilvl w:val="0"/>
          <w:numId w:val="35"/>
        </w:numPr>
        <w:jc w:val="both"/>
        <w:rPr>
          <w:rFonts w:ascii="Arial" w:hAnsi="Arial" w:cs="Arial"/>
          <w:b/>
          <w:sz w:val="22"/>
          <w:szCs w:val="22"/>
        </w:rPr>
      </w:pPr>
      <w:r w:rsidRPr="00DB1C45">
        <w:rPr>
          <w:rFonts w:ascii="Arial" w:hAnsi="Arial" w:cs="Arial"/>
          <w:b/>
          <w:sz w:val="22"/>
          <w:szCs w:val="22"/>
        </w:rPr>
        <w:t>ASPECTO</w:t>
      </w:r>
      <w:r>
        <w:rPr>
          <w:rFonts w:ascii="Arial" w:hAnsi="Arial" w:cs="Arial"/>
          <w:b/>
          <w:sz w:val="22"/>
          <w:szCs w:val="22"/>
        </w:rPr>
        <w:t>S</w:t>
      </w:r>
      <w:r w:rsidRPr="00DB1C45">
        <w:rPr>
          <w:rFonts w:ascii="Arial" w:hAnsi="Arial" w:cs="Arial"/>
          <w:b/>
          <w:sz w:val="22"/>
          <w:szCs w:val="22"/>
        </w:rPr>
        <w:t xml:space="preserve"> ECONÓMICO</w:t>
      </w:r>
      <w:r>
        <w:rPr>
          <w:rFonts w:ascii="Arial" w:hAnsi="Arial" w:cs="Arial"/>
          <w:b/>
          <w:sz w:val="22"/>
          <w:szCs w:val="22"/>
        </w:rPr>
        <w:t xml:space="preserve">S GENERALES: </w:t>
      </w:r>
      <w:r w:rsidRPr="00233564">
        <w:rPr>
          <w:rFonts w:ascii="Arial" w:hAnsi="Arial" w:cs="Arial"/>
          <w:b/>
          <w:sz w:val="22"/>
          <w:szCs w:val="22"/>
        </w:rPr>
        <w:t xml:space="preserve">COMPORTAMIENTO DEL PIB Y DE LAS PRINCIPALES VARIABLES MACROECONÓMICAS </w:t>
      </w:r>
    </w:p>
    <w:p w:rsidR="004E46AB" w:rsidRDefault="004E46AB" w:rsidP="004E46AB">
      <w:pPr>
        <w:autoSpaceDE w:val="0"/>
        <w:autoSpaceDN w:val="0"/>
        <w:adjustRightInd w:val="0"/>
        <w:contextualSpacing/>
        <w:jc w:val="both"/>
        <w:rPr>
          <w:rFonts w:ascii="Arial" w:hAnsi="Arial" w:cs="Arial"/>
          <w:b/>
          <w:sz w:val="22"/>
          <w:szCs w:val="22"/>
          <w:lang w:val="x-none"/>
        </w:rPr>
      </w:pPr>
    </w:p>
    <w:p w:rsidR="004E46AB" w:rsidRDefault="004E46AB" w:rsidP="004E46AB">
      <w:pPr>
        <w:autoSpaceDE w:val="0"/>
        <w:autoSpaceDN w:val="0"/>
        <w:adjustRightInd w:val="0"/>
        <w:contextualSpacing/>
        <w:jc w:val="both"/>
        <w:rPr>
          <w:rFonts w:ascii="Arial" w:hAnsi="Arial" w:cs="Arial"/>
          <w:b/>
          <w:sz w:val="22"/>
          <w:szCs w:val="22"/>
          <w:lang w:val="x-none"/>
        </w:rPr>
      </w:pPr>
    </w:p>
    <w:p w:rsidR="004E46AB" w:rsidRDefault="004E46AB" w:rsidP="004E46AB">
      <w:pPr>
        <w:spacing w:after="240" w:line="276" w:lineRule="auto"/>
        <w:jc w:val="both"/>
        <w:rPr>
          <w:rFonts w:ascii="Arial" w:hAnsi="Arial" w:cs="Arial"/>
          <w:sz w:val="22"/>
          <w:szCs w:val="22"/>
        </w:rPr>
      </w:pPr>
      <w:r>
        <w:rPr>
          <w:rFonts w:ascii="Arial" w:hAnsi="Arial" w:cs="Arial"/>
          <w:sz w:val="22"/>
          <w:szCs w:val="22"/>
        </w:rPr>
        <w:t>A continuación, se presenta el comportamiento de las principales variables macroeconómicas y se hace un análisis de las implicaciones que puede tener sobre el sector asociado al objeto del proceso de contratación por el FDLE.</w:t>
      </w:r>
    </w:p>
    <w:p w:rsidR="004E46AB" w:rsidRPr="00B26329" w:rsidRDefault="004E46AB" w:rsidP="00D21C50">
      <w:pPr>
        <w:spacing w:after="240" w:line="276" w:lineRule="auto"/>
        <w:jc w:val="both"/>
        <w:rPr>
          <w:rFonts w:ascii="Arial" w:hAnsi="Arial" w:cs="Arial"/>
          <w:b/>
          <w:bCs/>
          <w:vanish/>
          <w:sz w:val="22"/>
          <w:szCs w:val="26"/>
          <w:lang w:val="x-none"/>
        </w:rPr>
      </w:pPr>
      <w:r>
        <w:rPr>
          <w:rFonts w:ascii="Arial" w:hAnsi="Arial" w:cs="Arial"/>
          <w:sz w:val="22"/>
          <w:szCs w:val="22"/>
        </w:rPr>
        <w:lastRenderedPageBreak/>
        <w:tab/>
      </w:r>
    </w:p>
    <w:p w:rsidR="004E46AB" w:rsidRPr="00B26329" w:rsidRDefault="004E46AB" w:rsidP="004E46AB">
      <w:pPr>
        <w:pStyle w:val="Prrafodelista"/>
        <w:keepNext/>
        <w:keepLines/>
        <w:numPr>
          <w:ilvl w:val="0"/>
          <w:numId w:val="40"/>
        </w:numPr>
        <w:tabs>
          <w:tab w:val="left" w:pos="1500"/>
        </w:tabs>
        <w:suppressAutoHyphens/>
        <w:spacing w:before="40" w:line="276" w:lineRule="auto"/>
        <w:outlineLvl w:val="2"/>
        <w:rPr>
          <w:rFonts w:ascii="Arial" w:hAnsi="Arial" w:cs="Arial"/>
          <w:b/>
          <w:bCs/>
          <w:vanish/>
          <w:sz w:val="22"/>
          <w:szCs w:val="26"/>
          <w:lang w:val="x-none"/>
        </w:rPr>
      </w:pPr>
    </w:p>
    <w:p w:rsidR="004E46AB" w:rsidRDefault="004E46AB" w:rsidP="004E46AB">
      <w:pPr>
        <w:pStyle w:val="Ttulo3"/>
        <w:keepLines/>
        <w:numPr>
          <w:ilvl w:val="1"/>
          <w:numId w:val="40"/>
        </w:numPr>
        <w:tabs>
          <w:tab w:val="left" w:pos="709"/>
        </w:tabs>
        <w:suppressAutoHyphens/>
        <w:spacing w:before="40" w:after="0" w:line="276" w:lineRule="auto"/>
        <w:ind w:left="142"/>
        <w:rPr>
          <w:rFonts w:ascii="Arial" w:hAnsi="Arial" w:cs="Arial"/>
          <w:b w:val="0"/>
          <w:sz w:val="22"/>
        </w:rPr>
      </w:pPr>
      <w:r w:rsidRPr="004D65AB">
        <w:rPr>
          <w:rFonts w:ascii="Arial" w:hAnsi="Arial" w:cs="Arial"/>
          <w:sz w:val="22"/>
        </w:rPr>
        <w:t>Producto Interno Bruto</w:t>
      </w:r>
    </w:p>
    <w:p w:rsidR="004E46AB" w:rsidRPr="004D65AB" w:rsidRDefault="004E46AB" w:rsidP="004E46AB"/>
    <w:p w:rsidR="004E46AB" w:rsidRDefault="004E46AB" w:rsidP="004E46AB">
      <w:pPr>
        <w:spacing w:line="276" w:lineRule="auto"/>
        <w:jc w:val="both"/>
        <w:rPr>
          <w:rFonts w:ascii="Arial" w:hAnsi="Arial" w:cs="Arial"/>
          <w:sz w:val="22"/>
          <w:szCs w:val="22"/>
        </w:rPr>
      </w:pPr>
      <w:r w:rsidRPr="00F9720C">
        <w:rPr>
          <w:rFonts w:ascii="Arial" w:hAnsi="Arial" w:cs="Arial"/>
          <w:sz w:val="22"/>
          <w:szCs w:val="22"/>
        </w:rPr>
        <w:t>La actividad económica reportada en las cuentas nacionales anuales d</w:t>
      </w:r>
      <w:r>
        <w:rPr>
          <w:rFonts w:ascii="Arial" w:hAnsi="Arial" w:cs="Arial"/>
          <w:sz w:val="22"/>
          <w:szCs w:val="22"/>
        </w:rPr>
        <w:t>el DANE para Colombia en el 2017</w:t>
      </w:r>
      <w:r w:rsidRPr="00F9720C">
        <w:rPr>
          <w:rFonts w:ascii="Arial" w:hAnsi="Arial" w:cs="Arial"/>
          <w:sz w:val="22"/>
          <w:szCs w:val="22"/>
        </w:rPr>
        <w:t>pr</w:t>
      </w:r>
      <w:r>
        <w:rPr>
          <w:rStyle w:val="Refdenotaalpie"/>
          <w:rFonts w:ascii="Arial" w:eastAsiaTheme="majorEastAsia" w:hAnsi="Arial" w:cs="Arial"/>
          <w:sz w:val="22"/>
          <w:szCs w:val="22"/>
        </w:rPr>
        <w:footnoteReference w:id="1"/>
      </w:r>
      <w:r>
        <w:rPr>
          <w:rFonts w:ascii="Arial" w:hAnsi="Arial" w:cs="Arial"/>
          <w:sz w:val="22"/>
          <w:szCs w:val="22"/>
        </w:rPr>
        <w:t>,</w:t>
      </w:r>
      <w:r w:rsidRPr="00F9720C">
        <w:rPr>
          <w:rFonts w:ascii="Arial" w:hAnsi="Arial" w:cs="Arial"/>
          <w:sz w:val="22"/>
          <w:szCs w:val="22"/>
        </w:rPr>
        <w:t xml:space="preserve"> </w:t>
      </w:r>
      <w:r>
        <w:rPr>
          <w:rFonts w:ascii="Arial" w:hAnsi="Arial" w:cs="Arial"/>
          <w:sz w:val="22"/>
          <w:szCs w:val="22"/>
        </w:rPr>
        <w:t xml:space="preserve">si bien siguen siendo positivas, </w:t>
      </w:r>
      <w:r w:rsidRPr="00F9720C">
        <w:rPr>
          <w:rFonts w:ascii="Arial" w:hAnsi="Arial" w:cs="Arial"/>
          <w:sz w:val="22"/>
          <w:szCs w:val="22"/>
        </w:rPr>
        <w:t xml:space="preserve">presenta </w:t>
      </w:r>
      <w:r>
        <w:rPr>
          <w:rFonts w:ascii="Arial" w:hAnsi="Arial" w:cs="Arial"/>
          <w:sz w:val="22"/>
          <w:szCs w:val="22"/>
        </w:rPr>
        <w:t xml:space="preserve">una tendencia descendente </w:t>
      </w:r>
      <w:r w:rsidRPr="00F9720C">
        <w:rPr>
          <w:rFonts w:ascii="Arial" w:hAnsi="Arial" w:cs="Arial"/>
          <w:sz w:val="22"/>
          <w:szCs w:val="22"/>
        </w:rPr>
        <w:t>en las tasas de crecimiento del Producto Interno Bruto</w:t>
      </w:r>
      <w:r>
        <w:rPr>
          <w:rFonts w:ascii="Arial" w:hAnsi="Arial" w:cs="Arial"/>
          <w:sz w:val="22"/>
          <w:szCs w:val="22"/>
        </w:rPr>
        <w:t>,</w:t>
      </w:r>
      <w:r w:rsidRPr="00F9720C">
        <w:rPr>
          <w:rFonts w:ascii="Arial" w:hAnsi="Arial" w:cs="Arial"/>
          <w:sz w:val="22"/>
          <w:szCs w:val="22"/>
        </w:rPr>
        <w:t xml:space="preserve"> pasando </w:t>
      </w:r>
      <w:r>
        <w:rPr>
          <w:rFonts w:ascii="Arial" w:hAnsi="Arial" w:cs="Arial"/>
          <w:sz w:val="22"/>
          <w:szCs w:val="22"/>
        </w:rPr>
        <w:t>de un crecimiento promedio del 3.6% en los últimos diez años, a un crecimiento de 1.8% en el 2017</w:t>
      </w:r>
      <w:r w:rsidRPr="00F9720C">
        <w:rPr>
          <w:rFonts w:ascii="Arial" w:hAnsi="Arial" w:cs="Arial"/>
          <w:sz w:val="22"/>
          <w:szCs w:val="22"/>
        </w:rPr>
        <w:t>.</w:t>
      </w:r>
      <w:r w:rsidRPr="007C2967">
        <w:rPr>
          <w:rFonts w:ascii="Arial" w:hAnsi="Arial" w:cs="Arial"/>
          <w:sz w:val="22"/>
          <w:szCs w:val="22"/>
        </w:rPr>
        <w:tab/>
      </w:r>
    </w:p>
    <w:p w:rsidR="004E46AB" w:rsidRPr="000627D1" w:rsidRDefault="004E46AB" w:rsidP="004E46AB">
      <w:pPr>
        <w:spacing w:line="276" w:lineRule="auto"/>
        <w:jc w:val="both"/>
        <w:rPr>
          <w:rFonts w:ascii="Arial" w:hAnsi="Arial" w:cs="Arial"/>
          <w:sz w:val="16"/>
          <w:szCs w:val="22"/>
        </w:rPr>
      </w:pPr>
    </w:p>
    <w:p w:rsidR="004E46AB" w:rsidRPr="00F9720C" w:rsidRDefault="004E46AB" w:rsidP="004E46AB">
      <w:pPr>
        <w:spacing w:after="240" w:line="276" w:lineRule="auto"/>
        <w:rPr>
          <w:rFonts w:ascii="Arial" w:hAnsi="Arial" w:cs="Arial"/>
          <w:b/>
          <w:iCs/>
        </w:rPr>
      </w:pPr>
      <w:r w:rsidRPr="00F9720C">
        <w:rPr>
          <w:rFonts w:ascii="Arial" w:hAnsi="Arial" w:cs="Arial"/>
          <w:b/>
          <w:iCs/>
          <w:lang w:val="es-UY"/>
        </w:rPr>
        <w:t>Gráfica</w:t>
      </w:r>
      <w:r w:rsidRPr="008F7E9E">
        <w:rPr>
          <w:rFonts w:ascii="Arial" w:hAnsi="Arial" w:cs="Arial"/>
          <w:b/>
          <w:iCs/>
        </w:rPr>
        <w:t xml:space="preserve"> </w:t>
      </w:r>
      <w:r w:rsidRPr="00F9720C">
        <w:rPr>
          <w:rFonts w:ascii="Arial" w:hAnsi="Arial" w:cs="Arial"/>
          <w:b/>
          <w:iCs/>
          <w:lang w:val="en-US"/>
        </w:rPr>
        <w:fldChar w:fldCharType="begin"/>
      </w:r>
      <w:r w:rsidRPr="008F7E9E">
        <w:rPr>
          <w:rFonts w:ascii="Arial" w:hAnsi="Arial" w:cs="Arial"/>
          <w:b/>
          <w:iCs/>
        </w:rPr>
        <w:instrText xml:space="preserve"> SEQ Gráfica \* ARABIC </w:instrText>
      </w:r>
      <w:r w:rsidRPr="00F9720C">
        <w:rPr>
          <w:rFonts w:ascii="Arial" w:hAnsi="Arial" w:cs="Arial"/>
          <w:b/>
          <w:iCs/>
          <w:lang w:val="en-US"/>
        </w:rPr>
        <w:fldChar w:fldCharType="separate"/>
      </w:r>
      <w:r>
        <w:rPr>
          <w:rFonts w:ascii="Arial" w:hAnsi="Arial" w:cs="Arial"/>
          <w:b/>
          <w:iCs/>
          <w:noProof/>
        </w:rPr>
        <w:t>1</w:t>
      </w:r>
      <w:r w:rsidRPr="00F9720C">
        <w:rPr>
          <w:rFonts w:ascii="Arial" w:hAnsi="Arial" w:cs="Arial"/>
        </w:rPr>
        <w:fldChar w:fldCharType="end"/>
      </w:r>
      <w:r w:rsidRPr="008F7E9E">
        <w:rPr>
          <w:rFonts w:ascii="Arial" w:hAnsi="Arial" w:cs="Arial"/>
          <w:b/>
          <w:iCs/>
        </w:rPr>
        <w:t>.</w:t>
      </w:r>
      <w:r w:rsidRPr="00F9720C">
        <w:rPr>
          <w:rFonts w:ascii="Arial" w:hAnsi="Arial" w:cs="Arial"/>
          <w:b/>
          <w:iCs/>
        </w:rPr>
        <w:t xml:space="preserve"> Tasa de crecimiento del</w:t>
      </w:r>
      <w:r>
        <w:rPr>
          <w:rFonts w:ascii="Arial" w:hAnsi="Arial" w:cs="Arial"/>
          <w:b/>
          <w:iCs/>
        </w:rPr>
        <w:t xml:space="preserve"> PIB a precios constantes de 201</w:t>
      </w:r>
      <w:r w:rsidRPr="00F9720C">
        <w:rPr>
          <w:rFonts w:ascii="Arial" w:hAnsi="Arial" w:cs="Arial"/>
          <w:b/>
          <w:iCs/>
        </w:rPr>
        <w:t xml:space="preserve">5 por encadenamiento </w:t>
      </w:r>
    </w:p>
    <w:p w:rsidR="004E46AB" w:rsidRPr="00F9720C" w:rsidRDefault="004E46AB" w:rsidP="004E46AB">
      <w:pPr>
        <w:spacing w:line="276" w:lineRule="auto"/>
        <w:jc w:val="center"/>
        <w:rPr>
          <w:rFonts w:ascii="Arial" w:hAnsi="Arial" w:cs="Arial"/>
        </w:rPr>
      </w:pPr>
      <w:r w:rsidRPr="00D944F3">
        <w:rPr>
          <w:rFonts w:ascii="Arial" w:hAnsi="Arial" w:cs="Arial"/>
          <w:noProof/>
          <w:lang w:eastAsia="es-CO"/>
        </w:rPr>
        <w:drawing>
          <wp:inline distT="0" distB="0" distL="0" distR="0" wp14:anchorId="6741A484" wp14:editId="5C5143A7">
            <wp:extent cx="4445000" cy="2353310"/>
            <wp:effectExtent l="0" t="0" r="0" b="8890"/>
            <wp:docPr id="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5000" cy="2353310"/>
                    </a:xfrm>
                    <a:prstGeom prst="rect">
                      <a:avLst/>
                    </a:prstGeom>
                    <a:noFill/>
                    <a:ln>
                      <a:noFill/>
                    </a:ln>
                  </pic:spPr>
                </pic:pic>
              </a:graphicData>
            </a:graphic>
          </wp:inline>
        </w:drawing>
      </w:r>
    </w:p>
    <w:p w:rsidR="004E46AB" w:rsidRPr="00F9720C" w:rsidRDefault="004E46AB" w:rsidP="004E46AB">
      <w:pPr>
        <w:spacing w:line="276" w:lineRule="auto"/>
        <w:jc w:val="center"/>
        <w:rPr>
          <w:rFonts w:ascii="Arial" w:hAnsi="Arial" w:cs="Arial"/>
        </w:rPr>
      </w:pPr>
      <w:r w:rsidRPr="000907E9">
        <w:rPr>
          <w:rFonts w:ascii="Arial" w:hAnsi="Arial" w:cs="Arial"/>
          <w:sz w:val="18"/>
        </w:rPr>
        <w:t>Fuente. DANE, Dirección de Síntesis y Cuentas Nacionales.</w:t>
      </w:r>
    </w:p>
    <w:p w:rsidR="004E46AB" w:rsidRDefault="004E46AB" w:rsidP="004E46AB">
      <w:pPr>
        <w:spacing w:line="276" w:lineRule="auto"/>
        <w:jc w:val="both"/>
        <w:rPr>
          <w:rFonts w:ascii="Arial" w:hAnsi="Arial" w:cs="Arial"/>
          <w:sz w:val="22"/>
          <w:szCs w:val="22"/>
        </w:rPr>
      </w:pPr>
    </w:p>
    <w:p w:rsidR="004E46AB" w:rsidRDefault="004E46AB" w:rsidP="004E46AB">
      <w:pPr>
        <w:spacing w:line="276" w:lineRule="auto"/>
        <w:jc w:val="both"/>
        <w:rPr>
          <w:rFonts w:ascii="Arial" w:hAnsi="Arial" w:cs="Arial"/>
          <w:sz w:val="22"/>
          <w:szCs w:val="22"/>
        </w:rPr>
      </w:pPr>
    </w:p>
    <w:p w:rsidR="004E46AB" w:rsidRPr="000F1850" w:rsidRDefault="004E46AB" w:rsidP="004E46AB">
      <w:pPr>
        <w:spacing w:line="276" w:lineRule="auto"/>
        <w:jc w:val="both"/>
        <w:rPr>
          <w:rFonts w:ascii="Arial" w:hAnsi="Arial" w:cs="Arial"/>
          <w:sz w:val="22"/>
          <w:szCs w:val="22"/>
        </w:rPr>
      </w:pPr>
      <w:r w:rsidRPr="000F1850">
        <w:rPr>
          <w:rFonts w:ascii="Arial" w:hAnsi="Arial" w:cs="Arial"/>
          <w:sz w:val="22"/>
          <w:szCs w:val="22"/>
        </w:rPr>
        <w:t>Para el 2017 la rama de actividades financieras y de seguros fue la de mayor crecimiento con 6.9% mientras que minas y canteras fue la rama que reportó menor crecimiento con una caída del 4.3%. Por su parte la gran rama de “Actividades profesionales, científicas y técnicas; Actividades de servicios administrativos y de apoyo” en la cual se engloba las actividades de interventoría presentó un crecimiento superior al promedio nacional con un 3,5% (gráfica 2).</w:t>
      </w:r>
    </w:p>
    <w:p w:rsidR="004E46AB" w:rsidRPr="000F1850" w:rsidRDefault="004E46AB" w:rsidP="004E46AB">
      <w:pPr>
        <w:spacing w:line="276" w:lineRule="auto"/>
        <w:rPr>
          <w:rFonts w:ascii="Arial" w:hAnsi="Arial" w:cs="Arial"/>
          <w:b/>
          <w:iCs/>
          <w:sz w:val="16"/>
          <w:lang w:val="es-UY"/>
        </w:rPr>
      </w:pPr>
    </w:p>
    <w:p w:rsidR="004E46AB" w:rsidRPr="000F1850" w:rsidRDefault="004E46AB" w:rsidP="004E46AB">
      <w:pPr>
        <w:spacing w:line="276" w:lineRule="auto"/>
        <w:jc w:val="both"/>
        <w:rPr>
          <w:rFonts w:ascii="Arial" w:hAnsi="Arial" w:cs="Arial"/>
          <w:sz w:val="22"/>
          <w:szCs w:val="22"/>
        </w:rPr>
      </w:pPr>
      <w:r w:rsidRPr="000F1850">
        <w:rPr>
          <w:rFonts w:ascii="Arial" w:hAnsi="Arial" w:cs="Arial"/>
          <w:sz w:val="22"/>
          <w:szCs w:val="22"/>
        </w:rPr>
        <w:t xml:space="preserve">Según la información histórica publicada por el DANE, el crecimiento del sector de Actividades de servicios administrativos y de apoyo creció 3,4% en el 2017, recuperándose luego de una fuerte caída en el 2016 del -2,0% y  manteniendo el crecimiento promedio los últimos 10 años, lo anterior se explica en la medida que el sector servicios depende de manera importante del funcionamiento del sector real (gráfica 3). </w:t>
      </w:r>
    </w:p>
    <w:p w:rsidR="004E46AB" w:rsidRPr="000F1850" w:rsidRDefault="004E46AB" w:rsidP="004E46AB">
      <w:pPr>
        <w:spacing w:line="276" w:lineRule="auto"/>
        <w:jc w:val="both"/>
        <w:rPr>
          <w:rFonts w:ascii="Arial" w:hAnsi="Arial" w:cs="Arial"/>
          <w:sz w:val="22"/>
          <w:szCs w:val="22"/>
        </w:rPr>
      </w:pPr>
    </w:p>
    <w:p w:rsidR="004E46AB" w:rsidRPr="0099021B" w:rsidRDefault="004E46AB" w:rsidP="004E46AB">
      <w:pPr>
        <w:spacing w:line="276" w:lineRule="auto"/>
        <w:jc w:val="both"/>
        <w:rPr>
          <w:rFonts w:ascii="Arial" w:hAnsi="Arial" w:cs="Arial"/>
          <w:sz w:val="22"/>
          <w:szCs w:val="22"/>
        </w:rPr>
      </w:pPr>
      <w:r w:rsidRPr="000F1850">
        <w:rPr>
          <w:rFonts w:ascii="Arial" w:hAnsi="Arial" w:cs="Arial"/>
          <w:sz w:val="22"/>
          <w:szCs w:val="22"/>
        </w:rPr>
        <w:lastRenderedPageBreak/>
        <w:t xml:space="preserve">Vale la pena mencionar también que para el 2018, según las cuentas trimestrales </w:t>
      </w:r>
      <w:proofErr w:type="spellStart"/>
      <w:r w:rsidRPr="000F1850">
        <w:rPr>
          <w:rFonts w:ascii="Arial" w:hAnsi="Arial" w:cs="Arial"/>
          <w:sz w:val="22"/>
          <w:szCs w:val="22"/>
        </w:rPr>
        <w:t>desestacionalizadas</w:t>
      </w:r>
      <w:proofErr w:type="spellEnd"/>
      <w:r w:rsidRPr="000F1850">
        <w:rPr>
          <w:rFonts w:ascii="Arial" w:hAnsi="Arial" w:cs="Arial"/>
          <w:sz w:val="22"/>
          <w:szCs w:val="22"/>
        </w:rPr>
        <w:t>, el sector ha continuado con el proceso de recuperación con crecimientos de 1,7% y 2,5 en el I y II trimestre respectivamente.</w:t>
      </w:r>
    </w:p>
    <w:p w:rsidR="004E46AB" w:rsidRDefault="004E46AB" w:rsidP="004E46AB">
      <w:pPr>
        <w:spacing w:line="276" w:lineRule="auto"/>
        <w:jc w:val="both"/>
        <w:rPr>
          <w:rFonts w:ascii="Arial" w:hAnsi="Arial" w:cs="Arial"/>
          <w:sz w:val="14"/>
          <w:szCs w:val="22"/>
        </w:rPr>
      </w:pPr>
    </w:p>
    <w:p w:rsidR="004E46AB" w:rsidRPr="00556E00" w:rsidRDefault="004E46AB" w:rsidP="004E46AB">
      <w:pPr>
        <w:spacing w:line="276" w:lineRule="auto"/>
        <w:jc w:val="both"/>
        <w:rPr>
          <w:rFonts w:ascii="Arial" w:hAnsi="Arial" w:cs="Arial"/>
          <w:sz w:val="14"/>
          <w:szCs w:val="22"/>
        </w:rPr>
      </w:pPr>
    </w:p>
    <w:p w:rsidR="004E46AB" w:rsidRDefault="004E46AB" w:rsidP="004E46AB">
      <w:pPr>
        <w:spacing w:line="276" w:lineRule="auto"/>
        <w:rPr>
          <w:rFonts w:ascii="Arial" w:hAnsi="Arial" w:cs="Arial"/>
          <w:b/>
          <w:iCs/>
        </w:rPr>
      </w:pPr>
      <w:r w:rsidRPr="00F9720C">
        <w:rPr>
          <w:rFonts w:ascii="Arial" w:hAnsi="Arial" w:cs="Arial"/>
          <w:b/>
          <w:iCs/>
          <w:lang w:val="es-UY"/>
        </w:rPr>
        <w:t>Gráfica</w:t>
      </w:r>
      <w:r w:rsidRPr="008F7E9E">
        <w:rPr>
          <w:rFonts w:ascii="Arial" w:hAnsi="Arial" w:cs="Arial"/>
          <w:b/>
          <w:iCs/>
        </w:rPr>
        <w:t xml:space="preserve"> </w:t>
      </w:r>
      <w:r w:rsidRPr="00F9720C">
        <w:rPr>
          <w:rFonts w:ascii="Arial" w:hAnsi="Arial" w:cs="Arial"/>
          <w:b/>
          <w:iCs/>
          <w:lang w:val="en-US"/>
        </w:rPr>
        <w:fldChar w:fldCharType="begin"/>
      </w:r>
      <w:r w:rsidRPr="008F7E9E">
        <w:rPr>
          <w:rFonts w:ascii="Arial" w:hAnsi="Arial" w:cs="Arial"/>
          <w:b/>
          <w:iCs/>
        </w:rPr>
        <w:instrText xml:space="preserve"> SEQ Gráfica \* ARABIC </w:instrText>
      </w:r>
      <w:r w:rsidRPr="00F9720C">
        <w:rPr>
          <w:rFonts w:ascii="Arial" w:hAnsi="Arial" w:cs="Arial"/>
          <w:b/>
          <w:iCs/>
          <w:lang w:val="en-US"/>
        </w:rPr>
        <w:fldChar w:fldCharType="separate"/>
      </w:r>
      <w:r>
        <w:rPr>
          <w:rFonts w:ascii="Arial" w:hAnsi="Arial" w:cs="Arial"/>
          <w:b/>
          <w:iCs/>
          <w:noProof/>
        </w:rPr>
        <w:t>2</w:t>
      </w:r>
      <w:r w:rsidRPr="00F9720C">
        <w:rPr>
          <w:rFonts w:ascii="Arial" w:hAnsi="Arial" w:cs="Arial"/>
        </w:rPr>
        <w:fldChar w:fldCharType="end"/>
      </w:r>
      <w:r w:rsidRPr="008F7E9E">
        <w:rPr>
          <w:rFonts w:ascii="Arial" w:hAnsi="Arial" w:cs="Arial"/>
          <w:b/>
          <w:iCs/>
        </w:rPr>
        <w:t>.</w:t>
      </w:r>
      <w:r w:rsidRPr="00F9720C">
        <w:rPr>
          <w:rFonts w:ascii="Arial" w:hAnsi="Arial" w:cs="Arial"/>
          <w:b/>
          <w:iCs/>
        </w:rPr>
        <w:t xml:space="preserve"> Variación porcentual por grandes ramas de actividad, 2017pr</w:t>
      </w:r>
      <w:r>
        <w:rPr>
          <w:rFonts w:ascii="Arial" w:hAnsi="Arial" w:cs="Arial"/>
          <w:b/>
          <w:iCs/>
        </w:rPr>
        <w:t xml:space="preserve"> (Base 2015)</w:t>
      </w:r>
      <w:r w:rsidRPr="00F9720C">
        <w:rPr>
          <w:rFonts w:ascii="Arial" w:hAnsi="Arial" w:cs="Arial"/>
          <w:b/>
          <w:iCs/>
        </w:rPr>
        <w:t>.</w:t>
      </w:r>
    </w:p>
    <w:p w:rsidR="004E46AB" w:rsidRPr="00F9720C" w:rsidRDefault="004E46AB" w:rsidP="004E46AB">
      <w:pPr>
        <w:spacing w:line="276" w:lineRule="auto"/>
        <w:rPr>
          <w:rFonts w:ascii="Arial" w:hAnsi="Arial" w:cs="Arial"/>
          <w:b/>
          <w:iCs/>
        </w:rPr>
      </w:pPr>
    </w:p>
    <w:p w:rsidR="004E46AB" w:rsidRDefault="004E46AB" w:rsidP="004E46AB">
      <w:pPr>
        <w:spacing w:line="276" w:lineRule="auto"/>
        <w:jc w:val="center"/>
        <w:rPr>
          <w:rFonts w:ascii="Arial" w:hAnsi="Arial" w:cs="Arial"/>
        </w:rPr>
      </w:pPr>
      <w:r>
        <w:rPr>
          <w:noProof/>
          <w:lang w:eastAsia="es-CO"/>
        </w:rPr>
        <w:drawing>
          <wp:inline distT="0" distB="0" distL="0" distR="0" wp14:anchorId="349D467E" wp14:editId="10A62E09">
            <wp:extent cx="5355590" cy="2173184"/>
            <wp:effectExtent l="0" t="0" r="16510" b="17780"/>
            <wp:docPr id="37" name="Gráfico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E46AB" w:rsidRPr="000A4537" w:rsidRDefault="004E46AB" w:rsidP="004E46AB">
      <w:pPr>
        <w:spacing w:line="276" w:lineRule="auto"/>
        <w:rPr>
          <w:rFonts w:ascii="Arial" w:hAnsi="Arial" w:cs="Arial"/>
          <w:sz w:val="12"/>
        </w:rPr>
      </w:pPr>
    </w:p>
    <w:p w:rsidR="004E46AB" w:rsidRPr="000907E9" w:rsidRDefault="004E46AB" w:rsidP="004E46AB">
      <w:pPr>
        <w:spacing w:line="276" w:lineRule="auto"/>
        <w:jc w:val="center"/>
        <w:rPr>
          <w:rFonts w:ascii="Arial" w:hAnsi="Arial" w:cs="Arial"/>
          <w:sz w:val="18"/>
        </w:rPr>
      </w:pPr>
      <w:r w:rsidRPr="000907E9">
        <w:rPr>
          <w:rFonts w:ascii="Arial" w:hAnsi="Arial" w:cs="Arial"/>
          <w:sz w:val="18"/>
        </w:rPr>
        <w:t>Fuente. DANE, Dirección de Síntesis y Cuentas Nacionales.</w:t>
      </w:r>
    </w:p>
    <w:p w:rsidR="004E46AB" w:rsidRDefault="004E46AB" w:rsidP="004E46AB">
      <w:pPr>
        <w:spacing w:line="276" w:lineRule="auto"/>
        <w:rPr>
          <w:rFonts w:ascii="Arial" w:hAnsi="Arial" w:cs="Arial"/>
        </w:rPr>
      </w:pPr>
    </w:p>
    <w:p w:rsidR="004E46AB" w:rsidRDefault="004E46AB" w:rsidP="004E46AB">
      <w:pPr>
        <w:spacing w:line="276" w:lineRule="auto"/>
        <w:jc w:val="center"/>
        <w:rPr>
          <w:rFonts w:ascii="Arial" w:hAnsi="Arial" w:cs="Arial"/>
          <w:b/>
          <w:iCs/>
        </w:rPr>
      </w:pPr>
      <w:r w:rsidRPr="00F9720C">
        <w:rPr>
          <w:rFonts w:ascii="Arial" w:hAnsi="Arial" w:cs="Arial"/>
          <w:b/>
          <w:iCs/>
          <w:lang w:val="es-UY"/>
        </w:rPr>
        <w:t>Gráfica</w:t>
      </w:r>
      <w:r w:rsidRPr="008F7E9E">
        <w:rPr>
          <w:rFonts w:ascii="Arial" w:hAnsi="Arial" w:cs="Arial"/>
          <w:b/>
          <w:iCs/>
        </w:rPr>
        <w:t xml:space="preserve"> </w:t>
      </w:r>
      <w:r w:rsidRPr="00F9720C">
        <w:rPr>
          <w:rFonts w:ascii="Arial" w:hAnsi="Arial" w:cs="Arial"/>
          <w:b/>
          <w:iCs/>
          <w:lang w:val="en-US"/>
        </w:rPr>
        <w:fldChar w:fldCharType="begin"/>
      </w:r>
      <w:r w:rsidRPr="008F7E9E">
        <w:rPr>
          <w:rFonts w:ascii="Arial" w:hAnsi="Arial" w:cs="Arial"/>
          <w:b/>
          <w:iCs/>
        </w:rPr>
        <w:instrText xml:space="preserve"> SEQ Gráfica \* ARABIC </w:instrText>
      </w:r>
      <w:r w:rsidRPr="00F9720C">
        <w:rPr>
          <w:rFonts w:ascii="Arial" w:hAnsi="Arial" w:cs="Arial"/>
          <w:b/>
          <w:iCs/>
          <w:lang w:val="en-US"/>
        </w:rPr>
        <w:fldChar w:fldCharType="separate"/>
      </w:r>
      <w:r>
        <w:rPr>
          <w:rFonts w:ascii="Arial" w:hAnsi="Arial" w:cs="Arial"/>
          <w:b/>
          <w:iCs/>
          <w:noProof/>
        </w:rPr>
        <w:t>3</w:t>
      </w:r>
      <w:r w:rsidRPr="00F9720C">
        <w:rPr>
          <w:rFonts w:ascii="Arial" w:hAnsi="Arial" w:cs="Arial"/>
        </w:rPr>
        <w:fldChar w:fldCharType="end"/>
      </w:r>
      <w:r w:rsidRPr="008F7E9E">
        <w:rPr>
          <w:rFonts w:ascii="Arial" w:hAnsi="Arial" w:cs="Arial"/>
          <w:b/>
          <w:iCs/>
        </w:rPr>
        <w:t>.</w:t>
      </w:r>
      <w:r w:rsidRPr="00F9720C">
        <w:rPr>
          <w:rFonts w:ascii="Arial" w:hAnsi="Arial" w:cs="Arial"/>
          <w:b/>
          <w:iCs/>
        </w:rPr>
        <w:t xml:space="preserve"> Variación porcentual </w:t>
      </w:r>
      <w:r>
        <w:rPr>
          <w:rFonts w:ascii="Arial" w:hAnsi="Arial" w:cs="Arial"/>
          <w:b/>
          <w:iCs/>
        </w:rPr>
        <w:t xml:space="preserve">sector de </w:t>
      </w:r>
      <w:r w:rsidRPr="000F1850">
        <w:rPr>
          <w:rFonts w:ascii="Arial" w:hAnsi="Arial" w:cs="Arial"/>
          <w:b/>
          <w:iCs/>
        </w:rPr>
        <w:t>Actividades de servicios administrativos y de apoyo</w:t>
      </w:r>
      <w:r>
        <w:rPr>
          <w:rFonts w:ascii="Arial" w:hAnsi="Arial" w:cs="Arial"/>
          <w:b/>
          <w:iCs/>
        </w:rPr>
        <w:t>, 2006 – 2017pr (Base 2015)</w:t>
      </w:r>
      <w:r w:rsidRPr="00F9720C">
        <w:rPr>
          <w:rFonts w:ascii="Arial" w:hAnsi="Arial" w:cs="Arial"/>
          <w:b/>
          <w:iCs/>
        </w:rPr>
        <w:t>.</w:t>
      </w:r>
    </w:p>
    <w:p w:rsidR="004E46AB" w:rsidRDefault="004E46AB" w:rsidP="004E46AB">
      <w:pPr>
        <w:spacing w:line="276" w:lineRule="auto"/>
        <w:rPr>
          <w:rFonts w:ascii="Arial" w:hAnsi="Arial" w:cs="Arial"/>
        </w:rPr>
      </w:pPr>
    </w:p>
    <w:p w:rsidR="004E46AB" w:rsidRDefault="004E46AB" w:rsidP="004E46AB">
      <w:pPr>
        <w:spacing w:line="276" w:lineRule="auto"/>
        <w:jc w:val="center"/>
        <w:rPr>
          <w:rFonts w:ascii="Arial" w:hAnsi="Arial" w:cs="Arial"/>
        </w:rPr>
      </w:pPr>
      <w:r>
        <w:rPr>
          <w:noProof/>
          <w:lang w:eastAsia="es-CO"/>
        </w:rPr>
        <w:drawing>
          <wp:inline distT="0" distB="0" distL="0" distR="0" wp14:anchorId="5240D613" wp14:editId="1C6189B2">
            <wp:extent cx="5191125" cy="2743200"/>
            <wp:effectExtent l="0" t="0" r="9525" b="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E46AB" w:rsidRPr="000A4537" w:rsidRDefault="004E46AB" w:rsidP="004E46AB">
      <w:pPr>
        <w:spacing w:line="276" w:lineRule="auto"/>
        <w:rPr>
          <w:rFonts w:ascii="Arial" w:hAnsi="Arial" w:cs="Arial"/>
          <w:sz w:val="10"/>
        </w:rPr>
      </w:pPr>
    </w:p>
    <w:p w:rsidR="004E46AB" w:rsidRDefault="004E46AB" w:rsidP="004E46AB">
      <w:pPr>
        <w:spacing w:line="276" w:lineRule="auto"/>
        <w:jc w:val="center"/>
        <w:rPr>
          <w:rFonts w:ascii="Arial" w:hAnsi="Arial" w:cs="Arial"/>
          <w:sz w:val="18"/>
        </w:rPr>
      </w:pPr>
      <w:r w:rsidRPr="000907E9">
        <w:rPr>
          <w:rFonts w:ascii="Arial" w:hAnsi="Arial" w:cs="Arial"/>
          <w:sz w:val="18"/>
        </w:rPr>
        <w:t>Fuente. DANE, Dirección de Síntesis y Cuentas Nacionales.</w:t>
      </w:r>
    </w:p>
    <w:p w:rsidR="004E46AB" w:rsidRDefault="004E46AB" w:rsidP="004E46AB">
      <w:pPr>
        <w:spacing w:line="276" w:lineRule="auto"/>
        <w:jc w:val="center"/>
        <w:rPr>
          <w:rFonts w:ascii="Arial" w:hAnsi="Arial" w:cs="Arial"/>
          <w:sz w:val="18"/>
        </w:rPr>
      </w:pPr>
    </w:p>
    <w:p w:rsidR="004E46AB" w:rsidRPr="00F84717" w:rsidRDefault="004E46AB" w:rsidP="004E46AB">
      <w:pPr>
        <w:pStyle w:val="Ttulo3"/>
        <w:keepLines/>
        <w:numPr>
          <w:ilvl w:val="1"/>
          <w:numId w:val="40"/>
        </w:numPr>
        <w:suppressAutoHyphens/>
        <w:spacing w:before="40" w:after="0" w:line="276" w:lineRule="auto"/>
        <w:rPr>
          <w:rFonts w:ascii="Arial" w:hAnsi="Arial" w:cs="Arial"/>
          <w:sz w:val="22"/>
        </w:rPr>
      </w:pPr>
      <w:r w:rsidRPr="004D65AB">
        <w:rPr>
          <w:rFonts w:ascii="Arial" w:hAnsi="Arial" w:cs="Arial"/>
          <w:sz w:val="22"/>
        </w:rPr>
        <w:t>Desempleo</w:t>
      </w:r>
    </w:p>
    <w:p w:rsidR="004E46AB" w:rsidRPr="000A4537" w:rsidRDefault="004E46AB" w:rsidP="004E46AB">
      <w:pPr>
        <w:spacing w:line="276" w:lineRule="auto"/>
        <w:jc w:val="both"/>
        <w:rPr>
          <w:rFonts w:ascii="Arial" w:hAnsi="Arial" w:cs="Arial"/>
          <w:sz w:val="10"/>
          <w:szCs w:val="22"/>
        </w:rPr>
      </w:pPr>
    </w:p>
    <w:p w:rsidR="004E46AB" w:rsidRPr="00F9720C" w:rsidRDefault="004E46AB" w:rsidP="004E46AB">
      <w:pPr>
        <w:spacing w:line="276" w:lineRule="auto"/>
        <w:jc w:val="both"/>
        <w:rPr>
          <w:rFonts w:ascii="Arial" w:hAnsi="Arial" w:cs="Arial"/>
          <w:sz w:val="22"/>
          <w:szCs w:val="22"/>
        </w:rPr>
      </w:pPr>
      <w:r w:rsidRPr="00F9720C">
        <w:rPr>
          <w:rFonts w:ascii="Arial" w:hAnsi="Arial" w:cs="Arial"/>
          <w:sz w:val="22"/>
          <w:szCs w:val="22"/>
        </w:rPr>
        <w:t>El desempleo en Colombia ha tenido una tendencia decreciente desde el 2009, no obstante, en los últimos dos años (2016 y 2017) presentó un leve aumento que va de la mano de la disminución de los precios del petróleo y la desaceleración en el crecimiento del PIB</w:t>
      </w:r>
      <w:r>
        <w:rPr>
          <w:rFonts w:ascii="Arial" w:hAnsi="Arial" w:cs="Arial"/>
          <w:sz w:val="22"/>
          <w:szCs w:val="22"/>
        </w:rPr>
        <w:t>, pero que en el contexto económico del 2018 se espera no aumente y se mantenga por debajo del 10%</w:t>
      </w:r>
      <w:r w:rsidRPr="00F9720C">
        <w:rPr>
          <w:rFonts w:ascii="Arial" w:hAnsi="Arial" w:cs="Arial"/>
          <w:sz w:val="22"/>
          <w:szCs w:val="22"/>
        </w:rPr>
        <w:t>.</w:t>
      </w:r>
      <w:r>
        <w:rPr>
          <w:rFonts w:ascii="Arial" w:hAnsi="Arial" w:cs="Arial"/>
          <w:sz w:val="22"/>
          <w:szCs w:val="22"/>
        </w:rPr>
        <w:t xml:space="preserve"> El sector Comercio es uno de los impulsadores más importantes del empleo en Colombia.</w:t>
      </w:r>
    </w:p>
    <w:p w:rsidR="004E46AB" w:rsidRDefault="004E46AB" w:rsidP="004E46AB">
      <w:pPr>
        <w:spacing w:line="276" w:lineRule="auto"/>
        <w:rPr>
          <w:rFonts w:ascii="Arial" w:hAnsi="Arial" w:cs="Arial"/>
          <w:b/>
          <w:iCs/>
          <w:lang w:val="es-UY"/>
        </w:rPr>
      </w:pPr>
    </w:p>
    <w:p w:rsidR="004E46AB" w:rsidRPr="00F9720C" w:rsidRDefault="004E46AB" w:rsidP="004E46AB">
      <w:pPr>
        <w:spacing w:line="276" w:lineRule="auto"/>
        <w:rPr>
          <w:rFonts w:ascii="Arial" w:hAnsi="Arial" w:cs="Arial"/>
          <w:b/>
          <w:iCs/>
        </w:rPr>
      </w:pPr>
      <w:r w:rsidRPr="00F9720C">
        <w:rPr>
          <w:rFonts w:ascii="Arial" w:hAnsi="Arial" w:cs="Arial"/>
          <w:b/>
          <w:iCs/>
          <w:lang w:val="es-UY"/>
        </w:rPr>
        <w:t>Gráfica</w:t>
      </w:r>
      <w:r w:rsidRPr="008F7E9E">
        <w:rPr>
          <w:rFonts w:ascii="Arial" w:hAnsi="Arial" w:cs="Arial"/>
          <w:b/>
          <w:iCs/>
        </w:rPr>
        <w:t xml:space="preserve"> </w:t>
      </w:r>
      <w:r w:rsidRPr="00F9720C">
        <w:rPr>
          <w:rFonts w:ascii="Arial" w:hAnsi="Arial" w:cs="Arial"/>
          <w:b/>
          <w:iCs/>
          <w:lang w:val="en-US"/>
        </w:rPr>
        <w:fldChar w:fldCharType="begin"/>
      </w:r>
      <w:r w:rsidRPr="008F7E9E">
        <w:rPr>
          <w:rFonts w:ascii="Arial" w:hAnsi="Arial" w:cs="Arial"/>
          <w:b/>
          <w:iCs/>
        </w:rPr>
        <w:instrText xml:space="preserve"> SEQ Gráfica \* ARABIC </w:instrText>
      </w:r>
      <w:r w:rsidRPr="00F9720C">
        <w:rPr>
          <w:rFonts w:ascii="Arial" w:hAnsi="Arial" w:cs="Arial"/>
          <w:b/>
          <w:iCs/>
          <w:lang w:val="en-US"/>
        </w:rPr>
        <w:fldChar w:fldCharType="separate"/>
      </w:r>
      <w:r>
        <w:rPr>
          <w:rFonts w:ascii="Arial" w:hAnsi="Arial" w:cs="Arial"/>
          <w:b/>
          <w:iCs/>
          <w:noProof/>
        </w:rPr>
        <w:t>4</w:t>
      </w:r>
      <w:r w:rsidRPr="00F9720C">
        <w:rPr>
          <w:rFonts w:ascii="Arial" w:hAnsi="Arial" w:cs="Arial"/>
        </w:rPr>
        <w:fldChar w:fldCharType="end"/>
      </w:r>
      <w:r w:rsidRPr="008F7E9E">
        <w:rPr>
          <w:rFonts w:ascii="Arial" w:hAnsi="Arial" w:cs="Arial"/>
          <w:b/>
          <w:iCs/>
        </w:rPr>
        <w:t>.</w:t>
      </w:r>
      <w:r w:rsidRPr="00F9720C">
        <w:rPr>
          <w:rFonts w:ascii="Arial" w:hAnsi="Arial" w:cs="Arial"/>
          <w:b/>
          <w:iCs/>
        </w:rPr>
        <w:t xml:space="preserve"> Variación porcentual tasa de desempleo Colombia 2001-2017.</w:t>
      </w:r>
    </w:p>
    <w:p w:rsidR="004E46AB" w:rsidRPr="005E37DD" w:rsidRDefault="004E46AB" w:rsidP="004E46AB">
      <w:pPr>
        <w:spacing w:line="276" w:lineRule="auto"/>
        <w:rPr>
          <w:rFonts w:ascii="Arial" w:hAnsi="Arial" w:cs="Arial"/>
          <w:sz w:val="10"/>
        </w:rPr>
      </w:pPr>
    </w:p>
    <w:p w:rsidR="004E46AB" w:rsidRPr="00F9720C" w:rsidRDefault="004E46AB" w:rsidP="004E46AB">
      <w:pPr>
        <w:spacing w:after="240" w:line="276" w:lineRule="auto"/>
        <w:jc w:val="center"/>
        <w:rPr>
          <w:rFonts w:ascii="Arial" w:hAnsi="Arial" w:cs="Arial"/>
        </w:rPr>
      </w:pPr>
      <w:r w:rsidRPr="00F429C1">
        <w:rPr>
          <w:rFonts w:ascii="Arial" w:hAnsi="Arial" w:cs="Arial"/>
          <w:noProof/>
          <w:color w:val="0099FF"/>
          <w:lang w:eastAsia="es-CO"/>
        </w:rPr>
        <w:drawing>
          <wp:inline distT="0" distB="0" distL="0" distR="0" wp14:anchorId="64EC2FA1" wp14:editId="53EC15A5">
            <wp:extent cx="5186680" cy="1558456"/>
            <wp:effectExtent l="0" t="0" r="13970" b="3810"/>
            <wp:docPr id="38" name="Gráfico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E46AB" w:rsidRDefault="004E46AB" w:rsidP="004E46AB">
      <w:pPr>
        <w:spacing w:line="276" w:lineRule="auto"/>
        <w:jc w:val="center"/>
        <w:rPr>
          <w:rFonts w:ascii="Arial" w:hAnsi="Arial" w:cs="Arial"/>
          <w:sz w:val="18"/>
        </w:rPr>
      </w:pPr>
      <w:r w:rsidRPr="000907E9">
        <w:rPr>
          <w:rFonts w:ascii="Arial" w:hAnsi="Arial" w:cs="Arial"/>
          <w:sz w:val="18"/>
        </w:rPr>
        <w:t>Fuente. DANE, Dirección de Síntesis y Cu</w:t>
      </w:r>
      <w:r>
        <w:rPr>
          <w:rFonts w:ascii="Arial" w:hAnsi="Arial" w:cs="Arial"/>
          <w:sz w:val="18"/>
        </w:rPr>
        <w:t>entas Nacionales.</w:t>
      </w:r>
    </w:p>
    <w:p w:rsidR="004E46AB" w:rsidRPr="00BF102A" w:rsidRDefault="004E46AB" w:rsidP="004E46AB">
      <w:pPr>
        <w:spacing w:line="276" w:lineRule="auto"/>
        <w:jc w:val="center"/>
        <w:rPr>
          <w:rFonts w:ascii="Arial" w:hAnsi="Arial" w:cs="Arial"/>
          <w:sz w:val="10"/>
        </w:rPr>
      </w:pPr>
    </w:p>
    <w:p w:rsidR="004E46AB" w:rsidRPr="00F84717" w:rsidRDefault="004E46AB" w:rsidP="004E46AB">
      <w:pPr>
        <w:pStyle w:val="Ttulo3"/>
        <w:keepLines/>
        <w:numPr>
          <w:ilvl w:val="1"/>
          <w:numId w:val="40"/>
        </w:numPr>
        <w:suppressAutoHyphens/>
        <w:spacing w:before="40" w:after="0" w:line="276" w:lineRule="auto"/>
        <w:rPr>
          <w:rFonts w:ascii="Arial" w:hAnsi="Arial" w:cs="Arial"/>
          <w:sz w:val="22"/>
        </w:rPr>
      </w:pPr>
      <w:r w:rsidRPr="004D65AB">
        <w:rPr>
          <w:rFonts w:ascii="Arial" w:hAnsi="Arial" w:cs="Arial"/>
          <w:sz w:val="22"/>
        </w:rPr>
        <w:t>Inflación</w:t>
      </w:r>
    </w:p>
    <w:p w:rsidR="004E46AB" w:rsidRPr="004D65AB" w:rsidRDefault="004E46AB" w:rsidP="004E46AB"/>
    <w:p w:rsidR="004E46AB" w:rsidRPr="00F9720C" w:rsidRDefault="004E46AB" w:rsidP="004E46AB">
      <w:pPr>
        <w:spacing w:line="276" w:lineRule="auto"/>
        <w:jc w:val="both"/>
        <w:rPr>
          <w:rFonts w:ascii="Arial" w:hAnsi="Arial" w:cs="Arial"/>
          <w:sz w:val="22"/>
          <w:szCs w:val="22"/>
        </w:rPr>
      </w:pPr>
      <w:r w:rsidRPr="00F9720C">
        <w:rPr>
          <w:rFonts w:ascii="Arial" w:hAnsi="Arial" w:cs="Arial"/>
          <w:sz w:val="22"/>
          <w:szCs w:val="22"/>
        </w:rPr>
        <w:t>Por otra parte, el comportamiento de los precios en Colombia vuelve a estar dentro de las expectativas del Banco de la Republica, entidad</w:t>
      </w:r>
      <w:r>
        <w:rPr>
          <w:rFonts w:ascii="Arial" w:hAnsi="Arial" w:cs="Arial"/>
          <w:sz w:val="22"/>
          <w:szCs w:val="22"/>
        </w:rPr>
        <w:t xml:space="preserve"> que los regula. </w:t>
      </w:r>
      <w:r w:rsidRPr="00F9720C">
        <w:rPr>
          <w:rFonts w:ascii="Arial" w:hAnsi="Arial" w:cs="Arial"/>
          <w:sz w:val="22"/>
          <w:szCs w:val="22"/>
        </w:rPr>
        <w:t xml:space="preserve">Si bien en el 2016 la inflación (entendido como el aumento generalizado de precios) presentó un aumento considerable, durante el 2017 la variación de precios siguió una senda decreciente para acercarse al rango meta de inflación a largo plazo del país (entre el 2% y el 4%). </w:t>
      </w:r>
    </w:p>
    <w:p w:rsidR="004E46AB" w:rsidRPr="00F9720C" w:rsidRDefault="004E46AB" w:rsidP="004E46AB">
      <w:pPr>
        <w:spacing w:line="276" w:lineRule="auto"/>
        <w:rPr>
          <w:rFonts w:ascii="Arial" w:hAnsi="Arial" w:cs="Arial"/>
        </w:rPr>
      </w:pPr>
    </w:p>
    <w:p w:rsidR="004E46AB" w:rsidRPr="00F9720C" w:rsidRDefault="004E46AB" w:rsidP="004E46AB">
      <w:pPr>
        <w:spacing w:line="276" w:lineRule="auto"/>
        <w:rPr>
          <w:rFonts w:ascii="Arial" w:hAnsi="Arial" w:cs="Arial"/>
        </w:rPr>
      </w:pPr>
      <w:r w:rsidRPr="00F9720C">
        <w:rPr>
          <w:rFonts w:ascii="Arial" w:hAnsi="Arial" w:cs="Arial"/>
          <w:b/>
          <w:lang w:val="es-UY"/>
        </w:rPr>
        <w:t>Gráfica</w:t>
      </w:r>
      <w:r w:rsidRPr="008F7E9E">
        <w:rPr>
          <w:rFonts w:ascii="Arial" w:hAnsi="Arial" w:cs="Arial"/>
          <w:b/>
        </w:rPr>
        <w:t xml:space="preserve"> </w:t>
      </w:r>
      <w:r w:rsidRPr="00F9720C">
        <w:rPr>
          <w:rFonts w:ascii="Arial" w:hAnsi="Arial" w:cs="Arial"/>
          <w:b/>
          <w:lang w:val="en-US"/>
        </w:rPr>
        <w:fldChar w:fldCharType="begin"/>
      </w:r>
      <w:r w:rsidRPr="008F7E9E">
        <w:rPr>
          <w:rFonts w:ascii="Arial" w:hAnsi="Arial" w:cs="Arial"/>
          <w:b/>
        </w:rPr>
        <w:instrText xml:space="preserve"> SEQ Gráfica \* ARABIC </w:instrText>
      </w:r>
      <w:r w:rsidRPr="00F9720C">
        <w:rPr>
          <w:rFonts w:ascii="Arial" w:hAnsi="Arial" w:cs="Arial"/>
          <w:b/>
          <w:lang w:val="en-US"/>
        </w:rPr>
        <w:fldChar w:fldCharType="separate"/>
      </w:r>
      <w:r>
        <w:rPr>
          <w:rFonts w:ascii="Arial" w:hAnsi="Arial" w:cs="Arial"/>
          <w:b/>
          <w:noProof/>
        </w:rPr>
        <w:t>5</w:t>
      </w:r>
      <w:r w:rsidRPr="00F9720C">
        <w:rPr>
          <w:rFonts w:ascii="Arial" w:hAnsi="Arial" w:cs="Arial"/>
        </w:rPr>
        <w:fldChar w:fldCharType="end"/>
      </w:r>
      <w:r w:rsidRPr="008F7E9E">
        <w:rPr>
          <w:rFonts w:ascii="Arial" w:hAnsi="Arial" w:cs="Arial"/>
          <w:b/>
        </w:rPr>
        <w:t>.</w:t>
      </w:r>
      <w:r w:rsidRPr="00F9720C">
        <w:rPr>
          <w:rFonts w:ascii="Arial" w:hAnsi="Arial" w:cs="Arial"/>
          <w:b/>
        </w:rPr>
        <w:t xml:space="preserve"> Tasa de inflación </w:t>
      </w:r>
      <w:r>
        <w:rPr>
          <w:rFonts w:ascii="Arial" w:hAnsi="Arial" w:cs="Arial"/>
          <w:b/>
        </w:rPr>
        <w:t>– Variación IPC Colombia 2012 - 2018</w:t>
      </w:r>
      <w:r w:rsidRPr="00F9720C">
        <w:rPr>
          <w:rFonts w:ascii="Arial" w:hAnsi="Arial" w:cs="Arial"/>
          <w:b/>
        </w:rPr>
        <w:t>.</w:t>
      </w:r>
    </w:p>
    <w:p w:rsidR="004E46AB" w:rsidRPr="00F9720C" w:rsidRDefault="004E46AB" w:rsidP="004E46AB">
      <w:pPr>
        <w:spacing w:line="276" w:lineRule="auto"/>
        <w:jc w:val="center"/>
      </w:pPr>
      <w:r w:rsidRPr="00812490">
        <w:rPr>
          <w:noProof/>
          <w:lang w:eastAsia="es-CO"/>
        </w:rPr>
        <w:lastRenderedPageBreak/>
        <w:drawing>
          <wp:inline distT="0" distB="0" distL="0" distR="0" wp14:anchorId="230732D6" wp14:editId="6635F1B0">
            <wp:extent cx="3323612" cy="2016925"/>
            <wp:effectExtent l="0" t="0" r="0"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lum bright="-20000" contrast="40000"/>
                      <a:extLst>
                        <a:ext uri="{28A0092B-C50C-407E-A947-70E740481C1C}">
                          <a14:useLocalDpi xmlns:a14="http://schemas.microsoft.com/office/drawing/2010/main" val="0"/>
                        </a:ext>
                      </a:extLst>
                    </a:blip>
                    <a:srcRect/>
                    <a:stretch>
                      <a:fillRect/>
                    </a:stretch>
                  </pic:blipFill>
                  <pic:spPr bwMode="auto">
                    <a:xfrm>
                      <a:off x="0" y="0"/>
                      <a:ext cx="3359014" cy="2038409"/>
                    </a:xfrm>
                    <a:prstGeom prst="rect">
                      <a:avLst/>
                    </a:prstGeom>
                    <a:noFill/>
                    <a:ln>
                      <a:noFill/>
                    </a:ln>
                  </pic:spPr>
                </pic:pic>
              </a:graphicData>
            </a:graphic>
          </wp:inline>
        </w:drawing>
      </w:r>
    </w:p>
    <w:p w:rsidR="004E46AB" w:rsidRDefault="004E46AB" w:rsidP="004E46AB">
      <w:pPr>
        <w:spacing w:line="276" w:lineRule="auto"/>
        <w:jc w:val="center"/>
        <w:rPr>
          <w:rFonts w:ascii="Arial" w:hAnsi="Arial" w:cs="Arial"/>
          <w:sz w:val="18"/>
        </w:rPr>
      </w:pPr>
      <w:r w:rsidRPr="000907E9">
        <w:rPr>
          <w:rFonts w:ascii="Arial" w:hAnsi="Arial" w:cs="Arial"/>
          <w:sz w:val="18"/>
        </w:rPr>
        <w:t xml:space="preserve">Fuente. </w:t>
      </w:r>
      <w:r>
        <w:rPr>
          <w:rFonts w:ascii="Arial" w:hAnsi="Arial" w:cs="Arial"/>
          <w:sz w:val="18"/>
        </w:rPr>
        <w:t>DANE y Banco de la Republica</w:t>
      </w:r>
    </w:p>
    <w:p w:rsidR="004E46AB" w:rsidRDefault="004E46AB" w:rsidP="004E46AB">
      <w:pPr>
        <w:spacing w:line="276" w:lineRule="auto"/>
        <w:jc w:val="center"/>
        <w:rPr>
          <w:rFonts w:ascii="Arial" w:hAnsi="Arial" w:cs="Arial"/>
          <w:sz w:val="18"/>
        </w:rPr>
      </w:pPr>
    </w:p>
    <w:p w:rsidR="004E46AB" w:rsidRDefault="004E46AB" w:rsidP="004E46AB">
      <w:pPr>
        <w:spacing w:line="276" w:lineRule="auto"/>
        <w:jc w:val="center"/>
        <w:rPr>
          <w:rFonts w:ascii="Arial" w:hAnsi="Arial" w:cs="Arial"/>
          <w:sz w:val="18"/>
        </w:rPr>
      </w:pPr>
    </w:p>
    <w:p w:rsidR="004E46AB" w:rsidRDefault="004E46AB" w:rsidP="004E46AB">
      <w:pPr>
        <w:spacing w:line="276" w:lineRule="auto"/>
        <w:jc w:val="center"/>
        <w:rPr>
          <w:rFonts w:ascii="Arial" w:hAnsi="Arial" w:cs="Arial"/>
          <w:sz w:val="18"/>
        </w:rPr>
      </w:pPr>
    </w:p>
    <w:p w:rsidR="004E46AB" w:rsidRDefault="004E46AB" w:rsidP="004E46AB">
      <w:pPr>
        <w:spacing w:line="276" w:lineRule="auto"/>
        <w:jc w:val="center"/>
        <w:rPr>
          <w:rFonts w:ascii="Arial" w:hAnsi="Arial" w:cs="Arial"/>
          <w:sz w:val="18"/>
        </w:rPr>
      </w:pPr>
    </w:p>
    <w:p w:rsidR="004E46AB" w:rsidRPr="000907E9" w:rsidRDefault="004E46AB" w:rsidP="004E46AB">
      <w:pPr>
        <w:spacing w:line="276" w:lineRule="auto"/>
        <w:jc w:val="center"/>
        <w:rPr>
          <w:rFonts w:ascii="Arial" w:hAnsi="Arial" w:cs="Arial"/>
          <w:sz w:val="18"/>
        </w:rPr>
      </w:pPr>
    </w:p>
    <w:p w:rsidR="004E46AB" w:rsidRPr="00F84717" w:rsidRDefault="004E46AB" w:rsidP="004E46AB">
      <w:pPr>
        <w:pStyle w:val="Ttulo3"/>
        <w:keepLines/>
        <w:numPr>
          <w:ilvl w:val="1"/>
          <w:numId w:val="40"/>
        </w:numPr>
        <w:suppressAutoHyphens/>
        <w:spacing w:before="40" w:after="0" w:line="276" w:lineRule="auto"/>
        <w:rPr>
          <w:rFonts w:ascii="Arial" w:hAnsi="Arial" w:cs="Arial"/>
          <w:sz w:val="22"/>
        </w:rPr>
      </w:pPr>
      <w:r w:rsidRPr="004D65AB">
        <w:rPr>
          <w:rFonts w:ascii="Arial" w:hAnsi="Arial" w:cs="Arial"/>
          <w:sz w:val="22"/>
        </w:rPr>
        <w:t xml:space="preserve">Tasa de cambio </w:t>
      </w:r>
    </w:p>
    <w:p w:rsidR="004E46AB" w:rsidRPr="000A4537" w:rsidRDefault="004E46AB" w:rsidP="004E46AB">
      <w:pPr>
        <w:spacing w:line="276" w:lineRule="auto"/>
        <w:jc w:val="both"/>
        <w:rPr>
          <w:rFonts w:ascii="Arial" w:hAnsi="Arial" w:cs="Arial"/>
          <w:sz w:val="12"/>
          <w:szCs w:val="22"/>
        </w:rPr>
      </w:pPr>
    </w:p>
    <w:p w:rsidR="004E46AB" w:rsidRDefault="004E46AB" w:rsidP="004E46AB">
      <w:pPr>
        <w:spacing w:line="276" w:lineRule="auto"/>
        <w:jc w:val="both"/>
        <w:rPr>
          <w:rFonts w:ascii="Arial" w:hAnsi="Arial" w:cs="Arial"/>
          <w:sz w:val="22"/>
          <w:szCs w:val="22"/>
        </w:rPr>
      </w:pPr>
      <w:r>
        <w:rPr>
          <w:rFonts w:ascii="Arial" w:hAnsi="Arial" w:cs="Arial"/>
          <w:sz w:val="22"/>
          <w:szCs w:val="22"/>
        </w:rPr>
        <w:t>En la medida que el sector analizado no presenta una gran dependencia de bienes importados, se espera que las variaciones de la tasa de cambio no afecten los precios del sector.</w:t>
      </w:r>
    </w:p>
    <w:p w:rsidR="004E46AB" w:rsidRPr="00A14381" w:rsidRDefault="004E46AB" w:rsidP="004E46AB">
      <w:pPr>
        <w:spacing w:line="276" w:lineRule="auto"/>
        <w:jc w:val="both"/>
        <w:rPr>
          <w:rFonts w:ascii="Arial" w:hAnsi="Arial" w:cs="Arial"/>
          <w:sz w:val="14"/>
          <w:szCs w:val="22"/>
        </w:rPr>
      </w:pPr>
    </w:p>
    <w:p w:rsidR="004E46AB" w:rsidRDefault="004E46AB" w:rsidP="004E46AB">
      <w:pPr>
        <w:spacing w:line="276" w:lineRule="auto"/>
        <w:jc w:val="both"/>
        <w:rPr>
          <w:rFonts w:ascii="Arial" w:hAnsi="Arial" w:cs="Arial"/>
          <w:sz w:val="22"/>
          <w:szCs w:val="22"/>
        </w:rPr>
      </w:pPr>
      <w:r>
        <w:rPr>
          <w:rFonts w:ascii="Arial" w:hAnsi="Arial" w:cs="Arial"/>
          <w:sz w:val="22"/>
          <w:szCs w:val="22"/>
        </w:rPr>
        <w:t>Vale la pena mencionar que la estabilidad macroeconómica que mantiene Colombia se refleja en el hecho de que, si bien se mantiene una política económica de libre fluctuación de la tasa de cambio, esta no presenta fluctuaciones muy fuertes en los últimos periodos.</w:t>
      </w:r>
    </w:p>
    <w:p w:rsidR="004E46AB" w:rsidRDefault="004E46AB" w:rsidP="004E46AB">
      <w:pPr>
        <w:spacing w:line="276" w:lineRule="auto"/>
        <w:jc w:val="both"/>
        <w:rPr>
          <w:rFonts w:ascii="Arial" w:hAnsi="Arial" w:cs="Arial"/>
          <w:sz w:val="22"/>
          <w:szCs w:val="22"/>
        </w:rPr>
      </w:pPr>
    </w:p>
    <w:p w:rsidR="004E46AB" w:rsidRDefault="004E46AB" w:rsidP="004E46AB">
      <w:pPr>
        <w:spacing w:after="240" w:line="276" w:lineRule="auto"/>
        <w:jc w:val="both"/>
        <w:rPr>
          <w:rFonts w:ascii="Arial" w:hAnsi="Arial" w:cs="Arial"/>
          <w:sz w:val="22"/>
          <w:szCs w:val="22"/>
        </w:rPr>
      </w:pPr>
      <w:r w:rsidRPr="00F9720C">
        <w:rPr>
          <w:rFonts w:ascii="Arial" w:hAnsi="Arial" w:cs="Arial"/>
          <w:b/>
          <w:lang w:val="es-UY"/>
        </w:rPr>
        <w:t>Gráfica</w:t>
      </w:r>
      <w:r w:rsidRPr="008F7E9E">
        <w:rPr>
          <w:rFonts w:ascii="Arial" w:hAnsi="Arial" w:cs="Arial"/>
          <w:b/>
        </w:rPr>
        <w:t xml:space="preserve"> </w:t>
      </w:r>
      <w:r w:rsidRPr="00F9720C">
        <w:rPr>
          <w:rFonts w:ascii="Arial" w:hAnsi="Arial" w:cs="Arial"/>
          <w:b/>
          <w:lang w:val="en-US"/>
        </w:rPr>
        <w:fldChar w:fldCharType="begin"/>
      </w:r>
      <w:r w:rsidRPr="008F7E9E">
        <w:rPr>
          <w:rFonts w:ascii="Arial" w:hAnsi="Arial" w:cs="Arial"/>
          <w:b/>
        </w:rPr>
        <w:instrText xml:space="preserve"> SEQ Gráfica \* ARABIC </w:instrText>
      </w:r>
      <w:r w:rsidRPr="00F9720C">
        <w:rPr>
          <w:rFonts w:ascii="Arial" w:hAnsi="Arial" w:cs="Arial"/>
          <w:b/>
          <w:lang w:val="en-US"/>
        </w:rPr>
        <w:fldChar w:fldCharType="separate"/>
      </w:r>
      <w:r>
        <w:rPr>
          <w:rFonts w:ascii="Arial" w:hAnsi="Arial" w:cs="Arial"/>
          <w:b/>
          <w:noProof/>
        </w:rPr>
        <w:t>6</w:t>
      </w:r>
      <w:r w:rsidRPr="00F9720C">
        <w:rPr>
          <w:rFonts w:ascii="Arial" w:hAnsi="Arial" w:cs="Arial"/>
        </w:rPr>
        <w:fldChar w:fldCharType="end"/>
      </w:r>
      <w:r w:rsidRPr="008F7E9E">
        <w:rPr>
          <w:rFonts w:ascii="Arial" w:hAnsi="Arial" w:cs="Arial"/>
          <w:b/>
        </w:rPr>
        <w:t>.</w:t>
      </w:r>
      <w:r w:rsidRPr="00F9720C">
        <w:rPr>
          <w:rFonts w:ascii="Arial" w:hAnsi="Arial" w:cs="Arial"/>
          <w:b/>
        </w:rPr>
        <w:t xml:space="preserve"> T</w:t>
      </w:r>
      <w:r>
        <w:rPr>
          <w:rFonts w:ascii="Arial" w:hAnsi="Arial" w:cs="Arial"/>
          <w:b/>
        </w:rPr>
        <w:t>RM Anual Colombia 2000</w:t>
      </w:r>
      <w:r w:rsidRPr="00F9720C">
        <w:rPr>
          <w:rFonts w:ascii="Arial" w:hAnsi="Arial" w:cs="Arial"/>
          <w:b/>
        </w:rPr>
        <w:t xml:space="preserve"> - 2017.</w:t>
      </w:r>
    </w:p>
    <w:p w:rsidR="004E46AB" w:rsidRDefault="004E46AB" w:rsidP="004E46AB">
      <w:pPr>
        <w:spacing w:line="276" w:lineRule="auto"/>
        <w:jc w:val="center"/>
        <w:rPr>
          <w:rFonts w:ascii="Arial" w:hAnsi="Arial" w:cs="Arial"/>
          <w:sz w:val="22"/>
          <w:szCs w:val="22"/>
        </w:rPr>
      </w:pPr>
      <w:r>
        <w:rPr>
          <w:noProof/>
          <w:lang w:eastAsia="es-CO"/>
        </w:rPr>
        <w:lastRenderedPageBreak/>
        <w:drawing>
          <wp:inline distT="0" distB="0" distL="0" distR="0" wp14:anchorId="3E85E4C0" wp14:editId="31A55E3C">
            <wp:extent cx="4955895" cy="2719449"/>
            <wp:effectExtent l="0" t="0" r="16510" b="5080"/>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E46AB" w:rsidRPr="000907E9" w:rsidRDefault="004E46AB" w:rsidP="004E46AB">
      <w:pPr>
        <w:spacing w:line="276" w:lineRule="auto"/>
        <w:jc w:val="center"/>
        <w:rPr>
          <w:rFonts w:ascii="Arial" w:hAnsi="Arial" w:cs="Arial"/>
          <w:sz w:val="18"/>
        </w:rPr>
      </w:pPr>
      <w:r w:rsidRPr="000907E9">
        <w:rPr>
          <w:rFonts w:ascii="Arial" w:hAnsi="Arial" w:cs="Arial"/>
          <w:sz w:val="18"/>
        </w:rPr>
        <w:t xml:space="preserve">Fuente. </w:t>
      </w:r>
      <w:r>
        <w:rPr>
          <w:rFonts w:ascii="Arial" w:hAnsi="Arial" w:cs="Arial"/>
          <w:sz w:val="18"/>
        </w:rPr>
        <w:t>Banco de la Republica</w:t>
      </w:r>
    </w:p>
    <w:p w:rsidR="004E46AB" w:rsidRPr="000A4537" w:rsidRDefault="004E46AB" w:rsidP="004E46AB">
      <w:pPr>
        <w:spacing w:line="276" w:lineRule="auto"/>
        <w:jc w:val="both"/>
        <w:rPr>
          <w:rFonts w:ascii="Arial" w:hAnsi="Arial" w:cs="Arial"/>
          <w:sz w:val="14"/>
          <w:szCs w:val="22"/>
        </w:rPr>
      </w:pPr>
    </w:p>
    <w:p w:rsidR="004E46AB" w:rsidRDefault="004E46AB" w:rsidP="004E46AB">
      <w:pPr>
        <w:spacing w:line="276" w:lineRule="auto"/>
        <w:jc w:val="both"/>
        <w:rPr>
          <w:rFonts w:ascii="Arial" w:hAnsi="Arial" w:cs="Arial"/>
          <w:sz w:val="22"/>
          <w:szCs w:val="22"/>
        </w:rPr>
      </w:pPr>
    </w:p>
    <w:p w:rsidR="004E46AB" w:rsidRDefault="004E46AB" w:rsidP="004E46AB">
      <w:pPr>
        <w:spacing w:line="276" w:lineRule="auto"/>
        <w:jc w:val="both"/>
        <w:rPr>
          <w:rFonts w:ascii="Arial" w:hAnsi="Arial" w:cs="Arial"/>
          <w:sz w:val="22"/>
          <w:szCs w:val="22"/>
        </w:rPr>
      </w:pPr>
      <w:r>
        <w:rPr>
          <w:rFonts w:ascii="Arial" w:hAnsi="Arial" w:cs="Arial"/>
          <w:sz w:val="22"/>
          <w:szCs w:val="22"/>
        </w:rPr>
        <w:t>En el corto plazo, la TRM viene de un alza en el 2015 para nivelarse alrededor de los $3.000 pesos por dólar en el 2016 y en 2017.  En el 2018 no se espera que esta dinámica cambie manteniendo la tendencia de los últimos años, tanto así que según los últimos reportes a mayo de 2018 la TRM se situó alrededor de los $2.900 pesos por dólar. Es importante mencionar, no obstante, que el precio del dólar depende también de las condiciones macroeconómicas y políticas a nivel internacional, de esta forma factores como el precio del petróleo o las políticas comerciales de los países más importantes pueden afectar la TRM en Colombia.</w:t>
      </w:r>
    </w:p>
    <w:p w:rsidR="004E46AB" w:rsidRDefault="004E46AB" w:rsidP="004E46AB">
      <w:pPr>
        <w:spacing w:line="276" w:lineRule="auto"/>
        <w:jc w:val="both"/>
        <w:rPr>
          <w:rFonts w:ascii="Arial" w:hAnsi="Arial" w:cs="Arial"/>
          <w:sz w:val="16"/>
          <w:szCs w:val="22"/>
        </w:rPr>
      </w:pPr>
    </w:p>
    <w:p w:rsidR="004E46AB" w:rsidRDefault="004E46AB" w:rsidP="004E46AB">
      <w:pPr>
        <w:spacing w:line="276" w:lineRule="auto"/>
        <w:jc w:val="both"/>
        <w:rPr>
          <w:rFonts w:ascii="Arial" w:hAnsi="Arial" w:cs="Arial"/>
          <w:sz w:val="16"/>
          <w:szCs w:val="22"/>
        </w:rPr>
      </w:pPr>
    </w:p>
    <w:p w:rsidR="004E46AB" w:rsidRDefault="004E46AB" w:rsidP="004E46AB">
      <w:pPr>
        <w:spacing w:line="276" w:lineRule="auto"/>
        <w:jc w:val="both"/>
        <w:rPr>
          <w:rFonts w:ascii="Arial" w:hAnsi="Arial" w:cs="Arial"/>
          <w:sz w:val="16"/>
          <w:szCs w:val="22"/>
        </w:rPr>
      </w:pPr>
    </w:p>
    <w:p w:rsidR="004E46AB" w:rsidRDefault="004E46AB" w:rsidP="004E46AB">
      <w:pPr>
        <w:spacing w:line="276" w:lineRule="auto"/>
        <w:jc w:val="both"/>
        <w:rPr>
          <w:rFonts w:ascii="Arial" w:hAnsi="Arial" w:cs="Arial"/>
          <w:sz w:val="16"/>
          <w:szCs w:val="22"/>
        </w:rPr>
      </w:pPr>
    </w:p>
    <w:p w:rsidR="004E46AB" w:rsidRDefault="004E46AB" w:rsidP="004E46AB">
      <w:pPr>
        <w:spacing w:line="276" w:lineRule="auto"/>
        <w:jc w:val="both"/>
        <w:rPr>
          <w:rFonts w:ascii="Arial" w:hAnsi="Arial" w:cs="Arial"/>
          <w:sz w:val="16"/>
          <w:szCs w:val="22"/>
        </w:rPr>
      </w:pPr>
    </w:p>
    <w:p w:rsidR="004E46AB" w:rsidRPr="00A14381" w:rsidRDefault="004E46AB" w:rsidP="004E46AB">
      <w:pPr>
        <w:spacing w:line="276" w:lineRule="auto"/>
        <w:jc w:val="both"/>
        <w:rPr>
          <w:rFonts w:ascii="Arial" w:hAnsi="Arial" w:cs="Arial"/>
          <w:sz w:val="16"/>
          <w:szCs w:val="22"/>
        </w:rPr>
      </w:pPr>
    </w:p>
    <w:p w:rsidR="004E46AB" w:rsidRDefault="004E46AB" w:rsidP="004E46AB">
      <w:pPr>
        <w:spacing w:line="276" w:lineRule="auto"/>
        <w:jc w:val="both"/>
        <w:rPr>
          <w:rFonts w:ascii="Arial" w:hAnsi="Arial" w:cs="Arial"/>
          <w:b/>
        </w:rPr>
      </w:pPr>
      <w:r w:rsidRPr="00F9720C">
        <w:rPr>
          <w:rFonts w:ascii="Arial" w:hAnsi="Arial" w:cs="Arial"/>
          <w:b/>
          <w:lang w:val="es-UY"/>
        </w:rPr>
        <w:t>Gráfica</w:t>
      </w:r>
      <w:r w:rsidRPr="008F7E9E">
        <w:rPr>
          <w:rFonts w:ascii="Arial" w:hAnsi="Arial" w:cs="Arial"/>
          <w:b/>
        </w:rPr>
        <w:t xml:space="preserve"> </w:t>
      </w:r>
      <w:r w:rsidRPr="00F9720C">
        <w:rPr>
          <w:rFonts w:ascii="Arial" w:hAnsi="Arial" w:cs="Arial"/>
          <w:b/>
          <w:lang w:val="en-US"/>
        </w:rPr>
        <w:fldChar w:fldCharType="begin"/>
      </w:r>
      <w:r w:rsidRPr="008F7E9E">
        <w:rPr>
          <w:rFonts w:ascii="Arial" w:hAnsi="Arial" w:cs="Arial"/>
          <w:b/>
        </w:rPr>
        <w:instrText xml:space="preserve"> SEQ Gráfica \* ARABIC </w:instrText>
      </w:r>
      <w:r w:rsidRPr="00F9720C">
        <w:rPr>
          <w:rFonts w:ascii="Arial" w:hAnsi="Arial" w:cs="Arial"/>
          <w:b/>
          <w:lang w:val="en-US"/>
        </w:rPr>
        <w:fldChar w:fldCharType="separate"/>
      </w:r>
      <w:r>
        <w:rPr>
          <w:rFonts w:ascii="Arial" w:hAnsi="Arial" w:cs="Arial"/>
          <w:b/>
          <w:noProof/>
        </w:rPr>
        <w:t>7</w:t>
      </w:r>
      <w:r w:rsidRPr="00F9720C">
        <w:rPr>
          <w:rFonts w:ascii="Arial" w:hAnsi="Arial" w:cs="Arial"/>
        </w:rPr>
        <w:fldChar w:fldCharType="end"/>
      </w:r>
      <w:r w:rsidRPr="008F7E9E">
        <w:rPr>
          <w:rFonts w:ascii="Arial" w:hAnsi="Arial" w:cs="Arial"/>
          <w:b/>
        </w:rPr>
        <w:t>.</w:t>
      </w:r>
      <w:r w:rsidRPr="00F9720C">
        <w:rPr>
          <w:rFonts w:ascii="Arial" w:hAnsi="Arial" w:cs="Arial"/>
          <w:b/>
        </w:rPr>
        <w:t xml:space="preserve"> T</w:t>
      </w:r>
      <w:r>
        <w:rPr>
          <w:rFonts w:ascii="Arial" w:hAnsi="Arial" w:cs="Arial"/>
          <w:b/>
        </w:rPr>
        <w:t>RM Mensual Colombia 2016</w:t>
      </w:r>
      <w:r w:rsidRPr="00F9720C">
        <w:rPr>
          <w:rFonts w:ascii="Arial" w:hAnsi="Arial" w:cs="Arial"/>
          <w:b/>
        </w:rPr>
        <w:t xml:space="preserve"> - 2017.</w:t>
      </w:r>
    </w:p>
    <w:p w:rsidR="004E46AB" w:rsidRDefault="004E46AB" w:rsidP="004E46AB">
      <w:pPr>
        <w:spacing w:line="276" w:lineRule="auto"/>
        <w:jc w:val="both"/>
        <w:rPr>
          <w:rFonts w:ascii="Arial" w:hAnsi="Arial" w:cs="Arial"/>
          <w:sz w:val="22"/>
          <w:szCs w:val="22"/>
        </w:rPr>
      </w:pPr>
    </w:p>
    <w:p w:rsidR="004E46AB" w:rsidRDefault="004E46AB" w:rsidP="004E46AB">
      <w:pPr>
        <w:spacing w:line="276" w:lineRule="auto"/>
        <w:jc w:val="center"/>
        <w:rPr>
          <w:rFonts w:ascii="Arial" w:hAnsi="Arial" w:cs="Arial"/>
          <w:sz w:val="22"/>
          <w:szCs w:val="22"/>
        </w:rPr>
      </w:pPr>
      <w:r>
        <w:rPr>
          <w:noProof/>
          <w:lang w:eastAsia="es-CO"/>
        </w:rPr>
        <w:lastRenderedPageBreak/>
        <w:drawing>
          <wp:inline distT="0" distB="0" distL="0" distR="0" wp14:anchorId="301CFE63" wp14:editId="6357E697">
            <wp:extent cx="5400040" cy="2352675"/>
            <wp:effectExtent l="0" t="0" r="10160" b="9525"/>
            <wp:docPr id="30" name="Gráfico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E46AB" w:rsidRPr="000907E9" w:rsidRDefault="004E46AB" w:rsidP="004E46AB">
      <w:pPr>
        <w:spacing w:line="276" w:lineRule="auto"/>
        <w:jc w:val="center"/>
        <w:rPr>
          <w:rFonts w:ascii="Arial" w:hAnsi="Arial" w:cs="Arial"/>
          <w:sz w:val="18"/>
        </w:rPr>
      </w:pPr>
      <w:r w:rsidRPr="000907E9">
        <w:rPr>
          <w:rFonts w:ascii="Arial" w:hAnsi="Arial" w:cs="Arial"/>
          <w:sz w:val="18"/>
        </w:rPr>
        <w:t xml:space="preserve">Fuente. </w:t>
      </w:r>
      <w:r>
        <w:rPr>
          <w:rFonts w:ascii="Arial" w:hAnsi="Arial" w:cs="Arial"/>
          <w:sz w:val="18"/>
        </w:rPr>
        <w:t>Banco de la Republica</w:t>
      </w:r>
    </w:p>
    <w:p w:rsidR="004E46AB" w:rsidRDefault="004E46AB" w:rsidP="004E46AB">
      <w:pPr>
        <w:spacing w:line="276" w:lineRule="auto"/>
        <w:jc w:val="both"/>
        <w:rPr>
          <w:rFonts w:ascii="Arial" w:hAnsi="Arial" w:cs="Arial"/>
          <w:sz w:val="22"/>
          <w:szCs w:val="22"/>
        </w:rPr>
      </w:pPr>
    </w:p>
    <w:p w:rsidR="004E46AB" w:rsidRDefault="004E46AB" w:rsidP="004E46AB">
      <w:pPr>
        <w:spacing w:line="276" w:lineRule="auto"/>
        <w:jc w:val="both"/>
        <w:rPr>
          <w:rFonts w:ascii="Arial" w:hAnsi="Arial" w:cs="Arial"/>
          <w:sz w:val="22"/>
          <w:szCs w:val="22"/>
        </w:rPr>
      </w:pPr>
      <w:r>
        <w:rPr>
          <w:rFonts w:ascii="Arial" w:hAnsi="Arial" w:cs="Arial"/>
          <w:sz w:val="22"/>
          <w:szCs w:val="22"/>
        </w:rPr>
        <w:t>Finalmente, l</w:t>
      </w:r>
      <w:r w:rsidRPr="00F9720C">
        <w:rPr>
          <w:rFonts w:ascii="Arial" w:hAnsi="Arial" w:cs="Arial"/>
          <w:sz w:val="22"/>
          <w:szCs w:val="22"/>
        </w:rPr>
        <w:t>as anteriores consideraciones sobre</w:t>
      </w:r>
      <w:r>
        <w:rPr>
          <w:rFonts w:ascii="Arial" w:hAnsi="Arial" w:cs="Arial"/>
          <w:sz w:val="22"/>
          <w:szCs w:val="22"/>
        </w:rPr>
        <w:t xml:space="preserve"> las principales variables macroeconómicas que pueden impactar el sector de comercio, plantean un escenario estable en el mediano plazo.</w:t>
      </w:r>
    </w:p>
    <w:p w:rsidR="004E46AB" w:rsidRDefault="004E46AB" w:rsidP="004E46AB">
      <w:pPr>
        <w:autoSpaceDE w:val="0"/>
        <w:autoSpaceDN w:val="0"/>
        <w:adjustRightInd w:val="0"/>
        <w:jc w:val="both"/>
        <w:rPr>
          <w:rFonts w:ascii="Arial" w:hAnsi="Arial" w:cs="Arial"/>
          <w:b/>
          <w:sz w:val="22"/>
          <w:szCs w:val="22"/>
        </w:rPr>
      </w:pPr>
    </w:p>
    <w:p w:rsidR="004E46AB" w:rsidRPr="00B26329" w:rsidRDefault="004E46AB" w:rsidP="004E46AB">
      <w:pPr>
        <w:pStyle w:val="Ttulo3"/>
        <w:keepLines/>
        <w:numPr>
          <w:ilvl w:val="1"/>
          <w:numId w:val="40"/>
        </w:numPr>
        <w:suppressAutoHyphens/>
        <w:spacing w:before="40" w:after="0" w:line="276" w:lineRule="auto"/>
        <w:rPr>
          <w:rFonts w:ascii="Arial" w:hAnsi="Arial" w:cs="Arial"/>
          <w:sz w:val="22"/>
        </w:rPr>
      </w:pPr>
      <w:r>
        <w:rPr>
          <w:rFonts w:ascii="Arial" w:hAnsi="Arial" w:cs="Arial"/>
          <w:sz w:val="22"/>
        </w:rPr>
        <w:t>Macro sector económico</w:t>
      </w:r>
      <w:r>
        <w:rPr>
          <w:rFonts w:ascii="Arial" w:hAnsi="Arial" w:cs="Arial"/>
          <w:sz w:val="22"/>
          <w:lang w:val="es-ES"/>
        </w:rPr>
        <w:t>:</w:t>
      </w:r>
      <w:r>
        <w:rPr>
          <w:rFonts w:ascii="Arial" w:hAnsi="Arial" w:cs="Arial"/>
          <w:sz w:val="22"/>
        </w:rPr>
        <w:t xml:space="preserve"> S</w:t>
      </w:r>
      <w:r w:rsidRPr="00B26329">
        <w:rPr>
          <w:rFonts w:ascii="Arial" w:hAnsi="Arial" w:cs="Arial"/>
          <w:sz w:val="22"/>
        </w:rPr>
        <w:t>ervicios</w:t>
      </w:r>
    </w:p>
    <w:p w:rsidR="004E46AB" w:rsidRPr="00012413" w:rsidRDefault="004E46AB" w:rsidP="004E46AB">
      <w:pPr>
        <w:autoSpaceDE w:val="0"/>
        <w:autoSpaceDN w:val="0"/>
        <w:adjustRightInd w:val="0"/>
        <w:jc w:val="both"/>
        <w:rPr>
          <w:rFonts w:ascii="Arial" w:hAnsi="Arial" w:cs="Arial"/>
          <w:sz w:val="22"/>
          <w:szCs w:val="22"/>
        </w:rPr>
      </w:pPr>
    </w:p>
    <w:p w:rsidR="004E46AB" w:rsidRPr="00012413" w:rsidRDefault="004E46AB" w:rsidP="004E46AB">
      <w:pPr>
        <w:autoSpaceDE w:val="0"/>
        <w:autoSpaceDN w:val="0"/>
        <w:adjustRightInd w:val="0"/>
        <w:jc w:val="both"/>
        <w:rPr>
          <w:rFonts w:ascii="Arial" w:hAnsi="Arial" w:cs="Arial"/>
          <w:sz w:val="22"/>
          <w:szCs w:val="22"/>
        </w:rPr>
      </w:pPr>
      <w:r w:rsidRPr="00012413">
        <w:rPr>
          <w:rFonts w:ascii="Arial" w:hAnsi="Arial" w:cs="Arial"/>
          <w:sz w:val="22"/>
          <w:szCs w:val="22"/>
        </w:rPr>
        <w:t>El</w:t>
      </w:r>
      <w:r>
        <w:rPr>
          <w:rFonts w:ascii="Arial" w:hAnsi="Arial" w:cs="Arial"/>
          <w:sz w:val="22"/>
          <w:szCs w:val="22"/>
        </w:rPr>
        <w:t xml:space="preserve"> objeto del presente proceso de contratación se enmarca en el ámbito de los servicios,</w:t>
      </w:r>
      <w:r w:rsidRPr="00012413">
        <w:rPr>
          <w:rFonts w:ascii="Arial" w:hAnsi="Arial" w:cs="Arial"/>
          <w:sz w:val="22"/>
          <w:szCs w:val="22"/>
        </w:rPr>
        <w:t xml:space="preserve"> </w:t>
      </w:r>
      <w:r>
        <w:rPr>
          <w:rFonts w:ascii="Arial" w:hAnsi="Arial" w:cs="Arial"/>
          <w:sz w:val="22"/>
          <w:szCs w:val="22"/>
        </w:rPr>
        <w:t>la cual</w:t>
      </w:r>
      <w:r w:rsidRPr="00012413">
        <w:rPr>
          <w:rFonts w:ascii="Arial" w:hAnsi="Arial" w:cs="Arial"/>
          <w:sz w:val="22"/>
          <w:szCs w:val="22"/>
        </w:rPr>
        <w:t xml:space="preserve"> es una actividad que incluye un grupo heterogéneo de subsectores con dinámicas y características muy diferentes y que realmente aún no están debidamente caracterizadas y medidas en el país. En un esfuerzo por avanzar en la identificación y evolución de la actividad de servicios, el DANE, por medio de la </w:t>
      </w:r>
      <w:r w:rsidRPr="00F75FCF">
        <w:rPr>
          <w:rFonts w:ascii="Arial" w:hAnsi="Arial" w:cs="Arial"/>
          <w:sz w:val="22"/>
          <w:szCs w:val="22"/>
        </w:rPr>
        <w:t xml:space="preserve">Encuesta </w:t>
      </w:r>
      <w:r>
        <w:rPr>
          <w:rFonts w:ascii="Arial" w:hAnsi="Arial" w:cs="Arial"/>
          <w:sz w:val="22"/>
          <w:szCs w:val="22"/>
        </w:rPr>
        <w:t>A</w:t>
      </w:r>
      <w:r w:rsidRPr="00F75FCF">
        <w:rPr>
          <w:rFonts w:ascii="Arial" w:hAnsi="Arial" w:cs="Arial"/>
          <w:sz w:val="22"/>
          <w:szCs w:val="22"/>
        </w:rPr>
        <w:t xml:space="preserve">nual </w:t>
      </w:r>
      <w:r w:rsidRPr="00012413">
        <w:rPr>
          <w:rFonts w:ascii="Arial" w:hAnsi="Arial" w:cs="Arial"/>
          <w:sz w:val="22"/>
          <w:szCs w:val="22"/>
        </w:rPr>
        <w:t xml:space="preserve">de Servicios </w:t>
      </w:r>
      <w:r w:rsidRPr="00F75FCF">
        <w:rPr>
          <w:rFonts w:ascii="Arial" w:hAnsi="Arial" w:cs="Arial"/>
          <w:sz w:val="22"/>
          <w:szCs w:val="22"/>
        </w:rPr>
        <w:t xml:space="preserve">(EAS) </w:t>
      </w:r>
      <w:r>
        <w:rPr>
          <w:rFonts w:ascii="Arial" w:hAnsi="Arial" w:cs="Arial"/>
          <w:sz w:val="22"/>
          <w:szCs w:val="22"/>
        </w:rPr>
        <w:t xml:space="preserve">y la </w:t>
      </w:r>
      <w:r w:rsidRPr="00012413">
        <w:rPr>
          <w:rFonts w:ascii="Arial" w:hAnsi="Arial" w:cs="Arial"/>
          <w:sz w:val="22"/>
          <w:szCs w:val="22"/>
        </w:rPr>
        <w:t xml:space="preserve">Muestra Trimestral de Servicios </w:t>
      </w:r>
      <w:r>
        <w:rPr>
          <w:rFonts w:ascii="Arial" w:hAnsi="Arial" w:cs="Arial"/>
          <w:sz w:val="22"/>
          <w:szCs w:val="22"/>
        </w:rPr>
        <w:t>(</w:t>
      </w:r>
      <w:r w:rsidRPr="00012413">
        <w:rPr>
          <w:rFonts w:ascii="Arial" w:hAnsi="Arial" w:cs="Arial"/>
          <w:sz w:val="22"/>
          <w:szCs w:val="22"/>
        </w:rPr>
        <w:t>MTS</w:t>
      </w:r>
      <w:r>
        <w:rPr>
          <w:rFonts w:ascii="Arial" w:hAnsi="Arial" w:cs="Arial"/>
          <w:sz w:val="22"/>
          <w:szCs w:val="22"/>
        </w:rPr>
        <w:t>)</w:t>
      </w:r>
      <w:r w:rsidRPr="00012413">
        <w:rPr>
          <w:rFonts w:ascii="Arial" w:hAnsi="Arial" w:cs="Arial"/>
          <w:sz w:val="22"/>
          <w:szCs w:val="22"/>
        </w:rPr>
        <w:t>, mide la evolución de las principales variables del sector servicios, a través de la generación de índices y variaciones de los ingresos nominales por tipo de ingreso y personal ocupado por categoría ocupacional, para el total nacional.</w:t>
      </w:r>
    </w:p>
    <w:p w:rsidR="004E46AB" w:rsidRDefault="004E46AB" w:rsidP="004E46AB">
      <w:pPr>
        <w:autoSpaceDE w:val="0"/>
        <w:autoSpaceDN w:val="0"/>
        <w:adjustRightInd w:val="0"/>
        <w:jc w:val="both"/>
        <w:rPr>
          <w:rFonts w:ascii="Arial" w:hAnsi="Arial" w:cs="Arial"/>
          <w:sz w:val="22"/>
          <w:szCs w:val="22"/>
        </w:rPr>
      </w:pPr>
    </w:p>
    <w:p w:rsidR="004E46AB" w:rsidRDefault="004E46AB" w:rsidP="004E46AB">
      <w:pPr>
        <w:autoSpaceDE w:val="0"/>
        <w:autoSpaceDN w:val="0"/>
        <w:adjustRightInd w:val="0"/>
        <w:jc w:val="both"/>
        <w:rPr>
          <w:rFonts w:ascii="Arial" w:hAnsi="Arial" w:cs="Arial"/>
          <w:sz w:val="22"/>
          <w:szCs w:val="22"/>
        </w:rPr>
      </w:pPr>
      <w:r>
        <w:rPr>
          <w:rFonts w:ascii="Arial" w:hAnsi="Arial" w:cs="Arial"/>
          <w:sz w:val="22"/>
          <w:szCs w:val="22"/>
        </w:rPr>
        <w:t>En este sentido, según los datos del último año disponible de la EAS, en el 2016 las a</w:t>
      </w:r>
      <w:r w:rsidRPr="00E81418">
        <w:rPr>
          <w:rFonts w:ascii="Arial" w:hAnsi="Arial" w:cs="Arial"/>
          <w:sz w:val="22"/>
          <w:szCs w:val="22"/>
        </w:rPr>
        <w:t>ctividades administrativas y de apoyo a oficina y otras actividades de apoyo a las empresas</w:t>
      </w:r>
      <w:r>
        <w:rPr>
          <w:rFonts w:ascii="Arial" w:hAnsi="Arial" w:cs="Arial"/>
          <w:sz w:val="22"/>
          <w:szCs w:val="22"/>
        </w:rPr>
        <w:t xml:space="preserve">, en las cuales se encuentran comprendidas las actividades de </w:t>
      </w:r>
      <w:r w:rsidRPr="00E81418">
        <w:rPr>
          <w:rFonts w:ascii="Arial" w:hAnsi="Arial" w:cs="Arial"/>
          <w:sz w:val="22"/>
          <w:szCs w:val="22"/>
        </w:rPr>
        <w:t>consultoría de gestión</w:t>
      </w:r>
      <w:r>
        <w:rPr>
          <w:rFonts w:ascii="Arial" w:hAnsi="Arial" w:cs="Arial"/>
          <w:sz w:val="22"/>
          <w:szCs w:val="22"/>
        </w:rPr>
        <w:t xml:space="preserve"> y de </w:t>
      </w:r>
      <w:r w:rsidRPr="00E81418">
        <w:rPr>
          <w:rFonts w:ascii="Arial" w:hAnsi="Arial" w:cs="Arial"/>
          <w:sz w:val="22"/>
          <w:szCs w:val="22"/>
        </w:rPr>
        <w:t>administración empresarial</w:t>
      </w:r>
      <w:r>
        <w:rPr>
          <w:rFonts w:ascii="Arial" w:hAnsi="Arial" w:cs="Arial"/>
          <w:sz w:val="22"/>
          <w:szCs w:val="22"/>
        </w:rPr>
        <w:t xml:space="preserve">, tuvieron unos ingresos operacionales que </w:t>
      </w:r>
      <w:r w:rsidRPr="00E81418">
        <w:rPr>
          <w:rFonts w:ascii="Arial" w:hAnsi="Arial" w:cs="Arial"/>
          <w:sz w:val="22"/>
          <w:szCs w:val="22"/>
        </w:rPr>
        <w:t>ascendieron a</w:t>
      </w:r>
      <w:r>
        <w:rPr>
          <w:rFonts w:ascii="Arial" w:hAnsi="Arial" w:cs="Arial"/>
          <w:sz w:val="22"/>
          <w:szCs w:val="22"/>
        </w:rPr>
        <w:t xml:space="preserve"> </w:t>
      </w:r>
      <w:r w:rsidRPr="00E81418">
        <w:rPr>
          <w:rFonts w:ascii="Arial" w:hAnsi="Arial" w:cs="Arial"/>
          <w:sz w:val="22"/>
          <w:szCs w:val="22"/>
        </w:rPr>
        <w:t xml:space="preserve">$9.437,5 miles de millones y </w:t>
      </w:r>
      <w:r>
        <w:rPr>
          <w:rFonts w:ascii="Arial" w:hAnsi="Arial" w:cs="Arial"/>
          <w:sz w:val="22"/>
          <w:szCs w:val="22"/>
        </w:rPr>
        <w:t>una</w:t>
      </w:r>
      <w:r w:rsidRPr="00E81418">
        <w:rPr>
          <w:rFonts w:ascii="Arial" w:hAnsi="Arial" w:cs="Arial"/>
          <w:sz w:val="22"/>
          <w:szCs w:val="22"/>
        </w:rPr>
        <w:t xml:space="preserve"> producción bruta </w:t>
      </w:r>
      <w:r>
        <w:rPr>
          <w:rFonts w:ascii="Arial" w:hAnsi="Arial" w:cs="Arial"/>
          <w:sz w:val="22"/>
          <w:szCs w:val="22"/>
        </w:rPr>
        <w:t>de</w:t>
      </w:r>
      <w:r w:rsidRPr="00E81418">
        <w:rPr>
          <w:rFonts w:ascii="Arial" w:hAnsi="Arial" w:cs="Arial"/>
          <w:sz w:val="22"/>
          <w:szCs w:val="22"/>
        </w:rPr>
        <w:t xml:space="preserve"> $9.286,0 miles de millones. La</w:t>
      </w:r>
      <w:r>
        <w:rPr>
          <w:rFonts w:ascii="Arial" w:hAnsi="Arial" w:cs="Arial"/>
          <w:sz w:val="22"/>
          <w:szCs w:val="22"/>
        </w:rPr>
        <w:t xml:space="preserve"> </w:t>
      </w:r>
      <w:r w:rsidRPr="00E81418">
        <w:rPr>
          <w:rFonts w:ascii="Arial" w:hAnsi="Arial" w:cs="Arial"/>
          <w:sz w:val="22"/>
          <w:szCs w:val="22"/>
        </w:rPr>
        <w:t>diferencia entre estos dos valores corresponde al costo de la mercancía vendida</w:t>
      </w:r>
      <w:r>
        <w:rPr>
          <w:rFonts w:ascii="Arial" w:hAnsi="Arial" w:cs="Arial"/>
          <w:sz w:val="22"/>
          <w:szCs w:val="22"/>
        </w:rPr>
        <w:t xml:space="preserve"> asociada a la prestación del servicio</w:t>
      </w:r>
      <w:r w:rsidRPr="00E81418">
        <w:rPr>
          <w:rFonts w:ascii="Arial" w:hAnsi="Arial" w:cs="Arial"/>
          <w:sz w:val="22"/>
          <w:szCs w:val="22"/>
        </w:rPr>
        <w:t>.</w:t>
      </w:r>
    </w:p>
    <w:p w:rsidR="004E46AB" w:rsidRDefault="004E46AB" w:rsidP="004E46AB">
      <w:pPr>
        <w:autoSpaceDE w:val="0"/>
        <w:autoSpaceDN w:val="0"/>
        <w:adjustRightInd w:val="0"/>
        <w:jc w:val="both"/>
        <w:rPr>
          <w:rFonts w:ascii="Arial" w:hAnsi="Arial" w:cs="Arial"/>
          <w:sz w:val="22"/>
          <w:szCs w:val="22"/>
        </w:rPr>
      </w:pPr>
    </w:p>
    <w:p w:rsidR="004E46AB" w:rsidRDefault="004E46AB" w:rsidP="004E46AB">
      <w:pPr>
        <w:autoSpaceDE w:val="0"/>
        <w:autoSpaceDN w:val="0"/>
        <w:adjustRightInd w:val="0"/>
        <w:jc w:val="both"/>
        <w:rPr>
          <w:rFonts w:ascii="Arial" w:hAnsi="Arial" w:cs="Arial"/>
          <w:sz w:val="22"/>
          <w:szCs w:val="22"/>
        </w:rPr>
      </w:pPr>
    </w:p>
    <w:p w:rsidR="004E46AB" w:rsidRDefault="004E46AB" w:rsidP="004E46AB">
      <w:pPr>
        <w:autoSpaceDE w:val="0"/>
        <w:autoSpaceDN w:val="0"/>
        <w:adjustRightInd w:val="0"/>
        <w:jc w:val="both"/>
        <w:rPr>
          <w:rFonts w:ascii="Arial" w:hAnsi="Arial" w:cs="Arial"/>
          <w:sz w:val="22"/>
          <w:szCs w:val="22"/>
        </w:rPr>
      </w:pPr>
    </w:p>
    <w:p w:rsidR="004E46AB" w:rsidRPr="00F923A3" w:rsidRDefault="004E46AB" w:rsidP="004E46AB">
      <w:pPr>
        <w:autoSpaceDE w:val="0"/>
        <w:autoSpaceDN w:val="0"/>
        <w:adjustRightInd w:val="0"/>
        <w:jc w:val="center"/>
        <w:rPr>
          <w:rFonts w:ascii="Arial" w:hAnsi="Arial" w:cs="Arial"/>
          <w:b/>
          <w:sz w:val="16"/>
          <w:szCs w:val="22"/>
        </w:rPr>
      </w:pPr>
      <w:r w:rsidRPr="00F923A3">
        <w:rPr>
          <w:rFonts w:ascii="Arial" w:hAnsi="Arial" w:cs="Arial"/>
          <w:b/>
          <w:color w:val="3A3838"/>
          <w:sz w:val="18"/>
          <w:szCs w:val="23"/>
          <w:lang w:eastAsia="es-CO"/>
        </w:rPr>
        <w:t xml:space="preserve">Variables principales en actividades profesionales, científicas y técnicas - Total nacional </w:t>
      </w:r>
      <w:r>
        <w:rPr>
          <w:rFonts w:ascii="Arial" w:hAnsi="Arial" w:cs="Arial"/>
          <w:b/>
          <w:color w:val="3A3838"/>
          <w:sz w:val="18"/>
          <w:szCs w:val="23"/>
          <w:lang w:eastAsia="es-CO"/>
        </w:rPr>
        <w:t xml:space="preserve">– </w:t>
      </w:r>
      <w:r w:rsidRPr="00F923A3">
        <w:rPr>
          <w:rFonts w:ascii="Arial" w:hAnsi="Arial" w:cs="Arial"/>
          <w:b/>
          <w:color w:val="3A3838"/>
          <w:sz w:val="18"/>
          <w:szCs w:val="23"/>
          <w:lang w:eastAsia="es-CO"/>
        </w:rPr>
        <w:t>2016</w:t>
      </w:r>
      <w:r>
        <w:rPr>
          <w:rFonts w:ascii="Arial" w:hAnsi="Arial" w:cs="Arial"/>
          <w:b/>
          <w:color w:val="3A3838"/>
          <w:sz w:val="18"/>
          <w:szCs w:val="23"/>
          <w:lang w:eastAsia="es-CO"/>
        </w:rPr>
        <w:t>.</w:t>
      </w:r>
    </w:p>
    <w:p w:rsidR="004E46AB" w:rsidRDefault="004E46AB" w:rsidP="004E46AB">
      <w:pPr>
        <w:autoSpaceDE w:val="0"/>
        <w:autoSpaceDN w:val="0"/>
        <w:adjustRightInd w:val="0"/>
        <w:jc w:val="center"/>
        <w:rPr>
          <w:rFonts w:ascii="Arial" w:hAnsi="Arial" w:cs="Arial"/>
          <w:sz w:val="22"/>
          <w:szCs w:val="22"/>
        </w:rPr>
      </w:pPr>
      <w:r w:rsidRPr="00E81418">
        <w:rPr>
          <w:rFonts w:ascii="Arial" w:hAnsi="Arial" w:cs="Arial"/>
          <w:noProof/>
          <w:sz w:val="22"/>
          <w:szCs w:val="22"/>
          <w:lang w:eastAsia="es-CO"/>
        </w:rPr>
        <w:lastRenderedPageBreak/>
        <w:drawing>
          <wp:inline distT="0" distB="0" distL="0" distR="0" wp14:anchorId="3E362BC3" wp14:editId="3F39A9D0">
            <wp:extent cx="4147718" cy="2024403"/>
            <wp:effectExtent l="0" t="0" r="571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53789" cy="2027366"/>
                    </a:xfrm>
                    <a:prstGeom prst="rect">
                      <a:avLst/>
                    </a:prstGeom>
                    <a:noFill/>
                    <a:ln>
                      <a:noFill/>
                    </a:ln>
                  </pic:spPr>
                </pic:pic>
              </a:graphicData>
            </a:graphic>
          </wp:inline>
        </w:drawing>
      </w:r>
    </w:p>
    <w:p w:rsidR="004E46AB" w:rsidRDefault="004E46AB" w:rsidP="004E46AB">
      <w:pPr>
        <w:autoSpaceDE w:val="0"/>
        <w:autoSpaceDN w:val="0"/>
        <w:adjustRightInd w:val="0"/>
        <w:jc w:val="both"/>
        <w:rPr>
          <w:rFonts w:ascii="Arial" w:hAnsi="Arial" w:cs="Arial"/>
          <w:sz w:val="22"/>
          <w:szCs w:val="22"/>
        </w:rPr>
      </w:pPr>
    </w:p>
    <w:p w:rsidR="004E46AB" w:rsidRPr="00F923A3" w:rsidRDefault="004E46AB" w:rsidP="004E46AB">
      <w:pPr>
        <w:autoSpaceDE w:val="0"/>
        <w:autoSpaceDN w:val="0"/>
        <w:adjustRightInd w:val="0"/>
        <w:jc w:val="both"/>
        <w:rPr>
          <w:rFonts w:ascii="Arial" w:hAnsi="Arial" w:cs="Arial"/>
          <w:szCs w:val="22"/>
        </w:rPr>
      </w:pPr>
      <w:r w:rsidRPr="00F923A3">
        <w:rPr>
          <w:rFonts w:ascii="Arial" w:hAnsi="Arial" w:cs="Arial"/>
          <w:szCs w:val="22"/>
        </w:rPr>
        <w:t>Fuente: DANE - EAS</w:t>
      </w:r>
    </w:p>
    <w:p w:rsidR="004E46AB" w:rsidRDefault="004E46AB" w:rsidP="004E46AB">
      <w:pPr>
        <w:autoSpaceDE w:val="0"/>
        <w:autoSpaceDN w:val="0"/>
        <w:adjustRightInd w:val="0"/>
        <w:jc w:val="both"/>
        <w:rPr>
          <w:rFonts w:ascii="Arial" w:hAnsi="Arial" w:cs="Arial"/>
          <w:sz w:val="22"/>
          <w:szCs w:val="22"/>
        </w:rPr>
      </w:pPr>
    </w:p>
    <w:p w:rsidR="004E46AB" w:rsidRDefault="004E46AB" w:rsidP="004E46AB">
      <w:pPr>
        <w:autoSpaceDE w:val="0"/>
        <w:autoSpaceDN w:val="0"/>
        <w:adjustRightInd w:val="0"/>
        <w:jc w:val="both"/>
        <w:rPr>
          <w:rFonts w:ascii="Arial" w:hAnsi="Arial" w:cs="Arial"/>
          <w:sz w:val="22"/>
          <w:szCs w:val="22"/>
        </w:rPr>
      </w:pPr>
      <w:r>
        <w:rPr>
          <w:rFonts w:ascii="Arial" w:hAnsi="Arial" w:cs="Arial"/>
          <w:sz w:val="22"/>
          <w:szCs w:val="22"/>
        </w:rPr>
        <w:t>De igual forma, e</w:t>
      </w:r>
      <w:r w:rsidRPr="00F923A3">
        <w:rPr>
          <w:rFonts w:ascii="Arial" w:hAnsi="Arial" w:cs="Arial"/>
          <w:sz w:val="22"/>
          <w:szCs w:val="22"/>
        </w:rPr>
        <w:t>n 2016 las empresas dedicadas a actividades profesionales, científicas y técnicas</w:t>
      </w:r>
      <w:r>
        <w:rPr>
          <w:rFonts w:ascii="Arial" w:hAnsi="Arial" w:cs="Arial"/>
          <w:sz w:val="22"/>
          <w:szCs w:val="22"/>
        </w:rPr>
        <w:t xml:space="preserve"> </w:t>
      </w:r>
      <w:r w:rsidRPr="00F923A3">
        <w:rPr>
          <w:rFonts w:ascii="Arial" w:hAnsi="Arial" w:cs="Arial"/>
          <w:sz w:val="22"/>
          <w:szCs w:val="22"/>
        </w:rPr>
        <w:t>cubiertas por la EAS ocuparon en total 81.409 personas, de las cuales, 52.039</w:t>
      </w:r>
      <w:r>
        <w:rPr>
          <w:rFonts w:ascii="Arial" w:hAnsi="Arial" w:cs="Arial"/>
          <w:sz w:val="22"/>
          <w:szCs w:val="22"/>
        </w:rPr>
        <w:t xml:space="preserve"> </w:t>
      </w:r>
      <w:r w:rsidRPr="00F923A3">
        <w:rPr>
          <w:rFonts w:ascii="Arial" w:hAnsi="Arial" w:cs="Arial"/>
          <w:sz w:val="22"/>
          <w:szCs w:val="22"/>
        </w:rPr>
        <w:t>correspondieron a personal permanente, 26.593 a personal temporal contratado</w:t>
      </w:r>
      <w:r>
        <w:rPr>
          <w:rFonts w:ascii="Arial" w:hAnsi="Arial" w:cs="Arial"/>
          <w:sz w:val="22"/>
          <w:szCs w:val="22"/>
        </w:rPr>
        <w:t xml:space="preserve"> </w:t>
      </w:r>
      <w:r w:rsidRPr="00F923A3">
        <w:rPr>
          <w:rFonts w:ascii="Arial" w:hAnsi="Arial" w:cs="Arial"/>
          <w:sz w:val="22"/>
          <w:szCs w:val="22"/>
        </w:rPr>
        <w:t>directamente por las empresas y 2.777 a otro tipo de vinculación</w:t>
      </w:r>
      <w:r>
        <w:rPr>
          <w:rStyle w:val="Refdenotaalpie"/>
          <w:rFonts w:ascii="Arial" w:hAnsi="Arial"/>
          <w:sz w:val="22"/>
          <w:szCs w:val="22"/>
        </w:rPr>
        <w:footnoteReference w:id="2"/>
      </w:r>
      <w:r w:rsidRPr="00F923A3">
        <w:rPr>
          <w:rFonts w:ascii="Arial" w:hAnsi="Arial" w:cs="Arial"/>
          <w:sz w:val="22"/>
          <w:szCs w:val="22"/>
        </w:rPr>
        <w:t>. Así mismo, estas</w:t>
      </w:r>
      <w:r>
        <w:rPr>
          <w:rFonts w:ascii="Arial" w:hAnsi="Arial" w:cs="Arial"/>
          <w:sz w:val="22"/>
          <w:szCs w:val="22"/>
        </w:rPr>
        <w:t xml:space="preserve"> </w:t>
      </w:r>
      <w:r w:rsidRPr="00F923A3">
        <w:rPr>
          <w:rFonts w:ascii="Arial" w:hAnsi="Arial" w:cs="Arial"/>
          <w:sz w:val="22"/>
          <w:szCs w:val="22"/>
        </w:rPr>
        <w:t>empresas pagaron $2.217,4 miles de millones en sueldos y salarios</w:t>
      </w:r>
      <w:r>
        <w:rPr>
          <w:rStyle w:val="Refdenotaalpie"/>
          <w:rFonts w:ascii="Arial" w:hAnsi="Arial"/>
          <w:sz w:val="22"/>
          <w:szCs w:val="22"/>
        </w:rPr>
        <w:footnoteReference w:id="3"/>
      </w:r>
      <w:r w:rsidRPr="00F923A3">
        <w:rPr>
          <w:rFonts w:ascii="Arial" w:hAnsi="Arial" w:cs="Arial"/>
          <w:sz w:val="22"/>
          <w:szCs w:val="22"/>
        </w:rPr>
        <w:t xml:space="preserve"> y, $1.262,2 miles</w:t>
      </w:r>
      <w:r>
        <w:rPr>
          <w:rFonts w:ascii="Arial" w:hAnsi="Arial" w:cs="Arial"/>
          <w:sz w:val="22"/>
          <w:szCs w:val="22"/>
        </w:rPr>
        <w:t xml:space="preserve"> </w:t>
      </w:r>
      <w:r w:rsidRPr="00F923A3">
        <w:rPr>
          <w:rFonts w:ascii="Arial" w:hAnsi="Arial" w:cs="Arial"/>
          <w:sz w:val="22"/>
          <w:szCs w:val="22"/>
        </w:rPr>
        <w:t>de millones en prestaciones sociales. La remuneración promedio por persona en el año</w:t>
      </w:r>
      <w:r>
        <w:rPr>
          <w:rFonts w:ascii="Arial" w:hAnsi="Arial" w:cs="Arial"/>
          <w:sz w:val="22"/>
          <w:szCs w:val="22"/>
        </w:rPr>
        <w:t xml:space="preserve"> </w:t>
      </w:r>
      <w:r w:rsidRPr="00F923A3">
        <w:rPr>
          <w:rFonts w:ascii="Arial" w:hAnsi="Arial" w:cs="Arial"/>
          <w:sz w:val="22"/>
          <w:szCs w:val="22"/>
        </w:rPr>
        <w:t>fue de $42,9 millones.</w:t>
      </w:r>
    </w:p>
    <w:p w:rsidR="004E46AB" w:rsidRDefault="004E46AB" w:rsidP="004E46AB">
      <w:pPr>
        <w:autoSpaceDE w:val="0"/>
        <w:autoSpaceDN w:val="0"/>
        <w:adjustRightInd w:val="0"/>
        <w:jc w:val="both"/>
        <w:rPr>
          <w:rFonts w:ascii="Arial" w:hAnsi="Arial" w:cs="Arial"/>
          <w:sz w:val="22"/>
          <w:szCs w:val="22"/>
        </w:rPr>
      </w:pPr>
    </w:p>
    <w:p w:rsidR="004E46AB" w:rsidRPr="00F923A3" w:rsidRDefault="004E46AB" w:rsidP="004E46AB">
      <w:pPr>
        <w:autoSpaceDE w:val="0"/>
        <w:autoSpaceDN w:val="0"/>
        <w:adjustRightInd w:val="0"/>
        <w:jc w:val="center"/>
        <w:rPr>
          <w:rFonts w:ascii="Arial" w:hAnsi="Arial" w:cs="Arial"/>
          <w:b/>
          <w:color w:val="3A3838"/>
          <w:sz w:val="18"/>
          <w:szCs w:val="23"/>
          <w:lang w:eastAsia="es-CO"/>
        </w:rPr>
      </w:pPr>
      <w:r w:rsidRPr="00F923A3">
        <w:rPr>
          <w:rFonts w:ascii="Arial" w:hAnsi="Arial" w:cs="Arial"/>
          <w:b/>
          <w:color w:val="3A3838"/>
          <w:sz w:val="18"/>
          <w:szCs w:val="23"/>
          <w:lang w:eastAsia="es-CO"/>
        </w:rPr>
        <w:t xml:space="preserve">Personal ocupado por categoría de contratación y remuneraciones, en actividades profesionales, científicas y técnicas - Total nacional </w:t>
      </w:r>
      <w:r>
        <w:rPr>
          <w:rFonts w:ascii="Arial" w:hAnsi="Arial" w:cs="Arial"/>
          <w:b/>
          <w:color w:val="3A3838"/>
          <w:sz w:val="18"/>
          <w:szCs w:val="23"/>
          <w:lang w:eastAsia="es-CO"/>
        </w:rPr>
        <w:t xml:space="preserve">– </w:t>
      </w:r>
      <w:r w:rsidRPr="00F923A3">
        <w:rPr>
          <w:rFonts w:ascii="Arial" w:hAnsi="Arial" w:cs="Arial"/>
          <w:b/>
          <w:color w:val="3A3838"/>
          <w:sz w:val="18"/>
          <w:szCs w:val="23"/>
          <w:lang w:eastAsia="es-CO"/>
        </w:rPr>
        <w:t>2016</w:t>
      </w:r>
      <w:r>
        <w:rPr>
          <w:rFonts w:ascii="Arial" w:hAnsi="Arial" w:cs="Arial"/>
          <w:b/>
          <w:color w:val="3A3838"/>
          <w:sz w:val="18"/>
          <w:szCs w:val="23"/>
          <w:lang w:eastAsia="es-CO"/>
        </w:rPr>
        <w:t>.</w:t>
      </w:r>
    </w:p>
    <w:p w:rsidR="004E46AB" w:rsidRDefault="004E46AB" w:rsidP="004E46AB">
      <w:pPr>
        <w:autoSpaceDE w:val="0"/>
        <w:autoSpaceDN w:val="0"/>
        <w:adjustRightInd w:val="0"/>
        <w:jc w:val="both"/>
        <w:rPr>
          <w:rFonts w:ascii="Arial" w:hAnsi="Arial" w:cs="Arial"/>
          <w:sz w:val="22"/>
          <w:szCs w:val="22"/>
        </w:rPr>
      </w:pPr>
      <w:r w:rsidRPr="00F923A3">
        <w:rPr>
          <w:rFonts w:ascii="Arial" w:hAnsi="Arial" w:cs="Arial"/>
          <w:noProof/>
          <w:sz w:val="22"/>
          <w:szCs w:val="22"/>
          <w:lang w:eastAsia="es-CO"/>
        </w:rPr>
        <w:drawing>
          <wp:inline distT="0" distB="0" distL="0" distR="0" wp14:anchorId="22345F77" wp14:editId="4E3F15F9">
            <wp:extent cx="5971540" cy="1602439"/>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lum bright="-20000" contrast="40000"/>
                      <a:extLst>
                        <a:ext uri="{28A0092B-C50C-407E-A947-70E740481C1C}">
                          <a14:useLocalDpi xmlns:a14="http://schemas.microsoft.com/office/drawing/2010/main" val="0"/>
                        </a:ext>
                      </a:extLst>
                    </a:blip>
                    <a:srcRect/>
                    <a:stretch>
                      <a:fillRect/>
                    </a:stretch>
                  </pic:blipFill>
                  <pic:spPr bwMode="auto">
                    <a:xfrm>
                      <a:off x="0" y="0"/>
                      <a:ext cx="5971540" cy="1602439"/>
                    </a:xfrm>
                    <a:prstGeom prst="rect">
                      <a:avLst/>
                    </a:prstGeom>
                    <a:noFill/>
                    <a:ln>
                      <a:noFill/>
                    </a:ln>
                  </pic:spPr>
                </pic:pic>
              </a:graphicData>
            </a:graphic>
          </wp:inline>
        </w:drawing>
      </w:r>
    </w:p>
    <w:p w:rsidR="004E46AB" w:rsidRPr="00F923A3" w:rsidRDefault="004E46AB" w:rsidP="004E46AB">
      <w:pPr>
        <w:autoSpaceDE w:val="0"/>
        <w:autoSpaceDN w:val="0"/>
        <w:adjustRightInd w:val="0"/>
        <w:jc w:val="both"/>
        <w:rPr>
          <w:rFonts w:ascii="Arial" w:hAnsi="Arial" w:cs="Arial"/>
          <w:szCs w:val="22"/>
        </w:rPr>
      </w:pPr>
      <w:r w:rsidRPr="00F923A3">
        <w:rPr>
          <w:rFonts w:ascii="Arial" w:hAnsi="Arial" w:cs="Arial"/>
          <w:szCs w:val="22"/>
        </w:rPr>
        <w:t>Fuente: DANE - EAS</w:t>
      </w:r>
    </w:p>
    <w:p w:rsidR="004E46AB" w:rsidRDefault="004E46AB" w:rsidP="004E46AB">
      <w:pPr>
        <w:autoSpaceDE w:val="0"/>
        <w:autoSpaceDN w:val="0"/>
        <w:adjustRightInd w:val="0"/>
        <w:jc w:val="both"/>
        <w:rPr>
          <w:rFonts w:ascii="Arial" w:hAnsi="Arial" w:cs="Arial"/>
          <w:sz w:val="22"/>
          <w:szCs w:val="22"/>
        </w:rPr>
      </w:pPr>
    </w:p>
    <w:p w:rsidR="004E46AB" w:rsidRPr="001D79D3" w:rsidRDefault="004E46AB" w:rsidP="004E46AB">
      <w:pPr>
        <w:autoSpaceDE w:val="0"/>
        <w:autoSpaceDN w:val="0"/>
        <w:adjustRightInd w:val="0"/>
        <w:jc w:val="both"/>
        <w:rPr>
          <w:rFonts w:ascii="Arial" w:hAnsi="Arial" w:cs="Arial"/>
          <w:sz w:val="22"/>
          <w:szCs w:val="22"/>
        </w:rPr>
      </w:pPr>
      <w:r>
        <w:rPr>
          <w:rFonts w:ascii="Arial" w:hAnsi="Arial" w:cs="Arial"/>
          <w:sz w:val="22"/>
          <w:szCs w:val="22"/>
        </w:rPr>
        <w:t>Por otro lado, según la MTS, la evolución trimestral del sector hasta el último trimestre del 2017, deja ver un proceso de decrecimiento en el último año que se evidencia en el hecho que, en</w:t>
      </w:r>
      <w:r w:rsidRPr="001D79D3">
        <w:rPr>
          <w:rFonts w:ascii="Arial" w:hAnsi="Arial" w:cs="Arial"/>
          <w:sz w:val="22"/>
          <w:szCs w:val="22"/>
        </w:rPr>
        <w:t xml:space="preserve"> los últimos doce meses hasta el cuarto trimestre de 2017</w:t>
      </w:r>
      <w:r>
        <w:rPr>
          <w:rFonts w:ascii="Arial" w:hAnsi="Arial" w:cs="Arial"/>
          <w:sz w:val="22"/>
          <w:szCs w:val="22"/>
        </w:rPr>
        <w:t>,</w:t>
      </w:r>
      <w:r w:rsidRPr="001D79D3">
        <w:rPr>
          <w:rFonts w:ascii="Arial" w:hAnsi="Arial" w:cs="Arial"/>
          <w:sz w:val="22"/>
          <w:szCs w:val="22"/>
        </w:rPr>
        <w:t xml:space="preserve"> los ingresos disminuyeron 4,4% y el personal ocupado descendió 2,4%, respecto al año precedente.</w:t>
      </w:r>
    </w:p>
    <w:p w:rsidR="004E46AB" w:rsidRDefault="004E46AB" w:rsidP="004E46AB">
      <w:pPr>
        <w:autoSpaceDE w:val="0"/>
        <w:autoSpaceDN w:val="0"/>
        <w:adjustRightInd w:val="0"/>
        <w:jc w:val="both"/>
        <w:rPr>
          <w:rFonts w:ascii="Arial" w:hAnsi="Arial" w:cs="Arial"/>
          <w:sz w:val="22"/>
          <w:szCs w:val="22"/>
        </w:rPr>
      </w:pPr>
    </w:p>
    <w:p w:rsidR="004E46AB" w:rsidRDefault="004E46AB" w:rsidP="004E46AB">
      <w:pPr>
        <w:autoSpaceDE w:val="0"/>
        <w:autoSpaceDN w:val="0"/>
        <w:adjustRightInd w:val="0"/>
        <w:jc w:val="center"/>
        <w:rPr>
          <w:rFonts w:ascii="Arial" w:hAnsi="Arial" w:cs="Arial"/>
          <w:sz w:val="22"/>
          <w:szCs w:val="22"/>
        </w:rPr>
      </w:pPr>
      <w:r w:rsidRPr="001D79D3">
        <w:rPr>
          <w:rFonts w:ascii="Arial" w:hAnsi="Arial" w:cs="Arial"/>
          <w:noProof/>
          <w:sz w:val="22"/>
          <w:szCs w:val="22"/>
          <w:lang w:eastAsia="es-CO"/>
        </w:rPr>
        <w:lastRenderedPageBreak/>
        <w:drawing>
          <wp:inline distT="0" distB="0" distL="0" distR="0" wp14:anchorId="653ABEB5" wp14:editId="19B30A03">
            <wp:extent cx="3672230" cy="2332464"/>
            <wp:effectExtent l="0" t="0" r="444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lum bright="-20000" contrast="40000"/>
                      <a:extLst>
                        <a:ext uri="{28A0092B-C50C-407E-A947-70E740481C1C}">
                          <a14:useLocalDpi xmlns:a14="http://schemas.microsoft.com/office/drawing/2010/main" val="0"/>
                        </a:ext>
                      </a:extLst>
                    </a:blip>
                    <a:srcRect/>
                    <a:stretch>
                      <a:fillRect/>
                    </a:stretch>
                  </pic:blipFill>
                  <pic:spPr bwMode="auto">
                    <a:xfrm>
                      <a:off x="0" y="0"/>
                      <a:ext cx="3688069" cy="2342524"/>
                    </a:xfrm>
                    <a:prstGeom prst="rect">
                      <a:avLst/>
                    </a:prstGeom>
                    <a:noFill/>
                    <a:ln>
                      <a:noFill/>
                    </a:ln>
                  </pic:spPr>
                </pic:pic>
              </a:graphicData>
            </a:graphic>
          </wp:inline>
        </w:drawing>
      </w:r>
    </w:p>
    <w:p w:rsidR="004E46AB" w:rsidRDefault="004E46AB" w:rsidP="004E46AB">
      <w:pPr>
        <w:autoSpaceDE w:val="0"/>
        <w:autoSpaceDN w:val="0"/>
        <w:adjustRightInd w:val="0"/>
        <w:jc w:val="both"/>
        <w:rPr>
          <w:rFonts w:ascii="Arial" w:hAnsi="Arial" w:cs="Arial"/>
          <w:sz w:val="22"/>
          <w:szCs w:val="22"/>
        </w:rPr>
      </w:pPr>
    </w:p>
    <w:p w:rsidR="004E46AB" w:rsidRDefault="004E46AB" w:rsidP="004E46AB">
      <w:pPr>
        <w:autoSpaceDE w:val="0"/>
        <w:autoSpaceDN w:val="0"/>
        <w:adjustRightInd w:val="0"/>
        <w:jc w:val="both"/>
        <w:rPr>
          <w:rFonts w:ascii="Arial" w:hAnsi="Arial" w:cs="Arial"/>
          <w:sz w:val="22"/>
          <w:szCs w:val="22"/>
        </w:rPr>
      </w:pPr>
    </w:p>
    <w:p w:rsidR="004E46AB" w:rsidRDefault="004E46AB" w:rsidP="004E46AB">
      <w:pPr>
        <w:autoSpaceDE w:val="0"/>
        <w:autoSpaceDN w:val="0"/>
        <w:adjustRightInd w:val="0"/>
        <w:jc w:val="both"/>
        <w:rPr>
          <w:rFonts w:ascii="Arial" w:hAnsi="Arial" w:cs="Arial"/>
          <w:sz w:val="22"/>
          <w:szCs w:val="22"/>
        </w:rPr>
      </w:pPr>
      <w:r>
        <w:rPr>
          <w:rFonts w:ascii="Arial" w:hAnsi="Arial" w:cs="Arial"/>
          <w:sz w:val="22"/>
          <w:szCs w:val="22"/>
        </w:rPr>
        <w:t xml:space="preserve">Este decrecimiento, no obstante, </w:t>
      </w:r>
      <w:r w:rsidRPr="00F84717">
        <w:rPr>
          <w:rFonts w:ascii="Arial" w:hAnsi="Arial" w:cs="Arial"/>
          <w:sz w:val="22"/>
          <w:szCs w:val="22"/>
        </w:rPr>
        <w:t xml:space="preserve">se explica por una disminución </w:t>
      </w:r>
      <w:r>
        <w:rPr>
          <w:rFonts w:ascii="Arial" w:hAnsi="Arial" w:cs="Arial"/>
          <w:sz w:val="22"/>
          <w:szCs w:val="22"/>
        </w:rPr>
        <w:t>principalmente</w:t>
      </w:r>
      <w:r w:rsidRPr="00F84717">
        <w:rPr>
          <w:rFonts w:ascii="Arial" w:hAnsi="Arial" w:cs="Arial"/>
          <w:sz w:val="22"/>
          <w:szCs w:val="22"/>
        </w:rPr>
        <w:t xml:space="preserve"> de la venta de mercancías </w:t>
      </w:r>
      <w:r>
        <w:rPr>
          <w:rFonts w:ascii="Arial" w:hAnsi="Arial" w:cs="Arial"/>
          <w:sz w:val="22"/>
          <w:szCs w:val="22"/>
        </w:rPr>
        <w:t xml:space="preserve">lo cual no tiene un impacto en el sector de servicios de consultoría. </w:t>
      </w:r>
      <w:r w:rsidRPr="00F84717">
        <w:rPr>
          <w:rFonts w:ascii="Arial" w:hAnsi="Arial" w:cs="Arial"/>
          <w:sz w:val="22"/>
          <w:szCs w:val="22"/>
        </w:rPr>
        <w:t xml:space="preserve">La </w:t>
      </w:r>
      <w:r>
        <w:rPr>
          <w:rFonts w:ascii="Arial" w:hAnsi="Arial" w:cs="Arial"/>
          <w:sz w:val="22"/>
          <w:szCs w:val="22"/>
        </w:rPr>
        <w:t>disminución de</w:t>
      </w:r>
      <w:r w:rsidRPr="00F84717">
        <w:rPr>
          <w:rFonts w:ascii="Arial" w:hAnsi="Arial" w:cs="Arial"/>
          <w:sz w:val="22"/>
          <w:szCs w:val="22"/>
        </w:rPr>
        <w:t>l personal total,</w:t>
      </w:r>
      <w:r>
        <w:rPr>
          <w:rFonts w:ascii="Arial" w:hAnsi="Arial" w:cs="Arial"/>
          <w:sz w:val="22"/>
          <w:szCs w:val="22"/>
        </w:rPr>
        <w:t xml:space="preserve"> por otro lado,</w:t>
      </w:r>
      <w:r w:rsidRPr="00F84717">
        <w:rPr>
          <w:rFonts w:ascii="Arial" w:hAnsi="Arial" w:cs="Arial"/>
          <w:sz w:val="22"/>
          <w:szCs w:val="22"/>
        </w:rPr>
        <w:t xml:space="preserve"> se explica por una disminución de 5,2% en el personal permanente</w:t>
      </w:r>
      <w:r>
        <w:rPr>
          <w:rFonts w:ascii="Arial" w:hAnsi="Arial" w:cs="Arial"/>
          <w:sz w:val="22"/>
          <w:szCs w:val="22"/>
        </w:rPr>
        <w:t>.</w:t>
      </w:r>
    </w:p>
    <w:p w:rsidR="004E46AB" w:rsidRDefault="004E46AB" w:rsidP="004E46AB">
      <w:pPr>
        <w:autoSpaceDE w:val="0"/>
        <w:autoSpaceDN w:val="0"/>
        <w:adjustRightInd w:val="0"/>
        <w:jc w:val="both"/>
        <w:rPr>
          <w:rFonts w:ascii="Arial" w:hAnsi="Arial" w:cs="Arial"/>
          <w:sz w:val="22"/>
          <w:szCs w:val="22"/>
        </w:rPr>
      </w:pPr>
    </w:p>
    <w:p w:rsidR="004E46AB" w:rsidRPr="00B405E8" w:rsidRDefault="004E46AB" w:rsidP="004E46AB">
      <w:pPr>
        <w:numPr>
          <w:ilvl w:val="0"/>
          <w:numId w:val="35"/>
        </w:numPr>
        <w:jc w:val="both"/>
        <w:rPr>
          <w:rFonts w:ascii="Arial" w:hAnsi="Arial" w:cs="Arial"/>
          <w:b/>
          <w:sz w:val="22"/>
          <w:szCs w:val="22"/>
        </w:rPr>
      </w:pPr>
      <w:r w:rsidRPr="00B405E8">
        <w:rPr>
          <w:rFonts w:ascii="Arial" w:hAnsi="Arial" w:cs="Arial"/>
          <w:b/>
          <w:sz w:val="22"/>
          <w:szCs w:val="22"/>
        </w:rPr>
        <w:t xml:space="preserve">ASPECTO REGULATORIO </w:t>
      </w:r>
    </w:p>
    <w:p w:rsidR="004E46AB" w:rsidRPr="00B405E8" w:rsidRDefault="004E46AB" w:rsidP="004E46AB">
      <w:pPr>
        <w:autoSpaceDE w:val="0"/>
        <w:autoSpaceDN w:val="0"/>
        <w:adjustRightInd w:val="0"/>
        <w:jc w:val="both"/>
        <w:rPr>
          <w:rFonts w:ascii="Arial" w:hAnsi="Arial" w:cs="Arial"/>
          <w:color w:val="222222"/>
          <w:sz w:val="22"/>
          <w:szCs w:val="22"/>
        </w:rPr>
      </w:pPr>
    </w:p>
    <w:p w:rsidR="004E46AB" w:rsidRPr="00B405E8" w:rsidRDefault="004E46AB" w:rsidP="004E46AB">
      <w:pPr>
        <w:autoSpaceDE w:val="0"/>
        <w:autoSpaceDN w:val="0"/>
        <w:adjustRightInd w:val="0"/>
        <w:jc w:val="both"/>
        <w:rPr>
          <w:rFonts w:ascii="Arial" w:hAnsi="Arial" w:cs="Arial"/>
          <w:color w:val="222222"/>
          <w:sz w:val="22"/>
          <w:szCs w:val="22"/>
        </w:rPr>
      </w:pPr>
      <w:r w:rsidRPr="00B405E8">
        <w:rPr>
          <w:rFonts w:ascii="Arial" w:hAnsi="Arial" w:cs="Arial"/>
          <w:color w:val="222222"/>
          <w:sz w:val="22"/>
          <w:szCs w:val="22"/>
        </w:rPr>
        <w:t>La Entidad Estatal identifico que la regulación aplicable al objeto del Proceso de contratación es la siguiente:</w:t>
      </w:r>
    </w:p>
    <w:p w:rsidR="004E46AB" w:rsidRDefault="004E46AB" w:rsidP="004E46AB">
      <w:pPr>
        <w:jc w:val="both"/>
        <w:rPr>
          <w:rFonts w:ascii="Arial" w:hAnsi="Arial" w:cs="Arial"/>
          <w:color w:val="222222"/>
          <w:sz w:val="22"/>
          <w:szCs w:val="22"/>
        </w:rPr>
      </w:pPr>
    </w:p>
    <w:p w:rsidR="004E46AB" w:rsidRDefault="004E46AB" w:rsidP="004E46AB">
      <w:pPr>
        <w:numPr>
          <w:ilvl w:val="0"/>
          <w:numId w:val="38"/>
        </w:numPr>
        <w:jc w:val="both"/>
        <w:rPr>
          <w:rFonts w:ascii="Arial" w:hAnsi="Arial" w:cs="Arial"/>
          <w:color w:val="222222"/>
          <w:sz w:val="22"/>
          <w:szCs w:val="22"/>
        </w:rPr>
      </w:pPr>
      <w:r>
        <w:rPr>
          <w:rFonts w:ascii="Arial" w:hAnsi="Arial" w:cs="Arial"/>
          <w:color w:val="222222"/>
          <w:sz w:val="22"/>
          <w:szCs w:val="22"/>
        </w:rPr>
        <w:t xml:space="preserve">Decreto 222 de 1983, </w:t>
      </w:r>
      <w:r w:rsidRPr="00C53676">
        <w:rPr>
          <w:rFonts w:ascii="Arial" w:hAnsi="Arial" w:cs="Arial"/>
          <w:color w:val="222222"/>
          <w:sz w:val="22"/>
          <w:szCs w:val="22"/>
        </w:rPr>
        <w:t>Por el cual se expiden normas sobre contratos de la Nación y sus entidades descentralizadas y se dictan otras disposiciones</w:t>
      </w:r>
      <w:r>
        <w:rPr>
          <w:rFonts w:ascii="Arial" w:hAnsi="Arial" w:cs="Arial"/>
          <w:color w:val="222222"/>
          <w:sz w:val="22"/>
          <w:szCs w:val="22"/>
        </w:rPr>
        <w:t>. Artículo 126, d</w:t>
      </w:r>
      <w:r w:rsidRPr="00C53676">
        <w:rPr>
          <w:rFonts w:ascii="Arial" w:hAnsi="Arial" w:cs="Arial"/>
          <w:color w:val="222222"/>
          <w:sz w:val="22"/>
          <w:szCs w:val="22"/>
        </w:rPr>
        <w:t>e la protección a la consultoría nacional</w:t>
      </w:r>
      <w:r>
        <w:rPr>
          <w:rFonts w:ascii="Arial" w:hAnsi="Arial" w:cs="Arial"/>
          <w:color w:val="222222"/>
          <w:sz w:val="22"/>
          <w:szCs w:val="22"/>
        </w:rPr>
        <w:t>.</w:t>
      </w:r>
    </w:p>
    <w:p w:rsidR="004E46AB" w:rsidRPr="0019686B" w:rsidRDefault="004E46AB" w:rsidP="004E46AB">
      <w:pPr>
        <w:ind w:left="720"/>
        <w:jc w:val="both"/>
        <w:rPr>
          <w:b/>
          <w:bCs/>
          <w:color w:val="222222"/>
          <w:sz w:val="22"/>
          <w:szCs w:val="22"/>
        </w:rPr>
      </w:pPr>
    </w:p>
    <w:p w:rsidR="004E46AB" w:rsidRPr="00B405E8" w:rsidRDefault="0004128E" w:rsidP="004E46AB">
      <w:pPr>
        <w:numPr>
          <w:ilvl w:val="0"/>
          <w:numId w:val="38"/>
        </w:numPr>
        <w:jc w:val="both"/>
        <w:rPr>
          <w:b/>
          <w:bCs/>
          <w:color w:val="222222"/>
          <w:sz w:val="22"/>
          <w:szCs w:val="22"/>
        </w:rPr>
      </w:pPr>
      <w:hyperlink r:id="rId17" w:history="1">
        <w:r w:rsidR="004E46AB" w:rsidRPr="00B405E8">
          <w:rPr>
            <w:rFonts w:ascii="Arial" w:hAnsi="Arial" w:cs="Arial"/>
            <w:color w:val="222222"/>
            <w:sz w:val="22"/>
            <w:szCs w:val="22"/>
          </w:rPr>
          <w:t>Ley 80 de 1993</w:t>
        </w:r>
      </w:hyperlink>
      <w:r w:rsidR="004E46AB" w:rsidRPr="00B405E8">
        <w:rPr>
          <w:rFonts w:ascii="Arial" w:hAnsi="Arial" w:cs="Arial"/>
          <w:color w:val="222222"/>
          <w:sz w:val="22"/>
          <w:szCs w:val="22"/>
        </w:rPr>
        <w:t>: Por la cual se expide el Estatuto General de Contratación de la Administración Pública</w:t>
      </w:r>
      <w:r w:rsidR="004E46AB">
        <w:rPr>
          <w:rFonts w:ascii="Arial" w:hAnsi="Arial" w:cs="Arial"/>
          <w:color w:val="222222"/>
          <w:sz w:val="22"/>
          <w:szCs w:val="22"/>
        </w:rPr>
        <w:t>.</w:t>
      </w:r>
    </w:p>
    <w:p w:rsidR="004E46AB" w:rsidRDefault="004E46AB" w:rsidP="004E46AB">
      <w:pPr>
        <w:jc w:val="both"/>
        <w:rPr>
          <w:rFonts w:ascii="Arial" w:hAnsi="Arial" w:cs="Arial"/>
          <w:color w:val="222222"/>
          <w:sz w:val="22"/>
          <w:szCs w:val="22"/>
        </w:rPr>
      </w:pPr>
    </w:p>
    <w:p w:rsidR="004E46AB" w:rsidRPr="00B405E8" w:rsidRDefault="0004128E" w:rsidP="004E46AB">
      <w:pPr>
        <w:numPr>
          <w:ilvl w:val="0"/>
          <w:numId w:val="38"/>
        </w:numPr>
        <w:jc w:val="both"/>
        <w:rPr>
          <w:rFonts w:ascii="Arial" w:hAnsi="Arial" w:cs="Arial"/>
          <w:color w:val="222222"/>
          <w:sz w:val="22"/>
          <w:szCs w:val="22"/>
        </w:rPr>
      </w:pPr>
      <w:hyperlink r:id="rId18" w:history="1">
        <w:r w:rsidR="004E46AB" w:rsidRPr="00B405E8">
          <w:rPr>
            <w:rFonts w:ascii="Arial" w:hAnsi="Arial" w:cs="Arial"/>
            <w:color w:val="222222"/>
            <w:sz w:val="22"/>
            <w:szCs w:val="22"/>
          </w:rPr>
          <w:t>Ley 734 de 2002</w:t>
        </w:r>
      </w:hyperlink>
      <w:r w:rsidR="004E46AB" w:rsidRPr="00B405E8">
        <w:rPr>
          <w:rFonts w:ascii="Arial" w:hAnsi="Arial" w:cs="Arial"/>
          <w:color w:val="222222"/>
          <w:sz w:val="22"/>
          <w:szCs w:val="22"/>
        </w:rPr>
        <w:t>: Nuevo Código Único Disciplinario.</w:t>
      </w:r>
    </w:p>
    <w:p w:rsidR="004E46AB" w:rsidRDefault="004E46AB" w:rsidP="004E46AB">
      <w:pPr>
        <w:jc w:val="both"/>
        <w:rPr>
          <w:rFonts w:ascii="Arial" w:hAnsi="Arial" w:cs="Arial"/>
          <w:color w:val="222222"/>
          <w:sz w:val="22"/>
          <w:szCs w:val="22"/>
        </w:rPr>
      </w:pPr>
    </w:p>
    <w:p w:rsidR="004E46AB" w:rsidRPr="00B405E8" w:rsidRDefault="0004128E" w:rsidP="004E46AB">
      <w:pPr>
        <w:numPr>
          <w:ilvl w:val="0"/>
          <w:numId w:val="38"/>
        </w:numPr>
        <w:jc w:val="both"/>
        <w:rPr>
          <w:rFonts w:ascii="Arial" w:hAnsi="Arial" w:cs="Arial"/>
          <w:color w:val="222222"/>
          <w:sz w:val="22"/>
          <w:szCs w:val="22"/>
        </w:rPr>
      </w:pPr>
      <w:hyperlink r:id="rId19" w:history="1">
        <w:r w:rsidR="004E46AB" w:rsidRPr="00B405E8">
          <w:rPr>
            <w:rFonts w:ascii="Arial" w:hAnsi="Arial" w:cs="Arial"/>
            <w:color w:val="222222"/>
            <w:sz w:val="22"/>
            <w:szCs w:val="22"/>
          </w:rPr>
          <w:t>Estatuto Anticorrupción - Ley 1474 de 2011</w:t>
        </w:r>
      </w:hyperlink>
      <w:r w:rsidR="004E46AB" w:rsidRPr="00B405E8">
        <w:rPr>
          <w:rFonts w:ascii="Arial" w:hAnsi="Arial" w:cs="Arial"/>
          <w:color w:val="222222"/>
          <w:sz w:val="22"/>
          <w:szCs w:val="22"/>
        </w:rPr>
        <w:t>: Fortalece los mecanismos de prevención, investigación y sanción de actos de corrupción y la efectividad del control de la gestión pública.</w:t>
      </w:r>
    </w:p>
    <w:p w:rsidR="004E46AB" w:rsidRDefault="004E46AB" w:rsidP="004E46AB">
      <w:pPr>
        <w:jc w:val="both"/>
        <w:rPr>
          <w:rFonts w:ascii="Arial" w:hAnsi="Arial" w:cs="Arial"/>
          <w:color w:val="222222"/>
          <w:sz w:val="22"/>
          <w:szCs w:val="22"/>
        </w:rPr>
      </w:pPr>
    </w:p>
    <w:p w:rsidR="004E46AB" w:rsidRDefault="004E46AB" w:rsidP="004E46AB">
      <w:pPr>
        <w:numPr>
          <w:ilvl w:val="0"/>
          <w:numId w:val="38"/>
        </w:numPr>
        <w:jc w:val="both"/>
        <w:rPr>
          <w:rFonts w:ascii="Arial" w:hAnsi="Arial" w:cs="Arial"/>
          <w:color w:val="222222"/>
          <w:sz w:val="22"/>
          <w:szCs w:val="22"/>
        </w:rPr>
      </w:pPr>
      <w:r w:rsidRPr="00B405E8">
        <w:rPr>
          <w:rFonts w:ascii="Arial" w:hAnsi="Arial" w:cs="Arial"/>
          <w:color w:val="222222"/>
          <w:sz w:val="22"/>
          <w:szCs w:val="22"/>
        </w:rPr>
        <w:t>Decreto 1082 de 2015 Por medio del cual se expide el decreto único reglamentario del sector administrativo de planeación nacional</w:t>
      </w:r>
      <w:r>
        <w:rPr>
          <w:rFonts w:ascii="Arial" w:hAnsi="Arial" w:cs="Arial"/>
          <w:color w:val="222222"/>
          <w:sz w:val="22"/>
          <w:szCs w:val="22"/>
        </w:rPr>
        <w:t>.</w:t>
      </w:r>
    </w:p>
    <w:p w:rsidR="004E46AB" w:rsidRDefault="004E46AB" w:rsidP="004E46AB">
      <w:pPr>
        <w:pStyle w:val="Prrafodelista"/>
        <w:rPr>
          <w:rFonts w:ascii="Arial" w:hAnsi="Arial" w:cs="Arial"/>
          <w:color w:val="222222"/>
          <w:sz w:val="22"/>
          <w:szCs w:val="22"/>
        </w:rPr>
      </w:pPr>
    </w:p>
    <w:p w:rsidR="004E46AB" w:rsidRPr="0019686B" w:rsidRDefault="004E46AB" w:rsidP="004E46AB">
      <w:pPr>
        <w:numPr>
          <w:ilvl w:val="0"/>
          <w:numId w:val="38"/>
        </w:numPr>
        <w:jc w:val="both"/>
        <w:rPr>
          <w:rFonts w:ascii="Arial" w:hAnsi="Arial" w:cs="Arial"/>
          <w:color w:val="222222"/>
          <w:sz w:val="22"/>
          <w:szCs w:val="22"/>
        </w:rPr>
      </w:pPr>
      <w:r w:rsidRPr="00C53676">
        <w:rPr>
          <w:rFonts w:ascii="Arial" w:hAnsi="Arial" w:cs="Arial"/>
          <w:color w:val="222222"/>
          <w:sz w:val="22"/>
          <w:szCs w:val="22"/>
        </w:rPr>
        <w:lastRenderedPageBreak/>
        <w:t>Ley 1882 de 2018. Por la cual se adicionan, modifican y dictan disposiciones orientadas a fortalecer la contratación pública en</w:t>
      </w:r>
      <w:r>
        <w:rPr>
          <w:rFonts w:ascii="Arial" w:hAnsi="Arial" w:cs="Arial"/>
          <w:color w:val="222222"/>
          <w:sz w:val="22"/>
          <w:szCs w:val="22"/>
        </w:rPr>
        <w:t xml:space="preserve"> </w:t>
      </w:r>
      <w:r w:rsidRPr="00C53676">
        <w:rPr>
          <w:rFonts w:ascii="Arial" w:hAnsi="Arial" w:cs="Arial"/>
          <w:color w:val="222222"/>
          <w:sz w:val="22"/>
          <w:szCs w:val="22"/>
        </w:rPr>
        <w:t xml:space="preserve">Colombia, la </w:t>
      </w:r>
      <w:r>
        <w:rPr>
          <w:rFonts w:ascii="Arial" w:hAnsi="Arial" w:cs="Arial"/>
          <w:color w:val="222222"/>
          <w:sz w:val="22"/>
          <w:szCs w:val="22"/>
        </w:rPr>
        <w:t>L</w:t>
      </w:r>
      <w:r w:rsidRPr="00C53676">
        <w:rPr>
          <w:rFonts w:ascii="Arial" w:hAnsi="Arial" w:cs="Arial"/>
          <w:color w:val="222222"/>
          <w:sz w:val="22"/>
          <w:szCs w:val="22"/>
        </w:rPr>
        <w:t>ey de infraestructura y se dictan otras</w:t>
      </w:r>
      <w:r>
        <w:rPr>
          <w:rFonts w:ascii="Arial" w:hAnsi="Arial" w:cs="Arial"/>
          <w:color w:val="222222"/>
          <w:sz w:val="22"/>
          <w:szCs w:val="22"/>
        </w:rPr>
        <w:t xml:space="preserve"> </w:t>
      </w:r>
      <w:r w:rsidRPr="0019686B">
        <w:rPr>
          <w:rFonts w:ascii="Arial" w:hAnsi="Arial" w:cs="Arial"/>
          <w:color w:val="222222"/>
          <w:sz w:val="22"/>
          <w:szCs w:val="22"/>
        </w:rPr>
        <w:t>disposiciones.</w:t>
      </w:r>
    </w:p>
    <w:p w:rsidR="004E46AB" w:rsidRDefault="004E46AB" w:rsidP="004E46AB">
      <w:pPr>
        <w:jc w:val="both"/>
        <w:rPr>
          <w:rFonts w:ascii="Arial" w:hAnsi="Arial" w:cs="Arial"/>
          <w:color w:val="222222"/>
          <w:sz w:val="22"/>
          <w:szCs w:val="22"/>
        </w:rPr>
      </w:pPr>
    </w:p>
    <w:p w:rsidR="004E46AB" w:rsidRDefault="004E46AB" w:rsidP="004E46AB">
      <w:pPr>
        <w:numPr>
          <w:ilvl w:val="0"/>
          <w:numId w:val="38"/>
        </w:numPr>
        <w:jc w:val="both"/>
        <w:rPr>
          <w:rFonts w:ascii="Arial" w:hAnsi="Arial" w:cs="Arial"/>
          <w:color w:val="222222"/>
          <w:sz w:val="22"/>
          <w:szCs w:val="22"/>
        </w:rPr>
      </w:pPr>
      <w:r w:rsidRPr="00EF3712">
        <w:rPr>
          <w:rFonts w:ascii="Arial" w:hAnsi="Arial" w:cs="Arial"/>
          <w:color w:val="222222"/>
          <w:sz w:val="22"/>
          <w:szCs w:val="22"/>
        </w:rPr>
        <w:t>Manual de supervisión e interventoría de la Secretaria Distrital de Gobierno - Código: GCO-GCI-M004</w:t>
      </w:r>
      <w:r>
        <w:rPr>
          <w:rFonts w:ascii="Arial" w:hAnsi="Arial" w:cs="Arial"/>
          <w:color w:val="222222"/>
          <w:sz w:val="22"/>
          <w:szCs w:val="22"/>
        </w:rPr>
        <w:t>.</w:t>
      </w:r>
    </w:p>
    <w:p w:rsidR="004E46AB" w:rsidRDefault="004E46AB" w:rsidP="004E46AB">
      <w:pPr>
        <w:pStyle w:val="Prrafodelista"/>
        <w:rPr>
          <w:rFonts w:ascii="Arial" w:hAnsi="Arial" w:cs="Arial"/>
          <w:color w:val="222222"/>
          <w:sz w:val="22"/>
          <w:szCs w:val="22"/>
        </w:rPr>
      </w:pPr>
    </w:p>
    <w:p w:rsidR="004E46AB" w:rsidRPr="002425AA" w:rsidRDefault="004E46AB" w:rsidP="004E46AB">
      <w:pPr>
        <w:numPr>
          <w:ilvl w:val="0"/>
          <w:numId w:val="38"/>
        </w:numPr>
        <w:jc w:val="both"/>
        <w:rPr>
          <w:rFonts w:ascii="Arial" w:hAnsi="Arial" w:cs="Arial"/>
          <w:color w:val="222222"/>
          <w:sz w:val="22"/>
          <w:szCs w:val="22"/>
        </w:rPr>
      </w:pPr>
      <w:r w:rsidRPr="002425AA">
        <w:rPr>
          <w:rFonts w:ascii="Arial" w:hAnsi="Arial" w:cs="Arial"/>
          <w:sz w:val="22"/>
          <w:szCs w:val="22"/>
        </w:rPr>
        <w:t xml:space="preserve">Decreto 1227 de 2005, Por el cual se reglamenta parcialmente la Ley 909 de 2004 y el Decreto- ley 1567 de 1998. • la Ley 1257 de 2008 por la cual se dictan normas de sensibilización, prevención y sanción de formas de violencia y discriminación contra las mujeres de 2008. </w:t>
      </w:r>
    </w:p>
    <w:p w:rsidR="004E46AB" w:rsidRPr="002425AA" w:rsidRDefault="004E46AB" w:rsidP="004E46AB">
      <w:pPr>
        <w:pStyle w:val="Prrafodelista"/>
        <w:rPr>
          <w:rFonts w:ascii="Arial" w:hAnsi="Arial" w:cs="Arial"/>
          <w:sz w:val="22"/>
          <w:szCs w:val="22"/>
        </w:rPr>
      </w:pPr>
    </w:p>
    <w:p w:rsidR="004E46AB" w:rsidRPr="002425AA" w:rsidRDefault="004E46AB" w:rsidP="004E46AB">
      <w:pPr>
        <w:numPr>
          <w:ilvl w:val="0"/>
          <w:numId w:val="38"/>
        </w:numPr>
        <w:jc w:val="both"/>
        <w:rPr>
          <w:rFonts w:ascii="Arial" w:hAnsi="Arial" w:cs="Arial"/>
          <w:color w:val="222222"/>
          <w:sz w:val="22"/>
          <w:szCs w:val="22"/>
        </w:rPr>
      </w:pPr>
      <w:r w:rsidRPr="002425AA">
        <w:rPr>
          <w:rFonts w:ascii="Arial" w:hAnsi="Arial" w:cs="Arial"/>
          <w:sz w:val="22"/>
          <w:szCs w:val="22"/>
        </w:rPr>
        <w:t xml:space="preserve">la Ley de Víctimas y Restitución de Tierras Ley 1448 de 2011, los Lineamientos de la Política Pública Nacional para la Equidad de Género para las Mujeres y el Plan Integral para garantizar a las mujeres una vida libre de violencias aprobados en 2012. </w:t>
      </w:r>
    </w:p>
    <w:p w:rsidR="004E46AB" w:rsidRPr="002425AA" w:rsidRDefault="004E46AB" w:rsidP="004E46AB">
      <w:pPr>
        <w:pStyle w:val="Prrafodelista"/>
        <w:rPr>
          <w:rFonts w:ascii="Arial" w:hAnsi="Arial" w:cs="Arial"/>
          <w:sz w:val="22"/>
          <w:szCs w:val="22"/>
        </w:rPr>
      </w:pPr>
    </w:p>
    <w:p w:rsidR="004E46AB" w:rsidRPr="002425AA" w:rsidRDefault="004E46AB" w:rsidP="004E46AB">
      <w:pPr>
        <w:numPr>
          <w:ilvl w:val="0"/>
          <w:numId w:val="38"/>
        </w:numPr>
        <w:jc w:val="both"/>
        <w:rPr>
          <w:rFonts w:ascii="Arial" w:hAnsi="Arial" w:cs="Arial"/>
          <w:color w:val="222222"/>
          <w:sz w:val="22"/>
          <w:szCs w:val="22"/>
        </w:rPr>
      </w:pPr>
      <w:r w:rsidRPr="002425AA">
        <w:rPr>
          <w:rFonts w:ascii="Arial" w:hAnsi="Arial" w:cs="Arial"/>
          <w:sz w:val="22"/>
          <w:szCs w:val="22"/>
        </w:rPr>
        <w:t xml:space="preserve">Ley 1719 de 2014 por la cual se adoptan medidas para garantizar el acceso a la justicia de las víctimas de violencia sexual, en especial la violencia sexual con ocasión del conflicto armado. </w:t>
      </w:r>
    </w:p>
    <w:p w:rsidR="004E46AB" w:rsidRPr="002425AA" w:rsidRDefault="004E46AB" w:rsidP="004E46AB">
      <w:pPr>
        <w:pStyle w:val="Prrafodelista"/>
        <w:rPr>
          <w:rFonts w:ascii="Arial" w:hAnsi="Arial" w:cs="Arial"/>
          <w:sz w:val="22"/>
          <w:szCs w:val="22"/>
        </w:rPr>
      </w:pPr>
    </w:p>
    <w:p w:rsidR="004E46AB" w:rsidRPr="002425AA" w:rsidRDefault="004E46AB" w:rsidP="004E46AB">
      <w:pPr>
        <w:numPr>
          <w:ilvl w:val="0"/>
          <w:numId w:val="38"/>
        </w:numPr>
        <w:jc w:val="both"/>
        <w:rPr>
          <w:rFonts w:ascii="Arial" w:hAnsi="Arial" w:cs="Arial"/>
          <w:color w:val="222222"/>
          <w:sz w:val="22"/>
          <w:szCs w:val="22"/>
        </w:rPr>
      </w:pPr>
      <w:r w:rsidRPr="002425AA">
        <w:rPr>
          <w:rFonts w:ascii="Arial" w:hAnsi="Arial" w:cs="Arial"/>
          <w:sz w:val="22"/>
          <w:szCs w:val="22"/>
        </w:rPr>
        <w:t xml:space="preserve"> Ley 1761 de 2015 por la cual se crea el tipo penal de feminicidio como delito autónomo y se dictan otras disposiciones (Rosa Elvira </w:t>
      </w:r>
      <w:proofErr w:type="spellStart"/>
      <w:r w:rsidRPr="002425AA">
        <w:rPr>
          <w:rFonts w:ascii="Arial" w:hAnsi="Arial" w:cs="Arial"/>
          <w:sz w:val="22"/>
          <w:szCs w:val="22"/>
        </w:rPr>
        <w:t>Cely</w:t>
      </w:r>
      <w:proofErr w:type="spellEnd"/>
      <w:r w:rsidRPr="002425AA">
        <w:rPr>
          <w:rFonts w:ascii="Arial" w:hAnsi="Arial" w:cs="Arial"/>
          <w:sz w:val="22"/>
          <w:szCs w:val="22"/>
        </w:rPr>
        <w:t>).</w:t>
      </w:r>
    </w:p>
    <w:p w:rsidR="004E46AB" w:rsidRDefault="004E46AB" w:rsidP="004E46AB">
      <w:pPr>
        <w:jc w:val="both"/>
        <w:rPr>
          <w:rFonts w:ascii="Arial" w:hAnsi="Arial" w:cs="Arial"/>
          <w:color w:val="222222"/>
          <w:sz w:val="22"/>
          <w:szCs w:val="22"/>
        </w:rPr>
      </w:pPr>
    </w:p>
    <w:p w:rsidR="004E46AB" w:rsidRDefault="004E46AB" w:rsidP="004E46AB">
      <w:pPr>
        <w:jc w:val="both"/>
        <w:rPr>
          <w:rFonts w:ascii="Arial" w:hAnsi="Arial" w:cs="Arial"/>
          <w:color w:val="222222"/>
          <w:sz w:val="22"/>
          <w:szCs w:val="22"/>
        </w:rPr>
      </w:pPr>
    </w:p>
    <w:p w:rsidR="004E46AB" w:rsidRPr="00EF3712" w:rsidRDefault="004E46AB" w:rsidP="004E46AB">
      <w:pPr>
        <w:pStyle w:val="Prrafodelista"/>
        <w:numPr>
          <w:ilvl w:val="0"/>
          <w:numId w:val="31"/>
        </w:numPr>
        <w:ind w:left="426" w:hanging="426"/>
        <w:jc w:val="center"/>
        <w:rPr>
          <w:rFonts w:ascii="Arial" w:hAnsi="Arial" w:cs="Arial"/>
          <w:b/>
          <w:bCs/>
          <w:kern w:val="2"/>
          <w:sz w:val="22"/>
          <w:szCs w:val="22"/>
          <w:lang w:eastAsia="zh-CN"/>
        </w:rPr>
      </w:pPr>
      <w:r w:rsidRPr="00EF3712">
        <w:rPr>
          <w:rFonts w:ascii="Arial" w:hAnsi="Arial" w:cs="Arial"/>
          <w:b/>
          <w:bCs/>
          <w:kern w:val="2"/>
          <w:sz w:val="22"/>
          <w:szCs w:val="22"/>
          <w:lang w:eastAsia="zh-CN"/>
        </w:rPr>
        <w:t>ESTUDIO DE LA</w:t>
      </w:r>
      <w:r>
        <w:rPr>
          <w:rFonts w:ascii="Arial" w:hAnsi="Arial" w:cs="Arial"/>
          <w:b/>
          <w:bCs/>
          <w:kern w:val="2"/>
          <w:sz w:val="22"/>
          <w:szCs w:val="22"/>
          <w:lang w:eastAsia="zh-CN"/>
        </w:rPr>
        <w:t xml:space="preserve"> </w:t>
      </w:r>
      <w:r w:rsidRPr="00A90D03">
        <w:rPr>
          <w:rFonts w:ascii="Arial" w:hAnsi="Arial" w:cs="Arial"/>
          <w:b/>
          <w:sz w:val="22"/>
          <w:szCs w:val="22"/>
        </w:rPr>
        <w:t>DEMANDA</w:t>
      </w:r>
    </w:p>
    <w:p w:rsidR="004E46AB" w:rsidRPr="00B405E8" w:rsidRDefault="004E46AB" w:rsidP="004E46AB">
      <w:pPr>
        <w:pStyle w:val="Standard"/>
        <w:jc w:val="both"/>
        <w:rPr>
          <w:rFonts w:ascii="Arial" w:hAnsi="Arial" w:cs="Arial"/>
          <w:sz w:val="22"/>
          <w:szCs w:val="22"/>
        </w:rPr>
      </w:pPr>
    </w:p>
    <w:p w:rsidR="004E46AB" w:rsidRPr="00EF3712" w:rsidRDefault="004E46AB" w:rsidP="004E46AB">
      <w:pPr>
        <w:pStyle w:val="Textoindependiente"/>
        <w:spacing w:line="240" w:lineRule="auto"/>
        <w:rPr>
          <w:rFonts w:ascii="Arial" w:hAnsi="Arial" w:cs="Arial"/>
          <w:sz w:val="22"/>
          <w:szCs w:val="22"/>
        </w:rPr>
      </w:pPr>
      <w:r w:rsidRPr="00EF3712">
        <w:rPr>
          <w:rFonts w:ascii="Arial" w:hAnsi="Arial" w:cs="Arial"/>
          <w:sz w:val="22"/>
          <w:szCs w:val="22"/>
        </w:rPr>
        <w:t>La demanda de servicios de consultoría en las empresas, surge ante la necesidad de adecuarse a un entorno altamente competitivo, generado por la globalización económica, que les exige la redefinición de sus estrategias para obtener los mejores resultados en todas las áreas de gestión, y garantizar su entrada a los nuevos mercados y/o el mantenimiento en los mercados actuales.</w:t>
      </w:r>
    </w:p>
    <w:p w:rsidR="004E46AB" w:rsidRPr="00EF3712" w:rsidRDefault="004E46AB" w:rsidP="004E46AB">
      <w:pPr>
        <w:pStyle w:val="Textoindependiente"/>
        <w:spacing w:line="240" w:lineRule="auto"/>
        <w:rPr>
          <w:rFonts w:ascii="Arial" w:hAnsi="Arial" w:cs="Arial"/>
          <w:sz w:val="22"/>
          <w:szCs w:val="22"/>
        </w:rPr>
      </w:pPr>
    </w:p>
    <w:p w:rsidR="004E46AB" w:rsidRPr="00EF3712" w:rsidRDefault="004E46AB" w:rsidP="004E46AB">
      <w:pPr>
        <w:pStyle w:val="Textoindependiente"/>
        <w:spacing w:line="240" w:lineRule="auto"/>
        <w:rPr>
          <w:rFonts w:ascii="Arial" w:hAnsi="Arial" w:cs="Arial"/>
          <w:sz w:val="22"/>
          <w:szCs w:val="22"/>
        </w:rPr>
      </w:pPr>
      <w:r w:rsidRPr="00EF3712">
        <w:rPr>
          <w:rFonts w:ascii="Arial" w:hAnsi="Arial" w:cs="Arial"/>
          <w:sz w:val="22"/>
          <w:szCs w:val="22"/>
        </w:rPr>
        <w:t>En esta demanda influye también la tendencia de las empresas por concentrar su actividad en el “</w:t>
      </w:r>
      <w:proofErr w:type="spellStart"/>
      <w:r w:rsidRPr="00EF3712">
        <w:rPr>
          <w:rFonts w:ascii="Arial" w:hAnsi="Arial" w:cs="Arial"/>
          <w:sz w:val="22"/>
          <w:szCs w:val="22"/>
        </w:rPr>
        <w:t>core-business</w:t>
      </w:r>
      <w:proofErr w:type="spellEnd"/>
      <w:r w:rsidRPr="00EF3712">
        <w:rPr>
          <w:rFonts w:ascii="Arial" w:hAnsi="Arial" w:cs="Arial"/>
          <w:sz w:val="22"/>
          <w:szCs w:val="22"/>
        </w:rPr>
        <w:t>” del negocio, y apoyarse en agentes externos, especializados, para atender otras áreas de la empresa. El consultor juega un papel vital en este proceso, pues es el encargado de iniciar e implantar el cambio en las empresas, así como de desarrollar las habilidades del personal para contribuir al aumento de la productividad, la eficiencia y la eficacia para el logro de los objetivos empresariales</w:t>
      </w:r>
      <w:r w:rsidRPr="00EF3712">
        <w:rPr>
          <w:rFonts w:ascii="Arial" w:hAnsi="Arial" w:cs="Arial"/>
          <w:sz w:val="22"/>
          <w:szCs w:val="22"/>
        </w:rPr>
        <w:footnoteReference w:id="4"/>
      </w:r>
      <w:r w:rsidRPr="00EF3712">
        <w:rPr>
          <w:rFonts w:ascii="Arial" w:hAnsi="Arial" w:cs="Arial"/>
          <w:sz w:val="22"/>
          <w:szCs w:val="22"/>
        </w:rPr>
        <w:t>.  De igual forma, para el proceso de verificación de la ejecución y cumplimiento de los trabajos y actividades principalmente de proyectos de obra, el FDLE requiere de competencias específicas y técnicas que puede brindar el interventor y para los cuales no cuenta con capacidad operativa de llevar a cabo por su cuenta.</w:t>
      </w:r>
    </w:p>
    <w:p w:rsidR="004E46AB" w:rsidRDefault="004E46AB" w:rsidP="004E46AB">
      <w:pPr>
        <w:pStyle w:val="Textoindependiente"/>
        <w:rPr>
          <w:rFonts w:ascii="Arial" w:hAnsi="Arial" w:cs="Arial"/>
          <w:sz w:val="22"/>
          <w:szCs w:val="22"/>
          <w:lang w:val="es-CO"/>
        </w:rPr>
      </w:pPr>
    </w:p>
    <w:p w:rsidR="004E46AB" w:rsidRPr="00FB1CB7" w:rsidRDefault="004E46AB" w:rsidP="004E46AB">
      <w:pPr>
        <w:pStyle w:val="Textoindependiente"/>
        <w:spacing w:line="240" w:lineRule="auto"/>
        <w:rPr>
          <w:rFonts w:ascii="Arial" w:hAnsi="Arial" w:cs="Arial"/>
          <w:sz w:val="22"/>
          <w:szCs w:val="22"/>
        </w:rPr>
      </w:pPr>
      <w:r>
        <w:rPr>
          <w:rFonts w:ascii="Arial" w:hAnsi="Arial" w:cs="Arial"/>
          <w:b/>
          <w:sz w:val="22"/>
          <w:szCs w:val="22"/>
        </w:rPr>
        <w:t>Descripción del Comportamiento d</w:t>
      </w:r>
      <w:r w:rsidRPr="00FB1CB7">
        <w:rPr>
          <w:rFonts w:ascii="Arial" w:hAnsi="Arial" w:cs="Arial"/>
          <w:b/>
          <w:sz w:val="22"/>
          <w:szCs w:val="22"/>
        </w:rPr>
        <w:t xml:space="preserve">el Consumidor </w:t>
      </w:r>
    </w:p>
    <w:p w:rsidR="004E46AB" w:rsidRPr="00A90D03" w:rsidRDefault="004E46AB" w:rsidP="004E46AB">
      <w:pPr>
        <w:pStyle w:val="Textoindependiente"/>
        <w:spacing w:line="240" w:lineRule="auto"/>
        <w:rPr>
          <w:rFonts w:ascii="Arial" w:hAnsi="Arial" w:cs="Arial"/>
          <w:i/>
          <w:sz w:val="22"/>
          <w:szCs w:val="22"/>
        </w:rPr>
      </w:pPr>
    </w:p>
    <w:p w:rsidR="004E46AB" w:rsidRPr="006665C3" w:rsidRDefault="004E46AB" w:rsidP="004E46AB">
      <w:pPr>
        <w:pStyle w:val="Textoindependiente"/>
        <w:spacing w:line="240" w:lineRule="auto"/>
        <w:rPr>
          <w:rFonts w:ascii="Arial" w:hAnsi="Arial" w:cs="Arial"/>
          <w:sz w:val="22"/>
          <w:szCs w:val="22"/>
        </w:rPr>
      </w:pPr>
      <w:r w:rsidRPr="006665C3">
        <w:rPr>
          <w:rFonts w:ascii="Arial" w:hAnsi="Arial" w:cs="Arial"/>
          <w:sz w:val="22"/>
          <w:szCs w:val="22"/>
        </w:rPr>
        <w:t>El grupo de consumidores de servicios de consultoría está conformado por las</w:t>
      </w:r>
      <w:r w:rsidRPr="006665C3">
        <w:rPr>
          <w:rFonts w:ascii="Arial" w:hAnsi="Arial" w:cs="Arial"/>
          <w:sz w:val="22"/>
        </w:rPr>
        <w:t xml:space="preserve"> empresas y organismos del sector privado, y por el sector público. Sin embargo, en el primer caso, </w:t>
      </w:r>
      <w:r w:rsidRPr="006665C3">
        <w:rPr>
          <w:rFonts w:ascii="Arial" w:hAnsi="Arial" w:cs="Arial"/>
          <w:sz w:val="22"/>
          <w:szCs w:val="22"/>
        </w:rPr>
        <w:t xml:space="preserve">el consumidor final de estos servicios es el empresario, quien es finalmente el encargado de tomar la decisión sobre la contratación de la consultoría. </w:t>
      </w:r>
    </w:p>
    <w:p w:rsidR="004E46AB" w:rsidRPr="006665C3" w:rsidRDefault="004E46AB" w:rsidP="004E46AB">
      <w:pPr>
        <w:pStyle w:val="Textoindependiente"/>
        <w:spacing w:line="240" w:lineRule="auto"/>
        <w:rPr>
          <w:rFonts w:ascii="Arial" w:hAnsi="Arial" w:cs="Arial"/>
          <w:sz w:val="22"/>
          <w:szCs w:val="22"/>
        </w:rPr>
      </w:pPr>
    </w:p>
    <w:p w:rsidR="004E46AB" w:rsidRPr="006665C3" w:rsidRDefault="004E46AB" w:rsidP="004E46AB">
      <w:pPr>
        <w:pStyle w:val="Textoindependiente"/>
        <w:spacing w:line="240" w:lineRule="auto"/>
        <w:rPr>
          <w:rFonts w:ascii="Arial" w:hAnsi="Arial" w:cs="Arial"/>
          <w:sz w:val="22"/>
          <w:szCs w:val="22"/>
        </w:rPr>
      </w:pPr>
      <w:r w:rsidRPr="006665C3">
        <w:rPr>
          <w:rFonts w:ascii="Arial" w:hAnsi="Arial" w:cs="Arial"/>
          <w:sz w:val="22"/>
          <w:szCs w:val="22"/>
        </w:rPr>
        <w:t>En el caso del sector público las decisiones sobre contratación de consultorías responden a necesidades estructurales y la decisión sobre los proveedores se lleva a cabo mediante procesos públicos (adjudicaciones y licitaciones) regidos por la Ley de Adquisiciones y Contrataciones del Estado.</w:t>
      </w:r>
      <w:r w:rsidRPr="006665C3">
        <w:rPr>
          <w:rStyle w:val="Refdenotaalpie"/>
          <w:rFonts w:ascii="Arial" w:hAnsi="Arial" w:cs="Arial"/>
          <w:sz w:val="22"/>
          <w:szCs w:val="22"/>
        </w:rPr>
        <w:footnoteReference w:id="5"/>
      </w:r>
    </w:p>
    <w:p w:rsidR="004E46AB" w:rsidRPr="00A90D03" w:rsidRDefault="004E46AB" w:rsidP="004E46AB">
      <w:pPr>
        <w:pStyle w:val="Textoindependiente"/>
        <w:spacing w:line="240" w:lineRule="auto"/>
        <w:rPr>
          <w:rFonts w:ascii="Arial" w:hAnsi="Arial" w:cs="Arial"/>
          <w:b/>
          <w:sz w:val="22"/>
          <w:szCs w:val="22"/>
        </w:rPr>
      </w:pPr>
    </w:p>
    <w:p w:rsidR="004E46AB" w:rsidRPr="00A90D03" w:rsidRDefault="004E46AB" w:rsidP="004E46AB">
      <w:pPr>
        <w:pStyle w:val="Textoindependiente"/>
        <w:spacing w:line="240" w:lineRule="auto"/>
        <w:rPr>
          <w:rFonts w:ascii="Arial" w:hAnsi="Arial" w:cs="Arial"/>
          <w:b/>
          <w:sz w:val="22"/>
          <w:szCs w:val="22"/>
        </w:rPr>
      </w:pPr>
    </w:p>
    <w:p w:rsidR="004E46AB" w:rsidRPr="00A90D03" w:rsidRDefault="004E46AB" w:rsidP="004E46AB">
      <w:pPr>
        <w:pStyle w:val="Textoindependiente"/>
        <w:spacing w:line="240" w:lineRule="auto"/>
        <w:rPr>
          <w:rFonts w:ascii="Arial" w:hAnsi="Arial" w:cs="Arial"/>
          <w:sz w:val="22"/>
          <w:szCs w:val="22"/>
        </w:rPr>
      </w:pPr>
      <w:r>
        <w:rPr>
          <w:rFonts w:ascii="Arial" w:hAnsi="Arial" w:cs="Arial"/>
          <w:b/>
          <w:sz w:val="22"/>
          <w:szCs w:val="22"/>
        </w:rPr>
        <w:t>Análisis d</w:t>
      </w:r>
      <w:r w:rsidRPr="00A90D03">
        <w:rPr>
          <w:rFonts w:ascii="Arial" w:hAnsi="Arial" w:cs="Arial"/>
          <w:b/>
          <w:sz w:val="22"/>
          <w:szCs w:val="22"/>
        </w:rPr>
        <w:t xml:space="preserve">e </w:t>
      </w:r>
      <w:r>
        <w:rPr>
          <w:rFonts w:ascii="Arial" w:hAnsi="Arial" w:cs="Arial"/>
          <w:b/>
          <w:sz w:val="22"/>
          <w:szCs w:val="22"/>
          <w:lang w:val="es-ES"/>
        </w:rPr>
        <w:t>l</w:t>
      </w:r>
      <w:r w:rsidRPr="00A90D03">
        <w:rPr>
          <w:rFonts w:ascii="Arial" w:hAnsi="Arial" w:cs="Arial"/>
          <w:b/>
          <w:sz w:val="22"/>
          <w:szCs w:val="22"/>
        </w:rPr>
        <w:t xml:space="preserve">a Demanda Sector Consultoría. </w:t>
      </w:r>
    </w:p>
    <w:p w:rsidR="004E46AB" w:rsidRPr="00A90D03" w:rsidRDefault="004E46AB" w:rsidP="004E46AB">
      <w:pPr>
        <w:pStyle w:val="Textoindependiente"/>
        <w:spacing w:line="240" w:lineRule="auto"/>
        <w:rPr>
          <w:rFonts w:ascii="Arial" w:hAnsi="Arial" w:cs="Arial"/>
          <w:sz w:val="22"/>
          <w:szCs w:val="22"/>
        </w:rPr>
      </w:pPr>
    </w:p>
    <w:p w:rsidR="004E46AB" w:rsidRPr="00A90D03" w:rsidRDefault="004E46AB" w:rsidP="004E46AB">
      <w:pPr>
        <w:pStyle w:val="Textoindependiente"/>
        <w:spacing w:line="240" w:lineRule="auto"/>
        <w:rPr>
          <w:rFonts w:ascii="Arial" w:eastAsia="Arial" w:hAnsi="Arial" w:cs="Arial"/>
          <w:sz w:val="22"/>
          <w:szCs w:val="22"/>
        </w:rPr>
      </w:pPr>
      <w:r w:rsidRPr="00A90D03">
        <w:rPr>
          <w:rFonts w:ascii="Arial" w:hAnsi="Arial" w:cs="Arial"/>
          <w:sz w:val="22"/>
          <w:szCs w:val="22"/>
        </w:rPr>
        <w:t xml:space="preserve">En cuanto a la necesidad de los servicios de asesoría y consultoría en áreas básicas para el funcionamiento de una empresa como lo son el área de mercadeo y ventas, contabilidad y finanzas y planeación estratégica, el 62 % de las micro y pequeñas empresas relacionadas considera que necesita obtener servicios en el área de mercadeo y ventas frente a un 36% que prefirió el área de planeación estratégica y en un último lugar se encuentra un 26% en contabilidad y finanzas, así como lo evidencia el siguiente gráfico. </w:t>
      </w:r>
      <w:r w:rsidRPr="00A90D03">
        <w:rPr>
          <w:rStyle w:val="Refdenotaalpie"/>
          <w:rFonts w:ascii="Arial" w:hAnsi="Arial" w:cs="Arial"/>
          <w:sz w:val="22"/>
          <w:szCs w:val="22"/>
        </w:rPr>
        <w:footnoteReference w:id="6"/>
      </w:r>
    </w:p>
    <w:p w:rsidR="004E46AB" w:rsidRPr="00A90D03" w:rsidRDefault="004E46AB" w:rsidP="004E46AB">
      <w:pPr>
        <w:autoSpaceDE w:val="0"/>
        <w:jc w:val="both"/>
        <w:rPr>
          <w:rFonts w:ascii="Arial" w:eastAsia="WenQuanYi Micro Hei" w:hAnsi="Arial" w:cs="Arial"/>
          <w:sz w:val="22"/>
          <w:szCs w:val="22"/>
        </w:rPr>
      </w:pPr>
      <w:r w:rsidRPr="00A90D03">
        <w:rPr>
          <w:rFonts w:ascii="Arial" w:eastAsia="Arial" w:hAnsi="Arial" w:cs="Arial"/>
          <w:sz w:val="22"/>
        </w:rPr>
        <w:t xml:space="preserve"> </w:t>
      </w:r>
    </w:p>
    <w:p w:rsidR="004E46AB" w:rsidRPr="00A90D03" w:rsidRDefault="004E46AB" w:rsidP="004E46AB">
      <w:pPr>
        <w:autoSpaceDE w:val="0"/>
        <w:jc w:val="center"/>
        <w:rPr>
          <w:rFonts w:ascii="Arial" w:hAnsi="Arial" w:cs="Arial"/>
          <w:sz w:val="22"/>
        </w:rPr>
      </w:pPr>
      <w:r w:rsidRPr="00A90D03">
        <w:rPr>
          <w:rFonts w:ascii="Arial" w:hAnsi="Arial" w:cs="Arial"/>
          <w:noProof/>
          <w:sz w:val="22"/>
          <w:lang w:eastAsia="es-CO"/>
        </w:rPr>
        <w:drawing>
          <wp:inline distT="0" distB="0" distL="0" distR="0" wp14:anchorId="0493C9EB" wp14:editId="34B5F205">
            <wp:extent cx="3928496" cy="1628775"/>
            <wp:effectExtent l="0" t="0" r="0" b="0"/>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0">
                      <a:lum bright="-20000" contrast="40000"/>
                      <a:extLst>
                        <a:ext uri="{28A0092B-C50C-407E-A947-70E740481C1C}">
                          <a14:useLocalDpi xmlns:a14="http://schemas.microsoft.com/office/drawing/2010/main" val="0"/>
                        </a:ext>
                      </a:extLst>
                    </a:blip>
                    <a:srcRect/>
                    <a:stretch>
                      <a:fillRect/>
                    </a:stretch>
                  </pic:blipFill>
                  <pic:spPr bwMode="auto">
                    <a:xfrm>
                      <a:off x="0" y="0"/>
                      <a:ext cx="3931017" cy="1629820"/>
                    </a:xfrm>
                    <a:prstGeom prst="rect">
                      <a:avLst/>
                    </a:prstGeom>
                    <a:solidFill>
                      <a:srgbClr val="FFFFFF"/>
                    </a:solidFill>
                    <a:ln>
                      <a:noFill/>
                    </a:ln>
                  </pic:spPr>
                </pic:pic>
              </a:graphicData>
            </a:graphic>
          </wp:inline>
        </w:drawing>
      </w:r>
    </w:p>
    <w:p w:rsidR="004E46AB" w:rsidRPr="00A90D03" w:rsidRDefault="004E46AB" w:rsidP="004E46AB">
      <w:pPr>
        <w:pStyle w:val="Textoindependiente"/>
        <w:spacing w:line="240" w:lineRule="auto"/>
        <w:rPr>
          <w:rFonts w:ascii="Arial" w:hAnsi="Arial" w:cs="Arial"/>
          <w:sz w:val="22"/>
        </w:rPr>
      </w:pPr>
    </w:p>
    <w:p w:rsidR="004E46AB" w:rsidRPr="00EF3712" w:rsidRDefault="004E46AB" w:rsidP="004E46AB">
      <w:pPr>
        <w:pStyle w:val="Textoindependiente"/>
        <w:spacing w:line="240" w:lineRule="auto"/>
        <w:rPr>
          <w:rFonts w:ascii="Arial" w:hAnsi="Arial" w:cs="Arial"/>
          <w:sz w:val="16"/>
          <w:szCs w:val="16"/>
        </w:rPr>
      </w:pPr>
      <w:r w:rsidRPr="00EF3712">
        <w:rPr>
          <w:rFonts w:ascii="Arial" w:hAnsi="Arial" w:cs="Arial"/>
          <w:sz w:val="16"/>
          <w:szCs w:val="16"/>
        </w:rPr>
        <w:t xml:space="preserve">Fuente: </w:t>
      </w:r>
      <w:hyperlink r:id="rId21" w:history="1">
        <w:r w:rsidRPr="00EF3712">
          <w:rPr>
            <w:rStyle w:val="Hipervnculo"/>
            <w:rFonts w:ascii="Arial" w:hAnsi="Arial" w:cs="Arial"/>
            <w:sz w:val="16"/>
            <w:szCs w:val="16"/>
          </w:rPr>
          <w:t>http://repository.lasalle.edu.co/bitstream/handle/10185/3022/T11.09%20C29e.pdf?sequence</w:t>
        </w:r>
      </w:hyperlink>
      <w:r w:rsidRPr="00EF3712">
        <w:rPr>
          <w:rFonts w:ascii="Arial" w:hAnsi="Arial" w:cs="Arial"/>
          <w:sz w:val="16"/>
          <w:szCs w:val="16"/>
        </w:rPr>
        <w:t xml:space="preserve"> </w:t>
      </w:r>
    </w:p>
    <w:p w:rsidR="004E46AB" w:rsidRPr="00A90D03" w:rsidRDefault="004E46AB" w:rsidP="004E46AB">
      <w:pPr>
        <w:autoSpaceDE w:val="0"/>
        <w:jc w:val="both"/>
        <w:rPr>
          <w:rFonts w:ascii="Arial" w:hAnsi="Arial" w:cs="Arial"/>
          <w:sz w:val="22"/>
          <w:szCs w:val="22"/>
        </w:rPr>
      </w:pPr>
    </w:p>
    <w:p w:rsidR="004E46AB" w:rsidRPr="00A90D03" w:rsidRDefault="004E46AB" w:rsidP="004E46AB">
      <w:pPr>
        <w:pStyle w:val="Textoindependiente"/>
        <w:spacing w:line="240" w:lineRule="auto"/>
        <w:rPr>
          <w:rFonts w:ascii="Arial" w:hAnsi="Arial" w:cs="Arial"/>
          <w:b/>
          <w:sz w:val="22"/>
          <w:szCs w:val="22"/>
        </w:rPr>
      </w:pPr>
      <w:r w:rsidRPr="00A90D03">
        <w:rPr>
          <w:rFonts w:ascii="Arial" w:hAnsi="Arial" w:cs="Arial"/>
          <w:b/>
          <w:sz w:val="22"/>
          <w:szCs w:val="22"/>
        </w:rPr>
        <w:t>Servic</w:t>
      </w:r>
      <w:r>
        <w:rPr>
          <w:rFonts w:ascii="Arial" w:hAnsi="Arial" w:cs="Arial"/>
          <w:b/>
          <w:sz w:val="22"/>
          <w:szCs w:val="22"/>
        </w:rPr>
        <w:t>ios e</w:t>
      </w:r>
      <w:r w:rsidRPr="00A90D03">
        <w:rPr>
          <w:rFonts w:ascii="Arial" w:hAnsi="Arial" w:cs="Arial"/>
          <w:b/>
          <w:sz w:val="22"/>
          <w:szCs w:val="22"/>
        </w:rPr>
        <w:t xml:space="preserve">n Staff Exclusivo </w:t>
      </w:r>
    </w:p>
    <w:p w:rsidR="004E46AB" w:rsidRPr="00EF3712" w:rsidRDefault="004E46AB" w:rsidP="004E46AB">
      <w:pPr>
        <w:pStyle w:val="Textoindependiente"/>
        <w:spacing w:line="240" w:lineRule="auto"/>
        <w:rPr>
          <w:rFonts w:ascii="Arial" w:hAnsi="Arial" w:cs="Arial"/>
          <w:szCs w:val="22"/>
        </w:rPr>
      </w:pPr>
    </w:p>
    <w:p w:rsidR="004E46AB" w:rsidRPr="00A90D03" w:rsidRDefault="004E46AB" w:rsidP="004E46AB">
      <w:pPr>
        <w:pStyle w:val="Textoindependiente"/>
        <w:spacing w:line="240" w:lineRule="auto"/>
        <w:rPr>
          <w:rFonts w:ascii="Arial" w:hAnsi="Arial" w:cs="Arial"/>
          <w:i/>
          <w:sz w:val="22"/>
          <w:szCs w:val="22"/>
        </w:rPr>
      </w:pPr>
      <w:r w:rsidRPr="00A90D03">
        <w:rPr>
          <w:rFonts w:ascii="Arial" w:hAnsi="Arial" w:cs="Arial"/>
          <w:i/>
          <w:sz w:val="22"/>
          <w:szCs w:val="22"/>
        </w:rPr>
        <w:t xml:space="preserve">En cuanto a los servicios que se consideran necesarios obtener dentro del grupo de staff exclusivo se encuentra en primer lugar el servicio de asesoría para realización de </w:t>
      </w:r>
      <w:r w:rsidRPr="00A90D03">
        <w:rPr>
          <w:rFonts w:ascii="Arial" w:hAnsi="Arial" w:cs="Arial"/>
          <w:i/>
          <w:sz w:val="22"/>
          <w:szCs w:val="22"/>
        </w:rPr>
        <w:lastRenderedPageBreak/>
        <w:t xml:space="preserve">certificación de calidad con un 44%, seguido por la ingeniería de sistematización y control por un 29% y por último la gestión de capital humano con un 15%. (Ver gráfico). </w:t>
      </w:r>
      <w:r w:rsidRPr="00A90D03">
        <w:rPr>
          <w:rStyle w:val="Refdenotaalpie"/>
          <w:rFonts w:ascii="Arial" w:hAnsi="Arial" w:cs="Arial"/>
          <w:i/>
          <w:sz w:val="22"/>
          <w:szCs w:val="22"/>
        </w:rPr>
        <w:footnoteReference w:id="7"/>
      </w:r>
    </w:p>
    <w:p w:rsidR="004E46AB" w:rsidRPr="00A90D03" w:rsidRDefault="004E46AB" w:rsidP="004E46AB">
      <w:pPr>
        <w:autoSpaceDE w:val="0"/>
        <w:jc w:val="both"/>
        <w:rPr>
          <w:rFonts w:ascii="Arial" w:hAnsi="Arial" w:cs="Arial"/>
          <w:sz w:val="22"/>
          <w:szCs w:val="22"/>
        </w:rPr>
      </w:pPr>
    </w:p>
    <w:p w:rsidR="004E46AB" w:rsidRDefault="004E46AB" w:rsidP="004E46AB">
      <w:pPr>
        <w:autoSpaceDE w:val="0"/>
        <w:jc w:val="center"/>
        <w:rPr>
          <w:rFonts w:ascii="Garamond" w:hAnsi="Garamond" w:cs="Arial"/>
        </w:rPr>
      </w:pPr>
      <w:r w:rsidRPr="00A90D03">
        <w:rPr>
          <w:rFonts w:ascii="Arial" w:hAnsi="Arial" w:cs="Arial"/>
          <w:noProof/>
          <w:sz w:val="22"/>
          <w:lang w:eastAsia="es-CO"/>
        </w:rPr>
        <w:drawing>
          <wp:inline distT="0" distB="0" distL="0" distR="0" wp14:anchorId="431285C1" wp14:editId="38A21215">
            <wp:extent cx="3981450" cy="1798737"/>
            <wp:effectExtent l="0" t="0" r="0" b="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2">
                      <a:lum bright="-20000" contrast="40000"/>
                      <a:extLst>
                        <a:ext uri="{28A0092B-C50C-407E-A947-70E740481C1C}">
                          <a14:useLocalDpi xmlns:a14="http://schemas.microsoft.com/office/drawing/2010/main" val="0"/>
                        </a:ext>
                      </a:extLst>
                    </a:blip>
                    <a:srcRect/>
                    <a:stretch>
                      <a:fillRect/>
                    </a:stretch>
                  </pic:blipFill>
                  <pic:spPr bwMode="auto">
                    <a:xfrm>
                      <a:off x="0" y="0"/>
                      <a:ext cx="3985460" cy="1800548"/>
                    </a:xfrm>
                    <a:prstGeom prst="rect">
                      <a:avLst/>
                    </a:prstGeom>
                    <a:solidFill>
                      <a:srgbClr val="FFFFFF"/>
                    </a:solidFill>
                    <a:ln>
                      <a:noFill/>
                    </a:ln>
                  </pic:spPr>
                </pic:pic>
              </a:graphicData>
            </a:graphic>
          </wp:inline>
        </w:drawing>
      </w:r>
    </w:p>
    <w:p w:rsidR="004E46AB" w:rsidRPr="00EF3712" w:rsidRDefault="004E46AB" w:rsidP="004E46AB">
      <w:pPr>
        <w:pStyle w:val="Textoindependiente"/>
        <w:rPr>
          <w:rFonts w:ascii="Garamond" w:hAnsi="Garamond" w:cs="Arial"/>
          <w:b/>
          <w:sz w:val="16"/>
          <w:szCs w:val="16"/>
        </w:rPr>
      </w:pPr>
      <w:r w:rsidRPr="00EF3712">
        <w:rPr>
          <w:rFonts w:ascii="Garamond" w:hAnsi="Garamond" w:cs="Arial"/>
          <w:sz w:val="16"/>
          <w:szCs w:val="16"/>
        </w:rPr>
        <w:t xml:space="preserve">Fuente: </w:t>
      </w:r>
      <w:hyperlink r:id="rId23" w:history="1">
        <w:r w:rsidRPr="00EF3712">
          <w:rPr>
            <w:rStyle w:val="Hipervnculo"/>
            <w:rFonts w:ascii="Garamond" w:hAnsi="Garamond" w:cs="Arial"/>
            <w:sz w:val="16"/>
            <w:szCs w:val="16"/>
          </w:rPr>
          <w:t>http://repository.lasalle.edu.co/bitstream/handle/10185/3022/T11.09%20C29e.pdf?sequence</w:t>
        </w:r>
      </w:hyperlink>
    </w:p>
    <w:p w:rsidR="004E46AB" w:rsidRPr="00012413" w:rsidRDefault="004E46AB" w:rsidP="004E46AB">
      <w:pPr>
        <w:autoSpaceDE w:val="0"/>
        <w:autoSpaceDN w:val="0"/>
        <w:adjustRightInd w:val="0"/>
        <w:jc w:val="both"/>
        <w:rPr>
          <w:rFonts w:ascii="Arial" w:hAnsi="Arial" w:cs="Arial"/>
          <w:color w:val="000000"/>
          <w:sz w:val="22"/>
          <w:szCs w:val="22"/>
          <w:lang w:val="es-ES"/>
        </w:rPr>
      </w:pPr>
      <w:r w:rsidRPr="00D72C6D">
        <w:rPr>
          <w:rFonts w:ascii="Arial" w:hAnsi="Arial" w:cs="Arial"/>
          <w:b/>
          <w:bCs/>
          <w:color w:val="000000"/>
          <w:sz w:val="22"/>
          <w:szCs w:val="22"/>
          <w:lang w:val="es-ES"/>
        </w:rPr>
        <w:t>Adquisiciones anteriores relacionadas con el bien o servicio a contratar por parte de</w:t>
      </w:r>
      <w:r>
        <w:rPr>
          <w:rFonts w:ascii="Arial" w:hAnsi="Arial" w:cs="Arial"/>
          <w:b/>
          <w:bCs/>
          <w:color w:val="000000"/>
          <w:sz w:val="22"/>
          <w:szCs w:val="22"/>
          <w:lang w:val="es-ES"/>
        </w:rPr>
        <w:t>l FDLE</w:t>
      </w:r>
    </w:p>
    <w:p w:rsidR="004E46AB" w:rsidRDefault="004E46AB" w:rsidP="004E46AB">
      <w:pPr>
        <w:rPr>
          <w:rFonts w:ascii="Arial" w:hAnsi="Arial" w:cs="Arial"/>
          <w:color w:val="000000"/>
          <w:sz w:val="22"/>
          <w:szCs w:val="22"/>
          <w:lang w:val="es-ES"/>
        </w:rPr>
      </w:pPr>
    </w:p>
    <w:p w:rsidR="004E46AB" w:rsidRDefault="004E46AB" w:rsidP="004E46AB">
      <w:pPr>
        <w:autoSpaceDE w:val="0"/>
        <w:autoSpaceDN w:val="0"/>
        <w:adjustRightInd w:val="0"/>
        <w:ind w:left="37"/>
        <w:jc w:val="both"/>
        <w:rPr>
          <w:rFonts w:ascii="Arial" w:hAnsi="Arial" w:cs="Arial"/>
          <w:sz w:val="22"/>
          <w:szCs w:val="22"/>
          <w:highlight w:val="yellow"/>
        </w:rPr>
      </w:pPr>
      <w:r w:rsidRPr="00012413">
        <w:rPr>
          <w:rFonts w:ascii="Arial" w:hAnsi="Arial" w:cs="Arial"/>
          <w:sz w:val="22"/>
          <w:szCs w:val="22"/>
        </w:rPr>
        <w:t xml:space="preserve">En los últimos años, el Fondo de Desarrollo Local </w:t>
      </w:r>
      <w:r>
        <w:rPr>
          <w:rFonts w:ascii="Arial" w:hAnsi="Arial" w:cs="Arial"/>
          <w:sz w:val="22"/>
          <w:szCs w:val="22"/>
        </w:rPr>
        <w:t xml:space="preserve">de Engativá </w:t>
      </w:r>
      <w:r w:rsidRPr="00012413">
        <w:rPr>
          <w:rFonts w:ascii="Arial" w:hAnsi="Arial" w:cs="Arial"/>
          <w:sz w:val="22"/>
          <w:szCs w:val="22"/>
        </w:rPr>
        <w:t xml:space="preserve">ha contratado interventorías </w:t>
      </w:r>
      <w:r>
        <w:rPr>
          <w:rFonts w:ascii="Arial" w:hAnsi="Arial" w:cs="Arial"/>
          <w:sz w:val="22"/>
          <w:szCs w:val="22"/>
        </w:rPr>
        <w:t xml:space="preserve">en su </w:t>
      </w:r>
      <w:r w:rsidRPr="00A03708">
        <w:rPr>
          <w:rFonts w:ascii="Arial" w:hAnsi="Arial" w:cs="Arial"/>
          <w:sz w:val="22"/>
          <w:szCs w:val="22"/>
        </w:rPr>
        <w:t>mayoría para contratos de obra. El seguimiento y control de los contratos que atienden servicios sociales se lleva a cabo, principalmente, a través de contratos de apoyo a la supervisión, no obstante, se encontró que en los años 2016 y 2017 se llevaron a cabo 3 procesos de interventoría para proyectos sociales a través de concurso de méritos y en el periodo 2010-2011 se llevaron a cabo 14 procesos de estas mismas características.</w:t>
      </w:r>
      <w:r>
        <w:rPr>
          <w:rFonts w:ascii="Arial" w:hAnsi="Arial" w:cs="Arial"/>
          <w:sz w:val="22"/>
          <w:szCs w:val="22"/>
        </w:rPr>
        <w:t xml:space="preserve"> Cada uno de los procesos encontrados supera el valor de la mínima cuantía y van desde 15 a 67 millones de pesos.</w:t>
      </w:r>
    </w:p>
    <w:p w:rsidR="004E46AB" w:rsidRDefault="004E46AB" w:rsidP="004E46AB">
      <w:pPr>
        <w:autoSpaceDE w:val="0"/>
        <w:autoSpaceDN w:val="0"/>
        <w:adjustRightInd w:val="0"/>
        <w:ind w:left="37"/>
        <w:jc w:val="both"/>
        <w:rPr>
          <w:rFonts w:ascii="Arial" w:hAnsi="Arial" w:cs="Arial"/>
          <w:sz w:val="22"/>
          <w:szCs w:val="22"/>
          <w:highlight w:val="yellow"/>
        </w:rPr>
      </w:pPr>
    </w:p>
    <w:p w:rsidR="004E46AB" w:rsidRDefault="004E46AB" w:rsidP="004E46AB">
      <w:pPr>
        <w:autoSpaceDE w:val="0"/>
        <w:autoSpaceDN w:val="0"/>
        <w:adjustRightInd w:val="0"/>
        <w:ind w:left="37"/>
        <w:jc w:val="both"/>
        <w:rPr>
          <w:rFonts w:ascii="Arial" w:hAnsi="Arial" w:cs="Arial"/>
          <w:sz w:val="22"/>
          <w:szCs w:val="22"/>
        </w:rPr>
      </w:pPr>
    </w:p>
    <w:tbl>
      <w:tblPr>
        <w:tblW w:w="9404" w:type="dxa"/>
        <w:tblCellMar>
          <w:left w:w="70" w:type="dxa"/>
          <w:right w:w="70" w:type="dxa"/>
        </w:tblCellMar>
        <w:tblLook w:val="04A0" w:firstRow="1" w:lastRow="0" w:firstColumn="1" w:lastColumn="0" w:noHBand="0" w:noVBand="1"/>
      </w:tblPr>
      <w:tblGrid>
        <w:gridCol w:w="790"/>
        <w:gridCol w:w="985"/>
        <w:gridCol w:w="1332"/>
        <w:gridCol w:w="5183"/>
        <w:gridCol w:w="1114"/>
      </w:tblGrid>
      <w:tr w:rsidR="004E46AB" w:rsidRPr="00362ACF" w:rsidTr="00BF0E50">
        <w:trPr>
          <w:trHeight w:val="476"/>
          <w:tblHeader/>
        </w:trPr>
        <w:tc>
          <w:tcPr>
            <w:tcW w:w="0" w:type="auto"/>
            <w:tcBorders>
              <w:top w:val="nil"/>
              <w:left w:val="nil"/>
              <w:bottom w:val="nil"/>
              <w:right w:val="nil"/>
            </w:tcBorders>
            <w:shd w:val="clear" w:color="000000" w:fill="D8D8D8"/>
            <w:vAlign w:val="center"/>
            <w:hideMark/>
          </w:tcPr>
          <w:p w:rsidR="004E46AB" w:rsidRPr="00362ACF" w:rsidRDefault="004E46AB" w:rsidP="00BF0E50">
            <w:pPr>
              <w:jc w:val="center"/>
              <w:rPr>
                <w:rFonts w:ascii="Arial" w:hAnsi="Arial" w:cs="Arial"/>
                <w:b/>
                <w:bCs/>
                <w:color w:val="3D3D3D"/>
                <w:sz w:val="16"/>
                <w:szCs w:val="18"/>
              </w:rPr>
            </w:pPr>
            <w:r w:rsidRPr="00362ACF">
              <w:rPr>
                <w:rFonts w:ascii="Arial" w:hAnsi="Arial" w:cs="Arial"/>
                <w:b/>
                <w:bCs/>
                <w:color w:val="3D3D3D"/>
                <w:sz w:val="14"/>
                <w:szCs w:val="18"/>
              </w:rPr>
              <w:t>Número de Proceso</w:t>
            </w:r>
          </w:p>
        </w:tc>
        <w:tc>
          <w:tcPr>
            <w:tcW w:w="0" w:type="auto"/>
            <w:tcBorders>
              <w:top w:val="nil"/>
              <w:left w:val="nil"/>
              <w:bottom w:val="nil"/>
              <w:right w:val="nil"/>
            </w:tcBorders>
            <w:shd w:val="clear" w:color="000000" w:fill="D8D8D8"/>
            <w:vAlign w:val="center"/>
            <w:hideMark/>
          </w:tcPr>
          <w:p w:rsidR="004E46AB" w:rsidRPr="00362ACF" w:rsidRDefault="004E46AB" w:rsidP="00BF0E50">
            <w:pPr>
              <w:jc w:val="center"/>
              <w:rPr>
                <w:rFonts w:ascii="Arial" w:hAnsi="Arial" w:cs="Arial"/>
                <w:b/>
                <w:bCs/>
                <w:color w:val="3D3D3D"/>
                <w:sz w:val="16"/>
                <w:szCs w:val="18"/>
              </w:rPr>
            </w:pPr>
            <w:r w:rsidRPr="00362ACF">
              <w:rPr>
                <w:rFonts w:ascii="Arial" w:hAnsi="Arial" w:cs="Arial"/>
                <w:b/>
                <w:bCs/>
                <w:color w:val="3D3D3D"/>
                <w:sz w:val="16"/>
                <w:szCs w:val="18"/>
              </w:rPr>
              <w:t>Tipo de Proceso</w:t>
            </w:r>
          </w:p>
        </w:tc>
        <w:tc>
          <w:tcPr>
            <w:tcW w:w="0" w:type="auto"/>
            <w:tcBorders>
              <w:top w:val="nil"/>
              <w:left w:val="nil"/>
              <w:bottom w:val="nil"/>
              <w:right w:val="nil"/>
            </w:tcBorders>
            <w:shd w:val="clear" w:color="000000" w:fill="D8D8D8"/>
            <w:vAlign w:val="center"/>
            <w:hideMark/>
          </w:tcPr>
          <w:p w:rsidR="004E46AB" w:rsidRPr="00362ACF" w:rsidRDefault="004E46AB" w:rsidP="00BF0E50">
            <w:pPr>
              <w:jc w:val="center"/>
              <w:rPr>
                <w:rFonts w:ascii="Arial" w:hAnsi="Arial" w:cs="Arial"/>
                <w:b/>
                <w:bCs/>
                <w:color w:val="3D3D3D"/>
                <w:sz w:val="16"/>
                <w:szCs w:val="18"/>
              </w:rPr>
            </w:pPr>
            <w:r w:rsidRPr="00362ACF">
              <w:rPr>
                <w:rFonts w:ascii="Arial" w:hAnsi="Arial" w:cs="Arial"/>
                <w:b/>
                <w:bCs/>
                <w:color w:val="3D3D3D"/>
                <w:sz w:val="16"/>
                <w:szCs w:val="18"/>
              </w:rPr>
              <w:t>Estado</w:t>
            </w:r>
          </w:p>
        </w:tc>
        <w:tc>
          <w:tcPr>
            <w:tcW w:w="0" w:type="auto"/>
            <w:tcBorders>
              <w:top w:val="nil"/>
              <w:left w:val="nil"/>
              <w:bottom w:val="nil"/>
              <w:right w:val="nil"/>
            </w:tcBorders>
            <w:shd w:val="clear" w:color="000000" w:fill="D8D8D8"/>
            <w:vAlign w:val="center"/>
            <w:hideMark/>
          </w:tcPr>
          <w:p w:rsidR="004E46AB" w:rsidRPr="00362ACF" w:rsidRDefault="004E46AB" w:rsidP="00BF0E50">
            <w:pPr>
              <w:jc w:val="center"/>
              <w:rPr>
                <w:rFonts w:ascii="Arial" w:hAnsi="Arial" w:cs="Arial"/>
                <w:b/>
                <w:bCs/>
                <w:color w:val="3D3D3D"/>
                <w:sz w:val="16"/>
                <w:szCs w:val="18"/>
              </w:rPr>
            </w:pPr>
            <w:r w:rsidRPr="00362ACF">
              <w:rPr>
                <w:rFonts w:ascii="Arial" w:hAnsi="Arial" w:cs="Arial"/>
                <w:b/>
                <w:bCs/>
                <w:color w:val="3D3D3D"/>
                <w:sz w:val="16"/>
                <w:szCs w:val="18"/>
              </w:rPr>
              <w:t>Objeto</w:t>
            </w:r>
          </w:p>
        </w:tc>
        <w:tc>
          <w:tcPr>
            <w:tcW w:w="0" w:type="auto"/>
            <w:tcBorders>
              <w:top w:val="nil"/>
              <w:left w:val="nil"/>
              <w:bottom w:val="nil"/>
              <w:right w:val="nil"/>
            </w:tcBorders>
            <w:shd w:val="clear" w:color="000000" w:fill="D8D8D8"/>
            <w:vAlign w:val="center"/>
            <w:hideMark/>
          </w:tcPr>
          <w:p w:rsidR="004E46AB" w:rsidRPr="00362ACF" w:rsidRDefault="004E46AB" w:rsidP="00BF0E50">
            <w:pPr>
              <w:jc w:val="center"/>
              <w:rPr>
                <w:rFonts w:ascii="Arial" w:hAnsi="Arial" w:cs="Arial"/>
                <w:b/>
                <w:bCs/>
                <w:color w:val="3D3D3D"/>
                <w:sz w:val="16"/>
                <w:szCs w:val="18"/>
              </w:rPr>
            </w:pPr>
            <w:r w:rsidRPr="00362ACF">
              <w:rPr>
                <w:rFonts w:ascii="Arial" w:hAnsi="Arial" w:cs="Arial"/>
                <w:b/>
                <w:bCs/>
                <w:color w:val="3D3D3D"/>
                <w:sz w:val="16"/>
                <w:szCs w:val="18"/>
              </w:rPr>
              <w:t>Cuantía</w:t>
            </w:r>
          </w:p>
        </w:tc>
      </w:tr>
      <w:tr w:rsidR="004E46AB" w:rsidRPr="00362ACF" w:rsidTr="00BF0E50">
        <w:trPr>
          <w:trHeight w:val="866"/>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24" w:history="1">
              <w:r w:rsidR="004E46AB" w:rsidRPr="00362ACF">
                <w:rPr>
                  <w:rFonts w:ascii="Calibri" w:hAnsi="Calibri"/>
                  <w:color w:val="0563C1"/>
                  <w:sz w:val="14"/>
                  <w:szCs w:val="22"/>
                  <w:u w:val="single"/>
                </w:rPr>
                <w:t>FDLE-CMA-267-2017</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Concurso de Méritos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Adjudicado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Y FINANCIERA AL CONTRATO CUYO OBJETO ES REALIZAR ACCIONES QUE PROMUEVAN LA ELIMINACIÓN DE LOS DIFERENTES TIPOS DE VIOLENCIA Y FORTALECER EL BUEN TRATO, A FIN DE CONTRIBUIR EN LA CONSTRUCCIÓN DE UNA SOCIEDAD MAS EQUITATIVA E IGUALDAD DE LA CALIDAD DE VIDA PARA UNA BOGOTÁ INCLUYENTE</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$24.183.599,00</w:t>
            </w:r>
          </w:p>
        </w:tc>
      </w:tr>
      <w:tr w:rsidR="004E46AB" w:rsidRPr="00362ACF" w:rsidTr="00BF0E50">
        <w:trPr>
          <w:trHeight w:val="650"/>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25" w:history="1">
              <w:r w:rsidR="004E46AB" w:rsidRPr="00362ACF">
                <w:rPr>
                  <w:rFonts w:ascii="Calibri" w:hAnsi="Calibri"/>
                  <w:color w:val="0563C1"/>
                  <w:sz w:val="14"/>
                  <w:szCs w:val="22"/>
                  <w:u w:val="single"/>
                </w:rPr>
                <w:t>FDLE-CMA-266-2017</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Concurso de Méritos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Celebrado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Y CONTABLE A LA EJECUCIÓN DEL CONTRATO CUYO OBJETO ES LA PRESTACIÓN DE SERVICIOS PARA DESARROLLAR ACCIONES DE PREVENCIÓN EN CONTRA DE LA VIOLENCIA Y LA DISCRIMINACIÓN DE LAS MUJERES DE LA LOCALIDAD DE ENGATIVÁ</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$54.269.180,00</w:t>
            </w:r>
          </w:p>
        </w:tc>
      </w:tr>
      <w:tr w:rsidR="004E46AB" w:rsidRPr="00362ACF" w:rsidTr="00BF0E50">
        <w:trPr>
          <w:trHeight w:val="1083"/>
        </w:trPr>
        <w:tc>
          <w:tcPr>
            <w:tcW w:w="0" w:type="auto"/>
            <w:tcBorders>
              <w:top w:val="nil"/>
              <w:left w:val="nil"/>
              <w:bottom w:val="nil"/>
              <w:right w:val="nil"/>
            </w:tcBorders>
            <w:shd w:val="clear" w:color="000000" w:fill="FFFFFF"/>
            <w:vAlign w:val="center"/>
            <w:hideMark/>
          </w:tcPr>
          <w:p w:rsidR="004E46AB" w:rsidRPr="00362ACF" w:rsidRDefault="0004128E" w:rsidP="00BF0E50">
            <w:pPr>
              <w:rPr>
                <w:rFonts w:ascii="Calibri" w:hAnsi="Calibri"/>
                <w:color w:val="0563C1"/>
                <w:sz w:val="14"/>
                <w:szCs w:val="22"/>
                <w:u w:val="single"/>
              </w:rPr>
            </w:pPr>
            <w:hyperlink r:id="rId26" w:history="1">
              <w:r w:rsidR="004E46AB" w:rsidRPr="00362ACF">
                <w:rPr>
                  <w:rFonts w:ascii="Calibri" w:hAnsi="Calibri"/>
                  <w:color w:val="0563C1"/>
                  <w:sz w:val="14"/>
                  <w:szCs w:val="22"/>
                  <w:u w:val="single"/>
                </w:rPr>
                <w:t>FDLE-CDM-182-2016</w:t>
              </w:r>
            </w:hyperlink>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Concurso de Méritos Abierto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Terminado Anormalmente después de Convocado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y financiera al contrato interadministrativo que se celebre entre el Fondo de Desarrollo Local de Engativá y la subred integrada de servicios de salud norte E.S.E. ¿ Unidad Prestadora de Servicios de Salud Engativá, que tiene por objeto desarrollar acciones que permitan mejorar la calidad de vida a personas con discapacidad de la localidad de Engativá, a través del otorgamiento de ayudas técnicas no cubiertas por el POS, establecidas para el componente: ¿Ayudas Técnicas en Salud" del proyecto 1234</w:t>
            </w:r>
          </w:p>
        </w:tc>
        <w:tc>
          <w:tcPr>
            <w:tcW w:w="0" w:type="auto"/>
            <w:tcBorders>
              <w:top w:val="nil"/>
              <w:left w:val="nil"/>
              <w:bottom w:val="nil"/>
              <w:right w:val="nil"/>
            </w:tcBorders>
            <w:shd w:val="clear" w:color="000000" w:fill="FFFFFF"/>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$36.000.000,00</w:t>
            </w:r>
          </w:p>
        </w:tc>
      </w:tr>
      <w:tr w:rsidR="004E46AB" w:rsidRPr="00362ACF" w:rsidTr="00BF0E50">
        <w:trPr>
          <w:trHeight w:val="577"/>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27" w:history="1">
              <w:r w:rsidR="004E46AB" w:rsidRPr="00362ACF">
                <w:rPr>
                  <w:rFonts w:ascii="Calibri" w:hAnsi="Calibri"/>
                  <w:color w:val="0563C1"/>
                  <w:sz w:val="14"/>
                  <w:szCs w:val="22"/>
                  <w:u w:val="single"/>
                </w:rPr>
                <w:t>FDLE-CM-103-2011</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Concurso de Méritos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Celebrado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AL CONTRATO RESULTANTE DEL PROYECTO 252/11: EDUCAR PARA TRANSFORMAR. COMPONENTE: ¿EXPEDICIONES PEDAGÓGICAS</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$29.738.018,00</w:t>
            </w:r>
          </w:p>
        </w:tc>
      </w:tr>
      <w:tr w:rsidR="004E46AB" w:rsidRPr="00362ACF" w:rsidTr="00BF0E50">
        <w:trPr>
          <w:trHeight w:val="1083"/>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28" w:history="1">
              <w:r w:rsidR="004E46AB" w:rsidRPr="00362ACF">
                <w:rPr>
                  <w:rFonts w:ascii="Calibri" w:hAnsi="Calibri"/>
                  <w:color w:val="0563C1"/>
                  <w:sz w:val="14"/>
                  <w:szCs w:val="22"/>
                  <w:u w:val="single"/>
                </w:rPr>
                <w:t>FDLE-CM-159-2011</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Concurso de Méritos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Celebrado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Y SOCIAL AL CONTRATO ENCARGADO DE EJECUTAR EL PROYECTO 159/11: COMPONENTES: DESARROLLAR UN PROGRAMA INTEGRAL EN SALUD MENTAL Y ORIENTAR MEDIDAS DE PREVENCIÓN, FORMACIÓN Y ATENCIÓN INTEGRAL A 300 FAMILIAS EN SITUACIÓN DE VIOLENCIA INTRAFAMILIAR, EXPLOTACIÓN SEXUAL, ABUSO SEXUAL, MALTRATO INFANTIL, ENFERMEDADES DE TRASMISIÓN SEXUAL Y EMBARAZADOS NO PLANEADOS.</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$54.548.093,00</w:t>
            </w:r>
          </w:p>
        </w:tc>
      </w:tr>
      <w:tr w:rsidR="004E46AB" w:rsidRPr="00362ACF" w:rsidTr="00BF0E50">
        <w:trPr>
          <w:trHeight w:val="1083"/>
        </w:trPr>
        <w:tc>
          <w:tcPr>
            <w:tcW w:w="0" w:type="auto"/>
            <w:tcBorders>
              <w:top w:val="nil"/>
              <w:left w:val="nil"/>
              <w:bottom w:val="nil"/>
              <w:right w:val="nil"/>
            </w:tcBorders>
            <w:shd w:val="clear" w:color="000000" w:fill="FFFFFF"/>
            <w:vAlign w:val="center"/>
            <w:hideMark/>
          </w:tcPr>
          <w:p w:rsidR="004E46AB" w:rsidRPr="00362ACF" w:rsidRDefault="0004128E" w:rsidP="00BF0E50">
            <w:pPr>
              <w:rPr>
                <w:rFonts w:ascii="Calibri" w:hAnsi="Calibri"/>
                <w:color w:val="0563C1"/>
                <w:sz w:val="14"/>
                <w:szCs w:val="22"/>
                <w:u w:val="single"/>
              </w:rPr>
            </w:pPr>
            <w:hyperlink r:id="rId29" w:history="1">
              <w:r w:rsidR="004E46AB" w:rsidRPr="00362ACF">
                <w:rPr>
                  <w:rFonts w:ascii="Calibri" w:hAnsi="Calibri"/>
                  <w:color w:val="0563C1"/>
                  <w:sz w:val="14"/>
                  <w:szCs w:val="22"/>
                  <w:u w:val="single"/>
                </w:rPr>
                <w:t>FDLE-CM-154-2011</w:t>
              </w:r>
            </w:hyperlink>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Concurso de Méritos Abierto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Celebrado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Y SOCIAL AL CONVENIO RESULTANTE de los proyectos: (1) Proyecto 0786/11. Componente de FORMACIÓN PARA EL TRABAJO PARA ESTUDIANTES DE EDUCACIÓN MEDIA DE LOS IEDS DE LA LOCALIDAD DE ENGATIVÁ; y (2) Proyecto 0310/11, cuyo fin es VINCULAR ANUALMENTE A JOVENES EN PROCESOS Y PROGRAMAS EN COMPETENCIAS LABORALES Y/O FORMACIÓN TÉCNICA O TECNOLÓGICA PARA EL TRABAJO</w:t>
            </w:r>
          </w:p>
        </w:tc>
        <w:tc>
          <w:tcPr>
            <w:tcW w:w="0" w:type="auto"/>
            <w:tcBorders>
              <w:top w:val="nil"/>
              <w:left w:val="nil"/>
              <w:bottom w:val="nil"/>
              <w:right w:val="nil"/>
            </w:tcBorders>
            <w:shd w:val="clear" w:color="000000" w:fill="FFFFFF"/>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$34.099.821,00</w:t>
            </w:r>
          </w:p>
        </w:tc>
      </w:tr>
      <w:tr w:rsidR="004E46AB" w:rsidRPr="00362ACF" w:rsidTr="00BF0E50">
        <w:trPr>
          <w:trHeight w:val="650"/>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30" w:history="1">
              <w:r w:rsidR="004E46AB" w:rsidRPr="00362ACF">
                <w:rPr>
                  <w:rFonts w:ascii="Calibri" w:hAnsi="Calibri"/>
                  <w:color w:val="0563C1"/>
                  <w:sz w:val="14"/>
                  <w:szCs w:val="22"/>
                  <w:u w:val="single"/>
                </w:rPr>
                <w:t>FDLE-CM-138-2011</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Concurso de Méritos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Celebrado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Y SOCIAL AL PROYECTO 0221 / 11 COMPONENTE: BONOS CANJEABLES POR ALIMENTOS PARA MADRES Y PADRES CABEZA DE FAMILIA, PERSONAS EN CONDICIÓN DE DISCAPACIDAD Y MADRES GESTANTES Y / O LACTANTES DE LA LOCALIDAD</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$39.537.090,00</w:t>
            </w:r>
          </w:p>
        </w:tc>
      </w:tr>
      <w:tr w:rsidR="004E46AB" w:rsidRPr="00362ACF" w:rsidTr="00BF0E50">
        <w:trPr>
          <w:trHeight w:val="866"/>
        </w:trPr>
        <w:tc>
          <w:tcPr>
            <w:tcW w:w="0" w:type="auto"/>
            <w:tcBorders>
              <w:top w:val="nil"/>
              <w:left w:val="nil"/>
              <w:bottom w:val="nil"/>
              <w:right w:val="nil"/>
            </w:tcBorders>
            <w:shd w:val="clear" w:color="000000" w:fill="FFFFFF"/>
            <w:vAlign w:val="center"/>
            <w:hideMark/>
          </w:tcPr>
          <w:p w:rsidR="004E46AB" w:rsidRPr="00362ACF" w:rsidRDefault="0004128E" w:rsidP="00BF0E50">
            <w:pPr>
              <w:rPr>
                <w:rFonts w:ascii="Calibri" w:hAnsi="Calibri"/>
                <w:color w:val="0563C1"/>
                <w:sz w:val="14"/>
                <w:szCs w:val="22"/>
                <w:u w:val="single"/>
              </w:rPr>
            </w:pPr>
            <w:hyperlink r:id="rId31" w:history="1">
              <w:r w:rsidR="004E46AB" w:rsidRPr="00362ACF">
                <w:rPr>
                  <w:rFonts w:ascii="Calibri" w:hAnsi="Calibri"/>
                  <w:color w:val="0563C1"/>
                  <w:sz w:val="14"/>
                  <w:szCs w:val="22"/>
                  <w:u w:val="single"/>
                </w:rPr>
                <w:t>FDLE-CM-65-2010</w:t>
              </w:r>
            </w:hyperlink>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Terminado Anormalmente </w:t>
            </w:r>
            <w:proofErr w:type="spellStart"/>
            <w:r w:rsidRPr="00362ACF">
              <w:rPr>
                <w:rFonts w:ascii="Arial" w:hAnsi="Arial" w:cs="Arial"/>
                <w:color w:val="3D3D3D"/>
                <w:sz w:val="14"/>
                <w:szCs w:val="16"/>
              </w:rPr>
              <w:t>despu¿s</w:t>
            </w:r>
            <w:proofErr w:type="spellEnd"/>
            <w:r w:rsidRPr="00362ACF">
              <w:rPr>
                <w:rFonts w:ascii="Arial" w:hAnsi="Arial" w:cs="Arial"/>
                <w:color w:val="3D3D3D"/>
                <w:sz w:val="14"/>
                <w:szCs w:val="16"/>
              </w:rPr>
              <w:t xml:space="preserve"> de Convocado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Estudios Previos para la contratación de los Proyectos 252/10 EDUCAR PARA TRANSFORMAR. En el objeto de gasto –INTERVENTORÍA COMPONENTES: 1. Programa para el fomento y apoyo a la lectura y la escuela sociocultural 2. Programas de discapacidad y/o talentos excepcionales 3. Implementar y fortalecer un (1) programa interinstitucional para el fomento de la ciencia y la tecnología</w:t>
            </w:r>
          </w:p>
        </w:tc>
        <w:tc>
          <w:tcPr>
            <w:tcW w:w="0" w:type="auto"/>
            <w:tcBorders>
              <w:top w:val="nil"/>
              <w:left w:val="nil"/>
              <w:bottom w:val="nil"/>
              <w:right w:val="nil"/>
            </w:tcBorders>
            <w:shd w:val="clear" w:color="000000" w:fill="FFFFFF"/>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$25.524.648,00</w:t>
            </w:r>
          </w:p>
        </w:tc>
      </w:tr>
      <w:tr w:rsidR="004E46AB" w:rsidRPr="00362ACF" w:rsidTr="00BF0E50">
        <w:trPr>
          <w:trHeight w:val="866"/>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32" w:history="1">
              <w:r w:rsidR="004E46AB" w:rsidRPr="00362ACF">
                <w:rPr>
                  <w:rFonts w:ascii="Calibri" w:hAnsi="Calibri"/>
                  <w:color w:val="0563C1"/>
                  <w:sz w:val="14"/>
                  <w:szCs w:val="22"/>
                  <w:u w:val="single"/>
                </w:rPr>
                <w:t>FDLE-CM-62-2010</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Terminado Anormalmente </w:t>
            </w:r>
            <w:proofErr w:type="spellStart"/>
            <w:r w:rsidRPr="00362ACF">
              <w:rPr>
                <w:rFonts w:ascii="Arial" w:hAnsi="Arial" w:cs="Arial"/>
                <w:color w:val="3D3D3D"/>
                <w:sz w:val="14"/>
                <w:szCs w:val="16"/>
              </w:rPr>
              <w:t>despu¿s</w:t>
            </w:r>
            <w:proofErr w:type="spellEnd"/>
            <w:r w:rsidRPr="00362ACF">
              <w:rPr>
                <w:rFonts w:ascii="Arial" w:hAnsi="Arial" w:cs="Arial"/>
                <w:color w:val="3D3D3D"/>
                <w:sz w:val="14"/>
                <w:szCs w:val="16"/>
              </w:rPr>
              <w:t xml:space="preserve"> de Convocado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Y SOCIAL DE LOS PROYECTOS 252/2010 y 299/2010 COMPONENTES: 1. apoyar y fortalecer las escuelas de padres, gobiernos escolares y el bienestar docente. (252) 2. implementar un programa y/o campaña anual para generar entornos seguros a los niños, niñas y jóvenes de la localidad de Engativá (299)</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$25.059.544,00</w:t>
            </w:r>
          </w:p>
        </w:tc>
      </w:tr>
      <w:tr w:rsidR="004E46AB" w:rsidRPr="00362ACF" w:rsidTr="00BF0E50">
        <w:trPr>
          <w:trHeight w:val="542"/>
        </w:trPr>
        <w:tc>
          <w:tcPr>
            <w:tcW w:w="0" w:type="auto"/>
            <w:tcBorders>
              <w:top w:val="nil"/>
              <w:left w:val="nil"/>
              <w:bottom w:val="nil"/>
              <w:right w:val="nil"/>
            </w:tcBorders>
            <w:shd w:val="clear" w:color="000000" w:fill="FFFFFF"/>
            <w:vAlign w:val="center"/>
            <w:hideMark/>
          </w:tcPr>
          <w:p w:rsidR="004E46AB" w:rsidRPr="00362ACF" w:rsidRDefault="0004128E" w:rsidP="00BF0E50">
            <w:pPr>
              <w:rPr>
                <w:rFonts w:ascii="Calibri" w:hAnsi="Calibri"/>
                <w:color w:val="0563C1"/>
                <w:sz w:val="14"/>
                <w:szCs w:val="22"/>
                <w:u w:val="single"/>
              </w:rPr>
            </w:pPr>
            <w:hyperlink r:id="rId33" w:history="1">
              <w:r w:rsidR="004E46AB" w:rsidRPr="00362ACF">
                <w:rPr>
                  <w:rFonts w:ascii="Calibri" w:hAnsi="Calibri"/>
                  <w:color w:val="0563C1"/>
                  <w:sz w:val="14"/>
                  <w:szCs w:val="22"/>
                  <w:u w:val="single"/>
                </w:rPr>
                <w:t>FDLE-CM-63-2010</w:t>
              </w:r>
            </w:hyperlink>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Terminado Anormalmente </w:t>
            </w:r>
            <w:proofErr w:type="spellStart"/>
            <w:r w:rsidRPr="00362ACF">
              <w:rPr>
                <w:rFonts w:ascii="Arial" w:hAnsi="Arial" w:cs="Arial"/>
                <w:color w:val="3D3D3D"/>
                <w:sz w:val="14"/>
                <w:szCs w:val="16"/>
              </w:rPr>
              <w:t>despu¿s</w:t>
            </w:r>
            <w:proofErr w:type="spellEnd"/>
            <w:r w:rsidRPr="00362ACF">
              <w:rPr>
                <w:rFonts w:ascii="Arial" w:hAnsi="Arial" w:cs="Arial"/>
                <w:color w:val="3D3D3D"/>
                <w:sz w:val="14"/>
                <w:szCs w:val="16"/>
              </w:rPr>
              <w:t xml:space="preserve"> de Convocado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Estudios Previos para la contratación de la interventoría técnica, financiera, administrativa y social de los Proyectos 0779/2010 componente “Vincular anualmente a mínimo cincuenta (50) personas en situación de discapacidad en procesos productivos” Proyecto 0159 PROGRAMA INTEGRAL DE SALUD- Componentes “Poner en marcha un programa de salud integral para 150 personas en condición de Discapacidad de la Localidad.”- Proyecto 0159- “Fortalecer y continuar con el Banco de Ayudas Técnicas para la atención de 300 personas en condición de discapacidad de la Localidad de Engativá, anualmente.” Proyecto 295/10: Creación Y Apoyo A Escuelas De Formación Artística, Y Eventos Integrales. Componente: Vincular Y Apoyar A Personas A Través De Las Escuelas De Formación Artística Y Cultural De Engativá. “Actividades Culturales Para Personas En Condición De Discapacidad 2010”. Proyecto 0221 /2010 :Atención alimentaria a personas de la localidad en condiciones de vulnerabilidad.- componente: bono canjeable por paquete complemento alimentario a personas con discapacidad- Proyecto 252- 2010 – educación de calidad y pertinencia para vivir mejor- Componente: Apoyar mínimo dos programas especiales anuales para niños y niñas escolarizados y no escolarizados en situación de discapacidad y/o con talentos excepcionales ofrecidos por los IEDS y otras instituciones.</w:t>
            </w:r>
          </w:p>
        </w:tc>
        <w:tc>
          <w:tcPr>
            <w:tcW w:w="0" w:type="auto"/>
            <w:tcBorders>
              <w:top w:val="nil"/>
              <w:left w:val="nil"/>
              <w:bottom w:val="nil"/>
              <w:right w:val="nil"/>
            </w:tcBorders>
            <w:shd w:val="clear" w:color="000000" w:fill="FFFFFF"/>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$46.069.852,00</w:t>
            </w:r>
          </w:p>
        </w:tc>
      </w:tr>
      <w:tr w:rsidR="004E46AB" w:rsidRPr="00362ACF" w:rsidTr="00BF0E50">
        <w:trPr>
          <w:trHeight w:val="866"/>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34" w:history="1">
              <w:r w:rsidR="004E46AB" w:rsidRPr="00362ACF">
                <w:rPr>
                  <w:rFonts w:ascii="Calibri" w:hAnsi="Calibri"/>
                  <w:color w:val="0563C1"/>
                  <w:sz w:val="14"/>
                  <w:szCs w:val="22"/>
                  <w:u w:val="single"/>
                </w:rPr>
                <w:t>FDLE-CM-64-2010</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Terminado Anormalmente </w:t>
            </w:r>
            <w:proofErr w:type="spellStart"/>
            <w:r w:rsidRPr="00362ACF">
              <w:rPr>
                <w:rFonts w:ascii="Arial" w:hAnsi="Arial" w:cs="Arial"/>
                <w:color w:val="3D3D3D"/>
                <w:sz w:val="14"/>
                <w:szCs w:val="16"/>
              </w:rPr>
              <w:t>despu¿s</w:t>
            </w:r>
            <w:proofErr w:type="spellEnd"/>
            <w:r w:rsidRPr="00362ACF">
              <w:rPr>
                <w:rFonts w:ascii="Arial" w:hAnsi="Arial" w:cs="Arial"/>
                <w:color w:val="3D3D3D"/>
                <w:sz w:val="14"/>
                <w:szCs w:val="16"/>
              </w:rPr>
              <w:t xml:space="preserve"> de Convocado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Y SOCIAL DEL COMPONENTE: “APOYAR 13.000 NIÑOS Y JÓVENES ANUALMENTE A EXPEDICIONES PEDAGÓGICAS Y REFUERZO EXTRAESCOLAR COMO ALTERNATIVAS PARA FORTALECER LA EDUCACIÓN, LOS VALORES CÍVICOS Y SOCIALES”</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$15.210.535,00</w:t>
            </w:r>
          </w:p>
        </w:tc>
      </w:tr>
      <w:tr w:rsidR="004E46AB" w:rsidRPr="00362ACF" w:rsidTr="00BF0E50">
        <w:trPr>
          <w:trHeight w:val="1516"/>
        </w:trPr>
        <w:tc>
          <w:tcPr>
            <w:tcW w:w="0" w:type="auto"/>
            <w:tcBorders>
              <w:top w:val="nil"/>
              <w:left w:val="nil"/>
              <w:bottom w:val="nil"/>
              <w:right w:val="nil"/>
            </w:tcBorders>
            <w:shd w:val="clear" w:color="000000" w:fill="FFFFFF"/>
            <w:vAlign w:val="center"/>
            <w:hideMark/>
          </w:tcPr>
          <w:p w:rsidR="004E46AB" w:rsidRPr="00362ACF" w:rsidRDefault="0004128E" w:rsidP="00BF0E50">
            <w:pPr>
              <w:rPr>
                <w:rFonts w:ascii="Calibri" w:hAnsi="Calibri"/>
                <w:color w:val="0563C1"/>
                <w:sz w:val="14"/>
                <w:szCs w:val="22"/>
                <w:u w:val="single"/>
              </w:rPr>
            </w:pPr>
            <w:hyperlink r:id="rId35" w:history="1">
              <w:r w:rsidR="004E46AB" w:rsidRPr="00362ACF">
                <w:rPr>
                  <w:rFonts w:ascii="Calibri" w:hAnsi="Calibri"/>
                  <w:color w:val="0563C1"/>
                  <w:sz w:val="14"/>
                  <w:szCs w:val="22"/>
                  <w:u w:val="single"/>
                </w:rPr>
                <w:t>FDLE-59-2010</w:t>
              </w:r>
            </w:hyperlink>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Terminado Anormalmente </w:t>
            </w:r>
            <w:proofErr w:type="spellStart"/>
            <w:r w:rsidRPr="00362ACF">
              <w:rPr>
                <w:rFonts w:ascii="Arial" w:hAnsi="Arial" w:cs="Arial"/>
                <w:color w:val="3D3D3D"/>
                <w:sz w:val="14"/>
                <w:szCs w:val="16"/>
              </w:rPr>
              <w:t>despu¿s</w:t>
            </w:r>
            <w:proofErr w:type="spellEnd"/>
            <w:r w:rsidRPr="00362ACF">
              <w:rPr>
                <w:rFonts w:ascii="Arial" w:hAnsi="Arial" w:cs="Arial"/>
                <w:color w:val="3D3D3D"/>
                <w:sz w:val="14"/>
                <w:szCs w:val="16"/>
              </w:rPr>
              <w:t xml:space="preserve"> de Convocado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Realizar la(s) Interventoría(s) técnica, administrativa, financiera y social de los contratos derivados de los proyectos: 301 de 2010, componente “apoyar y fortalecer un (1) programa anual dirigido a las poblaciones indígenas, población </w:t>
            </w:r>
            <w:proofErr w:type="spellStart"/>
            <w:r w:rsidRPr="00362ACF">
              <w:rPr>
                <w:rFonts w:ascii="Arial" w:hAnsi="Arial" w:cs="Arial"/>
                <w:color w:val="3D3D3D"/>
                <w:sz w:val="14"/>
                <w:szCs w:val="16"/>
              </w:rPr>
              <w:t>lgbt</w:t>
            </w:r>
            <w:proofErr w:type="spellEnd"/>
            <w:r w:rsidRPr="00362ACF">
              <w:rPr>
                <w:rFonts w:ascii="Arial" w:hAnsi="Arial" w:cs="Arial"/>
                <w:color w:val="3D3D3D"/>
                <w:sz w:val="14"/>
                <w:szCs w:val="16"/>
              </w:rPr>
              <w:t xml:space="preserve">, grupos religiosos, afrodescendientes, </w:t>
            </w:r>
            <w:proofErr w:type="spellStart"/>
            <w:r w:rsidRPr="00362ACF">
              <w:rPr>
                <w:rFonts w:ascii="Arial" w:hAnsi="Arial" w:cs="Arial"/>
                <w:color w:val="3D3D3D"/>
                <w:sz w:val="14"/>
                <w:szCs w:val="16"/>
              </w:rPr>
              <w:t>rom</w:t>
            </w:r>
            <w:proofErr w:type="spellEnd"/>
            <w:r w:rsidRPr="00362ACF">
              <w:rPr>
                <w:rFonts w:ascii="Arial" w:hAnsi="Arial" w:cs="Arial"/>
                <w:color w:val="3D3D3D"/>
                <w:sz w:val="14"/>
                <w:szCs w:val="16"/>
              </w:rPr>
              <w:t>, raizales y culturas urbanas con enfoque de derechos humanos y perspectiva diferencial para su incidencia en los escenarios de decisión de políticas públicas”; 220 de 2010, componente “realizar un (1) programa anual de fortalecimiento de los clubes juveniles, dirigido a jóvenes escolarizados y no escolarizados para prevenir el consumo de spa, el tabaquismo, el alcoholismo, la drogadicción y otras adicciones, incluyendo conductas suicidas” y 758 de 2010, componente “apoyo a experiencias de voluntariado juvenil</w:t>
            </w:r>
          </w:p>
        </w:tc>
        <w:tc>
          <w:tcPr>
            <w:tcW w:w="0" w:type="auto"/>
            <w:tcBorders>
              <w:top w:val="nil"/>
              <w:left w:val="nil"/>
              <w:bottom w:val="nil"/>
              <w:right w:val="nil"/>
            </w:tcBorders>
            <w:shd w:val="clear" w:color="000000" w:fill="FFFFFF"/>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$28.500.319,00</w:t>
            </w:r>
          </w:p>
        </w:tc>
      </w:tr>
      <w:tr w:rsidR="004E46AB" w:rsidRPr="00362ACF" w:rsidTr="00BF0E50">
        <w:trPr>
          <w:trHeight w:val="866"/>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36" w:history="1">
              <w:r w:rsidR="004E46AB" w:rsidRPr="00362ACF">
                <w:rPr>
                  <w:rFonts w:ascii="Calibri" w:hAnsi="Calibri"/>
                  <w:color w:val="0563C1"/>
                  <w:sz w:val="14"/>
                  <w:szCs w:val="22"/>
                  <w:u w:val="single"/>
                </w:rPr>
                <w:t>FDLE-CM-61-2010</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Terminado Anormalmente </w:t>
            </w:r>
            <w:proofErr w:type="spellStart"/>
            <w:r w:rsidRPr="00362ACF">
              <w:rPr>
                <w:rFonts w:ascii="Arial" w:hAnsi="Arial" w:cs="Arial"/>
                <w:color w:val="3D3D3D"/>
                <w:sz w:val="14"/>
                <w:szCs w:val="16"/>
              </w:rPr>
              <w:t>despu¿s</w:t>
            </w:r>
            <w:proofErr w:type="spellEnd"/>
            <w:r w:rsidRPr="00362ACF">
              <w:rPr>
                <w:rFonts w:ascii="Arial" w:hAnsi="Arial" w:cs="Arial"/>
                <w:color w:val="3D3D3D"/>
                <w:sz w:val="14"/>
                <w:szCs w:val="16"/>
              </w:rPr>
              <w:t xml:space="preserve"> de Convocado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Y SOCIAL AL CONTRATO DERIVADO DEL PROCESO DE LICITACIÓN PÚBLICA No. FDLE-LP-48-2010</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$25.694.784,00</w:t>
            </w:r>
          </w:p>
        </w:tc>
      </w:tr>
      <w:tr w:rsidR="004E46AB" w:rsidRPr="00362ACF" w:rsidTr="00BF0E50">
        <w:trPr>
          <w:trHeight w:val="866"/>
        </w:trPr>
        <w:tc>
          <w:tcPr>
            <w:tcW w:w="0" w:type="auto"/>
            <w:tcBorders>
              <w:top w:val="nil"/>
              <w:left w:val="nil"/>
              <w:bottom w:val="nil"/>
              <w:right w:val="nil"/>
            </w:tcBorders>
            <w:shd w:val="clear" w:color="000000" w:fill="FFFFFF"/>
            <w:vAlign w:val="center"/>
            <w:hideMark/>
          </w:tcPr>
          <w:p w:rsidR="004E46AB" w:rsidRPr="00362ACF" w:rsidRDefault="0004128E" w:rsidP="00BF0E50">
            <w:pPr>
              <w:rPr>
                <w:rFonts w:ascii="Calibri" w:hAnsi="Calibri"/>
                <w:color w:val="0563C1"/>
                <w:sz w:val="14"/>
                <w:szCs w:val="22"/>
                <w:u w:val="single"/>
              </w:rPr>
            </w:pPr>
            <w:hyperlink r:id="rId37" w:history="1">
              <w:r w:rsidR="004E46AB" w:rsidRPr="00362ACF">
                <w:rPr>
                  <w:rFonts w:ascii="Calibri" w:hAnsi="Calibri"/>
                  <w:color w:val="0563C1"/>
                  <w:sz w:val="14"/>
                  <w:szCs w:val="22"/>
                  <w:u w:val="single"/>
                </w:rPr>
                <w:t>FDLE-CM-60-2010</w:t>
              </w:r>
            </w:hyperlink>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Terminado Anormalmente </w:t>
            </w:r>
            <w:proofErr w:type="spellStart"/>
            <w:r w:rsidRPr="00362ACF">
              <w:rPr>
                <w:rFonts w:ascii="Arial" w:hAnsi="Arial" w:cs="Arial"/>
                <w:color w:val="3D3D3D"/>
                <w:sz w:val="14"/>
                <w:szCs w:val="16"/>
              </w:rPr>
              <w:t>despu¿s</w:t>
            </w:r>
            <w:proofErr w:type="spellEnd"/>
            <w:r w:rsidRPr="00362ACF">
              <w:rPr>
                <w:rFonts w:ascii="Arial" w:hAnsi="Arial" w:cs="Arial"/>
                <w:color w:val="3D3D3D"/>
                <w:sz w:val="14"/>
                <w:szCs w:val="16"/>
              </w:rPr>
              <w:t xml:space="preserve"> de Convocado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Y SOCIAL AL CONTRATO DERIVADO DEL PROCESO DE SELECCIÓN ABREVIADA PARA CONTRATAR LA PRESTACIÓN DEL SERVICIO DE SALUD NO. FDLE-PMC-51-2010</w:t>
            </w:r>
          </w:p>
        </w:tc>
        <w:tc>
          <w:tcPr>
            <w:tcW w:w="0" w:type="auto"/>
            <w:tcBorders>
              <w:top w:val="nil"/>
              <w:left w:val="nil"/>
              <w:bottom w:val="nil"/>
              <w:right w:val="nil"/>
            </w:tcBorders>
            <w:shd w:val="clear" w:color="000000" w:fill="FFFFFF"/>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$51.200.000,00</w:t>
            </w:r>
          </w:p>
        </w:tc>
      </w:tr>
      <w:tr w:rsidR="004E46AB" w:rsidRPr="00362ACF" w:rsidTr="00BF0E50">
        <w:trPr>
          <w:trHeight w:val="1950"/>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38" w:history="1">
              <w:r w:rsidR="004E46AB" w:rsidRPr="00362ACF">
                <w:rPr>
                  <w:rFonts w:ascii="Calibri" w:hAnsi="Calibri"/>
                  <w:color w:val="0563C1"/>
                  <w:sz w:val="14"/>
                  <w:szCs w:val="22"/>
                  <w:u w:val="single"/>
                </w:rPr>
                <w:t>FDLE-CM-58-2010</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Adjudicado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Contratar la Interventoría técnica-ambiental, administrativa, financiera y social de los Proyectos. 290: Programa de educación ambiental Componente: Desarrollar un programa integral para el adecuado manejo y preservación del medio ambiente en armonía entre la Comunidad y la administración local. Articular un programa con las autoridades distritales, en cumplimiento de la normatividad vigente, para la tenencia de mascotas; Proyecto 308: Programas y campañas de soluciones ambientales y recursos hídricos, Componente: Desarrollar un programa de acciones básicas necesarias de recuperación y protección de los humedales y el sistema hídrico de la localidad; Proyecto 308: Programas y campañas de soluciones ambientales y recursos hídricos, Componente: Apoyar y brindar asistencia técnica en el uso, manejo y aprovechamiento de residuos sólidos, tecnologías limpias y autogestión ambiental a mínimo 25 MIPYMES, anualmente, haciendo de Engativá una Localidad piloto con la participación de todos”.</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$31.220.022,00</w:t>
            </w:r>
          </w:p>
        </w:tc>
      </w:tr>
      <w:tr w:rsidR="004E46AB" w:rsidRPr="00362ACF" w:rsidTr="00BF0E50">
        <w:trPr>
          <w:trHeight w:val="1083"/>
        </w:trPr>
        <w:tc>
          <w:tcPr>
            <w:tcW w:w="0" w:type="auto"/>
            <w:tcBorders>
              <w:top w:val="nil"/>
              <w:left w:val="nil"/>
              <w:bottom w:val="nil"/>
              <w:right w:val="nil"/>
            </w:tcBorders>
            <w:shd w:val="clear" w:color="000000" w:fill="FFFFFF"/>
            <w:vAlign w:val="center"/>
            <w:hideMark/>
          </w:tcPr>
          <w:p w:rsidR="004E46AB" w:rsidRPr="00362ACF" w:rsidRDefault="0004128E" w:rsidP="00BF0E50">
            <w:pPr>
              <w:rPr>
                <w:rFonts w:ascii="Calibri" w:hAnsi="Calibri"/>
                <w:color w:val="0563C1"/>
                <w:sz w:val="14"/>
                <w:szCs w:val="22"/>
                <w:u w:val="single"/>
              </w:rPr>
            </w:pPr>
            <w:hyperlink r:id="rId39" w:history="1">
              <w:r w:rsidR="004E46AB" w:rsidRPr="00362ACF">
                <w:rPr>
                  <w:rFonts w:ascii="Calibri" w:hAnsi="Calibri"/>
                  <w:color w:val="0563C1"/>
                  <w:sz w:val="14"/>
                  <w:szCs w:val="22"/>
                  <w:u w:val="single"/>
                </w:rPr>
                <w:t>FDLE-CM-57-2010</w:t>
              </w:r>
            </w:hyperlink>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Adjudicado</w:t>
            </w:r>
          </w:p>
        </w:tc>
        <w:tc>
          <w:tcPr>
            <w:tcW w:w="0" w:type="auto"/>
            <w:tcBorders>
              <w:top w:val="nil"/>
              <w:left w:val="nil"/>
              <w:bottom w:val="nil"/>
              <w:right w:val="nil"/>
            </w:tcBorders>
            <w:shd w:val="clear" w:color="000000" w:fill="FFFFFF"/>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REALIZAR LA INTERVENTORÍA TÉCNICA, ADMINISTRATIVA, FINANCIERA Y SOCIAL DE LOS COMPONENTES: (1) “FORMACIÓN TÉCNICA TECNOLÓGICA Y/O SUPERIOR PARA EL TRABAJO, (2) VINCULAR ANUALMENTE A MÍNIMO 300 PERSONAS EN PROCESOS Y PROGRAMAS EN COMPETENCIAS LABORALES Y/O FORMACIÓN TÉCNICA O TECNOLÓGICA PARA EL TRABAJO Y (3) APOYAR A EGRESADOS DE LA MATRICULA OFICIAL DISTRITAL DE LA LOCALIDAD DE ENGATIVÁ PARA QUE REALICEN SUS ESTUDIOS DE EDUCACIÓN SUPERIOR TECNOLÓGICA”</w:t>
            </w:r>
          </w:p>
        </w:tc>
        <w:tc>
          <w:tcPr>
            <w:tcW w:w="0" w:type="auto"/>
            <w:tcBorders>
              <w:top w:val="nil"/>
              <w:left w:val="nil"/>
              <w:bottom w:val="nil"/>
              <w:right w:val="nil"/>
            </w:tcBorders>
            <w:shd w:val="clear" w:color="000000" w:fill="FFFFFF"/>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$67.266.708,00</w:t>
            </w:r>
          </w:p>
        </w:tc>
      </w:tr>
      <w:tr w:rsidR="004E46AB" w:rsidRPr="00362ACF" w:rsidTr="00BF0E50">
        <w:trPr>
          <w:trHeight w:val="866"/>
        </w:trPr>
        <w:tc>
          <w:tcPr>
            <w:tcW w:w="0" w:type="auto"/>
            <w:tcBorders>
              <w:top w:val="nil"/>
              <w:left w:val="nil"/>
              <w:bottom w:val="nil"/>
              <w:right w:val="nil"/>
            </w:tcBorders>
            <w:shd w:val="clear" w:color="000000" w:fill="EEEEEE"/>
            <w:vAlign w:val="center"/>
            <w:hideMark/>
          </w:tcPr>
          <w:p w:rsidR="004E46AB" w:rsidRPr="00362ACF" w:rsidRDefault="0004128E" w:rsidP="00BF0E50">
            <w:pPr>
              <w:rPr>
                <w:rFonts w:ascii="Calibri" w:hAnsi="Calibri"/>
                <w:color w:val="0563C1"/>
                <w:sz w:val="14"/>
                <w:szCs w:val="22"/>
                <w:u w:val="single"/>
              </w:rPr>
            </w:pPr>
            <w:hyperlink r:id="rId40" w:history="1">
              <w:r w:rsidR="004E46AB" w:rsidRPr="00362ACF">
                <w:rPr>
                  <w:rFonts w:ascii="Calibri" w:hAnsi="Calibri"/>
                  <w:color w:val="0563C1"/>
                  <w:sz w:val="14"/>
                  <w:szCs w:val="22"/>
                  <w:u w:val="single"/>
                </w:rPr>
                <w:t>FDLE-CM-56-2010</w:t>
              </w:r>
            </w:hyperlink>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Concurso de </w:t>
            </w:r>
            <w:proofErr w:type="spellStart"/>
            <w:r w:rsidRPr="00362ACF">
              <w:rPr>
                <w:rFonts w:ascii="Arial" w:hAnsi="Arial" w:cs="Arial"/>
                <w:color w:val="3D3D3D"/>
                <w:sz w:val="14"/>
                <w:szCs w:val="16"/>
              </w:rPr>
              <w:t>Meritos</w:t>
            </w:r>
            <w:proofErr w:type="spellEnd"/>
            <w:r w:rsidRPr="00362ACF">
              <w:rPr>
                <w:rFonts w:ascii="Arial" w:hAnsi="Arial" w:cs="Arial"/>
                <w:color w:val="3D3D3D"/>
                <w:sz w:val="14"/>
                <w:szCs w:val="16"/>
              </w:rPr>
              <w:t xml:space="preserve"> Sistema Abierto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Terminado Anormalmente </w:t>
            </w:r>
            <w:proofErr w:type="spellStart"/>
            <w:r w:rsidRPr="00362ACF">
              <w:rPr>
                <w:rFonts w:ascii="Arial" w:hAnsi="Arial" w:cs="Arial"/>
                <w:color w:val="3D3D3D"/>
                <w:sz w:val="14"/>
                <w:szCs w:val="16"/>
              </w:rPr>
              <w:t>despu¿s</w:t>
            </w:r>
            <w:proofErr w:type="spellEnd"/>
            <w:r w:rsidRPr="00362ACF">
              <w:rPr>
                <w:rFonts w:ascii="Arial" w:hAnsi="Arial" w:cs="Arial"/>
                <w:color w:val="3D3D3D"/>
                <w:sz w:val="14"/>
                <w:szCs w:val="16"/>
              </w:rPr>
              <w:t xml:space="preserve"> de Convocado</w:t>
            </w:r>
          </w:p>
        </w:tc>
        <w:tc>
          <w:tcPr>
            <w:tcW w:w="0" w:type="auto"/>
            <w:tcBorders>
              <w:top w:val="nil"/>
              <w:left w:val="nil"/>
              <w:bottom w:val="nil"/>
              <w:right w:val="nil"/>
            </w:tcBorders>
            <w:shd w:val="clear" w:color="000000" w:fill="EEEEEE"/>
            <w:vAlign w:val="center"/>
            <w:hideMark/>
          </w:tcPr>
          <w:p w:rsidR="004E46AB" w:rsidRPr="00362ACF" w:rsidRDefault="004E46AB" w:rsidP="00BF0E50">
            <w:pPr>
              <w:rPr>
                <w:rFonts w:ascii="Arial" w:hAnsi="Arial" w:cs="Arial"/>
                <w:color w:val="3D3D3D"/>
                <w:sz w:val="14"/>
                <w:szCs w:val="16"/>
              </w:rPr>
            </w:pPr>
            <w:r w:rsidRPr="00362ACF">
              <w:rPr>
                <w:rFonts w:ascii="Arial" w:hAnsi="Arial" w:cs="Arial"/>
                <w:color w:val="3D3D3D"/>
                <w:sz w:val="14"/>
                <w:szCs w:val="16"/>
              </w:rPr>
              <w:t xml:space="preserve">Realizar La Interventoría Técnica, Administrativa, Financiera Y Social De Los Componentes: “Juegos Comunales Engativá 2010”, “Vi Carrera Atlética Engativá”, “Copas Engativá De Futbol, Futbol De Salón Y Baloncesto” Y “Dotación Y Salidas </w:t>
            </w:r>
            <w:proofErr w:type="spellStart"/>
            <w:r w:rsidRPr="00362ACF">
              <w:rPr>
                <w:rFonts w:ascii="Arial" w:hAnsi="Arial" w:cs="Arial"/>
                <w:color w:val="3D3D3D"/>
                <w:sz w:val="14"/>
                <w:szCs w:val="16"/>
              </w:rPr>
              <w:t>Recreodeportivas</w:t>
            </w:r>
            <w:proofErr w:type="spellEnd"/>
            <w:r w:rsidRPr="00362ACF">
              <w:rPr>
                <w:rFonts w:ascii="Arial" w:hAnsi="Arial" w:cs="Arial"/>
                <w:color w:val="3D3D3D"/>
                <w:sz w:val="14"/>
                <w:szCs w:val="16"/>
              </w:rPr>
              <w:t xml:space="preserve"> Y Culturales Para El Adulto Mayor De La Localidad De Engativá</w:t>
            </w:r>
          </w:p>
        </w:tc>
        <w:tc>
          <w:tcPr>
            <w:tcW w:w="0" w:type="auto"/>
            <w:tcBorders>
              <w:top w:val="nil"/>
              <w:left w:val="nil"/>
              <w:bottom w:val="nil"/>
              <w:right w:val="nil"/>
            </w:tcBorders>
            <w:shd w:val="clear" w:color="000000" w:fill="EEEEEE"/>
            <w:vAlign w:val="center"/>
            <w:hideMark/>
          </w:tcPr>
          <w:p w:rsidR="004E46AB" w:rsidRPr="00362ACF" w:rsidRDefault="004E46AB" w:rsidP="00BF0E50">
            <w:pPr>
              <w:jc w:val="right"/>
              <w:rPr>
                <w:rFonts w:ascii="Arial" w:hAnsi="Arial" w:cs="Arial"/>
                <w:color w:val="3D3D3D"/>
                <w:sz w:val="14"/>
                <w:szCs w:val="16"/>
              </w:rPr>
            </w:pPr>
            <w:r w:rsidRPr="00362ACF">
              <w:rPr>
                <w:rFonts w:ascii="Arial" w:hAnsi="Arial" w:cs="Arial"/>
                <w:color w:val="3D3D3D"/>
                <w:sz w:val="14"/>
                <w:szCs w:val="16"/>
              </w:rPr>
              <w:t>$26.100.000,00</w:t>
            </w:r>
          </w:p>
        </w:tc>
      </w:tr>
    </w:tbl>
    <w:p w:rsidR="004E46AB" w:rsidRPr="00012413" w:rsidRDefault="004E46AB" w:rsidP="004E46AB">
      <w:pPr>
        <w:autoSpaceDE w:val="0"/>
        <w:autoSpaceDN w:val="0"/>
        <w:adjustRightInd w:val="0"/>
        <w:ind w:left="37"/>
        <w:jc w:val="both"/>
        <w:rPr>
          <w:rFonts w:ascii="Arial" w:hAnsi="Arial" w:cs="Arial"/>
          <w:sz w:val="22"/>
          <w:szCs w:val="22"/>
        </w:rPr>
      </w:pPr>
    </w:p>
    <w:p w:rsidR="004E46AB" w:rsidRPr="00012413" w:rsidRDefault="004E46AB" w:rsidP="004E46AB">
      <w:pPr>
        <w:autoSpaceDE w:val="0"/>
        <w:autoSpaceDN w:val="0"/>
        <w:adjustRightInd w:val="0"/>
        <w:rPr>
          <w:rFonts w:ascii="Arial" w:hAnsi="Arial" w:cs="Arial"/>
          <w:color w:val="000000"/>
          <w:sz w:val="24"/>
          <w:szCs w:val="24"/>
          <w:lang w:val="es-ES"/>
        </w:rPr>
      </w:pPr>
    </w:p>
    <w:p w:rsidR="004E46AB" w:rsidRPr="00012413" w:rsidRDefault="004E46AB" w:rsidP="004E46AB">
      <w:pPr>
        <w:autoSpaceDE w:val="0"/>
        <w:autoSpaceDN w:val="0"/>
        <w:adjustRightInd w:val="0"/>
        <w:jc w:val="both"/>
        <w:rPr>
          <w:rFonts w:ascii="Arial" w:hAnsi="Arial" w:cs="Arial"/>
          <w:color w:val="000000"/>
          <w:sz w:val="22"/>
          <w:szCs w:val="22"/>
          <w:lang w:val="es-ES"/>
        </w:rPr>
      </w:pPr>
      <w:r w:rsidRPr="00012413">
        <w:rPr>
          <w:rFonts w:ascii="Arial" w:hAnsi="Arial" w:cs="Arial"/>
          <w:b/>
          <w:bCs/>
          <w:color w:val="000000"/>
          <w:sz w:val="22"/>
          <w:szCs w:val="22"/>
          <w:lang w:val="es-ES"/>
        </w:rPr>
        <w:t xml:space="preserve">Análisis de compras o adquisiciones </w:t>
      </w:r>
      <w:r>
        <w:rPr>
          <w:rFonts w:ascii="Arial" w:hAnsi="Arial" w:cs="Arial"/>
          <w:b/>
          <w:bCs/>
          <w:color w:val="000000"/>
          <w:sz w:val="22"/>
          <w:szCs w:val="22"/>
          <w:lang w:val="es-ES"/>
        </w:rPr>
        <w:t>por</w:t>
      </w:r>
      <w:r w:rsidRPr="00012413">
        <w:rPr>
          <w:rFonts w:ascii="Arial" w:hAnsi="Arial" w:cs="Arial"/>
          <w:b/>
          <w:bCs/>
          <w:color w:val="000000"/>
          <w:sz w:val="22"/>
          <w:szCs w:val="22"/>
          <w:lang w:val="es-ES"/>
        </w:rPr>
        <w:t xml:space="preserve"> </w:t>
      </w:r>
      <w:r>
        <w:rPr>
          <w:rFonts w:ascii="Arial" w:hAnsi="Arial" w:cs="Arial"/>
          <w:b/>
          <w:bCs/>
          <w:color w:val="000000"/>
          <w:sz w:val="22"/>
          <w:szCs w:val="22"/>
          <w:lang w:val="es-ES"/>
        </w:rPr>
        <w:t>otros Fondos de Desarrollo Local</w:t>
      </w:r>
    </w:p>
    <w:p w:rsidR="004E46AB" w:rsidRPr="00012413" w:rsidRDefault="004E46AB" w:rsidP="004E46AB">
      <w:pPr>
        <w:jc w:val="both"/>
        <w:rPr>
          <w:rFonts w:ascii="Arial" w:hAnsi="Arial" w:cs="Arial"/>
          <w:color w:val="000000"/>
          <w:sz w:val="22"/>
          <w:szCs w:val="22"/>
          <w:lang w:val="es-ES"/>
        </w:rPr>
      </w:pPr>
    </w:p>
    <w:p w:rsidR="004E46AB" w:rsidRPr="00012413" w:rsidRDefault="004E46AB" w:rsidP="004E46AB">
      <w:pPr>
        <w:jc w:val="both"/>
        <w:rPr>
          <w:rFonts w:ascii="Arial" w:hAnsi="Arial" w:cs="Arial"/>
          <w:sz w:val="22"/>
          <w:szCs w:val="22"/>
          <w:lang w:val="es-ES"/>
        </w:rPr>
      </w:pPr>
      <w:r w:rsidRPr="00012413">
        <w:rPr>
          <w:rFonts w:ascii="Arial" w:hAnsi="Arial" w:cs="Arial"/>
          <w:color w:val="000000"/>
          <w:sz w:val="22"/>
          <w:szCs w:val="22"/>
          <w:lang w:val="es-ES"/>
        </w:rPr>
        <w:t>De acuerdo a la consulta realizada en la página web del sistema electrónico de contratación pública SECOP</w:t>
      </w:r>
      <w:r>
        <w:rPr>
          <w:rFonts w:ascii="Arial" w:hAnsi="Arial" w:cs="Arial"/>
          <w:color w:val="000000"/>
          <w:sz w:val="22"/>
          <w:szCs w:val="22"/>
          <w:lang w:val="es-ES"/>
        </w:rPr>
        <w:t xml:space="preserve"> II</w:t>
      </w:r>
      <w:r w:rsidRPr="00012413">
        <w:rPr>
          <w:rFonts w:ascii="Arial" w:hAnsi="Arial" w:cs="Arial"/>
          <w:color w:val="000000"/>
          <w:sz w:val="22"/>
          <w:szCs w:val="22"/>
          <w:lang w:val="es-ES"/>
        </w:rPr>
        <w:t>, a</w:t>
      </w:r>
      <w:r w:rsidRPr="00012413">
        <w:rPr>
          <w:rFonts w:ascii="Arial" w:hAnsi="Arial" w:cs="Arial"/>
          <w:sz w:val="22"/>
          <w:szCs w:val="22"/>
          <w:lang w:val="es-ES"/>
        </w:rPr>
        <w:t xml:space="preserve"> continuación, se hace una relación de los procesos de contratación de interventorías para proyectos</w:t>
      </w:r>
      <w:r>
        <w:rPr>
          <w:rFonts w:ascii="Arial" w:hAnsi="Arial" w:cs="Arial"/>
          <w:sz w:val="22"/>
          <w:szCs w:val="22"/>
          <w:lang w:val="es-ES"/>
        </w:rPr>
        <w:t xml:space="preserve"> sociales </w:t>
      </w:r>
      <w:r w:rsidRPr="00012413">
        <w:rPr>
          <w:rFonts w:ascii="Arial" w:hAnsi="Arial" w:cs="Arial"/>
          <w:sz w:val="22"/>
          <w:szCs w:val="22"/>
          <w:lang w:val="es-ES"/>
        </w:rPr>
        <w:t>por las</w:t>
      </w:r>
      <w:r>
        <w:rPr>
          <w:rFonts w:ascii="Arial" w:hAnsi="Arial" w:cs="Arial"/>
          <w:sz w:val="22"/>
          <w:szCs w:val="22"/>
          <w:lang w:val="es-ES"/>
        </w:rPr>
        <w:t xml:space="preserve"> diferentes Alcaldías Locales</w:t>
      </w:r>
      <w:r w:rsidRPr="00012413">
        <w:rPr>
          <w:rFonts w:ascii="Arial" w:hAnsi="Arial" w:cs="Arial"/>
          <w:sz w:val="22"/>
          <w:szCs w:val="22"/>
          <w:lang w:val="es-ES"/>
        </w:rPr>
        <w:t xml:space="preserve"> d</w:t>
      </w:r>
      <w:r>
        <w:rPr>
          <w:rFonts w:ascii="Arial" w:hAnsi="Arial" w:cs="Arial"/>
          <w:sz w:val="22"/>
          <w:szCs w:val="22"/>
          <w:lang w:val="es-ES"/>
        </w:rPr>
        <w:t>e Bogotá D.C  registrados en la plataforma durante los años 2017 y 2018</w:t>
      </w:r>
      <w:r w:rsidRPr="00012413">
        <w:rPr>
          <w:rFonts w:ascii="Arial" w:hAnsi="Arial" w:cs="Arial"/>
          <w:sz w:val="22"/>
          <w:szCs w:val="22"/>
          <w:lang w:val="es-ES"/>
        </w:rPr>
        <w:t>.</w:t>
      </w:r>
    </w:p>
    <w:p w:rsidR="004E46AB" w:rsidRDefault="004E46AB" w:rsidP="004E46AB">
      <w:pPr>
        <w:rPr>
          <w:rFonts w:ascii="Arial" w:hAnsi="Arial" w:cs="Arial"/>
          <w:sz w:val="22"/>
          <w:szCs w:val="22"/>
          <w:lang w:val="es-ES"/>
        </w:rPr>
      </w:pPr>
    </w:p>
    <w:tbl>
      <w:tblPr>
        <w:tblW w:w="9027" w:type="dxa"/>
        <w:tblCellMar>
          <w:left w:w="70" w:type="dxa"/>
          <w:right w:w="70" w:type="dxa"/>
        </w:tblCellMar>
        <w:tblLook w:val="04A0" w:firstRow="1" w:lastRow="0" w:firstColumn="1" w:lastColumn="0" w:noHBand="0" w:noVBand="1"/>
      </w:tblPr>
      <w:tblGrid>
        <w:gridCol w:w="2449"/>
        <w:gridCol w:w="1751"/>
        <w:gridCol w:w="2865"/>
        <w:gridCol w:w="1962"/>
      </w:tblGrid>
      <w:tr w:rsidR="004E46AB" w:rsidRPr="00787929" w:rsidTr="00BF0E50">
        <w:trPr>
          <w:trHeight w:val="294"/>
          <w:tblHeader/>
        </w:trPr>
        <w:tc>
          <w:tcPr>
            <w:tcW w:w="0" w:type="auto"/>
            <w:tcBorders>
              <w:top w:val="nil"/>
              <w:left w:val="nil"/>
              <w:bottom w:val="nil"/>
              <w:right w:val="nil"/>
            </w:tcBorders>
            <w:shd w:val="clear" w:color="000000" w:fill="CCE3FA"/>
            <w:noWrap/>
            <w:vAlign w:val="center"/>
            <w:hideMark/>
          </w:tcPr>
          <w:p w:rsidR="004E46AB" w:rsidRPr="00787929" w:rsidRDefault="004E46AB" w:rsidP="00BF0E50">
            <w:pPr>
              <w:ind w:firstLineChars="100" w:firstLine="221"/>
              <w:jc w:val="center"/>
              <w:rPr>
                <w:rFonts w:ascii="Calibri" w:hAnsi="Calibri"/>
                <w:b/>
                <w:bCs/>
                <w:color w:val="000000"/>
                <w:sz w:val="22"/>
                <w:szCs w:val="18"/>
                <w:u w:val="single"/>
              </w:rPr>
            </w:pPr>
            <w:r w:rsidRPr="00787929">
              <w:rPr>
                <w:rFonts w:ascii="Calibri" w:hAnsi="Calibri"/>
                <w:b/>
                <w:bCs/>
                <w:color w:val="000000"/>
                <w:sz w:val="22"/>
                <w:szCs w:val="18"/>
                <w:u w:val="single"/>
              </w:rPr>
              <w:lastRenderedPageBreak/>
              <w:t>Entidad Estatal</w:t>
            </w:r>
          </w:p>
        </w:tc>
        <w:tc>
          <w:tcPr>
            <w:tcW w:w="0" w:type="auto"/>
            <w:tcBorders>
              <w:top w:val="nil"/>
              <w:left w:val="nil"/>
              <w:bottom w:val="nil"/>
              <w:right w:val="nil"/>
            </w:tcBorders>
            <w:shd w:val="clear" w:color="000000" w:fill="CCE3FA"/>
            <w:noWrap/>
            <w:vAlign w:val="center"/>
            <w:hideMark/>
          </w:tcPr>
          <w:p w:rsidR="004E46AB" w:rsidRPr="00787929" w:rsidRDefault="004E46AB" w:rsidP="00BF0E50">
            <w:pPr>
              <w:ind w:firstLineChars="100" w:firstLine="221"/>
              <w:jc w:val="center"/>
              <w:rPr>
                <w:rFonts w:ascii="Calibri" w:hAnsi="Calibri"/>
                <w:b/>
                <w:bCs/>
                <w:color w:val="000000"/>
                <w:sz w:val="22"/>
                <w:szCs w:val="18"/>
                <w:u w:val="single"/>
              </w:rPr>
            </w:pPr>
            <w:r w:rsidRPr="00787929">
              <w:rPr>
                <w:rFonts w:ascii="Calibri" w:hAnsi="Calibri"/>
                <w:b/>
                <w:bCs/>
                <w:color w:val="000000"/>
                <w:sz w:val="22"/>
                <w:szCs w:val="18"/>
                <w:u w:val="single"/>
              </w:rPr>
              <w:t>Referencia</w:t>
            </w:r>
          </w:p>
        </w:tc>
        <w:tc>
          <w:tcPr>
            <w:tcW w:w="2865" w:type="dxa"/>
            <w:tcBorders>
              <w:top w:val="nil"/>
              <w:left w:val="nil"/>
              <w:bottom w:val="nil"/>
              <w:right w:val="nil"/>
            </w:tcBorders>
            <w:shd w:val="clear" w:color="000000" w:fill="CCE3FA"/>
            <w:noWrap/>
            <w:vAlign w:val="center"/>
            <w:hideMark/>
          </w:tcPr>
          <w:p w:rsidR="004E46AB" w:rsidRPr="00787929" w:rsidRDefault="004E46AB" w:rsidP="00BF0E50">
            <w:pPr>
              <w:ind w:firstLineChars="100" w:firstLine="221"/>
              <w:jc w:val="center"/>
              <w:rPr>
                <w:rFonts w:ascii="Calibri" w:hAnsi="Calibri"/>
                <w:b/>
                <w:bCs/>
                <w:color w:val="000000"/>
                <w:sz w:val="22"/>
                <w:szCs w:val="18"/>
                <w:u w:val="single"/>
              </w:rPr>
            </w:pPr>
            <w:r w:rsidRPr="00787929">
              <w:rPr>
                <w:rFonts w:ascii="Calibri" w:hAnsi="Calibri"/>
                <w:b/>
                <w:bCs/>
                <w:color w:val="000000"/>
                <w:sz w:val="22"/>
                <w:szCs w:val="18"/>
                <w:u w:val="single"/>
              </w:rPr>
              <w:t>Descripción</w:t>
            </w:r>
          </w:p>
        </w:tc>
        <w:tc>
          <w:tcPr>
            <w:tcW w:w="1962" w:type="dxa"/>
            <w:tcBorders>
              <w:top w:val="nil"/>
              <w:left w:val="nil"/>
              <w:bottom w:val="nil"/>
              <w:right w:val="nil"/>
            </w:tcBorders>
            <w:shd w:val="clear" w:color="000000" w:fill="CCE3FA"/>
            <w:vAlign w:val="center"/>
          </w:tcPr>
          <w:p w:rsidR="004E46AB" w:rsidRPr="00787929" w:rsidRDefault="004E46AB" w:rsidP="00BF0E50">
            <w:pPr>
              <w:ind w:firstLineChars="100" w:firstLine="221"/>
              <w:jc w:val="center"/>
              <w:rPr>
                <w:rFonts w:ascii="Calibri" w:hAnsi="Calibri"/>
                <w:b/>
                <w:bCs/>
                <w:color w:val="000000"/>
                <w:sz w:val="22"/>
                <w:szCs w:val="18"/>
                <w:u w:val="single"/>
                <w:lang w:val="es-ES"/>
              </w:rPr>
            </w:pPr>
            <w:r w:rsidRPr="00787929">
              <w:rPr>
                <w:rFonts w:ascii="Calibri" w:hAnsi="Calibri"/>
                <w:b/>
                <w:bCs/>
                <w:color w:val="000000"/>
                <w:sz w:val="22"/>
                <w:szCs w:val="18"/>
                <w:u w:val="single"/>
                <w:lang w:val="es-ES"/>
              </w:rPr>
              <w:t>Cuantía</w:t>
            </w:r>
          </w:p>
        </w:tc>
      </w:tr>
      <w:tr w:rsidR="004E46AB" w:rsidRPr="00787929" w:rsidTr="00BF0E50">
        <w:trPr>
          <w:trHeight w:val="588"/>
        </w:trPr>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SANTAFÉ- FONDO DE DESARROLLO LOCAL DE SANTA FE</w:t>
            </w:r>
          </w:p>
        </w:tc>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FDLSF-MC-006-2018</w:t>
            </w:r>
          </w:p>
        </w:tc>
        <w:tc>
          <w:tcPr>
            <w:tcW w:w="2865" w:type="dxa"/>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ESCUELAS- ADULTO MAYOR</w:t>
            </w:r>
          </w:p>
        </w:tc>
        <w:tc>
          <w:tcPr>
            <w:tcW w:w="1962" w:type="dxa"/>
            <w:tcBorders>
              <w:top w:val="single" w:sz="12" w:space="0" w:color="FFFFFF"/>
              <w:left w:val="nil"/>
              <w:bottom w:val="nil"/>
              <w:right w:val="nil"/>
            </w:tcBorders>
            <w:shd w:val="clear" w:color="000000" w:fill="FAFAFA"/>
            <w:vAlign w:val="center"/>
          </w:tcPr>
          <w:p w:rsidR="004E46AB" w:rsidRPr="00787929" w:rsidRDefault="004E46AB" w:rsidP="00BF0E50">
            <w:pPr>
              <w:jc w:val="right"/>
              <w:rPr>
                <w:rFonts w:ascii="Calibri" w:hAnsi="Calibri"/>
                <w:color w:val="000000"/>
                <w:sz w:val="16"/>
                <w:szCs w:val="22"/>
              </w:rPr>
            </w:pPr>
            <w:r w:rsidRPr="00787929">
              <w:rPr>
                <w:sz w:val="16"/>
              </w:rPr>
              <w:t>21.000.000 COP</w:t>
            </w:r>
          </w:p>
        </w:tc>
      </w:tr>
      <w:tr w:rsidR="004E46AB" w:rsidRPr="00787929" w:rsidTr="00BF0E50">
        <w:trPr>
          <w:trHeight w:val="588"/>
        </w:trPr>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SUMAPAZ</w:t>
            </w:r>
          </w:p>
        </w:tc>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FDLS-MC-016-2018</w:t>
            </w:r>
          </w:p>
        </w:tc>
        <w:tc>
          <w:tcPr>
            <w:tcW w:w="2865" w:type="dxa"/>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SEGUNDA ETAPA ESCUELA DE FORMACIÓN DEPORTIVA</w:t>
            </w:r>
          </w:p>
        </w:tc>
        <w:tc>
          <w:tcPr>
            <w:tcW w:w="1962" w:type="dxa"/>
            <w:tcBorders>
              <w:top w:val="single" w:sz="12" w:space="0" w:color="FFFFFF"/>
              <w:left w:val="nil"/>
              <w:bottom w:val="nil"/>
              <w:right w:val="nil"/>
            </w:tcBorders>
            <w:shd w:val="clear" w:color="000000" w:fill="FAFAFA"/>
            <w:vAlign w:val="center"/>
          </w:tcPr>
          <w:p w:rsidR="004E46AB" w:rsidRPr="00787929" w:rsidRDefault="004E46AB" w:rsidP="00BF0E50">
            <w:pPr>
              <w:jc w:val="right"/>
              <w:rPr>
                <w:rFonts w:ascii="Calibri" w:hAnsi="Calibri"/>
                <w:color w:val="000000"/>
                <w:sz w:val="16"/>
                <w:szCs w:val="22"/>
              </w:rPr>
            </w:pPr>
            <w:r w:rsidRPr="00787929">
              <w:rPr>
                <w:sz w:val="16"/>
              </w:rPr>
              <w:t>21.000.000 COP</w:t>
            </w:r>
          </w:p>
        </w:tc>
      </w:tr>
      <w:tr w:rsidR="004E46AB" w:rsidRPr="00787929" w:rsidTr="00BF0E50">
        <w:trPr>
          <w:trHeight w:val="588"/>
        </w:trPr>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USME</w:t>
            </w:r>
          </w:p>
        </w:tc>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CM-007-FDLU-2018 (Presentación de oferta)</w:t>
            </w:r>
          </w:p>
        </w:tc>
        <w:tc>
          <w:tcPr>
            <w:tcW w:w="2865" w:type="dxa"/>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Administración Parque Automotor (Presentación de oferta)</w:t>
            </w:r>
          </w:p>
        </w:tc>
        <w:tc>
          <w:tcPr>
            <w:tcW w:w="1962" w:type="dxa"/>
            <w:tcBorders>
              <w:top w:val="single" w:sz="12" w:space="0" w:color="FFFFFF"/>
              <w:left w:val="nil"/>
              <w:bottom w:val="nil"/>
              <w:right w:val="nil"/>
            </w:tcBorders>
            <w:shd w:val="clear" w:color="000000" w:fill="F0F0F0"/>
            <w:vAlign w:val="center"/>
          </w:tcPr>
          <w:p w:rsidR="004E46AB" w:rsidRPr="00787929" w:rsidRDefault="004E46AB" w:rsidP="00BF0E50">
            <w:pPr>
              <w:jc w:val="right"/>
              <w:rPr>
                <w:rFonts w:ascii="Calibri" w:hAnsi="Calibri"/>
                <w:color w:val="000000"/>
                <w:sz w:val="16"/>
                <w:szCs w:val="22"/>
              </w:rPr>
            </w:pPr>
            <w:r w:rsidRPr="00787929">
              <w:rPr>
                <w:sz w:val="16"/>
              </w:rPr>
              <w:t>170.750.720 COP</w:t>
            </w:r>
          </w:p>
        </w:tc>
      </w:tr>
      <w:tr w:rsidR="004E46AB" w:rsidRPr="00787929" w:rsidTr="00BF0E50">
        <w:trPr>
          <w:trHeight w:val="1148"/>
        </w:trPr>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USAQUÉN</w:t>
            </w:r>
          </w:p>
        </w:tc>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FDLUSA CMA-001 2018 (Presentación de oferta)</w:t>
            </w:r>
          </w:p>
        </w:tc>
        <w:tc>
          <w:tcPr>
            <w:tcW w:w="2865" w:type="dxa"/>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CONTRATO INTERADMINISTRATIVO 114 DE 2017 SUSCRITO CON LA UNIVERSIDAD DISTRITAL FRANCISCO JOSÉ DE CALDAS (Presentación de oferta)</w:t>
            </w:r>
          </w:p>
        </w:tc>
        <w:tc>
          <w:tcPr>
            <w:tcW w:w="1962" w:type="dxa"/>
            <w:tcBorders>
              <w:top w:val="single" w:sz="12" w:space="0" w:color="FFFFFF"/>
              <w:left w:val="nil"/>
              <w:bottom w:val="nil"/>
              <w:right w:val="nil"/>
            </w:tcBorders>
            <w:shd w:val="clear" w:color="000000" w:fill="FAFAFA"/>
            <w:vAlign w:val="center"/>
          </w:tcPr>
          <w:p w:rsidR="004E46AB" w:rsidRPr="00787929" w:rsidRDefault="004E46AB" w:rsidP="00BF0E50">
            <w:pPr>
              <w:jc w:val="right"/>
              <w:rPr>
                <w:rFonts w:ascii="Calibri" w:hAnsi="Calibri"/>
                <w:color w:val="000000"/>
                <w:sz w:val="16"/>
                <w:szCs w:val="22"/>
              </w:rPr>
            </w:pPr>
            <w:r w:rsidRPr="00787929">
              <w:rPr>
                <w:sz w:val="16"/>
              </w:rPr>
              <w:t>Sin documento</w:t>
            </w:r>
          </w:p>
        </w:tc>
      </w:tr>
      <w:tr w:rsidR="004E46AB" w:rsidRPr="00787929" w:rsidTr="00BF0E50">
        <w:trPr>
          <w:trHeight w:val="588"/>
        </w:trPr>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TEUSAQUILLO (oficial)</w:t>
            </w:r>
          </w:p>
        </w:tc>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FDLT-MINC-028-2017</w:t>
            </w:r>
          </w:p>
        </w:tc>
        <w:tc>
          <w:tcPr>
            <w:tcW w:w="2865" w:type="dxa"/>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AL CONTRATO RESULTANTE DEL PROCESO FDLT-LP-018-2017</w:t>
            </w:r>
          </w:p>
        </w:tc>
        <w:tc>
          <w:tcPr>
            <w:tcW w:w="1962" w:type="dxa"/>
            <w:tcBorders>
              <w:top w:val="single" w:sz="12" w:space="0" w:color="FFFFFF"/>
              <w:left w:val="nil"/>
              <w:bottom w:val="nil"/>
              <w:right w:val="nil"/>
            </w:tcBorders>
            <w:shd w:val="clear" w:color="000000" w:fill="F0F0F0"/>
            <w:vAlign w:val="center"/>
          </w:tcPr>
          <w:p w:rsidR="004E46AB" w:rsidRPr="00787929" w:rsidRDefault="004E46AB" w:rsidP="00BF0E50">
            <w:pPr>
              <w:jc w:val="right"/>
              <w:rPr>
                <w:rFonts w:ascii="Calibri" w:hAnsi="Calibri"/>
                <w:color w:val="000000"/>
                <w:sz w:val="16"/>
                <w:szCs w:val="22"/>
              </w:rPr>
            </w:pPr>
            <w:r w:rsidRPr="00787929">
              <w:rPr>
                <w:sz w:val="16"/>
              </w:rPr>
              <w:t>20.000.000 COP</w:t>
            </w:r>
          </w:p>
        </w:tc>
      </w:tr>
      <w:tr w:rsidR="004E46AB" w:rsidRPr="00787929" w:rsidTr="00BF0E50">
        <w:trPr>
          <w:trHeight w:val="868"/>
        </w:trPr>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BOSA</w:t>
            </w:r>
          </w:p>
        </w:tc>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FDLB-CMA-008-2017 (Presentación de oferta)</w:t>
            </w:r>
          </w:p>
        </w:tc>
        <w:tc>
          <w:tcPr>
            <w:tcW w:w="2865" w:type="dxa"/>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EVENTOS CULTURALES APROBAR GARANTÍAS PROCESO FDLB-CMA-008-2017 (Presentación de oferta)</w:t>
            </w:r>
          </w:p>
        </w:tc>
        <w:tc>
          <w:tcPr>
            <w:tcW w:w="1962" w:type="dxa"/>
            <w:tcBorders>
              <w:top w:val="single" w:sz="12" w:space="0" w:color="FFFFFF"/>
              <w:left w:val="nil"/>
              <w:bottom w:val="nil"/>
              <w:right w:val="nil"/>
            </w:tcBorders>
            <w:shd w:val="clear" w:color="000000" w:fill="FAFAFA"/>
            <w:vAlign w:val="center"/>
          </w:tcPr>
          <w:p w:rsidR="004E46AB" w:rsidRPr="00787929" w:rsidRDefault="004E46AB" w:rsidP="00BF0E50">
            <w:pPr>
              <w:jc w:val="right"/>
              <w:rPr>
                <w:rFonts w:ascii="Calibri" w:hAnsi="Calibri"/>
                <w:color w:val="000000"/>
                <w:sz w:val="16"/>
                <w:szCs w:val="22"/>
              </w:rPr>
            </w:pPr>
            <w:r w:rsidRPr="00787929">
              <w:rPr>
                <w:sz w:val="16"/>
              </w:rPr>
              <w:t>93.672.163 COP</w:t>
            </w:r>
          </w:p>
        </w:tc>
      </w:tr>
      <w:tr w:rsidR="004E46AB" w:rsidRPr="00787929" w:rsidTr="00BF0E50">
        <w:trPr>
          <w:trHeight w:val="588"/>
        </w:trPr>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BOSA</w:t>
            </w:r>
          </w:p>
        </w:tc>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FDLB-CMA-002-2017 (Presentación de oferta)</w:t>
            </w:r>
          </w:p>
        </w:tc>
        <w:tc>
          <w:tcPr>
            <w:tcW w:w="2865" w:type="dxa"/>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PROCESO FDLB-LP-004-2017 (Presentación de oferta)</w:t>
            </w:r>
          </w:p>
        </w:tc>
        <w:tc>
          <w:tcPr>
            <w:tcW w:w="1962" w:type="dxa"/>
            <w:tcBorders>
              <w:top w:val="single" w:sz="12" w:space="0" w:color="FFFFFF"/>
              <w:left w:val="nil"/>
              <w:bottom w:val="nil"/>
              <w:right w:val="nil"/>
            </w:tcBorders>
            <w:shd w:val="clear" w:color="000000" w:fill="F0F0F0"/>
            <w:vAlign w:val="center"/>
          </w:tcPr>
          <w:p w:rsidR="004E46AB" w:rsidRPr="00787929" w:rsidRDefault="004E46AB" w:rsidP="00BF0E50">
            <w:pPr>
              <w:jc w:val="right"/>
              <w:rPr>
                <w:rFonts w:ascii="Calibri" w:hAnsi="Calibri"/>
                <w:color w:val="000000"/>
                <w:sz w:val="16"/>
                <w:szCs w:val="22"/>
              </w:rPr>
            </w:pPr>
            <w:r w:rsidRPr="00787929">
              <w:rPr>
                <w:sz w:val="16"/>
              </w:rPr>
              <w:t>110.570.401 COP</w:t>
            </w:r>
          </w:p>
        </w:tc>
      </w:tr>
      <w:tr w:rsidR="004E46AB" w:rsidRPr="00787929" w:rsidTr="00BF0E50">
        <w:trPr>
          <w:trHeight w:val="588"/>
        </w:trPr>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TEUSAQUILLO (oficial)</w:t>
            </w:r>
          </w:p>
        </w:tc>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FDLT-MINC-026-2017</w:t>
            </w:r>
          </w:p>
        </w:tc>
        <w:tc>
          <w:tcPr>
            <w:tcW w:w="2865" w:type="dxa"/>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AL CONTRATO RESULTANTE DEL PROCESO FDLT-LIC-017-2017</w:t>
            </w:r>
          </w:p>
        </w:tc>
        <w:tc>
          <w:tcPr>
            <w:tcW w:w="1962" w:type="dxa"/>
            <w:tcBorders>
              <w:top w:val="single" w:sz="12" w:space="0" w:color="FFFFFF"/>
              <w:left w:val="nil"/>
              <w:bottom w:val="nil"/>
              <w:right w:val="nil"/>
            </w:tcBorders>
            <w:shd w:val="clear" w:color="000000" w:fill="F0F0F0"/>
            <w:vAlign w:val="center"/>
          </w:tcPr>
          <w:p w:rsidR="004E46AB" w:rsidRPr="00787929" w:rsidRDefault="004E46AB" w:rsidP="00BF0E50">
            <w:pPr>
              <w:jc w:val="right"/>
              <w:rPr>
                <w:rFonts w:ascii="Calibri" w:hAnsi="Calibri"/>
                <w:color w:val="000000"/>
                <w:sz w:val="16"/>
                <w:szCs w:val="22"/>
              </w:rPr>
            </w:pPr>
            <w:r w:rsidRPr="00787929">
              <w:rPr>
                <w:sz w:val="16"/>
              </w:rPr>
              <w:t>0 COP</w:t>
            </w:r>
          </w:p>
        </w:tc>
      </w:tr>
      <w:tr w:rsidR="004E46AB" w:rsidRPr="00787929" w:rsidTr="00BF0E50">
        <w:trPr>
          <w:trHeight w:val="588"/>
        </w:trPr>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TEUSAQUILLO (oficial)</w:t>
            </w:r>
          </w:p>
        </w:tc>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FDLT-MINC-022-2017</w:t>
            </w:r>
          </w:p>
        </w:tc>
        <w:tc>
          <w:tcPr>
            <w:tcW w:w="2865" w:type="dxa"/>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al Convenio Interadministrativo suscrito con la Subred Norte</w:t>
            </w:r>
          </w:p>
        </w:tc>
        <w:tc>
          <w:tcPr>
            <w:tcW w:w="1962" w:type="dxa"/>
            <w:tcBorders>
              <w:top w:val="single" w:sz="12" w:space="0" w:color="FFFFFF"/>
              <w:left w:val="nil"/>
              <w:bottom w:val="nil"/>
              <w:right w:val="nil"/>
            </w:tcBorders>
            <w:shd w:val="clear" w:color="000000" w:fill="F0F0F0"/>
            <w:vAlign w:val="center"/>
          </w:tcPr>
          <w:p w:rsidR="004E46AB" w:rsidRPr="00787929" w:rsidRDefault="004E46AB" w:rsidP="00BF0E50">
            <w:pPr>
              <w:jc w:val="right"/>
              <w:rPr>
                <w:rFonts w:ascii="Calibri" w:hAnsi="Calibri"/>
                <w:color w:val="000000"/>
                <w:sz w:val="16"/>
                <w:szCs w:val="22"/>
              </w:rPr>
            </w:pPr>
            <w:r w:rsidRPr="00787929">
              <w:rPr>
                <w:sz w:val="16"/>
              </w:rPr>
              <w:t>9.280.000 COP</w:t>
            </w:r>
          </w:p>
        </w:tc>
      </w:tr>
      <w:tr w:rsidR="004E46AB" w:rsidRPr="00787929" w:rsidTr="00BF0E50">
        <w:trPr>
          <w:trHeight w:val="588"/>
        </w:trPr>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SANTAFÉ- FONDO DE DESARROLLO LOCAL DE SANTA FE</w:t>
            </w:r>
          </w:p>
        </w:tc>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FDLSF-MC-020-2017</w:t>
            </w:r>
          </w:p>
        </w:tc>
        <w:tc>
          <w:tcPr>
            <w:tcW w:w="2865" w:type="dxa"/>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ESCUELAS DEPORTIVAS Y ADULTO MAYOR</w:t>
            </w:r>
          </w:p>
        </w:tc>
        <w:tc>
          <w:tcPr>
            <w:tcW w:w="1962" w:type="dxa"/>
            <w:tcBorders>
              <w:top w:val="single" w:sz="12" w:space="0" w:color="FFFFFF"/>
              <w:left w:val="nil"/>
              <w:bottom w:val="nil"/>
              <w:right w:val="nil"/>
            </w:tcBorders>
            <w:shd w:val="clear" w:color="000000" w:fill="F0F0F0"/>
            <w:vAlign w:val="center"/>
          </w:tcPr>
          <w:p w:rsidR="004E46AB" w:rsidRPr="00787929" w:rsidRDefault="004E46AB" w:rsidP="00BF0E50">
            <w:pPr>
              <w:jc w:val="right"/>
              <w:rPr>
                <w:rFonts w:ascii="Calibri" w:hAnsi="Calibri"/>
                <w:color w:val="000000"/>
                <w:sz w:val="16"/>
                <w:szCs w:val="22"/>
              </w:rPr>
            </w:pPr>
            <w:r w:rsidRPr="00787929">
              <w:rPr>
                <w:sz w:val="16"/>
              </w:rPr>
              <w:t>20.000.001 COP</w:t>
            </w:r>
          </w:p>
        </w:tc>
      </w:tr>
      <w:tr w:rsidR="004E46AB" w:rsidRPr="00787929" w:rsidTr="00BF0E50">
        <w:trPr>
          <w:trHeight w:val="588"/>
        </w:trPr>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TUNJUELITO</w:t>
            </w:r>
          </w:p>
        </w:tc>
        <w:tc>
          <w:tcPr>
            <w:tcW w:w="0" w:type="auto"/>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FDLT-CM-001-2017 (Presentación de oferta)</w:t>
            </w:r>
          </w:p>
        </w:tc>
        <w:tc>
          <w:tcPr>
            <w:tcW w:w="2865" w:type="dxa"/>
            <w:tcBorders>
              <w:top w:val="single" w:sz="12" w:space="0" w:color="FFFFFF"/>
              <w:left w:val="nil"/>
              <w:bottom w:val="nil"/>
              <w:right w:val="nil"/>
            </w:tcBorders>
            <w:shd w:val="clear" w:color="000000" w:fill="FAFAFA"/>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DUNT (Presentación de oferta)</w:t>
            </w:r>
          </w:p>
        </w:tc>
        <w:tc>
          <w:tcPr>
            <w:tcW w:w="1962" w:type="dxa"/>
            <w:tcBorders>
              <w:top w:val="single" w:sz="12" w:space="0" w:color="FFFFFF"/>
              <w:left w:val="nil"/>
              <w:bottom w:val="nil"/>
              <w:right w:val="nil"/>
            </w:tcBorders>
            <w:shd w:val="clear" w:color="000000" w:fill="FAFAFA"/>
            <w:vAlign w:val="center"/>
          </w:tcPr>
          <w:p w:rsidR="004E46AB" w:rsidRPr="00787929" w:rsidRDefault="004E46AB" w:rsidP="00BF0E50">
            <w:pPr>
              <w:jc w:val="right"/>
              <w:rPr>
                <w:rFonts w:ascii="Calibri" w:hAnsi="Calibri"/>
                <w:color w:val="000000"/>
                <w:sz w:val="16"/>
                <w:szCs w:val="22"/>
              </w:rPr>
            </w:pPr>
            <w:r w:rsidRPr="00787929">
              <w:rPr>
                <w:sz w:val="16"/>
              </w:rPr>
              <w:t>140.000.000 COP</w:t>
            </w:r>
          </w:p>
        </w:tc>
      </w:tr>
      <w:tr w:rsidR="004E46AB" w:rsidRPr="00787929" w:rsidTr="00BF0E50">
        <w:trPr>
          <w:trHeight w:val="574"/>
        </w:trPr>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ALCALDÍA LOCAL DE SUMAPAZ</w:t>
            </w:r>
          </w:p>
        </w:tc>
        <w:tc>
          <w:tcPr>
            <w:tcW w:w="0" w:type="auto"/>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FDLS-MC-014-2017</w:t>
            </w:r>
          </w:p>
        </w:tc>
        <w:tc>
          <w:tcPr>
            <w:tcW w:w="2865" w:type="dxa"/>
            <w:tcBorders>
              <w:top w:val="single" w:sz="12" w:space="0" w:color="FFFFFF"/>
              <w:left w:val="nil"/>
              <w:bottom w:val="nil"/>
              <w:right w:val="nil"/>
            </w:tcBorders>
            <w:shd w:val="clear" w:color="000000" w:fill="F0F0F0"/>
            <w:vAlign w:val="center"/>
            <w:hideMark/>
          </w:tcPr>
          <w:p w:rsidR="004E46AB" w:rsidRPr="00787929" w:rsidRDefault="004E46AB" w:rsidP="00BF0E50">
            <w:pPr>
              <w:rPr>
                <w:rFonts w:ascii="Calibri" w:hAnsi="Calibri"/>
                <w:color w:val="000000"/>
                <w:sz w:val="16"/>
                <w:szCs w:val="22"/>
              </w:rPr>
            </w:pPr>
            <w:r w:rsidRPr="00787929">
              <w:rPr>
                <w:rFonts w:ascii="Calibri" w:hAnsi="Calibri"/>
                <w:color w:val="000000"/>
                <w:sz w:val="16"/>
                <w:szCs w:val="22"/>
              </w:rPr>
              <w:t>INTERVENTORÍA ESCUELAS DE FORMACIÓN DEPORTIVA</w:t>
            </w:r>
          </w:p>
        </w:tc>
        <w:tc>
          <w:tcPr>
            <w:tcW w:w="1962" w:type="dxa"/>
            <w:tcBorders>
              <w:top w:val="single" w:sz="12" w:space="0" w:color="FFFFFF"/>
              <w:left w:val="nil"/>
              <w:bottom w:val="nil"/>
              <w:right w:val="nil"/>
            </w:tcBorders>
            <w:shd w:val="clear" w:color="000000" w:fill="F0F0F0"/>
            <w:vAlign w:val="center"/>
          </w:tcPr>
          <w:p w:rsidR="004E46AB" w:rsidRPr="00787929" w:rsidRDefault="004E46AB" w:rsidP="00BF0E50">
            <w:pPr>
              <w:jc w:val="right"/>
              <w:rPr>
                <w:rFonts w:ascii="Calibri" w:hAnsi="Calibri"/>
                <w:color w:val="000000"/>
                <w:sz w:val="16"/>
                <w:szCs w:val="22"/>
              </w:rPr>
            </w:pPr>
            <w:r w:rsidRPr="00787929">
              <w:rPr>
                <w:sz w:val="16"/>
              </w:rPr>
              <w:t>12.000.000 COP</w:t>
            </w:r>
          </w:p>
        </w:tc>
      </w:tr>
    </w:tbl>
    <w:p w:rsidR="004E46AB" w:rsidRDefault="004E46AB" w:rsidP="004E46AB">
      <w:pPr>
        <w:rPr>
          <w:rFonts w:ascii="Arial" w:hAnsi="Arial" w:cs="Arial"/>
        </w:rPr>
      </w:pPr>
    </w:p>
    <w:p w:rsidR="004E46AB" w:rsidRDefault="004E46AB" w:rsidP="004E46AB">
      <w:pPr>
        <w:rPr>
          <w:rFonts w:ascii="Arial" w:hAnsi="Arial" w:cs="Arial"/>
        </w:rPr>
      </w:pPr>
    </w:p>
    <w:p w:rsidR="004E46AB" w:rsidRDefault="004E46AB" w:rsidP="004E46AB">
      <w:pPr>
        <w:jc w:val="both"/>
        <w:rPr>
          <w:rFonts w:ascii="Arial" w:hAnsi="Arial" w:cs="Arial"/>
          <w:sz w:val="22"/>
          <w:szCs w:val="22"/>
        </w:rPr>
      </w:pPr>
      <w:r w:rsidRPr="00C73F82">
        <w:rPr>
          <w:rFonts w:ascii="Arial" w:hAnsi="Arial" w:cs="Arial"/>
          <w:sz w:val="22"/>
          <w:szCs w:val="22"/>
        </w:rPr>
        <w:t>Analizando la información registrada en el SECOP, se adelantaron 12 procesos de interventoría asociados a proyectos sociales, es decir descartando la interventoría a proyectos de obra. De estos, siete se adelantaron mediante procesos de mínima cuantía y cinco mediante concurso de méritos.</w:t>
      </w:r>
    </w:p>
    <w:p w:rsidR="004E46AB" w:rsidRPr="00C8617E" w:rsidRDefault="004E46AB" w:rsidP="004E46AB">
      <w:pPr>
        <w:jc w:val="both"/>
        <w:rPr>
          <w:rFonts w:ascii="Arial" w:hAnsi="Arial" w:cs="Arial"/>
          <w:sz w:val="18"/>
          <w:szCs w:val="22"/>
        </w:rPr>
      </w:pPr>
    </w:p>
    <w:p w:rsidR="004E46AB" w:rsidRPr="008F4898" w:rsidRDefault="004E46AB" w:rsidP="004E46AB">
      <w:pPr>
        <w:jc w:val="both"/>
        <w:rPr>
          <w:rFonts w:ascii="Arial" w:hAnsi="Arial" w:cs="Arial"/>
          <w:sz w:val="22"/>
          <w:szCs w:val="22"/>
        </w:rPr>
      </w:pPr>
      <w:r w:rsidRPr="008F4898">
        <w:rPr>
          <w:rFonts w:ascii="Arial" w:hAnsi="Arial" w:cs="Arial"/>
          <w:sz w:val="22"/>
          <w:szCs w:val="22"/>
        </w:rPr>
        <w:t>De acuerdo a lo anteriormente visto, se puede concluir que el proceso de contratación para el cual se realiza el presente estudio de sector se encuentra ajustado a las condiciones generales</w:t>
      </w:r>
      <w:r>
        <w:rPr>
          <w:rFonts w:ascii="Arial" w:hAnsi="Arial" w:cs="Arial"/>
          <w:sz w:val="22"/>
          <w:szCs w:val="22"/>
        </w:rPr>
        <w:t xml:space="preserve"> y comunes de la contratación pú</w:t>
      </w:r>
      <w:r w:rsidRPr="008F4898">
        <w:rPr>
          <w:rFonts w:ascii="Arial" w:hAnsi="Arial" w:cs="Arial"/>
          <w:sz w:val="22"/>
          <w:szCs w:val="22"/>
        </w:rPr>
        <w:t xml:space="preserve">blica. </w:t>
      </w:r>
    </w:p>
    <w:p w:rsidR="004E46AB" w:rsidRDefault="004E46AB" w:rsidP="004E46AB">
      <w:pPr>
        <w:pStyle w:val="Textoindependiente"/>
        <w:rPr>
          <w:rFonts w:ascii="Garamond" w:hAnsi="Garamond" w:cs="Arial"/>
          <w:b/>
          <w:sz w:val="22"/>
          <w:szCs w:val="22"/>
        </w:rPr>
      </w:pPr>
    </w:p>
    <w:p w:rsidR="004E46AB" w:rsidRPr="00EF3712" w:rsidRDefault="004E46AB" w:rsidP="004E46AB">
      <w:pPr>
        <w:pStyle w:val="Prrafodelista"/>
        <w:numPr>
          <w:ilvl w:val="0"/>
          <w:numId w:val="31"/>
        </w:numPr>
        <w:ind w:left="426" w:hanging="426"/>
        <w:jc w:val="center"/>
        <w:rPr>
          <w:rFonts w:ascii="Arial" w:hAnsi="Arial" w:cs="Arial"/>
          <w:b/>
          <w:bCs/>
          <w:kern w:val="2"/>
          <w:sz w:val="22"/>
          <w:szCs w:val="22"/>
          <w:lang w:eastAsia="zh-CN"/>
        </w:rPr>
      </w:pPr>
      <w:r w:rsidRPr="00EF3712">
        <w:rPr>
          <w:rFonts w:ascii="Arial" w:hAnsi="Arial" w:cs="Arial"/>
          <w:b/>
          <w:bCs/>
          <w:kern w:val="2"/>
          <w:sz w:val="22"/>
          <w:szCs w:val="22"/>
          <w:lang w:eastAsia="zh-CN"/>
        </w:rPr>
        <w:lastRenderedPageBreak/>
        <w:t>ANÁLISIS DE LA OFERTA</w:t>
      </w:r>
    </w:p>
    <w:p w:rsidR="004E46AB" w:rsidRDefault="004E46AB" w:rsidP="004E46AB">
      <w:pPr>
        <w:pStyle w:val="Textoindependiente"/>
        <w:spacing w:line="240" w:lineRule="auto"/>
        <w:rPr>
          <w:rFonts w:ascii="Arial" w:hAnsi="Arial" w:cs="Arial"/>
          <w:b/>
          <w:sz w:val="22"/>
          <w:szCs w:val="22"/>
        </w:rPr>
      </w:pPr>
    </w:p>
    <w:p w:rsidR="004E46AB" w:rsidRPr="00A90D03" w:rsidRDefault="004E46AB" w:rsidP="004E46AB">
      <w:pPr>
        <w:pStyle w:val="Textoindependiente"/>
        <w:spacing w:line="240" w:lineRule="auto"/>
        <w:rPr>
          <w:rFonts w:ascii="Arial" w:hAnsi="Arial" w:cs="Arial"/>
          <w:b/>
          <w:sz w:val="22"/>
          <w:szCs w:val="22"/>
        </w:rPr>
      </w:pPr>
      <w:r w:rsidRPr="00A90D03">
        <w:rPr>
          <w:rFonts w:ascii="Arial" w:hAnsi="Arial" w:cs="Arial"/>
          <w:b/>
          <w:sz w:val="22"/>
          <w:szCs w:val="22"/>
        </w:rPr>
        <w:t xml:space="preserve">Análisis </w:t>
      </w:r>
      <w:r>
        <w:rPr>
          <w:rFonts w:ascii="Arial" w:hAnsi="Arial" w:cs="Arial"/>
          <w:b/>
          <w:sz w:val="22"/>
          <w:szCs w:val="22"/>
          <w:lang w:val="es-CO"/>
        </w:rPr>
        <w:t>de</w:t>
      </w:r>
      <w:r w:rsidRPr="00A90D03">
        <w:rPr>
          <w:rFonts w:ascii="Arial" w:hAnsi="Arial" w:cs="Arial"/>
          <w:b/>
          <w:sz w:val="22"/>
          <w:szCs w:val="22"/>
        </w:rPr>
        <w:t xml:space="preserve"> Servicios </w:t>
      </w:r>
      <w:r>
        <w:rPr>
          <w:rFonts w:ascii="Arial" w:hAnsi="Arial" w:cs="Arial"/>
          <w:b/>
          <w:sz w:val="22"/>
          <w:szCs w:val="22"/>
          <w:lang w:val="es-CO"/>
        </w:rPr>
        <w:t>de</w:t>
      </w:r>
      <w:r w:rsidRPr="00A90D03">
        <w:rPr>
          <w:rFonts w:ascii="Arial" w:hAnsi="Arial" w:cs="Arial"/>
          <w:b/>
          <w:sz w:val="22"/>
          <w:szCs w:val="22"/>
        </w:rPr>
        <w:t xml:space="preserve"> Asesoría </w:t>
      </w:r>
      <w:r>
        <w:rPr>
          <w:rFonts w:ascii="Arial" w:hAnsi="Arial" w:cs="Arial"/>
          <w:b/>
          <w:sz w:val="22"/>
          <w:szCs w:val="22"/>
          <w:lang w:val="es-CO"/>
        </w:rPr>
        <w:t>y</w:t>
      </w:r>
      <w:r w:rsidRPr="00A90D03">
        <w:rPr>
          <w:rFonts w:ascii="Arial" w:hAnsi="Arial" w:cs="Arial"/>
          <w:b/>
          <w:sz w:val="22"/>
          <w:szCs w:val="22"/>
        </w:rPr>
        <w:t xml:space="preserve"> Consultoría </w:t>
      </w:r>
    </w:p>
    <w:p w:rsidR="004E46AB" w:rsidRPr="00A90D03" w:rsidRDefault="004E46AB" w:rsidP="004E46AB">
      <w:pPr>
        <w:pStyle w:val="Textoindependiente"/>
        <w:spacing w:line="240" w:lineRule="auto"/>
        <w:rPr>
          <w:rFonts w:ascii="Arial" w:hAnsi="Arial" w:cs="Arial"/>
          <w:b/>
          <w:sz w:val="22"/>
          <w:szCs w:val="22"/>
        </w:rPr>
      </w:pPr>
    </w:p>
    <w:p w:rsidR="004E46AB" w:rsidRPr="00CE15AD" w:rsidRDefault="004E46AB" w:rsidP="004E46AB">
      <w:pPr>
        <w:pStyle w:val="Textoindependiente"/>
        <w:spacing w:line="240" w:lineRule="auto"/>
        <w:rPr>
          <w:rFonts w:ascii="Arial" w:hAnsi="Arial" w:cs="Arial"/>
          <w:b/>
          <w:sz w:val="22"/>
          <w:szCs w:val="22"/>
        </w:rPr>
      </w:pPr>
      <w:r w:rsidRPr="00CE15AD">
        <w:rPr>
          <w:rFonts w:ascii="Arial" w:hAnsi="Arial" w:cs="Arial"/>
          <w:sz w:val="22"/>
          <w:szCs w:val="22"/>
        </w:rPr>
        <w:t>Realizando una comparación entre los servicios de asesoría y consultoría que los empresarios encuestados demandan para sus negocios frente a la oferta actual de las principales instituciones que se dedican a la prestación de estos se encontró con algunos vacíos en servicios que son altamente demandados y que la oferta no los ha cubierto en su totalidad o en otros casos por el contrario se observó que hay servicios con un mayor porcentaje de oferta que de demanda, A continuación se exponen estos resultados en la tabla relacionada a continuación:</w:t>
      </w:r>
    </w:p>
    <w:p w:rsidR="004E46AB" w:rsidRPr="00CE15AD" w:rsidRDefault="004E46AB" w:rsidP="004E46AB">
      <w:pPr>
        <w:pStyle w:val="Textoindependiente"/>
        <w:spacing w:line="240" w:lineRule="auto"/>
        <w:rPr>
          <w:rFonts w:ascii="Arial" w:hAnsi="Arial" w:cs="Arial"/>
          <w:b/>
          <w:sz w:val="22"/>
          <w:szCs w:val="21"/>
        </w:rPr>
      </w:pPr>
    </w:p>
    <w:p w:rsidR="004E46AB" w:rsidRPr="00CE15AD" w:rsidRDefault="004E46AB" w:rsidP="004E46AB">
      <w:pPr>
        <w:pStyle w:val="Textoindependiente"/>
        <w:spacing w:line="240" w:lineRule="auto"/>
        <w:jc w:val="center"/>
        <w:rPr>
          <w:rFonts w:ascii="Arial" w:hAnsi="Arial" w:cs="Arial"/>
          <w:b/>
          <w:sz w:val="22"/>
        </w:rPr>
      </w:pPr>
      <w:r w:rsidRPr="00CE15AD">
        <w:rPr>
          <w:rFonts w:ascii="Arial" w:hAnsi="Arial" w:cs="Arial"/>
          <w:noProof/>
          <w:sz w:val="22"/>
          <w:lang w:val="es-CO" w:eastAsia="es-CO"/>
        </w:rPr>
        <w:drawing>
          <wp:inline distT="0" distB="0" distL="0" distR="0" wp14:anchorId="3C9C88B8" wp14:editId="5C35D38F">
            <wp:extent cx="3898900" cy="1821180"/>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1">
                      <a:extLst>
                        <a:ext uri="{28A0092B-C50C-407E-A947-70E740481C1C}">
                          <a14:useLocalDpi xmlns:a14="http://schemas.microsoft.com/office/drawing/2010/main" val="0"/>
                        </a:ext>
                      </a:extLst>
                    </a:blip>
                    <a:srcRect l="32787" t="21249" r="27774" b="29657"/>
                    <a:stretch>
                      <a:fillRect/>
                    </a:stretch>
                  </pic:blipFill>
                  <pic:spPr bwMode="auto">
                    <a:xfrm>
                      <a:off x="0" y="0"/>
                      <a:ext cx="3898900" cy="1821180"/>
                    </a:xfrm>
                    <a:prstGeom prst="rect">
                      <a:avLst/>
                    </a:prstGeom>
                    <a:noFill/>
                    <a:ln>
                      <a:noFill/>
                    </a:ln>
                  </pic:spPr>
                </pic:pic>
              </a:graphicData>
            </a:graphic>
          </wp:inline>
        </w:drawing>
      </w:r>
    </w:p>
    <w:p w:rsidR="004E46AB" w:rsidRPr="00CE15AD" w:rsidRDefault="004E46AB" w:rsidP="004E46AB">
      <w:pPr>
        <w:pStyle w:val="Textoindependiente"/>
        <w:spacing w:line="240" w:lineRule="auto"/>
        <w:rPr>
          <w:rFonts w:ascii="Arial" w:hAnsi="Arial" w:cs="Arial"/>
          <w:b/>
          <w:sz w:val="22"/>
        </w:rPr>
      </w:pPr>
    </w:p>
    <w:p w:rsidR="004E46AB" w:rsidRPr="00CE15AD" w:rsidRDefault="004E46AB" w:rsidP="004E46AB">
      <w:pPr>
        <w:pStyle w:val="Textoindependiente"/>
        <w:spacing w:line="240" w:lineRule="auto"/>
        <w:rPr>
          <w:rFonts w:ascii="Arial" w:hAnsi="Arial" w:cs="Arial"/>
          <w:sz w:val="22"/>
          <w:szCs w:val="22"/>
        </w:rPr>
      </w:pPr>
      <w:r w:rsidRPr="00CE15AD">
        <w:rPr>
          <w:rFonts w:ascii="Arial" w:hAnsi="Arial" w:cs="Arial"/>
          <w:sz w:val="22"/>
          <w:szCs w:val="22"/>
        </w:rPr>
        <w:t xml:space="preserve">En el caso de los servicios con más demanda que oferta se encuentra en primer lugar el servicio de tecnología y sistematización de la información pues se encontró que este servicio es demandado por un 41% de empresarios encuestados y tan solo un 15% de las instituciones estudiadas en este trabajo está ofreciendo este tipo de servicios actualmente. El segundo servicio que se encontró en una situación similar a la anterior es el servicio de asesoría y consultoría en ingeniería de automatización y control, que es brindado por un 5% de entidades, mientras que un 29% de micro y pequeñas empresas lo están demandando en la actualidad. </w:t>
      </w:r>
    </w:p>
    <w:p w:rsidR="004E46AB" w:rsidRPr="00CE15AD" w:rsidRDefault="004E46AB" w:rsidP="004E46AB">
      <w:pPr>
        <w:pStyle w:val="Textoindependiente"/>
        <w:spacing w:line="240" w:lineRule="auto"/>
        <w:rPr>
          <w:rFonts w:ascii="Arial" w:hAnsi="Arial" w:cs="Arial"/>
          <w:sz w:val="22"/>
          <w:szCs w:val="22"/>
        </w:rPr>
      </w:pPr>
    </w:p>
    <w:p w:rsidR="004E46AB" w:rsidRPr="00CE15AD" w:rsidRDefault="004E46AB" w:rsidP="004E46AB">
      <w:pPr>
        <w:pStyle w:val="Textoindependiente"/>
        <w:spacing w:line="240" w:lineRule="auto"/>
        <w:rPr>
          <w:rFonts w:ascii="Arial" w:hAnsi="Arial" w:cs="Arial"/>
          <w:sz w:val="22"/>
          <w:szCs w:val="22"/>
        </w:rPr>
      </w:pPr>
      <w:r w:rsidRPr="00CE15AD">
        <w:rPr>
          <w:rFonts w:ascii="Arial" w:hAnsi="Arial" w:cs="Arial"/>
          <w:sz w:val="22"/>
          <w:szCs w:val="22"/>
        </w:rPr>
        <w:t xml:space="preserve">En tercer lugar, se encuentra el servicio de planeación estratégica que según la encuesta realizada para este proyecto arrojo como resultado un 36% de empresas que lo demandan frente a un 14% de empresas que lo ofrecen dentro de su portafolio de servicios. Luego se presenta el caso de los servicios de asesoría y consultoría en el área de talento humano que está relacionado estrechamente con los servicios de salud ocupacional, los cuales fueron los segundos, en la encuesta presentada anteriormente, en ser los más demandados con un 52% en contraste con ello se observa que estos servicios son escasamente ofertados por un 34% del total de instituciones expuestas. El caso de mercadeo y ventas no presenta una diferencia importante, sin embargo, se puede ver que hay una brecha de un 14%, ya que este servicio es demandado por un 62% de empresas y ofertado por un 48%. Ahora, lo contrario ocurre a los casos anteriores con los servicios de gestión financiera </w:t>
      </w:r>
      <w:r w:rsidRPr="00CE15AD">
        <w:rPr>
          <w:rFonts w:ascii="Arial" w:hAnsi="Arial" w:cs="Arial"/>
          <w:sz w:val="22"/>
          <w:szCs w:val="22"/>
        </w:rPr>
        <w:lastRenderedPageBreak/>
        <w:t xml:space="preserve">y contable y con la asesoría para la consecución de recursos financieros, que actualmente hacen parte de un 65% de los portafolios de servicios de las empresas dedicadas a la prestación de servicios de asesoría y consultoría de Bogotá, mientras que un 26% de empresarios lo están demandando. </w:t>
      </w:r>
    </w:p>
    <w:p w:rsidR="004E46AB" w:rsidRPr="00A90D03" w:rsidRDefault="004E46AB" w:rsidP="004E46AB">
      <w:pPr>
        <w:pStyle w:val="Textoindependiente"/>
        <w:spacing w:line="240" w:lineRule="auto"/>
        <w:rPr>
          <w:rFonts w:ascii="Arial" w:hAnsi="Arial" w:cs="Arial"/>
          <w:i/>
          <w:sz w:val="22"/>
          <w:szCs w:val="22"/>
        </w:rPr>
      </w:pPr>
    </w:p>
    <w:p w:rsidR="004E46AB" w:rsidRPr="00CE15AD" w:rsidRDefault="004E46AB" w:rsidP="004E46AB">
      <w:pPr>
        <w:pStyle w:val="Textoindependiente"/>
        <w:spacing w:line="240" w:lineRule="auto"/>
        <w:rPr>
          <w:rFonts w:ascii="Arial" w:hAnsi="Arial" w:cs="Arial"/>
          <w:b/>
          <w:sz w:val="22"/>
          <w:szCs w:val="22"/>
        </w:rPr>
      </w:pPr>
      <w:r w:rsidRPr="00CE15AD">
        <w:rPr>
          <w:rFonts w:ascii="Arial" w:hAnsi="Arial" w:cs="Arial"/>
          <w:sz w:val="22"/>
          <w:szCs w:val="22"/>
        </w:rPr>
        <w:t>Dentro de esta clase de servicios con un porcentaje mayor de oferta también se encuentra el diagnostico empresarial que constituye un servicio prestado por un 28% de empresas y demandado por un 22% de micro y pequeñas empresas en Bogotá, la diferencia es tan solo de un 6% pero ello debe ser suficiente para indicar que este no es un servicio al que deba prestársele mucha atención en la conformación del portafolio de servicios que ofrecerá el CEDEF. La gestión jurídica como el derecho comercial y tributario continua con en esta categoría, con un 19% de demanda frente a un 24% de oferta y por último se encuentra el servicio de asesoría y consultoría de comercio exterior (exportaciones e importaciones de bienes y servicios) que es demandado por un 21% de empresarios y ofrecido por un 24% de instituciones. Aunque no se puede afirmar que estos tres últimos servicios son sobre ofertados ya que el porcentaje de diferencia es mínimo.</w:t>
      </w:r>
      <w:r w:rsidRPr="00CE15AD">
        <w:rPr>
          <w:rStyle w:val="Refdenotaalpie"/>
          <w:rFonts w:ascii="Arial" w:hAnsi="Arial" w:cs="Arial"/>
          <w:sz w:val="22"/>
          <w:szCs w:val="22"/>
        </w:rPr>
        <w:footnoteReference w:id="8"/>
      </w:r>
    </w:p>
    <w:p w:rsidR="004E46AB" w:rsidRDefault="004E46AB" w:rsidP="004E46AB">
      <w:pPr>
        <w:pStyle w:val="Prrafodelista"/>
        <w:autoSpaceDE w:val="0"/>
        <w:autoSpaceDN w:val="0"/>
        <w:adjustRightInd w:val="0"/>
        <w:ind w:left="0"/>
        <w:contextualSpacing/>
        <w:rPr>
          <w:rFonts w:ascii="Arial" w:hAnsi="Arial" w:cs="Arial"/>
          <w:b/>
          <w:sz w:val="22"/>
          <w:szCs w:val="22"/>
        </w:rPr>
      </w:pPr>
    </w:p>
    <w:p w:rsidR="004E46AB" w:rsidRDefault="004E46AB" w:rsidP="004E46AB">
      <w:pPr>
        <w:pStyle w:val="Prrafodelista"/>
        <w:autoSpaceDE w:val="0"/>
        <w:autoSpaceDN w:val="0"/>
        <w:adjustRightInd w:val="0"/>
        <w:ind w:left="0"/>
        <w:contextualSpacing/>
        <w:rPr>
          <w:rFonts w:ascii="Arial" w:hAnsi="Arial" w:cs="Arial"/>
          <w:b/>
          <w:sz w:val="22"/>
          <w:szCs w:val="22"/>
        </w:rPr>
      </w:pPr>
    </w:p>
    <w:p w:rsidR="004E46AB" w:rsidRPr="00D9690C" w:rsidRDefault="004E46AB" w:rsidP="004E46AB">
      <w:pPr>
        <w:pStyle w:val="Textoindependiente"/>
        <w:spacing w:line="240" w:lineRule="auto"/>
        <w:rPr>
          <w:rFonts w:ascii="Arial" w:hAnsi="Arial" w:cs="Arial"/>
          <w:b/>
          <w:sz w:val="22"/>
          <w:szCs w:val="22"/>
        </w:rPr>
      </w:pPr>
      <w:r>
        <w:rPr>
          <w:rFonts w:ascii="Arial" w:hAnsi="Arial" w:cs="Arial"/>
          <w:b/>
          <w:sz w:val="22"/>
          <w:szCs w:val="22"/>
        </w:rPr>
        <w:t>SERVICIO DE I</w:t>
      </w:r>
      <w:r w:rsidRPr="00D9690C">
        <w:rPr>
          <w:rFonts w:ascii="Arial" w:hAnsi="Arial" w:cs="Arial"/>
          <w:b/>
          <w:sz w:val="22"/>
          <w:szCs w:val="22"/>
        </w:rPr>
        <w:t>NTERVENTORÍA</w:t>
      </w:r>
    </w:p>
    <w:p w:rsidR="004E46AB" w:rsidRDefault="004E46AB" w:rsidP="004E46AB">
      <w:pPr>
        <w:autoSpaceDE w:val="0"/>
        <w:autoSpaceDN w:val="0"/>
        <w:adjustRightInd w:val="0"/>
        <w:rPr>
          <w:rFonts w:ascii="Arial" w:hAnsi="Arial" w:cs="Arial"/>
          <w:b/>
          <w:bCs/>
          <w:color w:val="000000"/>
          <w:sz w:val="22"/>
          <w:szCs w:val="22"/>
          <w:lang w:val="es-ES"/>
        </w:rPr>
      </w:pPr>
    </w:p>
    <w:p w:rsidR="004E46AB" w:rsidRPr="00012413" w:rsidRDefault="004E46AB" w:rsidP="004E46AB">
      <w:pPr>
        <w:autoSpaceDE w:val="0"/>
        <w:autoSpaceDN w:val="0"/>
        <w:adjustRightInd w:val="0"/>
        <w:rPr>
          <w:rFonts w:ascii="Arial" w:hAnsi="Arial" w:cs="Arial"/>
          <w:color w:val="000000"/>
          <w:sz w:val="22"/>
          <w:szCs w:val="22"/>
          <w:lang w:val="es-ES"/>
        </w:rPr>
      </w:pPr>
      <w:r w:rsidRPr="00012413">
        <w:rPr>
          <w:rFonts w:ascii="Arial" w:hAnsi="Arial" w:cs="Arial"/>
          <w:b/>
          <w:bCs/>
          <w:color w:val="000000"/>
          <w:sz w:val="22"/>
          <w:szCs w:val="22"/>
          <w:lang w:val="es-ES"/>
        </w:rPr>
        <w:t xml:space="preserve">Identificación de los proveedores de bien y servicio en el mercado nacional </w:t>
      </w:r>
    </w:p>
    <w:p w:rsidR="004E46AB" w:rsidRDefault="004E46AB" w:rsidP="004E46AB">
      <w:pPr>
        <w:autoSpaceDE w:val="0"/>
        <w:autoSpaceDN w:val="0"/>
        <w:adjustRightInd w:val="0"/>
        <w:jc w:val="both"/>
        <w:rPr>
          <w:rFonts w:ascii="Arial" w:hAnsi="Arial" w:cs="Arial"/>
          <w:color w:val="000000"/>
          <w:sz w:val="22"/>
          <w:szCs w:val="22"/>
          <w:lang w:val="es-ES"/>
        </w:rPr>
      </w:pPr>
    </w:p>
    <w:p w:rsidR="004E46AB" w:rsidRDefault="004E46AB" w:rsidP="004E46AB">
      <w:pPr>
        <w:autoSpaceDE w:val="0"/>
        <w:autoSpaceDN w:val="0"/>
        <w:adjustRightInd w:val="0"/>
        <w:jc w:val="both"/>
        <w:rPr>
          <w:rFonts w:ascii="Arial" w:hAnsi="Arial" w:cs="Arial"/>
          <w:color w:val="000000"/>
          <w:sz w:val="22"/>
          <w:szCs w:val="22"/>
          <w:lang w:val="es-ES"/>
        </w:rPr>
      </w:pPr>
      <w:r w:rsidRPr="00012413">
        <w:rPr>
          <w:rFonts w:ascii="Arial" w:hAnsi="Arial" w:cs="Arial"/>
          <w:color w:val="000000"/>
          <w:sz w:val="22"/>
          <w:szCs w:val="22"/>
          <w:lang w:val="es-ES"/>
        </w:rPr>
        <w:t>Las actividades de consultoría</w:t>
      </w:r>
      <w:r>
        <w:rPr>
          <w:rFonts w:ascii="Arial" w:hAnsi="Arial" w:cs="Arial"/>
          <w:color w:val="000000"/>
          <w:sz w:val="22"/>
          <w:szCs w:val="22"/>
          <w:lang w:val="es-ES"/>
        </w:rPr>
        <w:t xml:space="preserve"> – interventoría,</w:t>
      </w:r>
      <w:r w:rsidRPr="00012413">
        <w:rPr>
          <w:rFonts w:ascii="Arial" w:hAnsi="Arial" w:cs="Arial"/>
          <w:color w:val="000000"/>
          <w:sz w:val="22"/>
          <w:szCs w:val="22"/>
          <w:lang w:val="es-ES"/>
        </w:rPr>
        <w:t xml:space="preserve"> se encuentran definidas en el estatuto general de la Contratación Pública y es una de las actividades en las cuales se pueden clasificar las empresas cuando se inscriben en el registro único de proponentes. </w:t>
      </w:r>
    </w:p>
    <w:p w:rsidR="004E46AB" w:rsidRDefault="004E46AB" w:rsidP="004E46AB">
      <w:pPr>
        <w:autoSpaceDE w:val="0"/>
        <w:autoSpaceDN w:val="0"/>
        <w:adjustRightInd w:val="0"/>
        <w:jc w:val="both"/>
        <w:rPr>
          <w:rFonts w:ascii="Arial" w:hAnsi="Arial" w:cs="Arial"/>
          <w:color w:val="000000"/>
          <w:sz w:val="22"/>
          <w:szCs w:val="22"/>
          <w:lang w:val="es-ES"/>
        </w:rPr>
      </w:pPr>
    </w:p>
    <w:p w:rsidR="004E46AB" w:rsidRPr="00263F78" w:rsidRDefault="004E46AB" w:rsidP="004E46AB">
      <w:pPr>
        <w:autoSpaceDE w:val="0"/>
        <w:autoSpaceDN w:val="0"/>
        <w:adjustRightInd w:val="0"/>
        <w:jc w:val="both"/>
        <w:rPr>
          <w:rFonts w:ascii="Arial" w:hAnsi="Arial" w:cs="Arial"/>
          <w:color w:val="000000"/>
          <w:sz w:val="22"/>
          <w:szCs w:val="22"/>
          <w:lang w:val="es-ES"/>
        </w:rPr>
      </w:pPr>
      <w:r w:rsidRPr="00263F78">
        <w:rPr>
          <w:rFonts w:ascii="Arial" w:hAnsi="Arial" w:cs="Arial"/>
          <w:color w:val="000000"/>
          <w:sz w:val="22"/>
          <w:szCs w:val="22"/>
          <w:lang w:val="es-ES"/>
        </w:rPr>
        <w:t>En el contexto profesional, empresas de consultoría y personas naturales de diferentes áreas del conocimiento, se han especializado y dedicado a la prestación de servicios de interventoría y supervisión de contratos estatales.</w:t>
      </w:r>
    </w:p>
    <w:p w:rsidR="004E46AB" w:rsidRDefault="004E46AB" w:rsidP="004E46AB">
      <w:pPr>
        <w:autoSpaceDE w:val="0"/>
        <w:autoSpaceDN w:val="0"/>
        <w:adjustRightInd w:val="0"/>
        <w:jc w:val="both"/>
        <w:rPr>
          <w:rFonts w:ascii="Arial" w:hAnsi="Arial" w:cs="Arial"/>
          <w:color w:val="000000"/>
          <w:sz w:val="22"/>
          <w:szCs w:val="22"/>
          <w:highlight w:val="yellow"/>
          <w:lang w:val="es-ES"/>
        </w:rPr>
      </w:pPr>
    </w:p>
    <w:p w:rsidR="004E46AB" w:rsidRDefault="004E46AB" w:rsidP="004E46AB">
      <w:pPr>
        <w:autoSpaceDE w:val="0"/>
        <w:autoSpaceDN w:val="0"/>
        <w:adjustRightInd w:val="0"/>
        <w:jc w:val="both"/>
        <w:rPr>
          <w:rFonts w:ascii="Arial" w:hAnsi="Arial" w:cs="Arial"/>
          <w:color w:val="000000"/>
          <w:sz w:val="22"/>
          <w:szCs w:val="22"/>
          <w:lang w:val="es-ES"/>
        </w:rPr>
      </w:pPr>
      <w:r w:rsidRPr="00012413">
        <w:rPr>
          <w:rFonts w:ascii="Arial" w:hAnsi="Arial" w:cs="Arial"/>
          <w:color w:val="000000"/>
          <w:sz w:val="22"/>
          <w:szCs w:val="22"/>
          <w:lang w:val="es-ES"/>
        </w:rPr>
        <w:t xml:space="preserve">De acuerdo al análisis realizado, existen </w:t>
      </w:r>
      <w:r>
        <w:rPr>
          <w:rFonts w:ascii="Arial" w:hAnsi="Arial" w:cs="Arial"/>
          <w:color w:val="000000"/>
          <w:sz w:val="22"/>
          <w:szCs w:val="22"/>
          <w:lang w:val="es-ES"/>
        </w:rPr>
        <w:t>personas naturales y jurídicas</w:t>
      </w:r>
      <w:r w:rsidRPr="00012413">
        <w:rPr>
          <w:rFonts w:ascii="Arial" w:hAnsi="Arial" w:cs="Arial"/>
          <w:color w:val="000000"/>
          <w:sz w:val="22"/>
          <w:szCs w:val="22"/>
          <w:lang w:val="es-ES"/>
        </w:rPr>
        <w:t xml:space="preserve"> en el país que están en la capacidad de ejecutar el objeto del contrato a realizar, las cuales no están clasificadas en un solo sector siendo multidisciplinario.</w:t>
      </w:r>
    </w:p>
    <w:p w:rsidR="004E46AB" w:rsidRPr="00012413" w:rsidRDefault="004E46AB" w:rsidP="004E46AB">
      <w:pPr>
        <w:autoSpaceDE w:val="0"/>
        <w:autoSpaceDN w:val="0"/>
        <w:adjustRightInd w:val="0"/>
        <w:jc w:val="both"/>
        <w:rPr>
          <w:rFonts w:ascii="Arial" w:hAnsi="Arial" w:cs="Arial"/>
          <w:color w:val="000000"/>
          <w:sz w:val="22"/>
          <w:szCs w:val="22"/>
          <w:lang w:val="es-ES"/>
        </w:rPr>
      </w:pPr>
      <w:r w:rsidRPr="00012413">
        <w:rPr>
          <w:rFonts w:ascii="Arial" w:hAnsi="Arial" w:cs="Arial"/>
          <w:color w:val="000000"/>
          <w:sz w:val="22"/>
          <w:szCs w:val="22"/>
          <w:lang w:val="es-ES"/>
        </w:rPr>
        <w:t xml:space="preserve"> </w:t>
      </w:r>
    </w:p>
    <w:p w:rsidR="004E46AB" w:rsidRPr="00570283" w:rsidRDefault="004E46AB" w:rsidP="004E46AB">
      <w:pPr>
        <w:autoSpaceDE w:val="0"/>
        <w:autoSpaceDN w:val="0"/>
        <w:adjustRightInd w:val="0"/>
        <w:rPr>
          <w:rFonts w:ascii="Arial" w:hAnsi="Arial" w:cs="Arial"/>
          <w:b/>
          <w:bCs/>
          <w:color w:val="000000"/>
          <w:sz w:val="22"/>
          <w:szCs w:val="22"/>
          <w:lang w:val="es-ES"/>
        </w:rPr>
      </w:pPr>
      <w:r>
        <w:rPr>
          <w:rFonts w:ascii="Arial" w:hAnsi="Arial" w:cs="Arial"/>
          <w:b/>
          <w:bCs/>
          <w:color w:val="000000"/>
          <w:sz w:val="22"/>
          <w:szCs w:val="22"/>
          <w:lang w:val="es-ES"/>
        </w:rPr>
        <w:t>Indicadores de C</w:t>
      </w:r>
      <w:r w:rsidRPr="00570283">
        <w:rPr>
          <w:rFonts w:ascii="Arial" w:hAnsi="Arial" w:cs="Arial"/>
          <w:b/>
          <w:bCs/>
          <w:color w:val="000000"/>
          <w:sz w:val="22"/>
          <w:szCs w:val="22"/>
          <w:lang w:val="es-ES"/>
        </w:rPr>
        <w:t xml:space="preserve">apacidad </w:t>
      </w:r>
      <w:r>
        <w:rPr>
          <w:rFonts w:ascii="Arial" w:hAnsi="Arial" w:cs="Arial"/>
          <w:b/>
          <w:bCs/>
          <w:color w:val="000000"/>
          <w:sz w:val="22"/>
          <w:szCs w:val="22"/>
          <w:lang w:val="es-ES"/>
        </w:rPr>
        <w:t>O</w:t>
      </w:r>
      <w:r w:rsidRPr="00570283">
        <w:rPr>
          <w:rFonts w:ascii="Arial" w:hAnsi="Arial" w:cs="Arial"/>
          <w:b/>
          <w:bCs/>
          <w:color w:val="000000"/>
          <w:sz w:val="22"/>
          <w:szCs w:val="22"/>
          <w:lang w:val="es-ES"/>
        </w:rPr>
        <w:t xml:space="preserve">rganizacional y </w:t>
      </w:r>
      <w:r>
        <w:rPr>
          <w:rFonts w:ascii="Arial" w:hAnsi="Arial" w:cs="Arial"/>
          <w:b/>
          <w:bCs/>
          <w:color w:val="000000"/>
          <w:sz w:val="22"/>
          <w:szCs w:val="22"/>
          <w:lang w:val="es-ES"/>
        </w:rPr>
        <w:t>F</w:t>
      </w:r>
      <w:r w:rsidRPr="00570283">
        <w:rPr>
          <w:rFonts w:ascii="Arial" w:hAnsi="Arial" w:cs="Arial"/>
          <w:b/>
          <w:bCs/>
          <w:color w:val="000000"/>
          <w:sz w:val="22"/>
          <w:szCs w:val="22"/>
          <w:lang w:val="es-ES"/>
        </w:rPr>
        <w:t>inancieros</w:t>
      </w:r>
    </w:p>
    <w:p w:rsidR="004E46AB" w:rsidRDefault="004E46AB" w:rsidP="004E46AB">
      <w:pPr>
        <w:autoSpaceDE w:val="0"/>
        <w:autoSpaceDN w:val="0"/>
        <w:adjustRightInd w:val="0"/>
        <w:ind w:left="37"/>
        <w:jc w:val="both"/>
        <w:rPr>
          <w:rFonts w:ascii="Arial" w:hAnsi="Arial" w:cs="Arial"/>
          <w:sz w:val="22"/>
          <w:szCs w:val="22"/>
        </w:rPr>
      </w:pPr>
    </w:p>
    <w:p w:rsidR="004E46AB" w:rsidRPr="00012413" w:rsidRDefault="004E46AB" w:rsidP="004E46AB">
      <w:pPr>
        <w:autoSpaceDE w:val="0"/>
        <w:autoSpaceDN w:val="0"/>
        <w:adjustRightInd w:val="0"/>
        <w:ind w:left="37"/>
        <w:jc w:val="both"/>
        <w:rPr>
          <w:rFonts w:ascii="Arial" w:hAnsi="Arial" w:cs="Arial"/>
          <w:sz w:val="22"/>
          <w:szCs w:val="22"/>
        </w:rPr>
      </w:pPr>
      <w:r w:rsidRPr="00012413">
        <w:rPr>
          <w:rFonts w:ascii="Arial" w:hAnsi="Arial" w:cs="Arial"/>
          <w:sz w:val="22"/>
          <w:szCs w:val="22"/>
        </w:rPr>
        <w:t xml:space="preserve">Acerca de los posibles oferentes del presente proceso de contratación, se identificaron aquellas Personas Jurídicas cuya actividad comercial u objeto social </w:t>
      </w:r>
      <w:r>
        <w:rPr>
          <w:rFonts w:ascii="Arial" w:hAnsi="Arial" w:cs="Arial"/>
          <w:sz w:val="22"/>
          <w:szCs w:val="22"/>
        </w:rPr>
        <w:t>estuviera relacionada con</w:t>
      </w:r>
      <w:r w:rsidRPr="00012413">
        <w:rPr>
          <w:rFonts w:ascii="Arial" w:hAnsi="Arial" w:cs="Arial"/>
          <w:sz w:val="22"/>
          <w:szCs w:val="22"/>
        </w:rPr>
        <w:t xml:space="preserve"> la realización de </w:t>
      </w:r>
      <w:r>
        <w:rPr>
          <w:rFonts w:ascii="Arial" w:hAnsi="Arial" w:cs="Arial"/>
          <w:sz w:val="22"/>
          <w:szCs w:val="22"/>
        </w:rPr>
        <w:t xml:space="preserve">consultorías e </w:t>
      </w:r>
      <w:r w:rsidRPr="00012413">
        <w:rPr>
          <w:rFonts w:ascii="Arial" w:hAnsi="Arial" w:cs="Arial"/>
          <w:sz w:val="22"/>
          <w:szCs w:val="22"/>
        </w:rPr>
        <w:t xml:space="preserve">interventorías </w:t>
      </w:r>
      <w:r>
        <w:rPr>
          <w:rFonts w:ascii="Arial" w:hAnsi="Arial" w:cs="Arial"/>
          <w:sz w:val="22"/>
          <w:szCs w:val="22"/>
        </w:rPr>
        <w:t>de gestión, contables, sociales y relacionadas.</w:t>
      </w:r>
      <w:r w:rsidRPr="00012413">
        <w:rPr>
          <w:rFonts w:ascii="Arial" w:hAnsi="Arial" w:cs="Arial"/>
          <w:sz w:val="22"/>
          <w:szCs w:val="22"/>
        </w:rPr>
        <w:t xml:space="preserve"> </w:t>
      </w:r>
    </w:p>
    <w:p w:rsidR="004E46AB" w:rsidRDefault="004E46AB" w:rsidP="004E46AB">
      <w:pPr>
        <w:autoSpaceDE w:val="0"/>
        <w:autoSpaceDN w:val="0"/>
        <w:adjustRightInd w:val="0"/>
        <w:jc w:val="both"/>
        <w:rPr>
          <w:rFonts w:ascii="Arial" w:hAnsi="Arial" w:cs="Arial"/>
          <w:color w:val="000000"/>
          <w:sz w:val="22"/>
          <w:szCs w:val="22"/>
          <w:highlight w:val="yellow"/>
          <w:lang w:val="es-ES"/>
        </w:rPr>
      </w:pPr>
    </w:p>
    <w:p w:rsidR="004E46AB" w:rsidRDefault="004E46AB" w:rsidP="004E46AB">
      <w:pPr>
        <w:autoSpaceDE w:val="0"/>
        <w:autoSpaceDN w:val="0"/>
        <w:adjustRightInd w:val="0"/>
        <w:jc w:val="both"/>
        <w:rPr>
          <w:rFonts w:ascii="Arial" w:hAnsi="Arial" w:cs="Arial"/>
          <w:color w:val="000000"/>
          <w:sz w:val="22"/>
          <w:szCs w:val="22"/>
          <w:lang w:val="es-ES"/>
        </w:rPr>
      </w:pPr>
      <w:r>
        <w:rPr>
          <w:rFonts w:ascii="Arial" w:hAnsi="Arial" w:cs="Arial"/>
          <w:color w:val="000000"/>
          <w:sz w:val="22"/>
          <w:szCs w:val="22"/>
          <w:lang w:val="es-ES"/>
        </w:rPr>
        <w:t xml:space="preserve">Para ello se recurrió a la base de datos del Sistema de Información Empresarial (SIE) de la Superintendencia de Sociedades. En la medida que, como se mencionó anteriormente, las </w:t>
      </w:r>
      <w:r>
        <w:rPr>
          <w:rFonts w:ascii="Arial" w:hAnsi="Arial" w:cs="Arial"/>
          <w:color w:val="000000"/>
          <w:sz w:val="22"/>
          <w:szCs w:val="22"/>
          <w:lang w:val="es-ES"/>
        </w:rPr>
        <w:lastRenderedPageBreak/>
        <w:t xml:space="preserve">empresas de consultoría no se encuentran asociadas a un solo sector, se filtró por las empresas de Bogotá (33 en total) que en su razón social estuvieran relacionadas con consultoría o interventoría. </w:t>
      </w:r>
    </w:p>
    <w:p w:rsidR="004E46AB" w:rsidRDefault="004E46AB" w:rsidP="004E46AB">
      <w:pPr>
        <w:autoSpaceDE w:val="0"/>
        <w:autoSpaceDN w:val="0"/>
        <w:adjustRightInd w:val="0"/>
        <w:jc w:val="both"/>
        <w:rPr>
          <w:rFonts w:ascii="Arial" w:hAnsi="Arial" w:cs="Arial"/>
          <w:color w:val="000000"/>
          <w:sz w:val="22"/>
          <w:szCs w:val="22"/>
          <w:lang w:val="es-ES"/>
        </w:rPr>
      </w:pPr>
    </w:p>
    <w:p w:rsidR="004E46AB" w:rsidRDefault="004E46AB" w:rsidP="004E46AB">
      <w:pPr>
        <w:jc w:val="center"/>
        <w:rPr>
          <w:rFonts w:ascii="Arial" w:hAnsi="Arial" w:cs="Arial"/>
          <w:b/>
          <w:color w:val="000000"/>
          <w:sz w:val="22"/>
          <w:szCs w:val="22"/>
          <w:lang w:val="es-ES"/>
        </w:rPr>
      </w:pPr>
      <w:r w:rsidRPr="00197609">
        <w:rPr>
          <w:rFonts w:ascii="Arial" w:hAnsi="Arial" w:cs="Arial"/>
          <w:b/>
          <w:color w:val="000000"/>
          <w:sz w:val="22"/>
          <w:szCs w:val="22"/>
          <w:lang w:val="es-ES"/>
        </w:rPr>
        <w:t>Lista de empresas consideradas SIE 2017</w:t>
      </w:r>
    </w:p>
    <w:p w:rsidR="004E46AB" w:rsidRPr="00197609" w:rsidRDefault="004E46AB" w:rsidP="004E46AB">
      <w:pPr>
        <w:jc w:val="center"/>
        <w:rPr>
          <w:rFonts w:ascii="Arial" w:hAnsi="Arial" w:cs="Arial"/>
          <w:b/>
          <w:color w:val="000000"/>
          <w:sz w:val="22"/>
          <w:szCs w:val="22"/>
          <w:lang w:val="es-ES"/>
        </w:rPr>
      </w:pPr>
    </w:p>
    <w:tbl>
      <w:tblPr>
        <w:tblW w:w="8407" w:type="dxa"/>
        <w:tblInd w:w="-10" w:type="dxa"/>
        <w:tblCellMar>
          <w:left w:w="70" w:type="dxa"/>
          <w:right w:w="70" w:type="dxa"/>
        </w:tblCellMar>
        <w:tblLook w:val="04A0" w:firstRow="1" w:lastRow="0" w:firstColumn="1" w:lastColumn="0" w:noHBand="0" w:noVBand="1"/>
      </w:tblPr>
      <w:tblGrid>
        <w:gridCol w:w="4340"/>
        <w:gridCol w:w="4488"/>
      </w:tblGrid>
      <w:tr w:rsidR="004E46AB" w:rsidRPr="00C411B7" w:rsidTr="00BF0E50">
        <w:trPr>
          <w:trHeight w:val="229"/>
        </w:trPr>
        <w:tc>
          <w:tcPr>
            <w:tcW w:w="0" w:type="auto"/>
            <w:tcBorders>
              <w:top w:val="single" w:sz="8" w:space="0" w:color="808080"/>
              <w:left w:val="single" w:sz="8" w:space="0" w:color="808080"/>
              <w:bottom w:val="single" w:sz="8" w:space="0" w:color="808080"/>
              <w:right w:val="single" w:sz="8" w:space="0" w:color="808080"/>
            </w:tcBorders>
            <w:shd w:val="clear" w:color="000000" w:fill="F2F2F2"/>
            <w:noWrap/>
            <w:vAlign w:val="center"/>
            <w:hideMark/>
          </w:tcPr>
          <w:p w:rsidR="004E46AB" w:rsidRPr="00C411B7" w:rsidRDefault="004E46AB" w:rsidP="00BF0E50">
            <w:pPr>
              <w:jc w:val="center"/>
              <w:rPr>
                <w:rFonts w:ascii="Calibri" w:hAnsi="Calibri"/>
                <w:b/>
                <w:bCs/>
                <w:color w:val="000000"/>
                <w:sz w:val="18"/>
                <w:szCs w:val="18"/>
              </w:rPr>
            </w:pPr>
            <w:r w:rsidRPr="00C411B7">
              <w:rPr>
                <w:rFonts w:ascii="Calibri" w:hAnsi="Calibri"/>
                <w:b/>
                <w:bCs/>
                <w:color w:val="000000"/>
                <w:sz w:val="18"/>
                <w:szCs w:val="18"/>
              </w:rPr>
              <w:t>ENTIDAD</w:t>
            </w:r>
          </w:p>
        </w:tc>
        <w:tc>
          <w:tcPr>
            <w:tcW w:w="0" w:type="auto"/>
            <w:tcBorders>
              <w:top w:val="single" w:sz="8" w:space="0" w:color="808080"/>
              <w:left w:val="nil"/>
              <w:bottom w:val="single" w:sz="8" w:space="0" w:color="808080"/>
              <w:right w:val="single" w:sz="8" w:space="0" w:color="808080"/>
            </w:tcBorders>
            <w:shd w:val="clear" w:color="000000" w:fill="F2F2F2"/>
            <w:noWrap/>
            <w:vAlign w:val="center"/>
            <w:hideMark/>
          </w:tcPr>
          <w:p w:rsidR="004E46AB" w:rsidRPr="00C411B7" w:rsidRDefault="004E46AB" w:rsidP="00BF0E50">
            <w:pPr>
              <w:jc w:val="center"/>
              <w:rPr>
                <w:rFonts w:ascii="Calibri" w:hAnsi="Calibri"/>
                <w:b/>
                <w:bCs/>
                <w:color w:val="000000"/>
                <w:sz w:val="18"/>
                <w:szCs w:val="18"/>
              </w:rPr>
            </w:pPr>
            <w:r w:rsidRPr="00C411B7">
              <w:rPr>
                <w:rFonts w:ascii="Calibri" w:hAnsi="Calibri"/>
                <w:b/>
                <w:bCs/>
                <w:color w:val="000000"/>
                <w:sz w:val="18"/>
                <w:szCs w:val="18"/>
              </w:rPr>
              <w:t>ENTIDAD</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ECA INTERVENTORIAS Y CONSULTORIAS DE COLOMBIA SAS</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AVANTI CONSULTORIAS E INVERSIONES S EN C</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ARISTOS CONSULTORES DE GERENCIA S.A.</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PARRA ESCOBAR &amp; CIA ABOGADOS Y CONSULTORES S.A.S</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MOLINA CONSULTORES ORGANIZACIONALES SAS</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MARSH RISK CONSULTING LTDA</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FAST &amp; ABS AUDITORES Y CONSULTORES S.A.S.</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ADVANTIS CONSULTORIA GERENCIAL S.A.</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SISTEMAS GESTION Y CONSULTORIA ALFA GL SAS</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BYG CONSULTORES Y COMPAÑÍA LIMITADA</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INERCO CONSULTORIA COLOMBIA LTDA</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BEJARANO Y RICAURTE ABOGADOS Y CONSULTORES COMPAÑÍA LTDA</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CONSULTORES ASOCIADOS ASOCONSULT SAS</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GRUPO CONSULTOR ANDINO SA</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ARCE ROJAS CONSULTORES &amp; CIA S. A.</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GI CONSULTORES ANDINOS SAS</w:t>
            </w:r>
          </w:p>
        </w:tc>
      </w:tr>
      <w:tr w:rsidR="004E46AB" w:rsidRPr="00D05BE8"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SUMINISTRAMOS SERVICIOS Y CONSULTORIA SUMISERVIS SAS</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E045F9" w:rsidRDefault="004E46AB" w:rsidP="00BF0E50">
            <w:pPr>
              <w:rPr>
                <w:rFonts w:ascii="Calibri" w:hAnsi="Calibri"/>
                <w:color w:val="000000"/>
                <w:sz w:val="18"/>
                <w:szCs w:val="18"/>
                <w:lang w:val="en-US"/>
              </w:rPr>
            </w:pPr>
            <w:r w:rsidRPr="00C411B7">
              <w:rPr>
                <w:rFonts w:ascii="Calibri" w:hAnsi="Calibri"/>
                <w:color w:val="000000"/>
                <w:sz w:val="18"/>
                <w:szCs w:val="18"/>
                <w:lang w:val="en-US"/>
              </w:rPr>
              <w:t>YVELCAST CONSULTING S.A.S.</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J A ZABALA &amp; CONSULTORES ASOCIADOS SAS EN REORGANIZACION</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CEVALLOS HOLGUIN CONSULTORES S.A.S.</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CONSULTORIA EMPRESARIAL SAS</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ADP CONSULTORES SAS</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STRATCO CONSULTORES ASOCIADOS SA</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RODRIGO ESCOBAR GIL CONSULTORES SAS</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CONSULTORIA ORGANIZACIONAL SA</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ALCALA CONSULTORIA ECONOMICA Y FINANCIERA S.A.S.</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E045F9" w:rsidRDefault="004E46AB" w:rsidP="00BF0E50">
            <w:pPr>
              <w:rPr>
                <w:rFonts w:ascii="Calibri" w:hAnsi="Calibri"/>
                <w:color w:val="000000"/>
                <w:sz w:val="18"/>
                <w:szCs w:val="18"/>
                <w:lang w:val="en-US"/>
              </w:rPr>
            </w:pPr>
            <w:r w:rsidRPr="00C411B7">
              <w:rPr>
                <w:rFonts w:ascii="Calibri" w:hAnsi="Calibri"/>
                <w:color w:val="000000"/>
                <w:sz w:val="18"/>
                <w:szCs w:val="18"/>
                <w:lang w:val="en-US"/>
              </w:rPr>
              <w:t>CONSULTING AND ACCOUNTING S.A.</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VCO CONSULTING LTDA</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CONSULTORES EN RED S.A.S</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KONECTA CONSULTING CORP SAS</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FTI CONSULTING SC LTDA</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ASESORIAS Y CONSULTORIAS INTEGRALES DE PROYECTOS S.A.S</w:t>
            </w:r>
          </w:p>
        </w:tc>
      </w:tr>
      <w:tr w:rsidR="004E46AB" w:rsidRPr="00C411B7" w:rsidTr="00BF0E50">
        <w:trPr>
          <w:trHeight w:val="229"/>
        </w:trPr>
        <w:tc>
          <w:tcPr>
            <w:tcW w:w="0" w:type="auto"/>
            <w:tcBorders>
              <w:top w:val="nil"/>
              <w:left w:val="single" w:sz="8" w:space="0" w:color="808080"/>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GM &amp; ROMERO ABOGADOS CONSULTORES S.A.S.</w:t>
            </w:r>
          </w:p>
        </w:tc>
        <w:tc>
          <w:tcPr>
            <w:tcW w:w="0" w:type="auto"/>
            <w:tcBorders>
              <w:top w:val="nil"/>
              <w:left w:val="nil"/>
              <w:bottom w:val="single" w:sz="8" w:space="0" w:color="808080"/>
              <w:right w:val="single" w:sz="8" w:space="0" w:color="808080"/>
            </w:tcBorders>
            <w:shd w:val="clear" w:color="auto" w:fill="auto"/>
            <w:noWrap/>
            <w:vAlign w:val="center"/>
            <w:hideMark/>
          </w:tcPr>
          <w:p w:rsidR="004E46AB" w:rsidRPr="00C411B7" w:rsidRDefault="004E46AB" w:rsidP="00BF0E50">
            <w:pPr>
              <w:rPr>
                <w:rFonts w:ascii="Calibri" w:hAnsi="Calibri"/>
                <w:color w:val="000000"/>
                <w:sz w:val="18"/>
                <w:szCs w:val="18"/>
              </w:rPr>
            </w:pPr>
            <w:r w:rsidRPr="00C411B7">
              <w:rPr>
                <w:rFonts w:ascii="Calibri" w:hAnsi="Calibri"/>
                <w:color w:val="000000"/>
                <w:sz w:val="18"/>
                <w:szCs w:val="18"/>
              </w:rPr>
              <w:t> </w:t>
            </w:r>
          </w:p>
        </w:tc>
      </w:tr>
    </w:tbl>
    <w:p w:rsidR="004E46AB" w:rsidRPr="00197609" w:rsidRDefault="004E46AB" w:rsidP="004E46AB">
      <w:pPr>
        <w:rPr>
          <w:rFonts w:ascii="Arial" w:hAnsi="Arial" w:cs="Arial"/>
          <w:color w:val="000000"/>
          <w:sz w:val="22"/>
          <w:szCs w:val="22"/>
          <w:lang w:val="es-ES"/>
        </w:rPr>
      </w:pPr>
    </w:p>
    <w:p w:rsidR="004E46AB" w:rsidRPr="00197609" w:rsidRDefault="004E46AB" w:rsidP="004E46AB">
      <w:pPr>
        <w:jc w:val="both"/>
        <w:rPr>
          <w:rFonts w:ascii="Arial" w:hAnsi="Arial" w:cs="Arial"/>
          <w:color w:val="000000"/>
          <w:sz w:val="22"/>
          <w:szCs w:val="22"/>
          <w:lang w:val="es-ES"/>
        </w:rPr>
      </w:pPr>
      <w:r w:rsidRPr="00197609">
        <w:rPr>
          <w:rFonts w:ascii="Arial" w:hAnsi="Arial" w:cs="Arial"/>
          <w:color w:val="000000"/>
          <w:sz w:val="22"/>
          <w:szCs w:val="22"/>
          <w:lang w:val="es-ES"/>
        </w:rPr>
        <w:t xml:space="preserve">Las empresas consideradas permiten </w:t>
      </w:r>
      <w:r>
        <w:rPr>
          <w:rFonts w:ascii="Arial" w:hAnsi="Arial" w:cs="Arial"/>
          <w:color w:val="000000"/>
          <w:sz w:val="22"/>
          <w:szCs w:val="22"/>
          <w:lang w:val="es-ES"/>
        </w:rPr>
        <w:t>contar con un primer estimado de los indicadores financieros y de capacidad operativa, como se detalla a continuación:</w:t>
      </w:r>
    </w:p>
    <w:p w:rsidR="004E46AB" w:rsidRDefault="004E46AB" w:rsidP="004E46AB"/>
    <w:tbl>
      <w:tblPr>
        <w:tblW w:w="8637" w:type="dxa"/>
        <w:jc w:val="center"/>
        <w:tblCellMar>
          <w:left w:w="70" w:type="dxa"/>
          <w:right w:w="70" w:type="dxa"/>
        </w:tblCellMar>
        <w:tblLook w:val="04A0" w:firstRow="1" w:lastRow="0" w:firstColumn="1" w:lastColumn="0" w:noHBand="0" w:noVBand="1"/>
      </w:tblPr>
      <w:tblGrid>
        <w:gridCol w:w="2143"/>
        <w:gridCol w:w="262"/>
        <w:gridCol w:w="282"/>
        <w:gridCol w:w="1100"/>
        <w:gridCol w:w="984"/>
        <w:gridCol w:w="1012"/>
        <w:gridCol w:w="1012"/>
        <w:gridCol w:w="980"/>
        <w:gridCol w:w="862"/>
      </w:tblGrid>
      <w:tr w:rsidR="004E46AB" w:rsidRPr="00EA0827" w:rsidTr="00BF0E50">
        <w:trPr>
          <w:trHeight w:val="192"/>
          <w:jc w:val="center"/>
        </w:trPr>
        <w:tc>
          <w:tcPr>
            <w:tcW w:w="8637" w:type="dxa"/>
            <w:gridSpan w:val="9"/>
            <w:tcBorders>
              <w:top w:val="single" w:sz="8" w:space="0" w:color="auto"/>
              <w:left w:val="single" w:sz="8" w:space="0" w:color="auto"/>
              <w:bottom w:val="single" w:sz="4" w:space="0" w:color="auto"/>
              <w:right w:val="single" w:sz="8" w:space="0" w:color="000000"/>
            </w:tcBorders>
            <w:shd w:val="clear" w:color="000000" w:fill="00B0F0"/>
            <w:noWrap/>
            <w:vAlign w:val="center"/>
            <w:hideMark/>
          </w:tcPr>
          <w:p w:rsidR="004E46AB" w:rsidRPr="0001327C" w:rsidRDefault="004E46AB" w:rsidP="00BF0E50">
            <w:pPr>
              <w:jc w:val="center"/>
              <w:rPr>
                <w:rFonts w:ascii="Calibri" w:hAnsi="Calibri" w:cs="Calibri"/>
                <w:b/>
                <w:bCs/>
                <w:color w:val="FFFFFF"/>
                <w:sz w:val="18"/>
                <w:szCs w:val="32"/>
                <w:lang w:eastAsia="es-CO"/>
              </w:rPr>
            </w:pPr>
            <w:r w:rsidRPr="0001327C">
              <w:rPr>
                <w:rFonts w:ascii="Calibri" w:hAnsi="Calibri" w:cs="Calibri"/>
                <w:b/>
                <w:bCs/>
                <w:color w:val="FFFFFF"/>
                <w:szCs w:val="32"/>
                <w:lang w:eastAsia="es-CO"/>
              </w:rPr>
              <w:t>INDICADORES - SIE 2017</w:t>
            </w:r>
          </w:p>
        </w:tc>
      </w:tr>
      <w:tr w:rsidR="004E46AB" w:rsidRPr="00EA0827" w:rsidTr="00BF0E50">
        <w:trPr>
          <w:trHeight w:val="315"/>
          <w:jc w:val="center"/>
        </w:trPr>
        <w:tc>
          <w:tcPr>
            <w:tcW w:w="1925" w:type="dxa"/>
            <w:tcBorders>
              <w:top w:val="single" w:sz="4" w:space="0" w:color="auto"/>
              <w:left w:val="single" w:sz="8" w:space="0" w:color="auto"/>
              <w:bottom w:val="nil"/>
              <w:right w:val="nil"/>
            </w:tcBorders>
            <w:shd w:val="clear" w:color="auto" w:fill="auto"/>
            <w:noWrap/>
            <w:vAlign w:val="bottom"/>
            <w:hideMark/>
          </w:tcPr>
          <w:p w:rsidR="004E46AB" w:rsidRPr="00EA0827" w:rsidRDefault="004E46AB" w:rsidP="00BF0E50">
            <w:pPr>
              <w:rPr>
                <w:rFonts w:ascii="Calibri" w:hAnsi="Calibri" w:cs="Calibri"/>
                <w:color w:val="000000"/>
                <w:sz w:val="18"/>
                <w:szCs w:val="22"/>
                <w:lang w:eastAsia="es-CO"/>
              </w:rPr>
            </w:pPr>
          </w:p>
        </w:tc>
        <w:tc>
          <w:tcPr>
            <w:tcW w:w="0" w:type="auto"/>
            <w:tcBorders>
              <w:top w:val="single" w:sz="4" w:space="0" w:color="auto"/>
              <w:left w:val="nil"/>
              <w:bottom w:val="nil"/>
              <w:right w:val="nil"/>
            </w:tcBorders>
            <w:shd w:val="clear" w:color="auto" w:fill="auto"/>
            <w:noWrap/>
            <w:vAlign w:val="bottom"/>
            <w:hideMark/>
          </w:tcPr>
          <w:p w:rsidR="004E46AB" w:rsidRPr="00EA0827" w:rsidRDefault="004E46AB" w:rsidP="00BF0E50">
            <w:pPr>
              <w:rPr>
                <w:rFonts w:ascii="Calibri" w:hAnsi="Calibri" w:cs="Calibri"/>
                <w:color w:val="000000"/>
                <w:sz w:val="18"/>
                <w:szCs w:val="22"/>
                <w:lang w:eastAsia="es-CO"/>
              </w:rPr>
            </w:pPr>
          </w:p>
        </w:tc>
        <w:tc>
          <w:tcPr>
            <w:tcW w:w="0" w:type="auto"/>
            <w:tcBorders>
              <w:top w:val="single" w:sz="4" w:space="0" w:color="auto"/>
              <w:left w:val="nil"/>
              <w:bottom w:val="single" w:sz="8" w:space="0" w:color="003E63"/>
              <w:right w:val="nil"/>
            </w:tcBorders>
            <w:shd w:val="clear" w:color="auto" w:fill="auto"/>
            <w:noWrap/>
            <w:vAlign w:val="bottom"/>
            <w:hideMark/>
          </w:tcPr>
          <w:p w:rsidR="004E46AB" w:rsidRPr="00EA0827" w:rsidRDefault="004E46AB" w:rsidP="00BF0E50">
            <w:pPr>
              <w:rPr>
                <w:rFonts w:ascii="Calibri" w:hAnsi="Calibri" w:cs="Calibri"/>
                <w:color w:val="000000"/>
                <w:sz w:val="18"/>
                <w:szCs w:val="22"/>
                <w:lang w:eastAsia="es-CO"/>
              </w:rPr>
            </w:pPr>
            <w:r w:rsidRPr="00EA0827">
              <w:rPr>
                <w:rFonts w:ascii="Calibri" w:hAnsi="Calibri" w:cs="Calibri"/>
                <w:color w:val="000000"/>
                <w:sz w:val="18"/>
                <w:szCs w:val="22"/>
                <w:lang w:eastAsia="es-CO"/>
              </w:rPr>
              <w:t> </w:t>
            </w:r>
          </w:p>
        </w:tc>
        <w:tc>
          <w:tcPr>
            <w:tcW w:w="0" w:type="auto"/>
            <w:tcBorders>
              <w:top w:val="single" w:sz="4" w:space="0" w:color="auto"/>
              <w:left w:val="single" w:sz="8" w:space="0" w:color="808080"/>
              <w:bottom w:val="nil"/>
              <w:right w:val="nil"/>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PROMEDIO</w:t>
            </w:r>
          </w:p>
        </w:tc>
        <w:tc>
          <w:tcPr>
            <w:tcW w:w="0" w:type="auto"/>
            <w:tcBorders>
              <w:top w:val="single" w:sz="4" w:space="0" w:color="auto"/>
              <w:left w:val="single" w:sz="4" w:space="0" w:color="808080"/>
              <w:bottom w:val="nil"/>
              <w:right w:val="single" w:sz="4" w:space="0" w:color="auto"/>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MEDIANA</w:t>
            </w:r>
          </w:p>
        </w:tc>
        <w:tc>
          <w:tcPr>
            <w:tcW w:w="0" w:type="auto"/>
            <w:tcBorders>
              <w:top w:val="single" w:sz="4" w:space="0" w:color="auto"/>
              <w:left w:val="single" w:sz="4" w:space="0" w:color="808080"/>
              <w:bottom w:val="nil"/>
              <w:right w:val="nil"/>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CUARTIL 1</w:t>
            </w:r>
          </w:p>
        </w:tc>
        <w:tc>
          <w:tcPr>
            <w:tcW w:w="0" w:type="auto"/>
            <w:tcBorders>
              <w:top w:val="single" w:sz="4" w:space="0" w:color="auto"/>
              <w:left w:val="single" w:sz="4" w:space="0" w:color="808080"/>
              <w:bottom w:val="nil"/>
              <w:right w:val="single" w:sz="4" w:space="0" w:color="auto"/>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CUARTIL 3</w:t>
            </w:r>
          </w:p>
        </w:tc>
        <w:tc>
          <w:tcPr>
            <w:tcW w:w="0" w:type="auto"/>
            <w:tcBorders>
              <w:top w:val="single" w:sz="4" w:space="0" w:color="auto"/>
              <w:left w:val="single" w:sz="8" w:space="0" w:color="808080"/>
              <w:bottom w:val="nil"/>
              <w:right w:val="single" w:sz="8" w:space="0" w:color="808080"/>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N° DATOS</w:t>
            </w:r>
          </w:p>
        </w:tc>
        <w:tc>
          <w:tcPr>
            <w:tcW w:w="774" w:type="dxa"/>
            <w:tcBorders>
              <w:top w:val="single" w:sz="4" w:space="0" w:color="auto"/>
              <w:left w:val="nil"/>
              <w:bottom w:val="nil"/>
              <w:right w:val="single" w:sz="8" w:space="0" w:color="auto"/>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CV</w:t>
            </w:r>
          </w:p>
        </w:tc>
      </w:tr>
      <w:tr w:rsidR="004E46AB" w:rsidRPr="00EA0827" w:rsidTr="00BF0E50">
        <w:trPr>
          <w:trHeight w:val="330"/>
          <w:jc w:val="center"/>
        </w:trPr>
        <w:tc>
          <w:tcPr>
            <w:tcW w:w="2250" w:type="dxa"/>
            <w:gridSpan w:val="2"/>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1 - LIQUIDEZ</w:t>
            </w:r>
          </w:p>
        </w:tc>
        <w:tc>
          <w:tcPr>
            <w:tcW w:w="0" w:type="auto"/>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13,9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2,2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1,8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sz w:val="18"/>
                <w:szCs w:val="22"/>
                <w:lang w:eastAsia="es-CO"/>
              </w:rPr>
            </w:pPr>
            <w:r w:rsidRPr="00EA0827">
              <w:rPr>
                <w:rFonts w:ascii="Calibri" w:hAnsi="Calibri" w:cs="Calibri"/>
                <w:sz w:val="18"/>
                <w:szCs w:val="22"/>
                <w:lang w:eastAsia="es-CO"/>
              </w:rPr>
              <w:t>3,4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33</w:t>
            </w:r>
          </w:p>
        </w:tc>
        <w:tc>
          <w:tcPr>
            <w:tcW w:w="774" w:type="dxa"/>
            <w:tcBorders>
              <w:top w:val="single" w:sz="4" w:space="0" w:color="auto"/>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378%</w:t>
            </w:r>
          </w:p>
        </w:tc>
      </w:tr>
      <w:tr w:rsidR="004E46AB" w:rsidRPr="00EA0827" w:rsidTr="00BF0E50">
        <w:trPr>
          <w:trHeight w:val="330"/>
          <w:jc w:val="center"/>
        </w:trPr>
        <w:tc>
          <w:tcPr>
            <w:tcW w:w="2250" w:type="dxa"/>
            <w:gridSpan w:val="2"/>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2 - ENDEUDAMIENTO</w:t>
            </w:r>
          </w:p>
        </w:tc>
        <w:tc>
          <w:tcPr>
            <w:tcW w:w="0" w:type="auto"/>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42%</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42%</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59%</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33</w:t>
            </w:r>
          </w:p>
        </w:tc>
        <w:tc>
          <w:tcPr>
            <w:tcW w:w="774" w:type="dxa"/>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66%</w:t>
            </w:r>
          </w:p>
        </w:tc>
      </w:tr>
      <w:tr w:rsidR="004E46AB" w:rsidRPr="00EA0827" w:rsidTr="00BF0E50">
        <w:trPr>
          <w:trHeight w:val="330"/>
          <w:jc w:val="center"/>
        </w:trPr>
        <w:tc>
          <w:tcPr>
            <w:tcW w:w="2575" w:type="dxa"/>
            <w:gridSpan w:val="3"/>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3 - ÍNDICE DE COBERTURA DE INTERESES (ICI)</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34,1</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5,9</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32,1</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23</w:t>
            </w:r>
          </w:p>
        </w:tc>
        <w:tc>
          <w:tcPr>
            <w:tcW w:w="774" w:type="dxa"/>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343%</w:t>
            </w:r>
          </w:p>
        </w:tc>
      </w:tr>
      <w:tr w:rsidR="004E46AB" w:rsidRPr="00EA0827" w:rsidTr="00BF0E50">
        <w:trPr>
          <w:trHeight w:val="330"/>
          <w:jc w:val="center"/>
        </w:trPr>
        <w:tc>
          <w:tcPr>
            <w:tcW w:w="2575" w:type="dxa"/>
            <w:gridSpan w:val="3"/>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4 - CAPITAL DE TRABAJO</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2.268.705</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1.414.455</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256.119</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4.004.868</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33</w:t>
            </w:r>
          </w:p>
        </w:tc>
        <w:tc>
          <w:tcPr>
            <w:tcW w:w="774" w:type="dxa"/>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115%</w:t>
            </w:r>
          </w:p>
        </w:tc>
      </w:tr>
      <w:tr w:rsidR="004E46AB" w:rsidRPr="00EA0827" w:rsidTr="00BF0E50">
        <w:trPr>
          <w:trHeight w:val="330"/>
          <w:jc w:val="center"/>
        </w:trPr>
        <w:tc>
          <w:tcPr>
            <w:tcW w:w="1925" w:type="dxa"/>
            <w:tcBorders>
              <w:top w:val="nil"/>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5 - ROA</w:t>
            </w:r>
          </w:p>
        </w:tc>
        <w:tc>
          <w:tcPr>
            <w:tcW w:w="0" w:type="auto"/>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121,8%</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13,3%</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2,2%</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36,1%</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33</w:t>
            </w:r>
          </w:p>
        </w:tc>
        <w:tc>
          <w:tcPr>
            <w:tcW w:w="774" w:type="dxa"/>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313%</w:t>
            </w:r>
          </w:p>
        </w:tc>
      </w:tr>
      <w:tr w:rsidR="004E46AB" w:rsidRPr="00EA0827" w:rsidTr="00BF0E50">
        <w:trPr>
          <w:trHeight w:val="330"/>
          <w:jc w:val="center"/>
        </w:trPr>
        <w:tc>
          <w:tcPr>
            <w:tcW w:w="1925" w:type="dxa"/>
            <w:tcBorders>
              <w:top w:val="nil"/>
              <w:left w:val="single" w:sz="8" w:space="0" w:color="auto"/>
              <w:bottom w:val="single" w:sz="8" w:space="0" w:color="auto"/>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6 - ROE</w:t>
            </w:r>
          </w:p>
        </w:tc>
        <w:tc>
          <w:tcPr>
            <w:tcW w:w="0" w:type="auto"/>
            <w:tcBorders>
              <w:top w:val="nil"/>
              <w:left w:val="nil"/>
              <w:bottom w:val="single" w:sz="8" w:space="0" w:color="auto"/>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nil"/>
              <w:bottom w:val="single" w:sz="8" w:space="0" w:color="auto"/>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single" w:sz="4" w:space="0" w:color="auto"/>
              <w:bottom w:val="single" w:sz="8"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293,6%</w:t>
            </w:r>
          </w:p>
        </w:tc>
        <w:tc>
          <w:tcPr>
            <w:tcW w:w="0" w:type="auto"/>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18,7%</w:t>
            </w:r>
          </w:p>
        </w:tc>
        <w:tc>
          <w:tcPr>
            <w:tcW w:w="0" w:type="auto"/>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5,0%</w:t>
            </w:r>
          </w:p>
        </w:tc>
        <w:tc>
          <w:tcPr>
            <w:tcW w:w="0" w:type="auto"/>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75,2%</w:t>
            </w:r>
          </w:p>
        </w:tc>
        <w:tc>
          <w:tcPr>
            <w:tcW w:w="0" w:type="auto"/>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32</w:t>
            </w:r>
          </w:p>
        </w:tc>
        <w:tc>
          <w:tcPr>
            <w:tcW w:w="774" w:type="dxa"/>
            <w:tcBorders>
              <w:top w:val="nil"/>
              <w:left w:val="nil"/>
              <w:bottom w:val="single" w:sz="8"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327%</w:t>
            </w:r>
          </w:p>
        </w:tc>
      </w:tr>
    </w:tbl>
    <w:p w:rsidR="004E46AB" w:rsidRDefault="004E46AB" w:rsidP="004E46AB"/>
    <w:p w:rsidR="004E46AB" w:rsidRDefault="004E46AB" w:rsidP="004E46AB">
      <w:pPr>
        <w:autoSpaceDE w:val="0"/>
        <w:autoSpaceDN w:val="0"/>
        <w:adjustRightInd w:val="0"/>
        <w:jc w:val="both"/>
        <w:rPr>
          <w:rFonts w:ascii="Arial" w:hAnsi="Arial" w:cs="Arial"/>
          <w:color w:val="000000"/>
          <w:sz w:val="22"/>
          <w:szCs w:val="22"/>
          <w:lang w:val="es-ES"/>
        </w:rPr>
      </w:pPr>
    </w:p>
    <w:p w:rsidR="004E46AB" w:rsidRDefault="004E46AB" w:rsidP="004E46AB">
      <w:pPr>
        <w:autoSpaceDE w:val="0"/>
        <w:autoSpaceDN w:val="0"/>
        <w:adjustRightInd w:val="0"/>
        <w:jc w:val="both"/>
        <w:rPr>
          <w:rFonts w:ascii="Arial" w:hAnsi="Arial" w:cs="Arial"/>
          <w:color w:val="000000"/>
          <w:sz w:val="22"/>
          <w:szCs w:val="22"/>
          <w:lang w:val="es-ES"/>
        </w:rPr>
      </w:pPr>
      <w:r>
        <w:rPr>
          <w:rFonts w:ascii="Arial" w:hAnsi="Arial" w:cs="Arial"/>
          <w:color w:val="000000"/>
          <w:sz w:val="22"/>
          <w:szCs w:val="22"/>
          <w:lang w:val="es-ES"/>
        </w:rPr>
        <w:lastRenderedPageBreak/>
        <w:t xml:space="preserve">De igual forma, se llevó a cabo una búsqueda en el Registro Único Empresarial de </w:t>
      </w:r>
      <w:proofErr w:type="spellStart"/>
      <w:r>
        <w:rPr>
          <w:rFonts w:ascii="Arial" w:hAnsi="Arial" w:cs="Arial"/>
          <w:color w:val="000000"/>
          <w:sz w:val="22"/>
          <w:szCs w:val="22"/>
          <w:lang w:val="es-ES"/>
        </w:rPr>
        <w:t>Confecamaras</w:t>
      </w:r>
      <w:proofErr w:type="spellEnd"/>
      <w:r>
        <w:rPr>
          <w:rFonts w:ascii="Arial" w:hAnsi="Arial" w:cs="Arial"/>
          <w:color w:val="000000"/>
          <w:sz w:val="22"/>
          <w:szCs w:val="22"/>
          <w:lang w:val="es-ES"/>
        </w:rPr>
        <w:t xml:space="preserve"> para las entidades a nivel nacional que en su razón social estuvieran relacionadas con exclusividad en interventoría, se dejaron por fuera las entidades dedicadas a la interventoría de proyectos de construcción y de obras civiles por cuanto tienen una estructura financiera diferente a las empresas consideradas para el presente proceso contractual.</w:t>
      </w:r>
    </w:p>
    <w:p w:rsidR="004E46AB" w:rsidRDefault="004E46AB" w:rsidP="004E46AB">
      <w:pPr>
        <w:autoSpaceDE w:val="0"/>
        <w:autoSpaceDN w:val="0"/>
        <w:adjustRightInd w:val="0"/>
        <w:jc w:val="both"/>
        <w:rPr>
          <w:rFonts w:ascii="Arial" w:hAnsi="Arial" w:cs="Arial"/>
          <w:color w:val="000000"/>
          <w:sz w:val="22"/>
          <w:szCs w:val="22"/>
          <w:lang w:val="es-ES"/>
        </w:rPr>
      </w:pPr>
    </w:p>
    <w:tbl>
      <w:tblPr>
        <w:tblW w:w="7149" w:type="dxa"/>
        <w:jc w:val="center"/>
        <w:tblCellMar>
          <w:left w:w="70" w:type="dxa"/>
          <w:right w:w="70" w:type="dxa"/>
        </w:tblCellMar>
        <w:tblLook w:val="04A0" w:firstRow="1" w:lastRow="0" w:firstColumn="1" w:lastColumn="0" w:noHBand="0" w:noVBand="1"/>
      </w:tblPr>
      <w:tblGrid>
        <w:gridCol w:w="7149"/>
      </w:tblGrid>
      <w:tr w:rsidR="004E46AB" w:rsidRPr="00A228C0" w:rsidTr="00BF0E50">
        <w:trPr>
          <w:trHeight w:val="253"/>
          <w:jc w:val="center"/>
        </w:trPr>
        <w:tc>
          <w:tcPr>
            <w:tcW w:w="7149" w:type="dxa"/>
            <w:tcBorders>
              <w:top w:val="single" w:sz="8" w:space="0" w:color="808080"/>
              <w:left w:val="single" w:sz="8" w:space="0" w:color="808080"/>
              <w:bottom w:val="single" w:sz="8" w:space="0" w:color="808080"/>
              <w:right w:val="single" w:sz="8" w:space="0" w:color="808080"/>
            </w:tcBorders>
            <w:shd w:val="clear" w:color="000000" w:fill="F2F2F2"/>
            <w:noWrap/>
            <w:vAlign w:val="center"/>
            <w:hideMark/>
          </w:tcPr>
          <w:p w:rsidR="004E46AB" w:rsidRPr="00A228C0" w:rsidRDefault="004E46AB" w:rsidP="00BF0E50">
            <w:pPr>
              <w:jc w:val="center"/>
              <w:rPr>
                <w:rFonts w:ascii="Calibri" w:hAnsi="Calibri"/>
                <w:b/>
                <w:bCs/>
                <w:color w:val="000000"/>
                <w:sz w:val="18"/>
                <w:szCs w:val="18"/>
              </w:rPr>
            </w:pPr>
            <w:r w:rsidRPr="00A228C0">
              <w:rPr>
                <w:rFonts w:ascii="Calibri" w:hAnsi="Calibri"/>
                <w:b/>
                <w:bCs/>
                <w:color w:val="000000"/>
                <w:sz w:val="18"/>
                <w:szCs w:val="18"/>
              </w:rPr>
              <w:t>ENTIDAD</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C &amp; M GERENCIA E INTERVENTORÍA SAS</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CONSULTORÍA INTERVENTORÍA Y SERVICIOS S A S</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FUNDACION CENTRO DE ASESORIA CONSULTORÍA E INTERVENTORÍA COMUNITARIA CENAINCO</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GIC GERENCIA INTERVENTORÍA Y CONSULTORÍA S A S</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INTERVENTORÍA Y CONSULTORIAS FINANCIERAS S.A.S. - INCOF S.A.S.</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AUDITORIA E INTERVENTORÍA AICOS SAS</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FUNDACION DE ASESORIA INTERVENTORÍA SUPERVISION Y CONTRATACION FUNDAISCONT</w:t>
            </w:r>
          </w:p>
        </w:tc>
      </w:tr>
      <w:tr w:rsidR="004E46AB" w:rsidRPr="00A228C0" w:rsidTr="00BF0E50">
        <w:trPr>
          <w:trHeight w:val="253"/>
          <w:jc w:val="center"/>
        </w:trPr>
        <w:tc>
          <w:tcPr>
            <w:tcW w:w="7149" w:type="dxa"/>
            <w:tcBorders>
              <w:top w:val="nil"/>
              <w:left w:val="single" w:sz="8" w:space="0" w:color="808080"/>
              <w:bottom w:val="single" w:sz="4" w:space="0" w:color="auto"/>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ASESORIA E INTERVENTORÍA DE PROYECTOS IAEP SAS</w:t>
            </w:r>
          </w:p>
        </w:tc>
      </w:tr>
      <w:tr w:rsidR="004E46AB" w:rsidRPr="00A228C0" w:rsidTr="00BF0E50">
        <w:trPr>
          <w:trHeight w:val="253"/>
          <w:jc w:val="center"/>
        </w:trPr>
        <w:tc>
          <w:tcPr>
            <w:tcW w:w="71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ASESORIA E INTERVENTORÍA EMPRESARIAL ESPECIALIZADA S.A.S.</w:t>
            </w:r>
          </w:p>
        </w:tc>
      </w:tr>
      <w:tr w:rsidR="004E46AB" w:rsidRPr="00A228C0" w:rsidTr="00BF0E50">
        <w:trPr>
          <w:trHeight w:val="253"/>
          <w:jc w:val="center"/>
        </w:trPr>
        <w:tc>
          <w:tcPr>
            <w:tcW w:w="7149" w:type="dxa"/>
            <w:tcBorders>
              <w:top w:val="single" w:sz="4" w:space="0" w:color="auto"/>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CONSCOL &amp; INTERVENTORÍA S.A.S.</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ASESORIAS CONSULTORIAS E INTERVENTORÍA DE LA COSTA S.A.S.</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SERVICIOS DE INTERVENTORÍA INTEGRAL S.A.S</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CORCEL CONSULTORÍA &amp; INTERVENTORÍA LTDA</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INTERVENTORÍA DE PROYECTOS S.A.S.</w:t>
            </w:r>
          </w:p>
        </w:tc>
      </w:tr>
      <w:tr w:rsidR="004E46AB" w:rsidRPr="00A228C0" w:rsidTr="00BF0E50">
        <w:trPr>
          <w:trHeight w:val="253"/>
          <w:jc w:val="center"/>
        </w:trPr>
        <w:tc>
          <w:tcPr>
            <w:tcW w:w="7149" w:type="dxa"/>
            <w:tcBorders>
              <w:top w:val="nil"/>
              <w:left w:val="single" w:sz="8" w:space="0" w:color="808080"/>
              <w:bottom w:val="single" w:sz="8" w:space="0" w:color="808080"/>
              <w:right w:val="single" w:sz="8" w:space="0" w:color="808080"/>
            </w:tcBorders>
            <w:shd w:val="clear" w:color="auto" w:fill="auto"/>
            <w:noWrap/>
            <w:vAlign w:val="center"/>
            <w:hideMark/>
          </w:tcPr>
          <w:p w:rsidR="004E46AB" w:rsidRPr="00A228C0" w:rsidRDefault="004E46AB" w:rsidP="00BF0E50">
            <w:pPr>
              <w:rPr>
                <w:rFonts w:ascii="Calibri" w:hAnsi="Calibri"/>
                <w:color w:val="000000"/>
                <w:sz w:val="18"/>
                <w:szCs w:val="18"/>
              </w:rPr>
            </w:pPr>
            <w:r w:rsidRPr="00A228C0">
              <w:rPr>
                <w:rFonts w:ascii="Calibri" w:hAnsi="Calibri"/>
                <w:color w:val="000000"/>
                <w:sz w:val="18"/>
                <w:szCs w:val="18"/>
              </w:rPr>
              <w:t>COMPAÑIA DE INTERVENTORÍA Y CONSULTORÍA SAS</w:t>
            </w:r>
          </w:p>
        </w:tc>
      </w:tr>
    </w:tbl>
    <w:p w:rsidR="004E46AB" w:rsidRDefault="004E46AB" w:rsidP="004E46AB">
      <w:pPr>
        <w:autoSpaceDE w:val="0"/>
        <w:autoSpaceDN w:val="0"/>
        <w:adjustRightInd w:val="0"/>
        <w:jc w:val="both"/>
        <w:rPr>
          <w:rFonts w:ascii="Arial" w:hAnsi="Arial" w:cs="Arial"/>
          <w:color w:val="000000"/>
          <w:sz w:val="22"/>
          <w:szCs w:val="22"/>
          <w:lang w:val="es-ES"/>
        </w:rPr>
      </w:pPr>
    </w:p>
    <w:p w:rsidR="004E46AB" w:rsidRDefault="004E46AB" w:rsidP="004E46AB">
      <w:pPr>
        <w:autoSpaceDE w:val="0"/>
        <w:autoSpaceDN w:val="0"/>
        <w:adjustRightInd w:val="0"/>
        <w:jc w:val="both"/>
        <w:rPr>
          <w:rFonts w:ascii="Arial" w:hAnsi="Arial" w:cs="Arial"/>
          <w:color w:val="000000"/>
          <w:sz w:val="22"/>
          <w:szCs w:val="22"/>
          <w:lang w:val="es-ES"/>
        </w:rPr>
      </w:pPr>
      <w:r>
        <w:rPr>
          <w:rFonts w:ascii="Arial" w:hAnsi="Arial" w:cs="Arial"/>
          <w:color w:val="000000"/>
          <w:sz w:val="22"/>
          <w:szCs w:val="22"/>
          <w:lang w:val="es-ES"/>
        </w:rPr>
        <w:t>De las 15 empresas consideradas se tomaron los indicadores directamente del Registro Único de Proponentes para contar con los siguientes indicadores:</w:t>
      </w:r>
    </w:p>
    <w:p w:rsidR="004E46AB" w:rsidRDefault="004E46AB" w:rsidP="004E46AB">
      <w:pPr>
        <w:autoSpaceDE w:val="0"/>
        <w:autoSpaceDN w:val="0"/>
        <w:adjustRightInd w:val="0"/>
        <w:jc w:val="both"/>
        <w:rPr>
          <w:rFonts w:ascii="Arial" w:hAnsi="Arial" w:cs="Arial"/>
          <w:color w:val="000000"/>
          <w:sz w:val="22"/>
          <w:szCs w:val="22"/>
          <w:lang w:val="es-ES"/>
        </w:rPr>
      </w:pPr>
    </w:p>
    <w:tbl>
      <w:tblPr>
        <w:tblW w:w="8648" w:type="dxa"/>
        <w:tblCellMar>
          <w:left w:w="70" w:type="dxa"/>
          <w:right w:w="70" w:type="dxa"/>
        </w:tblCellMar>
        <w:tblLook w:val="04A0" w:firstRow="1" w:lastRow="0" w:firstColumn="1" w:lastColumn="0" w:noHBand="0" w:noVBand="1"/>
      </w:tblPr>
      <w:tblGrid>
        <w:gridCol w:w="1241"/>
        <w:gridCol w:w="1002"/>
        <w:gridCol w:w="1002"/>
        <w:gridCol w:w="272"/>
        <w:gridCol w:w="992"/>
        <w:gridCol w:w="887"/>
        <w:gridCol w:w="912"/>
        <w:gridCol w:w="912"/>
        <w:gridCol w:w="883"/>
        <w:gridCol w:w="545"/>
      </w:tblGrid>
      <w:tr w:rsidR="004E46AB" w:rsidRPr="00EA0827" w:rsidTr="00BF0E50">
        <w:trPr>
          <w:trHeight w:val="443"/>
        </w:trPr>
        <w:tc>
          <w:tcPr>
            <w:tcW w:w="0" w:type="auto"/>
            <w:gridSpan w:val="10"/>
            <w:tcBorders>
              <w:top w:val="single" w:sz="8" w:space="0" w:color="auto"/>
              <w:left w:val="single" w:sz="8" w:space="0" w:color="auto"/>
              <w:bottom w:val="single" w:sz="4" w:space="0" w:color="auto"/>
              <w:right w:val="single" w:sz="8" w:space="0" w:color="000000"/>
            </w:tcBorders>
            <w:shd w:val="clear" w:color="000000" w:fill="00B0F0"/>
            <w:noWrap/>
            <w:vAlign w:val="center"/>
            <w:hideMark/>
          </w:tcPr>
          <w:p w:rsidR="004E46AB" w:rsidRPr="00097339" w:rsidRDefault="004E46AB" w:rsidP="00BF0E50">
            <w:pPr>
              <w:jc w:val="center"/>
              <w:rPr>
                <w:rFonts w:ascii="Calibri" w:hAnsi="Calibri" w:cs="Calibri"/>
                <w:bCs/>
                <w:color w:val="FFFFFF"/>
                <w:sz w:val="18"/>
                <w:szCs w:val="32"/>
                <w:lang w:eastAsia="es-CO"/>
              </w:rPr>
            </w:pPr>
            <w:r w:rsidRPr="00097339">
              <w:rPr>
                <w:rFonts w:ascii="Calibri" w:hAnsi="Calibri" w:cs="Calibri"/>
                <w:bCs/>
                <w:color w:val="FFFFFF"/>
                <w:sz w:val="24"/>
                <w:szCs w:val="32"/>
                <w:lang w:eastAsia="es-CO"/>
              </w:rPr>
              <w:t>RUES 2017</w:t>
            </w:r>
          </w:p>
        </w:tc>
      </w:tr>
      <w:tr w:rsidR="004E46AB" w:rsidRPr="00EA0827" w:rsidTr="00BF0E50">
        <w:trPr>
          <w:trHeight w:val="321"/>
        </w:trPr>
        <w:tc>
          <w:tcPr>
            <w:tcW w:w="0" w:type="auto"/>
            <w:tcBorders>
              <w:top w:val="single" w:sz="4" w:space="0" w:color="auto"/>
              <w:left w:val="single" w:sz="8" w:space="0" w:color="auto"/>
              <w:bottom w:val="nil"/>
              <w:right w:val="nil"/>
            </w:tcBorders>
            <w:shd w:val="clear" w:color="auto" w:fill="auto"/>
            <w:noWrap/>
            <w:vAlign w:val="bottom"/>
            <w:hideMark/>
          </w:tcPr>
          <w:p w:rsidR="004E46AB" w:rsidRPr="00EA0827" w:rsidRDefault="004E46AB" w:rsidP="00BF0E50">
            <w:pPr>
              <w:rPr>
                <w:rFonts w:ascii="Calibri" w:hAnsi="Calibri" w:cs="Calibri"/>
                <w:color w:val="000000"/>
                <w:sz w:val="18"/>
                <w:szCs w:val="22"/>
                <w:lang w:eastAsia="es-CO"/>
              </w:rPr>
            </w:pPr>
            <w:r w:rsidRPr="00EA0827">
              <w:rPr>
                <w:rFonts w:ascii="Calibri" w:hAnsi="Calibri" w:cs="Calibri"/>
                <w:color w:val="000000"/>
                <w:sz w:val="18"/>
                <w:szCs w:val="22"/>
                <w:lang w:eastAsia="es-CO"/>
              </w:rPr>
              <w:t> </w:t>
            </w:r>
          </w:p>
        </w:tc>
        <w:tc>
          <w:tcPr>
            <w:tcW w:w="0" w:type="auto"/>
            <w:tcBorders>
              <w:top w:val="single" w:sz="4" w:space="0" w:color="auto"/>
              <w:left w:val="nil"/>
              <w:bottom w:val="nil"/>
              <w:right w:val="nil"/>
            </w:tcBorders>
            <w:shd w:val="clear" w:color="auto" w:fill="auto"/>
            <w:noWrap/>
            <w:vAlign w:val="bottom"/>
            <w:hideMark/>
          </w:tcPr>
          <w:p w:rsidR="004E46AB" w:rsidRPr="00EA0827" w:rsidRDefault="004E46AB" w:rsidP="00BF0E50">
            <w:pPr>
              <w:rPr>
                <w:rFonts w:ascii="Calibri" w:hAnsi="Calibri" w:cs="Calibri"/>
                <w:color w:val="000000"/>
                <w:sz w:val="18"/>
                <w:szCs w:val="22"/>
                <w:lang w:eastAsia="es-CO"/>
              </w:rPr>
            </w:pPr>
          </w:p>
        </w:tc>
        <w:tc>
          <w:tcPr>
            <w:tcW w:w="0" w:type="auto"/>
            <w:gridSpan w:val="2"/>
            <w:tcBorders>
              <w:top w:val="single" w:sz="4" w:space="0" w:color="auto"/>
              <w:left w:val="nil"/>
              <w:bottom w:val="single" w:sz="8" w:space="0" w:color="003E63"/>
              <w:right w:val="nil"/>
            </w:tcBorders>
            <w:shd w:val="clear" w:color="auto" w:fill="auto"/>
            <w:noWrap/>
            <w:vAlign w:val="bottom"/>
            <w:hideMark/>
          </w:tcPr>
          <w:p w:rsidR="004E46AB" w:rsidRPr="00EA0827" w:rsidRDefault="004E46AB" w:rsidP="00BF0E50">
            <w:pPr>
              <w:rPr>
                <w:rFonts w:ascii="Calibri" w:hAnsi="Calibri" w:cs="Calibri"/>
                <w:color w:val="000000"/>
                <w:sz w:val="18"/>
                <w:szCs w:val="22"/>
                <w:lang w:eastAsia="es-CO"/>
              </w:rPr>
            </w:pPr>
            <w:r w:rsidRPr="00EA0827">
              <w:rPr>
                <w:rFonts w:ascii="Calibri" w:hAnsi="Calibri" w:cs="Calibri"/>
                <w:color w:val="000000"/>
                <w:sz w:val="18"/>
                <w:szCs w:val="22"/>
                <w:lang w:eastAsia="es-CO"/>
              </w:rPr>
              <w:t> </w:t>
            </w:r>
          </w:p>
        </w:tc>
        <w:tc>
          <w:tcPr>
            <w:tcW w:w="0" w:type="auto"/>
            <w:tcBorders>
              <w:top w:val="single" w:sz="4" w:space="0" w:color="auto"/>
              <w:left w:val="single" w:sz="8" w:space="0" w:color="808080"/>
              <w:bottom w:val="nil"/>
              <w:right w:val="nil"/>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PROMEDIO</w:t>
            </w:r>
          </w:p>
        </w:tc>
        <w:tc>
          <w:tcPr>
            <w:tcW w:w="0" w:type="auto"/>
            <w:tcBorders>
              <w:top w:val="single" w:sz="4" w:space="0" w:color="auto"/>
              <w:left w:val="single" w:sz="4" w:space="0" w:color="808080"/>
              <w:bottom w:val="nil"/>
              <w:right w:val="single" w:sz="4" w:space="0" w:color="auto"/>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MEDIANA</w:t>
            </w:r>
          </w:p>
        </w:tc>
        <w:tc>
          <w:tcPr>
            <w:tcW w:w="0" w:type="auto"/>
            <w:tcBorders>
              <w:top w:val="single" w:sz="4" w:space="0" w:color="auto"/>
              <w:left w:val="single" w:sz="4" w:space="0" w:color="808080"/>
              <w:bottom w:val="nil"/>
              <w:right w:val="nil"/>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CUARTIL 1</w:t>
            </w:r>
          </w:p>
        </w:tc>
        <w:tc>
          <w:tcPr>
            <w:tcW w:w="0" w:type="auto"/>
            <w:tcBorders>
              <w:top w:val="single" w:sz="4" w:space="0" w:color="auto"/>
              <w:left w:val="single" w:sz="4" w:space="0" w:color="808080"/>
              <w:bottom w:val="nil"/>
              <w:right w:val="single" w:sz="4" w:space="0" w:color="auto"/>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CUARTIL 3</w:t>
            </w:r>
          </w:p>
        </w:tc>
        <w:tc>
          <w:tcPr>
            <w:tcW w:w="0" w:type="auto"/>
            <w:tcBorders>
              <w:top w:val="single" w:sz="4" w:space="0" w:color="auto"/>
              <w:left w:val="single" w:sz="8" w:space="0" w:color="808080"/>
              <w:bottom w:val="nil"/>
              <w:right w:val="single" w:sz="8" w:space="0" w:color="808080"/>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N° DATOS</w:t>
            </w:r>
          </w:p>
        </w:tc>
        <w:tc>
          <w:tcPr>
            <w:tcW w:w="0" w:type="auto"/>
            <w:tcBorders>
              <w:top w:val="single" w:sz="4" w:space="0" w:color="auto"/>
              <w:left w:val="nil"/>
              <w:bottom w:val="nil"/>
              <w:right w:val="single" w:sz="8" w:space="0" w:color="auto"/>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CV</w:t>
            </w:r>
          </w:p>
        </w:tc>
      </w:tr>
      <w:tr w:rsidR="004E46AB" w:rsidRPr="00EA0827" w:rsidTr="00BF0E50">
        <w:trPr>
          <w:trHeight w:val="336"/>
        </w:trPr>
        <w:tc>
          <w:tcPr>
            <w:tcW w:w="0" w:type="auto"/>
            <w:gridSpan w:val="3"/>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1 - LIQUIDEZ</w:t>
            </w:r>
          </w:p>
        </w:tc>
        <w:tc>
          <w:tcPr>
            <w:tcW w:w="0" w:type="auto"/>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5,7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sz w:val="18"/>
                <w:szCs w:val="22"/>
                <w:lang w:eastAsia="es-CO"/>
              </w:rPr>
            </w:pPr>
            <w:r w:rsidRPr="00EA0827">
              <w:rPr>
                <w:rFonts w:ascii="Calibri" w:hAnsi="Calibri" w:cs="Calibri"/>
                <w:sz w:val="18"/>
                <w:szCs w:val="22"/>
                <w:lang w:eastAsia="es-CO"/>
              </w:rPr>
              <w:t>8,2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15</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67%</w:t>
            </w:r>
          </w:p>
        </w:tc>
      </w:tr>
      <w:tr w:rsidR="004E46AB" w:rsidRPr="00EA0827" w:rsidTr="00BF0E50">
        <w:trPr>
          <w:trHeight w:val="336"/>
        </w:trPr>
        <w:tc>
          <w:tcPr>
            <w:tcW w:w="0" w:type="auto"/>
            <w:gridSpan w:val="3"/>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2 - ENDEUDAMIENTO</w:t>
            </w:r>
          </w:p>
        </w:tc>
        <w:tc>
          <w:tcPr>
            <w:tcW w:w="0" w:type="auto"/>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35%</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39%</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47%</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15</w:t>
            </w:r>
          </w:p>
        </w:tc>
        <w:tc>
          <w:tcPr>
            <w:tcW w:w="0" w:type="auto"/>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59%</w:t>
            </w:r>
          </w:p>
        </w:tc>
      </w:tr>
      <w:tr w:rsidR="004E46AB" w:rsidRPr="00EA0827" w:rsidTr="00BF0E50">
        <w:trPr>
          <w:trHeight w:val="336"/>
        </w:trPr>
        <w:tc>
          <w:tcPr>
            <w:tcW w:w="0" w:type="auto"/>
            <w:gridSpan w:val="4"/>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3 - ÍNDICE DE COBERTURA DE INTERESES (ICI)</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7236,3</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65,8</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18,8</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132,7</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6</w:t>
            </w:r>
          </w:p>
        </w:tc>
        <w:tc>
          <w:tcPr>
            <w:tcW w:w="0" w:type="auto"/>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243%</w:t>
            </w:r>
          </w:p>
        </w:tc>
      </w:tr>
      <w:tr w:rsidR="004E46AB" w:rsidRPr="00EA0827" w:rsidTr="00BF0E50">
        <w:trPr>
          <w:trHeight w:val="336"/>
        </w:trPr>
        <w:tc>
          <w:tcPr>
            <w:tcW w:w="0" w:type="auto"/>
            <w:gridSpan w:val="4"/>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4 - CAPITAL DE TRABAJO</w:t>
            </w:r>
            <w:r>
              <w:rPr>
                <w:rFonts w:ascii="Calibri" w:hAnsi="Calibri" w:cs="Calibri"/>
                <w:b/>
                <w:bCs/>
                <w:color w:val="FFFFFF"/>
                <w:sz w:val="18"/>
                <w:szCs w:val="24"/>
                <w:u w:val="single"/>
                <w:lang w:eastAsia="es-CO"/>
              </w:rPr>
              <w:t xml:space="preserve"> (miles)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proofErr w:type="spellStart"/>
            <w:r>
              <w:rPr>
                <w:rFonts w:ascii="Calibri" w:hAnsi="Calibri" w:cs="Calibri"/>
                <w:color w:val="000000"/>
                <w:sz w:val="18"/>
                <w:szCs w:val="22"/>
                <w:lang w:eastAsia="es-CO"/>
              </w:rPr>
              <w:t>n.d</w:t>
            </w:r>
            <w:proofErr w:type="spellEnd"/>
            <w:r>
              <w:rPr>
                <w:rFonts w:ascii="Calibri" w:hAnsi="Calibri" w:cs="Calibri"/>
                <w:color w:val="000000"/>
                <w:sz w:val="18"/>
                <w:szCs w:val="22"/>
                <w:lang w:eastAsia="es-CO"/>
              </w:rPr>
              <w:t>.</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proofErr w:type="spellStart"/>
            <w:r>
              <w:rPr>
                <w:rFonts w:ascii="Calibri" w:hAnsi="Calibri" w:cs="Calibri"/>
                <w:color w:val="000000"/>
                <w:sz w:val="18"/>
                <w:szCs w:val="22"/>
                <w:lang w:eastAsia="es-CO"/>
              </w:rPr>
              <w:t>n.d</w:t>
            </w:r>
            <w:proofErr w:type="spellEnd"/>
            <w:r>
              <w:rPr>
                <w:rFonts w:ascii="Calibri" w:hAnsi="Calibri" w:cs="Calibri"/>
                <w:color w:val="000000"/>
                <w:sz w:val="18"/>
                <w:szCs w:val="22"/>
                <w:lang w:eastAsia="es-CO"/>
              </w:rPr>
              <w:t>.</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proofErr w:type="spellStart"/>
            <w:r>
              <w:rPr>
                <w:rFonts w:ascii="Calibri" w:hAnsi="Calibri" w:cs="Calibri"/>
                <w:color w:val="000000"/>
                <w:sz w:val="18"/>
                <w:szCs w:val="22"/>
                <w:lang w:eastAsia="es-CO"/>
              </w:rPr>
              <w:t>n.d</w:t>
            </w:r>
            <w:proofErr w:type="spellEnd"/>
            <w:r>
              <w:rPr>
                <w:rFonts w:ascii="Calibri" w:hAnsi="Calibri" w:cs="Calibri"/>
                <w:color w:val="000000"/>
                <w:sz w:val="18"/>
                <w:szCs w:val="22"/>
                <w:lang w:eastAsia="es-CO"/>
              </w:rPr>
              <w:t>.</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proofErr w:type="spellStart"/>
            <w:r>
              <w:rPr>
                <w:rFonts w:ascii="Calibri" w:hAnsi="Calibri" w:cs="Calibri"/>
                <w:color w:val="000000"/>
                <w:sz w:val="18"/>
                <w:szCs w:val="22"/>
                <w:lang w:eastAsia="es-CO"/>
              </w:rPr>
              <w:t>n.d</w:t>
            </w:r>
            <w:proofErr w:type="spellEnd"/>
            <w:r>
              <w:rPr>
                <w:rFonts w:ascii="Calibri" w:hAnsi="Calibri" w:cs="Calibri"/>
                <w:color w:val="000000"/>
                <w:sz w:val="18"/>
                <w:szCs w:val="22"/>
                <w:lang w:eastAsia="es-CO"/>
              </w:rPr>
              <w:t>.</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proofErr w:type="spellStart"/>
            <w:r>
              <w:rPr>
                <w:rFonts w:ascii="Calibri" w:hAnsi="Calibri" w:cs="Calibri"/>
                <w:color w:val="000000"/>
                <w:sz w:val="18"/>
                <w:szCs w:val="22"/>
                <w:lang w:eastAsia="es-CO"/>
              </w:rPr>
              <w:t>n.d</w:t>
            </w:r>
            <w:proofErr w:type="spellEnd"/>
            <w:r>
              <w:rPr>
                <w:rFonts w:ascii="Calibri" w:hAnsi="Calibri" w:cs="Calibri"/>
                <w:color w:val="000000"/>
                <w:sz w:val="18"/>
                <w:szCs w:val="22"/>
                <w:lang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proofErr w:type="spellStart"/>
            <w:r>
              <w:rPr>
                <w:rFonts w:ascii="Calibri" w:hAnsi="Calibri" w:cs="Calibri"/>
                <w:color w:val="000000"/>
                <w:sz w:val="18"/>
                <w:szCs w:val="22"/>
                <w:lang w:eastAsia="es-CO"/>
              </w:rPr>
              <w:t>n.d</w:t>
            </w:r>
            <w:proofErr w:type="spellEnd"/>
            <w:r>
              <w:rPr>
                <w:rFonts w:ascii="Calibri" w:hAnsi="Calibri" w:cs="Calibri"/>
                <w:color w:val="000000"/>
                <w:sz w:val="18"/>
                <w:szCs w:val="22"/>
                <w:lang w:eastAsia="es-CO"/>
              </w:rPr>
              <w:t>.</w:t>
            </w:r>
          </w:p>
        </w:tc>
      </w:tr>
      <w:tr w:rsidR="004E46AB" w:rsidRPr="00EA0827" w:rsidTr="00BF0E50">
        <w:trPr>
          <w:trHeight w:val="336"/>
        </w:trPr>
        <w:tc>
          <w:tcPr>
            <w:tcW w:w="0" w:type="auto"/>
            <w:gridSpan w:val="2"/>
            <w:tcBorders>
              <w:top w:val="nil"/>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5 - ROA</w:t>
            </w:r>
          </w:p>
        </w:tc>
        <w:tc>
          <w:tcPr>
            <w:tcW w:w="0" w:type="auto"/>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17,1%</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13,0%</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7,5%</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20,0%</w:t>
            </w:r>
          </w:p>
        </w:tc>
        <w:tc>
          <w:tcPr>
            <w:tcW w:w="0" w:type="auto"/>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15</w:t>
            </w:r>
          </w:p>
        </w:tc>
        <w:tc>
          <w:tcPr>
            <w:tcW w:w="0" w:type="auto"/>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89%</w:t>
            </w:r>
          </w:p>
        </w:tc>
      </w:tr>
      <w:tr w:rsidR="004E46AB" w:rsidRPr="00EA0827" w:rsidTr="00BF0E50">
        <w:trPr>
          <w:trHeight w:val="336"/>
        </w:trPr>
        <w:tc>
          <w:tcPr>
            <w:tcW w:w="0" w:type="auto"/>
            <w:gridSpan w:val="2"/>
            <w:tcBorders>
              <w:top w:val="nil"/>
              <w:left w:val="single" w:sz="8" w:space="0" w:color="auto"/>
              <w:bottom w:val="single" w:sz="8" w:space="0" w:color="auto"/>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6 - ROE</w:t>
            </w:r>
          </w:p>
        </w:tc>
        <w:tc>
          <w:tcPr>
            <w:tcW w:w="0" w:type="auto"/>
            <w:tcBorders>
              <w:top w:val="nil"/>
              <w:left w:val="nil"/>
              <w:bottom w:val="single" w:sz="8" w:space="0" w:color="auto"/>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nil"/>
              <w:bottom w:val="single" w:sz="8" w:space="0" w:color="auto"/>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0" w:type="auto"/>
            <w:tcBorders>
              <w:top w:val="nil"/>
              <w:left w:val="single" w:sz="4" w:space="0" w:color="auto"/>
              <w:bottom w:val="single" w:sz="8"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25,3%</w:t>
            </w:r>
          </w:p>
        </w:tc>
        <w:tc>
          <w:tcPr>
            <w:tcW w:w="0" w:type="auto"/>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20,0%</w:t>
            </w:r>
          </w:p>
        </w:tc>
        <w:tc>
          <w:tcPr>
            <w:tcW w:w="0" w:type="auto"/>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12,5%</w:t>
            </w:r>
          </w:p>
        </w:tc>
        <w:tc>
          <w:tcPr>
            <w:tcW w:w="0" w:type="auto"/>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34,5%</w:t>
            </w:r>
          </w:p>
        </w:tc>
        <w:tc>
          <w:tcPr>
            <w:tcW w:w="0" w:type="auto"/>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15</w:t>
            </w:r>
          </w:p>
        </w:tc>
        <w:tc>
          <w:tcPr>
            <w:tcW w:w="0" w:type="auto"/>
            <w:tcBorders>
              <w:top w:val="nil"/>
              <w:left w:val="nil"/>
              <w:bottom w:val="single" w:sz="8"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77%</w:t>
            </w:r>
          </w:p>
        </w:tc>
      </w:tr>
      <w:tr w:rsidR="004E46AB" w:rsidRPr="00EA0827" w:rsidTr="00BF0E50">
        <w:trPr>
          <w:trHeight w:val="321"/>
        </w:trPr>
        <w:tc>
          <w:tcPr>
            <w:tcW w:w="0" w:type="auto"/>
            <w:tcBorders>
              <w:top w:val="nil"/>
              <w:left w:val="nil"/>
              <w:bottom w:val="nil"/>
              <w:right w:val="nil"/>
            </w:tcBorders>
            <w:shd w:val="clear" w:color="auto" w:fill="auto"/>
            <w:noWrap/>
            <w:vAlign w:val="bottom"/>
            <w:hideMark/>
          </w:tcPr>
          <w:p w:rsidR="004E46AB" w:rsidRPr="00EA0827" w:rsidRDefault="004E46AB" w:rsidP="00BF0E50">
            <w:pPr>
              <w:jc w:val="center"/>
              <w:rPr>
                <w:rFonts w:ascii="Calibri" w:hAnsi="Calibri" w:cs="Calibri"/>
                <w:color w:val="000000"/>
                <w:sz w:val="18"/>
                <w:szCs w:val="22"/>
                <w:lang w:eastAsia="es-CO"/>
              </w:rPr>
            </w:pPr>
          </w:p>
        </w:tc>
        <w:tc>
          <w:tcPr>
            <w:tcW w:w="0" w:type="auto"/>
            <w:tcBorders>
              <w:top w:val="nil"/>
              <w:left w:val="nil"/>
              <w:bottom w:val="nil"/>
              <w:right w:val="nil"/>
            </w:tcBorders>
            <w:shd w:val="clear" w:color="auto" w:fill="auto"/>
            <w:noWrap/>
            <w:vAlign w:val="bottom"/>
            <w:hideMark/>
          </w:tcPr>
          <w:p w:rsidR="004E46AB" w:rsidRPr="00EA0827" w:rsidRDefault="004E46AB" w:rsidP="00BF0E50">
            <w:pPr>
              <w:rPr>
                <w:sz w:val="18"/>
                <w:lang w:eastAsia="es-CO"/>
              </w:rPr>
            </w:pPr>
          </w:p>
        </w:tc>
        <w:tc>
          <w:tcPr>
            <w:tcW w:w="0" w:type="auto"/>
            <w:gridSpan w:val="2"/>
            <w:tcBorders>
              <w:top w:val="nil"/>
              <w:left w:val="nil"/>
              <w:bottom w:val="nil"/>
              <w:right w:val="nil"/>
            </w:tcBorders>
            <w:shd w:val="clear" w:color="auto" w:fill="auto"/>
            <w:noWrap/>
            <w:vAlign w:val="bottom"/>
            <w:hideMark/>
          </w:tcPr>
          <w:p w:rsidR="004E46AB" w:rsidRPr="00EA0827" w:rsidRDefault="004E46AB" w:rsidP="00BF0E50">
            <w:pPr>
              <w:rPr>
                <w:sz w:val="18"/>
                <w:lang w:eastAsia="es-CO"/>
              </w:rPr>
            </w:pPr>
          </w:p>
        </w:tc>
        <w:tc>
          <w:tcPr>
            <w:tcW w:w="0" w:type="auto"/>
            <w:tcBorders>
              <w:top w:val="nil"/>
              <w:left w:val="nil"/>
              <w:bottom w:val="nil"/>
              <w:right w:val="nil"/>
            </w:tcBorders>
            <w:shd w:val="clear" w:color="auto" w:fill="auto"/>
            <w:noWrap/>
            <w:vAlign w:val="bottom"/>
            <w:hideMark/>
          </w:tcPr>
          <w:p w:rsidR="004E46AB" w:rsidRPr="00EA0827" w:rsidRDefault="004E46AB" w:rsidP="00BF0E50">
            <w:pPr>
              <w:rPr>
                <w:sz w:val="18"/>
                <w:lang w:eastAsia="es-CO"/>
              </w:rPr>
            </w:pPr>
          </w:p>
        </w:tc>
        <w:tc>
          <w:tcPr>
            <w:tcW w:w="0" w:type="auto"/>
            <w:tcBorders>
              <w:top w:val="nil"/>
              <w:left w:val="nil"/>
              <w:bottom w:val="nil"/>
              <w:right w:val="nil"/>
            </w:tcBorders>
            <w:shd w:val="clear" w:color="auto" w:fill="auto"/>
            <w:noWrap/>
            <w:vAlign w:val="bottom"/>
            <w:hideMark/>
          </w:tcPr>
          <w:p w:rsidR="004E46AB" w:rsidRPr="00EA0827" w:rsidRDefault="004E46AB" w:rsidP="00BF0E50">
            <w:pPr>
              <w:rPr>
                <w:sz w:val="18"/>
                <w:lang w:eastAsia="es-CO"/>
              </w:rPr>
            </w:pPr>
          </w:p>
        </w:tc>
        <w:tc>
          <w:tcPr>
            <w:tcW w:w="0" w:type="auto"/>
            <w:tcBorders>
              <w:top w:val="nil"/>
              <w:left w:val="nil"/>
              <w:bottom w:val="nil"/>
              <w:right w:val="nil"/>
            </w:tcBorders>
            <w:shd w:val="clear" w:color="auto" w:fill="auto"/>
            <w:noWrap/>
            <w:vAlign w:val="bottom"/>
            <w:hideMark/>
          </w:tcPr>
          <w:p w:rsidR="004E46AB" w:rsidRPr="00EA0827" w:rsidRDefault="004E46AB" w:rsidP="00BF0E50">
            <w:pPr>
              <w:rPr>
                <w:sz w:val="18"/>
                <w:lang w:eastAsia="es-CO"/>
              </w:rPr>
            </w:pPr>
          </w:p>
        </w:tc>
        <w:tc>
          <w:tcPr>
            <w:tcW w:w="0" w:type="auto"/>
            <w:tcBorders>
              <w:top w:val="nil"/>
              <w:left w:val="nil"/>
              <w:bottom w:val="nil"/>
              <w:right w:val="nil"/>
            </w:tcBorders>
            <w:shd w:val="clear" w:color="auto" w:fill="auto"/>
            <w:noWrap/>
            <w:vAlign w:val="bottom"/>
            <w:hideMark/>
          </w:tcPr>
          <w:p w:rsidR="004E46AB" w:rsidRPr="00EA0827" w:rsidRDefault="004E46AB" w:rsidP="00BF0E50">
            <w:pPr>
              <w:rPr>
                <w:sz w:val="18"/>
                <w:lang w:eastAsia="es-CO"/>
              </w:rPr>
            </w:pPr>
          </w:p>
        </w:tc>
        <w:tc>
          <w:tcPr>
            <w:tcW w:w="0" w:type="auto"/>
            <w:tcBorders>
              <w:top w:val="nil"/>
              <w:left w:val="nil"/>
              <w:bottom w:val="nil"/>
              <w:right w:val="nil"/>
            </w:tcBorders>
            <w:shd w:val="clear" w:color="auto" w:fill="auto"/>
            <w:noWrap/>
            <w:vAlign w:val="bottom"/>
            <w:hideMark/>
          </w:tcPr>
          <w:p w:rsidR="004E46AB" w:rsidRPr="00EA0827" w:rsidRDefault="004E46AB" w:rsidP="00BF0E50">
            <w:pPr>
              <w:rPr>
                <w:sz w:val="18"/>
                <w:lang w:eastAsia="es-CO"/>
              </w:rPr>
            </w:pPr>
          </w:p>
        </w:tc>
        <w:tc>
          <w:tcPr>
            <w:tcW w:w="0" w:type="auto"/>
            <w:tcBorders>
              <w:top w:val="nil"/>
              <w:left w:val="nil"/>
              <w:bottom w:val="nil"/>
              <w:right w:val="nil"/>
            </w:tcBorders>
            <w:shd w:val="clear" w:color="auto" w:fill="auto"/>
            <w:noWrap/>
            <w:vAlign w:val="bottom"/>
            <w:hideMark/>
          </w:tcPr>
          <w:p w:rsidR="004E46AB" w:rsidRPr="00EA0827" w:rsidRDefault="004E46AB" w:rsidP="00BF0E50">
            <w:pPr>
              <w:rPr>
                <w:sz w:val="18"/>
                <w:lang w:eastAsia="es-CO"/>
              </w:rPr>
            </w:pPr>
          </w:p>
        </w:tc>
      </w:tr>
    </w:tbl>
    <w:p w:rsidR="004E46AB" w:rsidRDefault="004E46AB" w:rsidP="004E46AB">
      <w:pPr>
        <w:autoSpaceDE w:val="0"/>
        <w:autoSpaceDN w:val="0"/>
        <w:adjustRightInd w:val="0"/>
        <w:jc w:val="both"/>
        <w:rPr>
          <w:rFonts w:ascii="Arial" w:hAnsi="Arial" w:cs="Arial"/>
          <w:color w:val="000000"/>
          <w:sz w:val="22"/>
          <w:szCs w:val="22"/>
          <w:lang w:val="es-ES"/>
        </w:rPr>
      </w:pPr>
      <w:r>
        <w:rPr>
          <w:rFonts w:ascii="Arial" w:hAnsi="Arial" w:cs="Arial"/>
          <w:color w:val="000000"/>
          <w:sz w:val="22"/>
          <w:szCs w:val="22"/>
          <w:lang w:val="es-ES"/>
        </w:rPr>
        <w:t>Posteriormente, se llevó a cabo un cuadro con el promedio para las dos muestras consideradas para contar con el resumen que se relaciona a continuación:</w:t>
      </w:r>
    </w:p>
    <w:p w:rsidR="004E46AB" w:rsidRDefault="004E46AB" w:rsidP="004E46AB">
      <w:pPr>
        <w:autoSpaceDE w:val="0"/>
        <w:autoSpaceDN w:val="0"/>
        <w:adjustRightInd w:val="0"/>
        <w:jc w:val="both"/>
        <w:rPr>
          <w:rFonts w:ascii="Arial" w:hAnsi="Arial" w:cs="Arial"/>
          <w:color w:val="000000"/>
          <w:sz w:val="22"/>
          <w:szCs w:val="22"/>
          <w:lang w:val="es-ES"/>
        </w:rPr>
      </w:pPr>
    </w:p>
    <w:p w:rsidR="004E46AB" w:rsidRDefault="004E46AB" w:rsidP="004E46AB">
      <w:pPr>
        <w:autoSpaceDE w:val="0"/>
        <w:autoSpaceDN w:val="0"/>
        <w:adjustRightInd w:val="0"/>
        <w:jc w:val="both"/>
        <w:rPr>
          <w:rFonts w:ascii="Arial" w:hAnsi="Arial" w:cs="Arial"/>
          <w:color w:val="000000"/>
          <w:sz w:val="22"/>
          <w:szCs w:val="22"/>
          <w:lang w:val="es-ES"/>
        </w:rPr>
      </w:pPr>
    </w:p>
    <w:tbl>
      <w:tblPr>
        <w:tblW w:w="9105" w:type="dxa"/>
        <w:jc w:val="center"/>
        <w:tblLayout w:type="fixed"/>
        <w:tblCellMar>
          <w:left w:w="70" w:type="dxa"/>
          <w:right w:w="70" w:type="dxa"/>
        </w:tblCellMar>
        <w:tblLook w:val="04A0" w:firstRow="1" w:lastRow="0" w:firstColumn="1" w:lastColumn="0" w:noHBand="0" w:noVBand="1"/>
      </w:tblPr>
      <w:tblGrid>
        <w:gridCol w:w="2634"/>
        <w:gridCol w:w="547"/>
        <w:gridCol w:w="166"/>
        <w:gridCol w:w="1051"/>
        <w:gridCol w:w="1028"/>
        <w:gridCol w:w="882"/>
        <w:gridCol w:w="1028"/>
        <w:gridCol w:w="773"/>
        <w:gridCol w:w="990"/>
        <w:gridCol w:w="6"/>
      </w:tblGrid>
      <w:tr w:rsidR="004E46AB" w:rsidRPr="00EA0827" w:rsidTr="00BF0E50">
        <w:trPr>
          <w:trHeight w:val="380"/>
          <w:jc w:val="center"/>
        </w:trPr>
        <w:tc>
          <w:tcPr>
            <w:tcW w:w="9105" w:type="dxa"/>
            <w:gridSpan w:val="10"/>
            <w:tcBorders>
              <w:top w:val="single" w:sz="8" w:space="0" w:color="auto"/>
              <w:left w:val="single" w:sz="8" w:space="0" w:color="auto"/>
              <w:bottom w:val="single" w:sz="4" w:space="0" w:color="auto"/>
              <w:right w:val="single" w:sz="8" w:space="0" w:color="000000"/>
            </w:tcBorders>
            <w:shd w:val="clear" w:color="000000" w:fill="00B0F0"/>
            <w:noWrap/>
            <w:vAlign w:val="center"/>
            <w:hideMark/>
          </w:tcPr>
          <w:p w:rsidR="004E46AB" w:rsidRPr="00EA0827" w:rsidRDefault="004E46AB" w:rsidP="00BF0E50">
            <w:pPr>
              <w:jc w:val="center"/>
              <w:rPr>
                <w:rFonts w:ascii="Calibri" w:hAnsi="Calibri" w:cs="Calibri"/>
                <w:b/>
                <w:bCs/>
                <w:color w:val="FFFFFF"/>
                <w:sz w:val="18"/>
                <w:szCs w:val="32"/>
                <w:lang w:eastAsia="es-CO"/>
              </w:rPr>
            </w:pPr>
            <w:r w:rsidRPr="00EA0827">
              <w:rPr>
                <w:rFonts w:ascii="Calibri" w:hAnsi="Calibri" w:cs="Calibri"/>
                <w:b/>
                <w:bCs/>
                <w:color w:val="FFFFFF"/>
                <w:sz w:val="18"/>
                <w:szCs w:val="32"/>
                <w:lang w:eastAsia="es-CO"/>
              </w:rPr>
              <w:lastRenderedPageBreak/>
              <w:t>PROMEDIO</w:t>
            </w:r>
          </w:p>
        </w:tc>
      </w:tr>
      <w:tr w:rsidR="004E46AB" w:rsidRPr="00EA0827" w:rsidTr="00BF0E50">
        <w:trPr>
          <w:gridAfter w:val="1"/>
          <w:wAfter w:w="6" w:type="dxa"/>
          <w:trHeight w:val="275"/>
          <w:jc w:val="center"/>
        </w:trPr>
        <w:tc>
          <w:tcPr>
            <w:tcW w:w="2634" w:type="dxa"/>
            <w:tcBorders>
              <w:top w:val="single" w:sz="4" w:space="0" w:color="auto"/>
              <w:left w:val="single" w:sz="8" w:space="0" w:color="auto"/>
              <w:bottom w:val="nil"/>
              <w:right w:val="nil"/>
            </w:tcBorders>
            <w:shd w:val="clear" w:color="auto" w:fill="auto"/>
            <w:noWrap/>
            <w:vAlign w:val="bottom"/>
            <w:hideMark/>
          </w:tcPr>
          <w:p w:rsidR="004E46AB" w:rsidRPr="00EA0827" w:rsidRDefault="004E46AB" w:rsidP="00BF0E50">
            <w:pPr>
              <w:rPr>
                <w:rFonts w:ascii="Calibri" w:hAnsi="Calibri" w:cs="Calibri"/>
                <w:color w:val="000000"/>
                <w:sz w:val="18"/>
                <w:szCs w:val="22"/>
                <w:lang w:eastAsia="es-CO"/>
              </w:rPr>
            </w:pPr>
            <w:r w:rsidRPr="00EA0827">
              <w:rPr>
                <w:rFonts w:ascii="Calibri" w:hAnsi="Calibri" w:cs="Calibri"/>
                <w:color w:val="000000"/>
                <w:sz w:val="18"/>
                <w:szCs w:val="22"/>
                <w:lang w:eastAsia="es-CO"/>
              </w:rPr>
              <w:t> </w:t>
            </w:r>
          </w:p>
        </w:tc>
        <w:tc>
          <w:tcPr>
            <w:tcW w:w="547" w:type="dxa"/>
            <w:tcBorders>
              <w:top w:val="single" w:sz="4" w:space="0" w:color="auto"/>
              <w:left w:val="nil"/>
              <w:bottom w:val="nil"/>
              <w:right w:val="nil"/>
            </w:tcBorders>
            <w:shd w:val="clear" w:color="auto" w:fill="auto"/>
            <w:noWrap/>
            <w:vAlign w:val="bottom"/>
            <w:hideMark/>
          </w:tcPr>
          <w:p w:rsidR="004E46AB" w:rsidRPr="00EA0827" w:rsidRDefault="004E46AB" w:rsidP="00BF0E50">
            <w:pPr>
              <w:rPr>
                <w:rFonts w:ascii="Calibri" w:hAnsi="Calibri" w:cs="Calibri"/>
                <w:color w:val="000000"/>
                <w:sz w:val="18"/>
                <w:szCs w:val="22"/>
                <w:lang w:eastAsia="es-CO"/>
              </w:rPr>
            </w:pPr>
          </w:p>
        </w:tc>
        <w:tc>
          <w:tcPr>
            <w:tcW w:w="166" w:type="dxa"/>
            <w:tcBorders>
              <w:top w:val="single" w:sz="4" w:space="0" w:color="auto"/>
              <w:left w:val="nil"/>
              <w:bottom w:val="single" w:sz="8" w:space="0" w:color="003E63"/>
              <w:right w:val="nil"/>
            </w:tcBorders>
            <w:shd w:val="clear" w:color="auto" w:fill="auto"/>
            <w:noWrap/>
            <w:vAlign w:val="bottom"/>
            <w:hideMark/>
          </w:tcPr>
          <w:p w:rsidR="004E46AB" w:rsidRPr="00EA0827" w:rsidRDefault="004E46AB" w:rsidP="00BF0E50">
            <w:pPr>
              <w:rPr>
                <w:rFonts w:ascii="Calibri" w:hAnsi="Calibri" w:cs="Calibri"/>
                <w:color w:val="000000"/>
                <w:sz w:val="18"/>
                <w:szCs w:val="22"/>
                <w:lang w:eastAsia="es-CO"/>
              </w:rPr>
            </w:pPr>
            <w:r w:rsidRPr="00EA0827">
              <w:rPr>
                <w:rFonts w:ascii="Calibri" w:hAnsi="Calibri" w:cs="Calibri"/>
                <w:color w:val="000000"/>
                <w:sz w:val="18"/>
                <w:szCs w:val="22"/>
                <w:lang w:eastAsia="es-CO"/>
              </w:rPr>
              <w:t> </w:t>
            </w:r>
          </w:p>
        </w:tc>
        <w:tc>
          <w:tcPr>
            <w:tcW w:w="1051" w:type="dxa"/>
            <w:tcBorders>
              <w:top w:val="single" w:sz="4" w:space="0" w:color="auto"/>
              <w:left w:val="single" w:sz="8" w:space="0" w:color="808080"/>
              <w:bottom w:val="nil"/>
              <w:right w:val="nil"/>
            </w:tcBorders>
            <w:shd w:val="clear" w:color="auto" w:fill="auto"/>
            <w:noWrap/>
            <w:vAlign w:val="center"/>
            <w:hideMark/>
          </w:tcPr>
          <w:p w:rsidR="004E46AB" w:rsidRPr="00EA0827" w:rsidRDefault="004E46AB" w:rsidP="00BF0E50">
            <w:pP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PROMEDIO</w:t>
            </w:r>
          </w:p>
        </w:tc>
        <w:tc>
          <w:tcPr>
            <w:tcW w:w="1028" w:type="dxa"/>
            <w:tcBorders>
              <w:top w:val="single" w:sz="4" w:space="0" w:color="auto"/>
              <w:left w:val="single" w:sz="4" w:space="0" w:color="808080"/>
              <w:bottom w:val="nil"/>
              <w:right w:val="single" w:sz="4" w:space="0" w:color="auto"/>
            </w:tcBorders>
            <w:shd w:val="clear" w:color="auto" w:fill="auto"/>
            <w:noWrap/>
            <w:vAlign w:val="center"/>
            <w:hideMark/>
          </w:tcPr>
          <w:p w:rsidR="004E46AB" w:rsidRPr="00EA0827" w:rsidRDefault="004E46AB" w:rsidP="00BF0E50">
            <w:pP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MEDIANA</w:t>
            </w:r>
          </w:p>
        </w:tc>
        <w:tc>
          <w:tcPr>
            <w:tcW w:w="882" w:type="dxa"/>
            <w:tcBorders>
              <w:top w:val="single" w:sz="4" w:space="0" w:color="auto"/>
              <w:left w:val="single" w:sz="4" w:space="0" w:color="808080"/>
              <w:bottom w:val="nil"/>
              <w:right w:val="nil"/>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CUARTIL 1</w:t>
            </w:r>
          </w:p>
        </w:tc>
        <w:tc>
          <w:tcPr>
            <w:tcW w:w="1028" w:type="dxa"/>
            <w:tcBorders>
              <w:top w:val="single" w:sz="4" w:space="0" w:color="auto"/>
              <w:left w:val="single" w:sz="4" w:space="0" w:color="808080"/>
              <w:bottom w:val="nil"/>
              <w:right w:val="single" w:sz="4" w:space="0" w:color="auto"/>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CUARTIL 3</w:t>
            </w:r>
          </w:p>
        </w:tc>
        <w:tc>
          <w:tcPr>
            <w:tcW w:w="773" w:type="dxa"/>
            <w:tcBorders>
              <w:top w:val="single" w:sz="4" w:space="0" w:color="auto"/>
              <w:left w:val="single" w:sz="8" w:space="0" w:color="808080"/>
              <w:bottom w:val="nil"/>
              <w:right w:val="single" w:sz="8" w:space="0" w:color="808080"/>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N° DATOS</w:t>
            </w:r>
          </w:p>
        </w:tc>
        <w:tc>
          <w:tcPr>
            <w:tcW w:w="990" w:type="dxa"/>
            <w:tcBorders>
              <w:top w:val="single" w:sz="4" w:space="0" w:color="auto"/>
              <w:left w:val="nil"/>
              <w:bottom w:val="nil"/>
              <w:right w:val="single" w:sz="8" w:space="0" w:color="auto"/>
            </w:tcBorders>
            <w:shd w:val="clear" w:color="auto" w:fill="auto"/>
            <w:noWrap/>
            <w:vAlign w:val="center"/>
            <w:hideMark/>
          </w:tcPr>
          <w:p w:rsidR="004E46AB" w:rsidRPr="00EA0827" w:rsidRDefault="004E46AB" w:rsidP="00BF0E50">
            <w:pPr>
              <w:jc w:val="center"/>
              <w:rPr>
                <w:rFonts w:ascii="Calibri" w:hAnsi="Calibri" w:cs="Calibri"/>
                <w:b/>
                <w:bCs/>
                <w:color w:val="0078A2"/>
                <w:sz w:val="18"/>
                <w:szCs w:val="22"/>
                <w:lang w:eastAsia="es-CO"/>
              </w:rPr>
            </w:pPr>
            <w:r w:rsidRPr="00EA0827">
              <w:rPr>
                <w:rFonts w:ascii="Calibri" w:hAnsi="Calibri" w:cs="Calibri"/>
                <w:b/>
                <w:bCs/>
                <w:color w:val="0078A2"/>
                <w:sz w:val="18"/>
                <w:szCs w:val="22"/>
                <w:lang w:eastAsia="es-CO"/>
              </w:rPr>
              <w:t>CV</w:t>
            </w:r>
          </w:p>
        </w:tc>
      </w:tr>
      <w:tr w:rsidR="004E46AB" w:rsidRPr="00EA0827" w:rsidTr="00BF0E50">
        <w:trPr>
          <w:gridAfter w:val="1"/>
          <w:wAfter w:w="6" w:type="dxa"/>
          <w:trHeight w:val="288"/>
          <w:jc w:val="center"/>
        </w:trPr>
        <w:tc>
          <w:tcPr>
            <w:tcW w:w="3181" w:type="dxa"/>
            <w:gridSpan w:val="2"/>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1 - LIQUIDEZ</w:t>
            </w:r>
          </w:p>
        </w:tc>
        <w:tc>
          <w:tcPr>
            <w:tcW w:w="166" w:type="dxa"/>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10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9,8</w:t>
            </w:r>
          </w:p>
        </w:tc>
        <w:tc>
          <w:tcPr>
            <w:tcW w:w="1028" w:type="dxa"/>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3,6</w:t>
            </w:r>
          </w:p>
        </w:tc>
        <w:tc>
          <w:tcPr>
            <w:tcW w:w="882" w:type="dxa"/>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2,1</w:t>
            </w:r>
          </w:p>
        </w:tc>
        <w:tc>
          <w:tcPr>
            <w:tcW w:w="1028" w:type="dxa"/>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sz w:val="18"/>
                <w:szCs w:val="22"/>
                <w:lang w:eastAsia="es-CO"/>
              </w:rPr>
            </w:pPr>
            <w:r w:rsidRPr="00EA0827">
              <w:rPr>
                <w:rFonts w:ascii="Calibri" w:hAnsi="Calibri" w:cs="Calibri"/>
                <w:sz w:val="18"/>
                <w:szCs w:val="22"/>
                <w:lang w:eastAsia="es-CO"/>
              </w:rPr>
              <w:t>5,8</w:t>
            </w:r>
          </w:p>
        </w:tc>
        <w:tc>
          <w:tcPr>
            <w:tcW w:w="773" w:type="dxa"/>
            <w:tcBorders>
              <w:top w:val="single" w:sz="4" w:space="0" w:color="auto"/>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48</w:t>
            </w:r>
          </w:p>
        </w:tc>
        <w:tc>
          <w:tcPr>
            <w:tcW w:w="990" w:type="dxa"/>
            <w:tcBorders>
              <w:top w:val="single" w:sz="4" w:space="0" w:color="auto"/>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222%</w:t>
            </w:r>
          </w:p>
        </w:tc>
      </w:tr>
      <w:tr w:rsidR="004E46AB" w:rsidRPr="00EA0827" w:rsidTr="00BF0E50">
        <w:trPr>
          <w:gridAfter w:val="1"/>
          <w:wAfter w:w="6" w:type="dxa"/>
          <w:trHeight w:val="288"/>
          <w:jc w:val="center"/>
        </w:trPr>
        <w:tc>
          <w:tcPr>
            <w:tcW w:w="3181" w:type="dxa"/>
            <w:gridSpan w:val="2"/>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2 - ENDEUDAMIENTO</w:t>
            </w:r>
          </w:p>
        </w:tc>
        <w:tc>
          <w:tcPr>
            <w:tcW w:w="166" w:type="dxa"/>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38%</w:t>
            </w:r>
          </w:p>
        </w:tc>
        <w:tc>
          <w:tcPr>
            <w:tcW w:w="1028"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41%</w:t>
            </w:r>
          </w:p>
        </w:tc>
        <w:tc>
          <w:tcPr>
            <w:tcW w:w="882"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20%</w:t>
            </w:r>
          </w:p>
        </w:tc>
        <w:tc>
          <w:tcPr>
            <w:tcW w:w="1028"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53%</w:t>
            </w:r>
          </w:p>
        </w:tc>
        <w:tc>
          <w:tcPr>
            <w:tcW w:w="773"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48</w:t>
            </w:r>
          </w:p>
        </w:tc>
        <w:tc>
          <w:tcPr>
            <w:tcW w:w="990" w:type="dxa"/>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62%</w:t>
            </w:r>
          </w:p>
        </w:tc>
      </w:tr>
      <w:tr w:rsidR="004E46AB" w:rsidRPr="00EA0827" w:rsidTr="00BF0E50">
        <w:trPr>
          <w:gridAfter w:val="1"/>
          <w:wAfter w:w="6" w:type="dxa"/>
          <w:trHeight w:val="288"/>
          <w:jc w:val="center"/>
        </w:trPr>
        <w:tc>
          <w:tcPr>
            <w:tcW w:w="3347" w:type="dxa"/>
            <w:gridSpan w:val="3"/>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3 - ÍNDICE DE COBERTURA DE INTERESES (ICI)</w:t>
            </w:r>
          </w:p>
        </w:tc>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3635,2</w:t>
            </w:r>
          </w:p>
        </w:tc>
        <w:tc>
          <w:tcPr>
            <w:tcW w:w="1028"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35,9</w:t>
            </w:r>
          </w:p>
        </w:tc>
        <w:tc>
          <w:tcPr>
            <w:tcW w:w="882"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10,2</w:t>
            </w:r>
          </w:p>
        </w:tc>
        <w:tc>
          <w:tcPr>
            <w:tcW w:w="1028"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82,4</w:t>
            </w:r>
          </w:p>
        </w:tc>
        <w:tc>
          <w:tcPr>
            <w:tcW w:w="773"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22"/>
                <w:lang w:eastAsia="es-CO"/>
              </w:rPr>
              <w:t>29</w:t>
            </w:r>
          </w:p>
        </w:tc>
        <w:tc>
          <w:tcPr>
            <w:tcW w:w="990" w:type="dxa"/>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29</w:t>
            </w:r>
          </w:p>
        </w:tc>
      </w:tr>
      <w:tr w:rsidR="004E46AB" w:rsidRPr="00EA0827" w:rsidTr="00BF0E50">
        <w:trPr>
          <w:gridAfter w:val="1"/>
          <w:wAfter w:w="6" w:type="dxa"/>
          <w:trHeight w:val="288"/>
          <w:jc w:val="center"/>
        </w:trPr>
        <w:tc>
          <w:tcPr>
            <w:tcW w:w="3347" w:type="dxa"/>
            <w:gridSpan w:val="3"/>
            <w:tcBorders>
              <w:top w:val="single" w:sz="8" w:space="0" w:color="003E63"/>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4 - CAPITAL DE TRABAJO</w:t>
            </w:r>
            <w:r>
              <w:rPr>
                <w:rFonts w:ascii="Calibri" w:hAnsi="Calibri" w:cs="Calibri"/>
                <w:b/>
                <w:bCs/>
                <w:color w:val="FFFFFF"/>
                <w:sz w:val="18"/>
                <w:szCs w:val="24"/>
                <w:u w:val="single"/>
                <w:lang w:eastAsia="es-CO"/>
              </w:rPr>
              <w:t xml:space="preserve"> (miles)</w:t>
            </w:r>
          </w:p>
        </w:tc>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2.268.705</w:t>
            </w:r>
          </w:p>
        </w:tc>
        <w:tc>
          <w:tcPr>
            <w:tcW w:w="1028"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1.414.455</w:t>
            </w:r>
          </w:p>
        </w:tc>
        <w:tc>
          <w:tcPr>
            <w:tcW w:w="882"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sidRPr="00EA0827">
              <w:rPr>
                <w:rFonts w:ascii="Calibri" w:hAnsi="Calibri" w:cs="Calibri"/>
                <w:color w:val="000000"/>
                <w:sz w:val="18"/>
                <w:szCs w:val="22"/>
                <w:lang w:eastAsia="es-CO"/>
              </w:rPr>
              <w:t>256.119</w:t>
            </w:r>
          </w:p>
        </w:tc>
        <w:tc>
          <w:tcPr>
            <w:tcW w:w="1028"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sidRPr="00EA0827">
              <w:rPr>
                <w:rFonts w:ascii="Calibri" w:hAnsi="Calibri" w:cs="Calibri"/>
                <w:color w:val="000000"/>
                <w:sz w:val="18"/>
                <w:szCs w:val="22"/>
                <w:lang w:eastAsia="es-CO"/>
              </w:rPr>
              <w:t>4.004.868</w:t>
            </w:r>
          </w:p>
        </w:tc>
        <w:tc>
          <w:tcPr>
            <w:tcW w:w="773"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22"/>
                <w:lang w:eastAsia="es-CO"/>
              </w:rPr>
              <w:t>33</w:t>
            </w:r>
          </w:p>
        </w:tc>
        <w:tc>
          <w:tcPr>
            <w:tcW w:w="990" w:type="dxa"/>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33</w:t>
            </w:r>
          </w:p>
        </w:tc>
      </w:tr>
      <w:tr w:rsidR="004E46AB" w:rsidRPr="00EA0827" w:rsidTr="00BF0E50">
        <w:trPr>
          <w:gridAfter w:val="1"/>
          <w:wAfter w:w="6" w:type="dxa"/>
          <w:trHeight w:val="288"/>
          <w:jc w:val="center"/>
        </w:trPr>
        <w:tc>
          <w:tcPr>
            <w:tcW w:w="2634" w:type="dxa"/>
            <w:tcBorders>
              <w:top w:val="nil"/>
              <w:left w:val="single" w:sz="8" w:space="0" w:color="auto"/>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5 - ROA</w:t>
            </w:r>
          </w:p>
        </w:tc>
        <w:tc>
          <w:tcPr>
            <w:tcW w:w="547" w:type="dxa"/>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166" w:type="dxa"/>
            <w:tcBorders>
              <w:top w:val="nil"/>
              <w:left w:val="nil"/>
              <w:bottom w:val="single" w:sz="8" w:space="0" w:color="003E63"/>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69,5%</w:t>
            </w:r>
          </w:p>
        </w:tc>
        <w:tc>
          <w:tcPr>
            <w:tcW w:w="1028"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13,2%</w:t>
            </w:r>
          </w:p>
        </w:tc>
        <w:tc>
          <w:tcPr>
            <w:tcW w:w="882"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4,9%</w:t>
            </w:r>
          </w:p>
        </w:tc>
        <w:tc>
          <w:tcPr>
            <w:tcW w:w="1028"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28,1%</w:t>
            </w:r>
          </w:p>
        </w:tc>
        <w:tc>
          <w:tcPr>
            <w:tcW w:w="773" w:type="dxa"/>
            <w:tcBorders>
              <w:top w:val="nil"/>
              <w:left w:val="nil"/>
              <w:bottom w:val="single" w:sz="4"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48</w:t>
            </w:r>
          </w:p>
        </w:tc>
        <w:tc>
          <w:tcPr>
            <w:tcW w:w="990" w:type="dxa"/>
            <w:tcBorders>
              <w:top w:val="nil"/>
              <w:left w:val="nil"/>
              <w:bottom w:val="single" w:sz="4"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201%</w:t>
            </w:r>
          </w:p>
        </w:tc>
      </w:tr>
      <w:tr w:rsidR="004E46AB" w:rsidRPr="00EA0827" w:rsidTr="00BF0E50">
        <w:trPr>
          <w:gridAfter w:val="1"/>
          <w:wAfter w:w="6" w:type="dxa"/>
          <w:trHeight w:val="288"/>
          <w:jc w:val="center"/>
        </w:trPr>
        <w:tc>
          <w:tcPr>
            <w:tcW w:w="2634" w:type="dxa"/>
            <w:tcBorders>
              <w:top w:val="nil"/>
              <w:left w:val="single" w:sz="8" w:space="0" w:color="auto"/>
              <w:bottom w:val="single" w:sz="8" w:space="0" w:color="auto"/>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r w:rsidRPr="00EA0827">
              <w:rPr>
                <w:rFonts w:ascii="Calibri" w:hAnsi="Calibri" w:cs="Calibri"/>
                <w:b/>
                <w:bCs/>
                <w:color w:val="FFFFFF"/>
                <w:sz w:val="18"/>
                <w:szCs w:val="24"/>
                <w:u w:val="single"/>
                <w:lang w:eastAsia="es-CO"/>
              </w:rPr>
              <w:t>6 - ROE</w:t>
            </w:r>
          </w:p>
        </w:tc>
        <w:tc>
          <w:tcPr>
            <w:tcW w:w="547" w:type="dxa"/>
            <w:tcBorders>
              <w:top w:val="nil"/>
              <w:left w:val="nil"/>
              <w:bottom w:val="single" w:sz="8" w:space="0" w:color="auto"/>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166" w:type="dxa"/>
            <w:tcBorders>
              <w:top w:val="nil"/>
              <w:left w:val="nil"/>
              <w:bottom w:val="single" w:sz="8" w:space="0" w:color="auto"/>
              <w:right w:val="nil"/>
            </w:tcBorders>
            <w:shd w:val="clear" w:color="000000" w:fill="00B0F0"/>
            <w:noWrap/>
            <w:vAlign w:val="center"/>
            <w:hideMark/>
          </w:tcPr>
          <w:p w:rsidR="004E46AB" w:rsidRPr="00EA0827" w:rsidRDefault="004E46AB" w:rsidP="00BF0E50">
            <w:pPr>
              <w:rPr>
                <w:rFonts w:ascii="Calibri" w:hAnsi="Calibri" w:cs="Calibri"/>
                <w:b/>
                <w:bCs/>
                <w:color w:val="FFFFFF"/>
                <w:sz w:val="18"/>
                <w:szCs w:val="24"/>
                <w:u w:val="single"/>
                <w:lang w:eastAsia="es-CO"/>
              </w:rPr>
            </w:pPr>
          </w:p>
        </w:tc>
        <w:tc>
          <w:tcPr>
            <w:tcW w:w="1051" w:type="dxa"/>
            <w:tcBorders>
              <w:top w:val="nil"/>
              <w:left w:val="single" w:sz="4" w:space="0" w:color="auto"/>
              <w:bottom w:val="single" w:sz="8"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159,5%</w:t>
            </w:r>
          </w:p>
        </w:tc>
        <w:tc>
          <w:tcPr>
            <w:tcW w:w="1028" w:type="dxa"/>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19,4%</w:t>
            </w:r>
          </w:p>
        </w:tc>
        <w:tc>
          <w:tcPr>
            <w:tcW w:w="882" w:type="dxa"/>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8,8%</w:t>
            </w:r>
          </w:p>
        </w:tc>
        <w:tc>
          <w:tcPr>
            <w:tcW w:w="1028" w:type="dxa"/>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right"/>
              <w:rPr>
                <w:rFonts w:ascii="Calibri" w:hAnsi="Calibri" w:cs="Calibri"/>
                <w:color w:val="000000"/>
                <w:sz w:val="18"/>
                <w:szCs w:val="22"/>
                <w:lang w:eastAsia="es-CO"/>
              </w:rPr>
            </w:pPr>
            <w:r>
              <w:rPr>
                <w:rFonts w:ascii="Calibri" w:hAnsi="Calibri" w:cs="Calibri"/>
                <w:color w:val="000000"/>
                <w:sz w:val="18"/>
                <w:szCs w:val="18"/>
              </w:rPr>
              <w:t>54,9%</w:t>
            </w:r>
          </w:p>
        </w:tc>
        <w:tc>
          <w:tcPr>
            <w:tcW w:w="773" w:type="dxa"/>
            <w:tcBorders>
              <w:top w:val="nil"/>
              <w:left w:val="nil"/>
              <w:bottom w:val="single" w:sz="8" w:space="0" w:color="auto"/>
              <w:right w:val="single" w:sz="4"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47</w:t>
            </w:r>
          </w:p>
        </w:tc>
        <w:tc>
          <w:tcPr>
            <w:tcW w:w="990" w:type="dxa"/>
            <w:tcBorders>
              <w:top w:val="nil"/>
              <w:left w:val="nil"/>
              <w:bottom w:val="single" w:sz="8" w:space="0" w:color="auto"/>
              <w:right w:val="single" w:sz="8" w:space="0" w:color="auto"/>
            </w:tcBorders>
            <w:shd w:val="clear" w:color="auto" w:fill="auto"/>
            <w:noWrap/>
            <w:vAlign w:val="center"/>
            <w:hideMark/>
          </w:tcPr>
          <w:p w:rsidR="004E46AB" w:rsidRPr="00EA0827" w:rsidRDefault="004E46AB" w:rsidP="00BF0E50">
            <w:pPr>
              <w:jc w:val="center"/>
              <w:rPr>
                <w:rFonts w:ascii="Calibri" w:hAnsi="Calibri" w:cs="Calibri"/>
                <w:color w:val="000000"/>
                <w:sz w:val="18"/>
                <w:szCs w:val="22"/>
                <w:lang w:eastAsia="es-CO"/>
              </w:rPr>
            </w:pPr>
            <w:r>
              <w:rPr>
                <w:rFonts w:ascii="Calibri" w:hAnsi="Calibri" w:cs="Calibri"/>
                <w:color w:val="000000"/>
                <w:sz w:val="18"/>
                <w:szCs w:val="18"/>
              </w:rPr>
              <w:t>202%</w:t>
            </w:r>
          </w:p>
        </w:tc>
      </w:tr>
    </w:tbl>
    <w:p w:rsidR="004E46AB" w:rsidRDefault="004E46AB" w:rsidP="004E46AB">
      <w:pPr>
        <w:autoSpaceDE w:val="0"/>
        <w:autoSpaceDN w:val="0"/>
        <w:adjustRightInd w:val="0"/>
        <w:jc w:val="both"/>
        <w:rPr>
          <w:rFonts w:ascii="Arial" w:hAnsi="Arial" w:cs="Arial"/>
          <w:color w:val="000000"/>
          <w:sz w:val="22"/>
          <w:szCs w:val="22"/>
          <w:lang w:val="es-ES"/>
        </w:rPr>
      </w:pPr>
    </w:p>
    <w:p w:rsidR="004E46AB" w:rsidRDefault="004E46AB" w:rsidP="004E46AB">
      <w:pPr>
        <w:spacing w:before="9" w:line="276" w:lineRule="auto"/>
        <w:jc w:val="both"/>
        <w:rPr>
          <w:rFonts w:ascii="Arial" w:hAnsi="Arial" w:cs="Arial"/>
          <w:sz w:val="22"/>
          <w:szCs w:val="22"/>
        </w:rPr>
      </w:pPr>
      <w:r w:rsidRPr="006A7299">
        <w:rPr>
          <w:rFonts w:ascii="Arial" w:hAnsi="Arial" w:cs="Arial"/>
          <w:sz w:val="22"/>
          <w:szCs w:val="22"/>
        </w:rPr>
        <w:t>Finalmente, teniendo en cuenta que para la muestra tomada la dispersión de los datos es alta, se procedió a estimar los datos finales de los indicadores de capacidad financiera</w:t>
      </w:r>
      <w:r>
        <w:rPr>
          <w:rFonts w:ascii="Arial" w:hAnsi="Arial" w:cs="Arial"/>
          <w:sz w:val="22"/>
          <w:szCs w:val="22"/>
        </w:rPr>
        <w:t xml:space="preserve"> y organizacional</w:t>
      </w:r>
      <w:r w:rsidRPr="006A7299">
        <w:rPr>
          <w:rFonts w:ascii="Arial" w:hAnsi="Arial" w:cs="Arial"/>
          <w:sz w:val="22"/>
          <w:szCs w:val="22"/>
        </w:rPr>
        <w:t xml:space="preserve"> considerando un rango </w:t>
      </w:r>
      <w:r>
        <w:rPr>
          <w:rFonts w:ascii="Arial" w:hAnsi="Arial" w:cs="Arial"/>
          <w:sz w:val="22"/>
          <w:szCs w:val="22"/>
        </w:rPr>
        <w:t xml:space="preserve">de holgura </w:t>
      </w:r>
      <w:r w:rsidRPr="006A7299">
        <w:rPr>
          <w:rFonts w:ascii="Arial" w:hAnsi="Arial" w:cs="Arial"/>
          <w:sz w:val="22"/>
          <w:szCs w:val="22"/>
        </w:rPr>
        <w:t xml:space="preserve">de acuerdo a la distribución de los datos, de tal forma que se garantice que, al menos, el 75% de las empresas se encuentren </w:t>
      </w:r>
      <w:bookmarkStart w:id="1" w:name="_GoBack"/>
      <w:r w:rsidRPr="006A7299">
        <w:rPr>
          <w:rFonts w:ascii="Arial" w:hAnsi="Arial" w:cs="Arial"/>
          <w:sz w:val="22"/>
          <w:szCs w:val="22"/>
        </w:rPr>
        <w:t xml:space="preserve">consideradas </w:t>
      </w:r>
      <w:bookmarkEnd w:id="1"/>
      <w:r w:rsidRPr="006A7299">
        <w:rPr>
          <w:rFonts w:ascii="Arial" w:hAnsi="Arial" w:cs="Arial"/>
          <w:sz w:val="22"/>
          <w:szCs w:val="22"/>
        </w:rPr>
        <w:t>dentro del proceso. En este sentido, para los indicadores financieros en los cuales un mayor indicador representa una mejor situación financiera, se toma como referencia el cuartil uno del cuadro</w:t>
      </w:r>
      <w:r>
        <w:rPr>
          <w:rFonts w:ascii="Arial" w:hAnsi="Arial" w:cs="Arial"/>
          <w:sz w:val="22"/>
          <w:szCs w:val="22"/>
        </w:rPr>
        <w:t xml:space="preserve"> promedio</w:t>
      </w:r>
      <w:r w:rsidRPr="006A7299">
        <w:rPr>
          <w:rFonts w:ascii="Arial" w:hAnsi="Arial" w:cs="Arial"/>
          <w:sz w:val="22"/>
          <w:szCs w:val="22"/>
        </w:rPr>
        <w:t xml:space="preserve">; por otro lado, para el indicador de razón de endeudamiento, para el cual un menor valor representa una mejor posición financiera, se toma como referencia el cuartil tres. </w:t>
      </w:r>
      <w:r>
        <w:rPr>
          <w:rFonts w:ascii="Arial" w:hAnsi="Arial" w:cs="Arial"/>
          <w:sz w:val="22"/>
          <w:szCs w:val="22"/>
        </w:rPr>
        <w:t>Para la estimación del capital de trabajo exigido se toma en cuenta los valores de los indicadores de la muestra, así como la forma de pago del contrato.</w:t>
      </w:r>
    </w:p>
    <w:p w:rsidR="004E46AB" w:rsidRDefault="004E46AB" w:rsidP="004E46AB">
      <w:pPr>
        <w:spacing w:before="9" w:line="276" w:lineRule="auto"/>
        <w:jc w:val="both"/>
        <w:rPr>
          <w:rFonts w:ascii="Arial" w:hAnsi="Arial" w:cs="Arial"/>
          <w:sz w:val="22"/>
          <w:szCs w:val="22"/>
        </w:rPr>
      </w:pPr>
    </w:p>
    <w:p w:rsidR="004E46AB" w:rsidRPr="007758EA" w:rsidRDefault="004E46AB" w:rsidP="004E46AB">
      <w:pPr>
        <w:spacing w:line="100" w:lineRule="atLeast"/>
        <w:jc w:val="both"/>
        <w:rPr>
          <w:rFonts w:ascii="Arial" w:hAnsi="Arial" w:cs="Arial"/>
          <w:bCs/>
          <w:sz w:val="22"/>
          <w:szCs w:val="22"/>
        </w:rPr>
      </w:pPr>
      <w:r>
        <w:rPr>
          <w:rFonts w:ascii="Arial" w:hAnsi="Arial" w:cs="Arial"/>
          <w:bCs/>
          <w:sz w:val="22"/>
          <w:szCs w:val="22"/>
        </w:rPr>
        <w:t xml:space="preserve">De esta forma, teniendo en cuenta la anterior información y de conformidad con lo establecido en el Articulo 2.1.1.1.1.5.3 del Decreto 1082 de 2015, se determina la capacidad financiera y de organización para el presente proceso los siguientes </w:t>
      </w:r>
      <w:r w:rsidRPr="007758EA">
        <w:rPr>
          <w:rFonts w:ascii="Arial" w:hAnsi="Arial" w:cs="Arial"/>
          <w:bCs/>
          <w:sz w:val="22"/>
          <w:szCs w:val="22"/>
        </w:rPr>
        <w:t>indicadores:</w:t>
      </w:r>
    </w:p>
    <w:p w:rsidR="004E46AB" w:rsidRPr="007758EA" w:rsidRDefault="004E46AB" w:rsidP="004E46AB">
      <w:pPr>
        <w:spacing w:line="100" w:lineRule="atLeast"/>
        <w:jc w:val="both"/>
        <w:rPr>
          <w:rFonts w:ascii="Arial" w:hAnsi="Arial" w:cs="Arial"/>
          <w:bCs/>
          <w:sz w:val="22"/>
          <w:szCs w:val="22"/>
        </w:rPr>
      </w:pPr>
    </w:p>
    <w:p w:rsidR="004E46AB" w:rsidRPr="007758EA" w:rsidRDefault="004E46AB" w:rsidP="004E46AB">
      <w:pPr>
        <w:pStyle w:val="Prrafodelista"/>
        <w:numPr>
          <w:ilvl w:val="1"/>
          <w:numId w:val="43"/>
        </w:numPr>
        <w:spacing w:after="160"/>
        <w:contextualSpacing/>
        <w:jc w:val="both"/>
        <w:rPr>
          <w:rFonts w:ascii="Arial" w:eastAsia="Arial" w:hAnsi="Arial" w:cs="Arial"/>
          <w:b/>
          <w:sz w:val="22"/>
          <w:szCs w:val="22"/>
        </w:rPr>
      </w:pPr>
      <w:r w:rsidRPr="007758EA">
        <w:rPr>
          <w:rFonts w:ascii="Arial" w:eastAsia="Arial" w:hAnsi="Arial" w:cs="Arial"/>
          <w:b/>
          <w:sz w:val="22"/>
          <w:szCs w:val="22"/>
        </w:rPr>
        <w:t>Índice de Liquidez = Activo Corriente / Pasivo Corriente</w:t>
      </w:r>
    </w:p>
    <w:p w:rsidR="004E46AB" w:rsidRPr="007758EA" w:rsidRDefault="004E46AB" w:rsidP="004E46AB">
      <w:pPr>
        <w:jc w:val="both"/>
        <w:rPr>
          <w:rFonts w:ascii="Arial" w:eastAsia="Calibri" w:hAnsi="Arial" w:cs="Arial"/>
          <w:sz w:val="22"/>
          <w:szCs w:val="22"/>
        </w:rPr>
      </w:pPr>
      <w:r w:rsidRPr="007758EA">
        <w:rPr>
          <w:rFonts w:ascii="Arial" w:hAnsi="Arial" w:cs="Arial"/>
          <w:sz w:val="22"/>
          <w:szCs w:val="22"/>
        </w:rPr>
        <w:t>El Índice de Liquidez determina la capacidad que tiene un proponente para cumplir con sus obligaciones de corto plazo. A mayor índice de liquidez, menor es la probabilidad de que el proponente incumpla sus obligaciones de corto plazo. No obstante, se debe tomar en cuenta que un índice demasiado elevado puede ocultar un manejo inadecuado de activos corrientes, pudiendo tener la entidad excesos de liquidez poco productivos.</w:t>
      </w:r>
    </w:p>
    <w:p w:rsidR="004E46AB" w:rsidRPr="007758EA" w:rsidRDefault="004E46AB" w:rsidP="004E46AB">
      <w:pPr>
        <w:jc w:val="both"/>
        <w:rPr>
          <w:rFonts w:ascii="Arial" w:hAnsi="Arial" w:cs="Arial"/>
          <w:sz w:val="22"/>
          <w:szCs w:val="22"/>
        </w:rPr>
      </w:pPr>
    </w:p>
    <w:p w:rsidR="004E46AB" w:rsidRPr="007758EA" w:rsidRDefault="004E46AB" w:rsidP="004E46AB">
      <w:pPr>
        <w:jc w:val="both"/>
        <w:rPr>
          <w:rFonts w:ascii="Arial" w:hAnsi="Arial" w:cs="Arial"/>
          <w:sz w:val="22"/>
          <w:szCs w:val="22"/>
        </w:rPr>
      </w:pPr>
      <w:r w:rsidRPr="007758EA">
        <w:rPr>
          <w:rFonts w:ascii="Arial" w:hAnsi="Arial" w:cs="Arial"/>
          <w:sz w:val="22"/>
          <w:szCs w:val="22"/>
        </w:rPr>
        <w:t>Para el presente proceso, la relación adecuada entre los activos y pasivos corrientes se determina en 2</w:t>
      </w:r>
      <w:r>
        <w:rPr>
          <w:rFonts w:ascii="Arial" w:hAnsi="Arial" w:cs="Arial"/>
          <w:sz w:val="22"/>
          <w:szCs w:val="22"/>
        </w:rPr>
        <w:t>,</w:t>
      </w:r>
      <w:r w:rsidRPr="007758EA">
        <w:rPr>
          <w:rFonts w:ascii="Arial" w:hAnsi="Arial" w:cs="Arial"/>
          <w:sz w:val="22"/>
          <w:szCs w:val="22"/>
        </w:rPr>
        <w:t>1</w:t>
      </w:r>
      <w:r>
        <w:rPr>
          <w:rFonts w:ascii="Arial" w:hAnsi="Arial" w:cs="Arial"/>
          <w:sz w:val="22"/>
          <w:szCs w:val="22"/>
        </w:rPr>
        <w:t>.</w:t>
      </w:r>
    </w:p>
    <w:p w:rsidR="004E46AB" w:rsidRPr="007758EA" w:rsidRDefault="004E46AB" w:rsidP="004E46AB">
      <w:pPr>
        <w:jc w:val="both"/>
        <w:rPr>
          <w:rFonts w:ascii="Arial" w:hAnsi="Arial" w:cs="Arial"/>
          <w:sz w:val="22"/>
          <w:szCs w:val="22"/>
        </w:rPr>
      </w:pPr>
    </w:p>
    <w:p w:rsidR="004E46AB" w:rsidRPr="007758EA" w:rsidRDefault="004E46AB" w:rsidP="004E46AB">
      <w:pPr>
        <w:pStyle w:val="Prrafodelista"/>
        <w:numPr>
          <w:ilvl w:val="1"/>
          <w:numId w:val="43"/>
        </w:numPr>
        <w:spacing w:after="160"/>
        <w:contextualSpacing/>
        <w:jc w:val="both"/>
        <w:rPr>
          <w:rFonts w:ascii="Arial" w:eastAsia="Arial" w:hAnsi="Arial" w:cs="Arial"/>
          <w:b/>
          <w:sz w:val="22"/>
          <w:szCs w:val="22"/>
        </w:rPr>
      </w:pPr>
      <w:r w:rsidRPr="007758EA">
        <w:rPr>
          <w:rFonts w:ascii="Arial" w:eastAsia="Arial" w:hAnsi="Arial" w:cs="Arial"/>
          <w:b/>
          <w:sz w:val="22"/>
          <w:szCs w:val="22"/>
        </w:rPr>
        <w:t>Índice de Endeudamiento = Pasivo Total / Activo Total</w:t>
      </w:r>
    </w:p>
    <w:p w:rsidR="004E46AB" w:rsidRPr="007758EA" w:rsidRDefault="004E46AB" w:rsidP="004E46AB">
      <w:pPr>
        <w:jc w:val="both"/>
        <w:rPr>
          <w:rFonts w:ascii="Arial" w:eastAsia="Calibri" w:hAnsi="Arial" w:cs="Arial"/>
          <w:sz w:val="22"/>
          <w:szCs w:val="22"/>
        </w:rPr>
      </w:pPr>
      <w:r w:rsidRPr="007758EA">
        <w:rPr>
          <w:rFonts w:ascii="Arial" w:hAnsi="Arial" w:cs="Arial"/>
          <w:sz w:val="22"/>
          <w:szCs w:val="22"/>
        </w:rPr>
        <w:t xml:space="preserve">Este índice permite determinar el nivel de autonomía financiera, determina el grado de endeudamiento en la estructura de financiación (pasivos y patrimonio) del proponente. </w:t>
      </w:r>
      <w:r w:rsidRPr="007758EA">
        <w:rPr>
          <w:rFonts w:ascii="Arial" w:hAnsi="Arial" w:cs="Arial"/>
          <w:sz w:val="22"/>
          <w:szCs w:val="22"/>
        </w:rPr>
        <w:lastRenderedPageBreak/>
        <w:t xml:space="preserve">Cuando el índice es elevado indica que la empresa depende mucho de sus acreedores y que dispone de una limitada capacidad de endeudamiento, o lo que es lo mismo, se está descapitalizando y funciona con una estructura financiera más arriesgada. Por el contrario, un índice bajo representa un elevado grado de independencia de la empresa frente a sus acreedores. </w:t>
      </w:r>
    </w:p>
    <w:p w:rsidR="004E46AB" w:rsidRPr="00C8617E" w:rsidRDefault="004E46AB" w:rsidP="004E46AB">
      <w:pPr>
        <w:jc w:val="both"/>
        <w:rPr>
          <w:rFonts w:ascii="Arial" w:hAnsi="Arial" w:cs="Arial"/>
          <w:sz w:val="18"/>
          <w:szCs w:val="22"/>
        </w:rPr>
      </w:pPr>
    </w:p>
    <w:p w:rsidR="004E46AB" w:rsidRPr="007758EA" w:rsidRDefault="004E46AB" w:rsidP="004E46AB">
      <w:pPr>
        <w:jc w:val="both"/>
        <w:rPr>
          <w:rFonts w:ascii="Arial" w:hAnsi="Arial" w:cs="Arial"/>
          <w:sz w:val="22"/>
          <w:szCs w:val="22"/>
        </w:rPr>
      </w:pPr>
      <w:r w:rsidRPr="007758EA">
        <w:rPr>
          <w:rFonts w:ascii="Arial" w:hAnsi="Arial" w:cs="Arial"/>
          <w:sz w:val="22"/>
          <w:szCs w:val="22"/>
        </w:rPr>
        <w:t>Para los datos analizados en el presente proceso, el índice de endeudamiento se establece en 53%.</w:t>
      </w:r>
    </w:p>
    <w:p w:rsidR="004E46AB" w:rsidRPr="007758EA" w:rsidRDefault="004E46AB" w:rsidP="004E46AB">
      <w:pPr>
        <w:jc w:val="both"/>
        <w:rPr>
          <w:rFonts w:ascii="Arial" w:hAnsi="Arial" w:cs="Arial"/>
          <w:sz w:val="22"/>
          <w:szCs w:val="22"/>
        </w:rPr>
      </w:pPr>
    </w:p>
    <w:p w:rsidR="004E46AB" w:rsidRPr="007758EA" w:rsidRDefault="004E46AB" w:rsidP="004E46AB">
      <w:pPr>
        <w:pStyle w:val="Prrafodelista"/>
        <w:numPr>
          <w:ilvl w:val="1"/>
          <w:numId w:val="43"/>
        </w:numPr>
        <w:spacing w:after="160"/>
        <w:contextualSpacing/>
        <w:jc w:val="both"/>
        <w:rPr>
          <w:rFonts w:ascii="Arial" w:eastAsia="Arial" w:hAnsi="Arial" w:cs="Arial"/>
          <w:b/>
          <w:sz w:val="22"/>
          <w:szCs w:val="22"/>
        </w:rPr>
      </w:pPr>
      <w:r w:rsidRPr="007758EA">
        <w:rPr>
          <w:rFonts w:ascii="Arial" w:eastAsia="Arial" w:hAnsi="Arial" w:cs="Arial"/>
          <w:b/>
          <w:sz w:val="22"/>
          <w:szCs w:val="22"/>
        </w:rPr>
        <w:t>Razón de Cobertura de Intereses = Utilidad Operacional / Gastos de Intereses</w:t>
      </w:r>
    </w:p>
    <w:p w:rsidR="004E46AB" w:rsidRPr="007758EA" w:rsidRDefault="004E46AB" w:rsidP="004E46AB">
      <w:pPr>
        <w:jc w:val="both"/>
        <w:rPr>
          <w:rFonts w:ascii="Arial" w:eastAsia="Calibri" w:hAnsi="Arial" w:cs="Arial"/>
          <w:sz w:val="22"/>
          <w:szCs w:val="22"/>
        </w:rPr>
      </w:pPr>
      <w:r w:rsidRPr="007758EA">
        <w:rPr>
          <w:rFonts w:ascii="Arial" w:hAnsi="Arial" w:cs="Arial"/>
          <w:sz w:val="22"/>
          <w:szCs w:val="22"/>
        </w:rPr>
        <w:t xml:space="preserve">Este indicador refleja la capacidad del proponente de cumplir con sus obligaciones financieras. A mayor cobertura de intereses, menor es la probabilidad de que el proponente incumpla sus obligaciones financieras. </w:t>
      </w:r>
    </w:p>
    <w:p w:rsidR="004E46AB" w:rsidRPr="007758EA" w:rsidRDefault="004E46AB" w:rsidP="004E46AB">
      <w:pPr>
        <w:jc w:val="both"/>
        <w:rPr>
          <w:rFonts w:ascii="Arial" w:hAnsi="Arial" w:cs="Arial"/>
          <w:sz w:val="22"/>
          <w:szCs w:val="22"/>
        </w:rPr>
      </w:pPr>
    </w:p>
    <w:p w:rsidR="004E46AB" w:rsidRPr="007758EA" w:rsidRDefault="004E46AB" w:rsidP="004E46AB">
      <w:pPr>
        <w:jc w:val="both"/>
        <w:rPr>
          <w:rFonts w:ascii="Arial" w:hAnsi="Arial" w:cs="Arial"/>
          <w:sz w:val="22"/>
          <w:szCs w:val="22"/>
        </w:rPr>
      </w:pPr>
      <w:r w:rsidRPr="007758EA">
        <w:rPr>
          <w:rFonts w:ascii="Arial" w:hAnsi="Arial" w:cs="Arial"/>
          <w:sz w:val="22"/>
          <w:szCs w:val="22"/>
        </w:rPr>
        <w:t>De esta forma, la razón de endeudamiento se establece en 10</w:t>
      </w:r>
      <w:r>
        <w:rPr>
          <w:rFonts w:ascii="Arial" w:hAnsi="Arial" w:cs="Arial"/>
          <w:sz w:val="22"/>
          <w:szCs w:val="22"/>
        </w:rPr>
        <w:t>,</w:t>
      </w:r>
      <w:r w:rsidRPr="007758EA">
        <w:rPr>
          <w:rFonts w:ascii="Arial" w:hAnsi="Arial" w:cs="Arial"/>
          <w:sz w:val="22"/>
          <w:szCs w:val="22"/>
        </w:rPr>
        <w:t>2</w:t>
      </w:r>
      <w:r>
        <w:rPr>
          <w:rFonts w:ascii="Arial" w:hAnsi="Arial" w:cs="Arial"/>
          <w:sz w:val="22"/>
          <w:szCs w:val="22"/>
        </w:rPr>
        <w:t>.</w:t>
      </w:r>
    </w:p>
    <w:p w:rsidR="004E46AB" w:rsidRPr="007758EA" w:rsidRDefault="004E46AB" w:rsidP="004E46AB">
      <w:pPr>
        <w:jc w:val="both"/>
        <w:rPr>
          <w:rFonts w:ascii="Arial" w:hAnsi="Arial" w:cs="Arial"/>
          <w:sz w:val="22"/>
          <w:szCs w:val="22"/>
        </w:rPr>
      </w:pPr>
    </w:p>
    <w:p w:rsidR="004E46AB" w:rsidRPr="007758EA" w:rsidRDefault="004E46AB" w:rsidP="004E46AB">
      <w:pPr>
        <w:pStyle w:val="Prrafodelista"/>
        <w:numPr>
          <w:ilvl w:val="1"/>
          <w:numId w:val="43"/>
        </w:numPr>
        <w:spacing w:after="160"/>
        <w:contextualSpacing/>
        <w:jc w:val="both"/>
        <w:rPr>
          <w:rFonts w:ascii="Arial" w:eastAsia="Arial" w:hAnsi="Arial" w:cs="Arial"/>
          <w:b/>
          <w:sz w:val="22"/>
          <w:szCs w:val="22"/>
        </w:rPr>
      </w:pPr>
      <w:r w:rsidRPr="007758EA">
        <w:rPr>
          <w:rFonts w:ascii="Arial" w:eastAsia="Arial" w:hAnsi="Arial" w:cs="Arial"/>
          <w:b/>
          <w:sz w:val="22"/>
          <w:szCs w:val="22"/>
        </w:rPr>
        <w:t>Rentabilidad sobre activos = Utilidad Operacional / Activo Total</w:t>
      </w:r>
    </w:p>
    <w:p w:rsidR="004E46AB" w:rsidRPr="007758EA" w:rsidRDefault="004E46AB" w:rsidP="004E46AB">
      <w:pPr>
        <w:jc w:val="both"/>
        <w:rPr>
          <w:rFonts w:ascii="Arial" w:eastAsia="Calibri" w:hAnsi="Arial" w:cs="Arial"/>
          <w:sz w:val="22"/>
          <w:szCs w:val="22"/>
        </w:rPr>
      </w:pPr>
      <w:r w:rsidRPr="007758EA">
        <w:rPr>
          <w:rFonts w:ascii="Arial" w:hAnsi="Arial" w:cs="Arial"/>
          <w:sz w:val="22"/>
          <w:szCs w:val="22"/>
        </w:rPr>
        <w:t>Este indicador determina la rentabilidad de los activos que tiene la entidad, es decir, la capacidad de generación de utilidad operacional por cada peso invertido en el activo. A mayor rentabilidad sobre activos, mayor es la rentabilidad del negocio y mejor la capacidad organizacional de la entidad. Teniendo en cuenta los datos observados para la muestra, el ROA de referencia se establece en 4,9%.</w:t>
      </w:r>
    </w:p>
    <w:p w:rsidR="004E46AB" w:rsidRPr="007758EA" w:rsidRDefault="004E46AB" w:rsidP="004E46AB">
      <w:pPr>
        <w:jc w:val="both"/>
        <w:rPr>
          <w:rFonts w:ascii="Arial" w:hAnsi="Arial" w:cs="Arial"/>
          <w:sz w:val="22"/>
          <w:szCs w:val="22"/>
        </w:rPr>
      </w:pPr>
    </w:p>
    <w:p w:rsidR="004E46AB" w:rsidRPr="007758EA" w:rsidRDefault="004E46AB" w:rsidP="004E46AB">
      <w:pPr>
        <w:pStyle w:val="Prrafodelista"/>
        <w:numPr>
          <w:ilvl w:val="1"/>
          <w:numId w:val="43"/>
        </w:numPr>
        <w:spacing w:after="160"/>
        <w:contextualSpacing/>
        <w:jc w:val="both"/>
        <w:rPr>
          <w:rFonts w:ascii="Arial" w:eastAsia="Arial" w:hAnsi="Arial" w:cs="Arial"/>
          <w:b/>
          <w:sz w:val="22"/>
          <w:szCs w:val="22"/>
        </w:rPr>
      </w:pPr>
      <w:r w:rsidRPr="007758EA">
        <w:rPr>
          <w:rFonts w:ascii="Arial" w:eastAsia="Arial" w:hAnsi="Arial" w:cs="Arial"/>
          <w:b/>
          <w:sz w:val="22"/>
          <w:szCs w:val="22"/>
        </w:rPr>
        <w:t>Rentabilidad sobre el patrimonio (ROE) = Utilidad Operacional / Patrimonio</w:t>
      </w:r>
    </w:p>
    <w:p w:rsidR="004E46AB" w:rsidRPr="007758EA" w:rsidRDefault="004E46AB" w:rsidP="004E46AB">
      <w:pPr>
        <w:jc w:val="both"/>
        <w:rPr>
          <w:rFonts w:ascii="Arial" w:hAnsi="Arial" w:cs="Arial"/>
          <w:sz w:val="22"/>
          <w:szCs w:val="22"/>
        </w:rPr>
      </w:pPr>
      <w:r w:rsidRPr="007758EA">
        <w:rPr>
          <w:rFonts w:ascii="Arial" w:hAnsi="Arial" w:cs="Arial"/>
          <w:sz w:val="22"/>
          <w:szCs w:val="22"/>
        </w:rPr>
        <w:t>Este indicador permite conocer la capacidad de generación de utilidad operacional por cada peso invertido en el patrimonio. A mayor rentabilidad sobre el patrimonio, mayor es la rentabilidad de los accionistas y mejor la capacidad organizacional de la entidad. Para este indicador la premisa de comparación es que a mayor valor la probabilidad de riesgo es menor. Teniendo en cuenta los datos observados en la muestra, el ROE de referencia se establece en 8</w:t>
      </w:r>
      <w:r>
        <w:rPr>
          <w:rFonts w:ascii="Arial" w:hAnsi="Arial" w:cs="Arial"/>
          <w:sz w:val="22"/>
          <w:szCs w:val="22"/>
        </w:rPr>
        <w:t>,</w:t>
      </w:r>
      <w:r w:rsidRPr="007758EA">
        <w:rPr>
          <w:rFonts w:ascii="Arial" w:hAnsi="Arial" w:cs="Arial"/>
          <w:sz w:val="22"/>
          <w:szCs w:val="22"/>
        </w:rPr>
        <w:t>8%.</w:t>
      </w:r>
    </w:p>
    <w:p w:rsidR="004E46AB" w:rsidRPr="00B87F6F" w:rsidRDefault="004E46AB" w:rsidP="004E46AB">
      <w:pPr>
        <w:spacing w:line="100" w:lineRule="atLeast"/>
        <w:jc w:val="both"/>
        <w:rPr>
          <w:rFonts w:ascii="Arial" w:hAnsi="Arial" w:cs="Arial"/>
          <w:bCs/>
          <w:sz w:val="22"/>
          <w:szCs w:val="22"/>
        </w:rPr>
      </w:pPr>
    </w:p>
    <w:tbl>
      <w:tblPr>
        <w:tblW w:w="8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7"/>
        <w:gridCol w:w="3454"/>
      </w:tblGrid>
      <w:tr w:rsidR="004E46AB" w:rsidRPr="00B87F6F" w:rsidTr="00BF0E50">
        <w:trPr>
          <w:trHeight w:val="99"/>
          <w:jc w:val="center"/>
        </w:trPr>
        <w:tc>
          <w:tcPr>
            <w:tcW w:w="4607"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rPr>
                <w:rFonts w:ascii="Arial" w:hAnsi="Arial" w:cs="Arial"/>
                <w:b/>
                <w:bCs/>
                <w:sz w:val="22"/>
                <w:szCs w:val="22"/>
              </w:rPr>
            </w:pPr>
            <w:bookmarkStart w:id="2" w:name="_Hlk522845726"/>
            <w:r w:rsidRPr="00B87F6F">
              <w:rPr>
                <w:rFonts w:ascii="Arial" w:hAnsi="Arial" w:cs="Arial"/>
                <w:b/>
                <w:bCs/>
                <w:sz w:val="22"/>
                <w:szCs w:val="22"/>
              </w:rPr>
              <w:t>LIQUIDEZ</w:t>
            </w:r>
          </w:p>
        </w:tc>
        <w:tc>
          <w:tcPr>
            <w:tcW w:w="3454"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jc w:val="both"/>
              <w:rPr>
                <w:rFonts w:ascii="Arial" w:hAnsi="Arial" w:cs="Arial"/>
                <w:sz w:val="22"/>
                <w:szCs w:val="22"/>
              </w:rPr>
            </w:pPr>
            <w:r w:rsidRPr="00B87F6F">
              <w:rPr>
                <w:rFonts w:ascii="Arial" w:hAnsi="Arial" w:cs="Arial"/>
                <w:sz w:val="22"/>
                <w:szCs w:val="22"/>
              </w:rPr>
              <w:t xml:space="preserve">Mayor o igual a </w:t>
            </w:r>
            <w:r>
              <w:rPr>
                <w:rFonts w:ascii="Arial" w:hAnsi="Arial" w:cs="Arial"/>
                <w:color w:val="000000"/>
                <w:sz w:val="22"/>
                <w:szCs w:val="22"/>
                <w:lang w:eastAsia="es-CO"/>
              </w:rPr>
              <w:t>2,1</w:t>
            </w:r>
          </w:p>
        </w:tc>
      </w:tr>
      <w:tr w:rsidR="004E46AB" w:rsidRPr="00B87F6F" w:rsidTr="00BF0E50">
        <w:trPr>
          <w:trHeight w:val="103"/>
          <w:jc w:val="center"/>
        </w:trPr>
        <w:tc>
          <w:tcPr>
            <w:tcW w:w="4607"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rPr>
                <w:rFonts w:ascii="Arial" w:hAnsi="Arial" w:cs="Arial"/>
                <w:b/>
                <w:bCs/>
                <w:sz w:val="22"/>
                <w:szCs w:val="22"/>
              </w:rPr>
            </w:pPr>
            <w:r w:rsidRPr="00B87F6F">
              <w:rPr>
                <w:rFonts w:ascii="Arial" w:hAnsi="Arial" w:cs="Arial"/>
                <w:b/>
                <w:bCs/>
                <w:sz w:val="22"/>
                <w:szCs w:val="22"/>
              </w:rPr>
              <w:t>ENDEUDAMIENTO</w:t>
            </w:r>
          </w:p>
        </w:tc>
        <w:tc>
          <w:tcPr>
            <w:tcW w:w="3454"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jc w:val="both"/>
              <w:rPr>
                <w:rFonts w:ascii="Arial" w:hAnsi="Arial" w:cs="Arial"/>
                <w:sz w:val="22"/>
                <w:szCs w:val="22"/>
              </w:rPr>
            </w:pPr>
            <w:r w:rsidRPr="00B87F6F">
              <w:rPr>
                <w:rFonts w:ascii="Arial" w:hAnsi="Arial" w:cs="Arial"/>
                <w:sz w:val="22"/>
                <w:szCs w:val="22"/>
              </w:rPr>
              <w:t xml:space="preserve">Menor o igual al </w:t>
            </w:r>
            <w:r>
              <w:rPr>
                <w:rFonts w:ascii="Arial" w:hAnsi="Arial" w:cs="Arial"/>
                <w:color w:val="000000"/>
                <w:sz w:val="22"/>
                <w:szCs w:val="22"/>
                <w:lang w:eastAsia="es-CO"/>
              </w:rPr>
              <w:t>53</w:t>
            </w:r>
            <w:r w:rsidRPr="00B87F6F">
              <w:rPr>
                <w:rFonts w:ascii="Arial" w:hAnsi="Arial" w:cs="Arial"/>
                <w:color w:val="000000"/>
                <w:sz w:val="22"/>
                <w:szCs w:val="22"/>
                <w:lang w:eastAsia="es-CO"/>
              </w:rPr>
              <w:t>%</w:t>
            </w:r>
          </w:p>
        </w:tc>
      </w:tr>
      <w:tr w:rsidR="004E46AB" w:rsidRPr="00B87F6F" w:rsidTr="00BF0E50">
        <w:trPr>
          <w:trHeight w:val="196"/>
          <w:jc w:val="center"/>
        </w:trPr>
        <w:tc>
          <w:tcPr>
            <w:tcW w:w="4607"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rPr>
                <w:rFonts w:ascii="Arial" w:hAnsi="Arial" w:cs="Arial"/>
                <w:b/>
                <w:bCs/>
                <w:sz w:val="22"/>
                <w:szCs w:val="22"/>
              </w:rPr>
            </w:pPr>
            <w:r w:rsidRPr="00B87F6F">
              <w:rPr>
                <w:rFonts w:ascii="Arial" w:hAnsi="Arial" w:cs="Arial"/>
                <w:b/>
                <w:bCs/>
                <w:sz w:val="22"/>
                <w:szCs w:val="22"/>
              </w:rPr>
              <w:t>RAZÓN DE COBERTURA DE INTERESES</w:t>
            </w:r>
          </w:p>
        </w:tc>
        <w:tc>
          <w:tcPr>
            <w:tcW w:w="3454"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jc w:val="both"/>
              <w:rPr>
                <w:rFonts w:ascii="Arial" w:hAnsi="Arial" w:cs="Arial"/>
                <w:sz w:val="22"/>
                <w:szCs w:val="22"/>
              </w:rPr>
            </w:pPr>
            <w:r w:rsidRPr="00B87F6F">
              <w:rPr>
                <w:rFonts w:ascii="Arial" w:hAnsi="Arial" w:cs="Arial"/>
                <w:sz w:val="22"/>
                <w:szCs w:val="22"/>
              </w:rPr>
              <w:t xml:space="preserve">Mayor o igual a </w:t>
            </w:r>
            <w:r w:rsidRPr="00B87F6F">
              <w:rPr>
                <w:rFonts w:ascii="Arial" w:hAnsi="Arial" w:cs="Arial"/>
                <w:color w:val="000000"/>
                <w:sz w:val="22"/>
                <w:szCs w:val="22"/>
                <w:lang w:eastAsia="es-CO"/>
              </w:rPr>
              <w:t>1</w:t>
            </w:r>
            <w:r>
              <w:rPr>
                <w:rFonts w:ascii="Arial" w:hAnsi="Arial" w:cs="Arial"/>
                <w:color w:val="000000"/>
                <w:sz w:val="22"/>
                <w:szCs w:val="22"/>
                <w:lang w:eastAsia="es-CO"/>
              </w:rPr>
              <w:t>0,2</w:t>
            </w:r>
          </w:p>
        </w:tc>
      </w:tr>
      <w:tr w:rsidR="004E46AB" w:rsidRPr="00B87F6F" w:rsidTr="00BF0E50">
        <w:trPr>
          <w:trHeight w:val="110"/>
          <w:jc w:val="center"/>
        </w:trPr>
        <w:tc>
          <w:tcPr>
            <w:tcW w:w="4607"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rPr>
                <w:rFonts w:ascii="Arial" w:hAnsi="Arial" w:cs="Arial"/>
                <w:b/>
                <w:bCs/>
                <w:sz w:val="22"/>
                <w:szCs w:val="22"/>
              </w:rPr>
            </w:pPr>
            <w:r w:rsidRPr="00B87F6F">
              <w:rPr>
                <w:rFonts w:ascii="Arial" w:hAnsi="Arial" w:cs="Arial"/>
                <w:b/>
                <w:bCs/>
                <w:sz w:val="22"/>
                <w:szCs w:val="22"/>
              </w:rPr>
              <w:t>RENTABILIDAD DEL ACTIVO</w:t>
            </w:r>
          </w:p>
        </w:tc>
        <w:tc>
          <w:tcPr>
            <w:tcW w:w="3454"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jc w:val="both"/>
              <w:rPr>
                <w:rFonts w:ascii="Arial" w:hAnsi="Arial" w:cs="Arial"/>
                <w:sz w:val="22"/>
                <w:szCs w:val="22"/>
              </w:rPr>
            </w:pPr>
            <w:r w:rsidRPr="00B87F6F">
              <w:rPr>
                <w:rFonts w:ascii="Arial" w:hAnsi="Arial" w:cs="Arial"/>
                <w:sz w:val="22"/>
                <w:szCs w:val="22"/>
              </w:rPr>
              <w:t xml:space="preserve">Mayor o igual a </w:t>
            </w:r>
            <w:r>
              <w:rPr>
                <w:rFonts w:ascii="Arial" w:hAnsi="Arial" w:cs="Arial"/>
                <w:sz w:val="22"/>
                <w:szCs w:val="22"/>
              </w:rPr>
              <w:t>4,9</w:t>
            </w:r>
            <w:r>
              <w:rPr>
                <w:rFonts w:ascii="Arial" w:hAnsi="Arial" w:cs="Arial"/>
                <w:color w:val="000000"/>
                <w:sz w:val="22"/>
                <w:szCs w:val="22"/>
                <w:lang w:eastAsia="es-CO"/>
              </w:rPr>
              <w:t>%</w:t>
            </w:r>
          </w:p>
        </w:tc>
      </w:tr>
      <w:tr w:rsidR="004E46AB" w:rsidRPr="00B87F6F" w:rsidTr="00BF0E50">
        <w:trPr>
          <w:trHeight w:val="115"/>
          <w:jc w:val="center"/>
        </w:trPr>
        <w:tc>
          <w:tcPr>
            <w:tcW w:w="4607"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rPr>
                <w:rFonts w:ascii="Arial" w:hAnsi="Arial" w:cs="Arial"/>
                <w:b/>
                <w:bCs/>
                <w:sz w:val="22"/>
                <w:szCs w:val="22"/>
              </w:rPr>
            </w:pPr>
            <w:r w:rsidRPr="00B87F6F">
              <w:rPr>
                <w:rFonts w:ascii="Arial" w:hAnsi="Arial" w:cs="Arial"/>
                <w:b/>
                <w:bCs/>
                <w:sz w:val="22"/>
                <w:szCs w:val="22"/>
              </w:rPr>
              <w:t>RENTABILIDAD DEL PATRIMONIO</w:t>
            </w:r>
          </w:p>
        </w:tc>
        <w:tc>
          <w:tcPr>
            <w:tcW w:w="3454" w:type="dxa"/>
            <w:tcBorders>
              <w:top w:val="single" w:sz="4" w:space="0" w:color="auto"/>
              <w:left w:val="single" w:sz="4" w:space="0" w:color="auto"/>
              <w:bottom w:val="single" w:sz="4" w:space="0" w:color="auto"/>
              <w:right w:val="single" w:sz="4" w:space="0" w:color="auto"/>
            </w:tcBorders>
            <w:vAlign w:val="center"/>
            <w:hideMark/>
          </w:tcPr>
          <w:p w:rsidR="004E46AB" w:rsidRPr="00B87F6F" w:rsidRDefault="004E46AB" w:rsidP="00BF0E50">
            <w:pPr>
              <w:spacing w:line="100" w:lineRule="atLeast"/>
              <w:jc w:val="both"/>
              <w:rPr>
                <w:rFonts w:ascii="Arial" w:hAnsi="Arial" w:cs="Arial"/>
                <w:sz w:val="22"/>
                <w:szCs w:val="22"/>
              </w:rPr>
            </w:pPr>
            <w:r w:rsidRPr="00B87F6F">
              <w:rPr>
                <w:rFonts w:ascii="Arial" w:hAnsi="Arial" w:cs="Arial"/>
                <w:sz w:val="22"/>
                <w:szCs w:val="22"/>
              </w:rPr>
              <w:t xml:space="preserve">Mayor o igual a </w:t>
            </w:r>
            <w:r>
              <w:rPr>
                <w:rFonts w:ascii="Arial" w:hAnsi="Arial" w:cs="Arial"/>
                <w:sz w:val="22"/>
                <w:szCs w:val="22"/>
              </w:rPr>
              <w:t>8,8</w:t>
            </w:r>
            <w:r>
              <w:rPr>
                <w:rFonts w:ascii="Arial" w:hAnsi="Arial" w:cs="Arial"/>
                <w:color w:val="000000"/>
                <w:sz w:val="22"/>
                <w:szCs w:val="22"/>
                <w:lang w:eastAsia="es-CO"/>
              </w:rPr>
              <w:t>%</w:t>
            </w:r>
          </w:p>
        </w:tc>
      </w:tr>
      <w:bookmarkEnd w:id="2"/>
    </w:tbl>
    <w:p w:rsidR="004E46AB" w:rsidRDefault="004E46AB" w:rsidP="004E46AB">
      <w:pPr>
        <w:spacing w:line="100" w:lineRule="atLeast"/>
        <w:jc w:val="both"/>
        <w:rPr>
          <w:rFonts w:ascii="Arial" w:eastAsia="WenQuanYi Micro Hei" w:hAnsi="Arial" w:cs="Arial"/>
          <w:sz w:val="22"/>
          <w:szCs w:val="22"/>
          <w:lang w:val="es-MX" w:eastAsia="en-US"/>
        </w:rPr>
      </w:pPr>
    </w:p>
    <w:p w:rsidR="004E46AB" w:rsidRDefault="004E46AB" w:rsidP="004E46AB">
      <w:pPr>
        <w:autoSpaceDE w:val="0"/>
        <w:autoSpaceDN w:val="0"/>
        <w:adjustRightInd w:val="0"/>
        <w:jc w:val="both"/>
        <w:rPr>
          <w:rFonts w:ascii="Arial" w:hAnsi="Arial" w:cs="Arial"/>
          <w:color w:val="000000"/>
          <w:sz w:val="22"/>
          <w:szCs w:val="22"/>
          <w:lang w:val="es-ES"/>
        </w:rPr>
      </w:pPr>
    </w:p>
    <w:tbl>
      <w:tblPr>
        <w:tblW w:w="8075" w:type="dxa"/>
        <w:jc w:val="center"/>
        <w:tblLayout w:type="fixed"/>
        <w:tblLook w:val="0000" w:firstRow="0" w:lastRow="0" w:firstColumn="0" w:lastColumn="0" w:noHBand="0" w:noVBand="0"/>
      </w:tblPr>
      <w:tblGrid>
        <w:gridCol w:w="2439"/>
        <w:gridCol w:w="3194"/>
        <w:gridCol w:w="2442"/>
      </w:tblGrid>
      <w:tr w:rsidR="004E46AB" w:rsidRPr="00AE0E9B" w:rsidTr="00BF0E50">
        <w:trPr>
          <w:trHeight w:val="216"/>
          <w:jc w:val="center"/>
        </w:trPr>
        <w:tc>
          <w:tcPr>
            <w:tcW w:w="2439" w:type="dxa"/>
            <w:tcBorders>
              <w:top w:val="single" w:sz="4" w:space="0" w:color="000000"/>
              <w:left w:val="single" w:sz="4" w:space="0" w:color="000000"/>
              <w:bottom w:val="single" w:sz="4" w:space="0" w:color="000000"/>
            </w:tcBorders>
            <w:shd w:val="clear" w:color="auto" w:fill="auto"/>
            <w:vAlign w:val="center"/>
          </w:tcPr>
          <w:p w:rsidR="004E46AB" w:rsidRPr="00B26329" w:rsidRDefault="004E46AB" w:rsidP="00BF0E50">
            <w:pPr>
              <w:jc w:val="center"/>
              <w:rPr>
                <w:rFonts w:ascii="Arial" w:hAnsi="Arial" w:cs="Arial"/>
                <w:b/>
              </w:rPr>
            </w:pPr>
            <w:r w:rsidRPr="00B26329">
              <w:rPr>
                <w:rFonts w:ascii="Arial" w:hAnsi="Arial" w:cs="Arial"/>
                <w:b/>
              </w:rPr>
              <w:t>Elaboró</w:t>
            </w:r>
          </w:p>
        </w:tc>
        <w:tc>
          <w:tcPr>
            <w:tcW w:w="3194" w:type="dxa"/>
            <w:tcBorders>
              <w:top w:val="single" w:sz="4" w:space="0" w:color="000000"/>
              <w:left w:val="single" w:sz="4" w:space="0" w:color="000000"/>
              <w:bottom w:val="single" w:sz="4" w:space="0" w:color="000000"/>
            </w:tcBorders>
            <w:shd w:val="clear" w:color="auto" w:fill="auto"/>
            <w:vAlign w:val="center"/>
          </w:tcPr>
          <w:p w:rsidR="004E46AB" w:rsidRPr="00B26329" w:rsidRDefault="004E46AB" w:rsidP="00BF0E50">
            <w:pPr>
              <w:jc w:val="center"/>
              <w:rPr>
                <w:rFonts w:ascii="Arial" w:hAnsi="Arial" w:cs="Arial"/>
                <w:b/>
              </w:rPr>
            </w:pPr>
            <w:r w:rsidRPr="00B26329">
              <w:rPr>
                <w:rFonts w:ascii="Arial" w:hAnsi="Arial" w:cs="Arial"/>
                <w:b/>
              </w:rPr>
              <w:t>Dependencia</w:t>
            </w:r>
          </w:p>
        </w:tc>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46AB" w:rsidRPr="00B26329" w:rsidRDefault="004E46AB" w:rsidP="00BF0E50">
            <w:pPr>
              <w:jc w:val="center"/>
              <w:rPr>
                <w:rFonts w:ascii="Arial" w:hAnsi="Arial" w:cs="Arial"/>
                <w:b/>
              </w:rPr>
            </w:pPr>
            <w:r w:rsidRPr="00B26329">
              <w:rPr>
                <w:rFonts w:ascii="Arial" w:hAnsi="Arial" w:cs="Arial"/>
                <w:b/>
              </w:rPr>
              <w:t>Firma</w:t>
            </w:r>
          </w:p>
        </w:tc>
      </w:tr>
      <w:tr w:rsidR="004E46AB" w:rsidRPr="00AE0E9B" w:rsidTr="00BF0E50">
        <w:trPr>
          <w:trHeight w:val="761"/>
          <w:jc w:val="center"/>
        </w:trPr>
        <w:tc>
          <w:tcPr>
            <w:tcW w:w="2439" w:type="dxa"/>
            <w:tcBorders>
              <w:top w:val="single" w:sz="4" w:space="0" w:color="000000"/>
              <w:left w:val="single" w:sz="4" w:space="0" w:color="000000"/>
              <w:bottom w:val="single" w:sz="4" w:space="0" w:color="000000"/>
            </w:tcBorders>
            <w:shd w:val="clear" w:color="auto" w:fill="auto"/>
            <w:vAlign w:val="center"/>
          </w:tcPr>
          <w:p w:rsidR="004E46AB" w:rsidRPr="00AE0E9B" w:rsidRDefault="004E46AB" w:rsidP="00BF0E50">
            <w:pPr>
              <w:snapToGrid w:val="0"/>
              <w:rPr>
                <w:rFonts w:ascii="Arial" w:hAnsi="Arial" w:cs="Arial"/>
              </w:rPr>
            </w:pPr>
            <w:r>
              <w:rPr>
                <w:rFonts w:ascii="Arial" w:hAnsi="Arial" w:cs="Arial"/>
              </w:rPr>
              <w:lastRenderedPageBreak/>
              <w:t>Ricardo Mariño B.</w:t>
            </w:r>
          </w:p>
          <w:p w:rsidR="004E46AB" w:rsidRPr="00AE0E9B" w:rsidRDefault="004E46AB" w:rsidP="00BF0E50">
            <w:pPr>
              <w:snapToGrid w:val="0"/>
              <w:rPr>
                <w:rFonts w:ascii="Arial" w:hAnsi="Arial" w:cs="Arial"/>
              </w:rPr>
            </w:pPr>
            <w:r w:rsidRPr="00AE0E9B">
              <w:rPr>
                <w:rFonts w:ascii="Arial" w:hAnsi="Arial" w:cs="Arial"/>
              </w:rPr>
              <w:t>Profesional de Apoyo</w:t>
            </w:r>
          </w:p>
        </w:tc>
        <w:tc>
          <w:tcPr>
            <w:tcW w:w="3194" w:type="dxa"/>
            <w:tcBorders>
              <w:top w:val="single" w:sz="4" w:space="0" w:color="000000"/>
              <w:left w:val="single" w:sz="4" w:space="0" w:color="000000"/>
              <w:bottom w:val="single" w:sz="4" w:space="0" w:color="000000"/>
            </w:tcBorders>
            <w:shd w:val="clear" w:color="auto" w:fill="auto"/>
            <w:vAlign w:val="center"/>
          </w:tcPr>
          <w:p w:rsidR="004E46AB" w:rsidRPr="00AE0E9B" w:rsidRDefault="004E46AB" w:rsidP="00BF0E50">
            <w:pPr>
              <w:snapToGrid w:val="0"/>
              <w:jc w:val="center"/>
              <w:rPr>
                <w:rFonts w:ascii="Arial" w:hAnsi="Arial" w:cs="Arial"/>
              </w:rPr>
            </w:pPr>
            <w:r>
              <w:rPr>
                <w:rFonts w:ascii="Arial" w:hAnsi="Arial" w:cs="Arial"/>
              </w:rPr>
              <w:t xml:space="preserve">FDLE - Oficina de </w:t>
            </w:r>
            <w:r w:rsidRPr="00AE0E9B">
              <w:rPr>
                <w:rFonts w:ascii="Arial" w:hAnsi="Arial" w:cs="Arial"/>
              </w:rPr>
              <w:t>Planeación</w:t>
            </w:r>
          </w:p>
        </w:tc>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46AB" w:rsidRPr="00AE0E9B" w:rsidRDefault="004E46AB" w:rsidP="00BF0E50">
            <w:pPr>
              <w:rPr>
                <w:rFonts w:ascii="Arial" w:hAnsi="Arial" w:cs="Arial"/>
              </w:rPr>
            </w:pPr>
          </w:p>
        </w:tc>
      </w:tr>
    </w:tbl>
    <w:p w:rsidR="004E46AB" w:rsidRDefault="004E46AB" w:rsidP="004E46AB">
      <w:pPr>
        <w:autoSpaceDE w:val="0"/>
        <w:autoSpaceDN w:val="0"/>
        <w:adjustRightInd w:val="0"/>
        <w:jc w:val="both"/>
        <w:rPr>
          <w:rFonts w:ascii="Arial" w:hAnsi="Arial" w:cs="Arial"/>
          <w:color w:val="000000"/>
          <w:sz w:val="22"/>
          <w:szCs w:val="22"/>
          <w:lang w:val="es-ES"/>
        </w:rPr>
      </w:pPr>
    </w:p>
    <w:p w:rsidR="00AA786B" w:rsidRDefault="00AA786B"/>
    <w:sectPr w:rsidR="00AA786B" w:rsidSect="002425AA">
      <w:headerReference w:type="default" r:id="rId42"/>
      <w:footerReference w:type="even" r:id="rId43"/>
      <w:footerReference w:type="default" r:id="rId44"/>
      <w:pgSz w:w="12240" w:h="15840"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28E" w:rsidRDefault="0004128E" w:rsidP="004E46AB">
      <w:r>
        <w:separator/>
      </w:r>
    </w:p>
  </w:endnote>
  <w:endnote w:type="continuationSeparator" w:id="0">
    <w:p w:rsidR="0004128E" w:rsidRDefault="0004128E" w:rsidP="004E4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enQuanYi Micro Hei">
    <w:altName w:val="Arial Unicode MS"/>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25AA" w:rsidRDefault="007906B1" w:rsidP="00C65CE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425AA" w:rsidRDefault="0004128E" w:rsidP="00C65C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6AB" w:rsidRDefault="004E46AB" w:rsidP="004E46AB">
    <w:pPr>
      <w:pStyle w:val="Standard"/>
      <w:ind w:left="3540" w:firstLine="708"/>
      <w:jc w:val="right"/>
      <w:rPr>
        <w:rFonts w:ascii="Garamond" w:hAnsi="Garamond" w:cs="Arial"/>
        <w:sz w:val="16"/>
        <w:szCs w:val="16"/>
      </w:rPr>
    </w:pPr>
  </w:p>
  <w:p w:rsidR="004E46AB" w:rsidRPr="00090881" w:rsidRDefault="004E46AB" w:rsidP="004E46AB">
    <w:pPr>
      <w:pStyle w:val="Standard"/>
      <w:ind w:left="3540" w:firstLine="708"/>
      <w:jc w:val="right"/>
      <w:rPr>
        <w:rFonts w:ascii="Garamond" w:hAnsi="Garamond" w:cs="Arial"/>
        <w:sz w:val="16"/>
        <w:szCs w:val="16"/>
      </w:rPr>
    </w:pPr>
    <w:r w:rsidRPr="00090881">
      <w:rPr>
        <w:rFonts w:ascii="Garamond" w:hAnsi="Garamond" w:cs="Arial"/>
        <w:sz w:val="16"/>
        <w:szCs w:val="16"/>
      </w:rPr>
      <w:t>GCO-GCI-F089</w:t>
    </w:r>
  </w:p>
  <w:p w:rsidR="004E46AB" w:rsidRPr="00090881" w:rsidRDefault="004E46AB" w:rsidP="004E46AB">
    <w:pPr>
      <w:pStyle w:val="Standard"/>
      <w:ind w:left="7788"/>
      <w:jc w:val="right"/>
      <w:rPr>
        <w:rFonts w:ascii="Garamond" w:hAnsi="Garamond" w:cs="Arial"/>
        <w:sz w:val="16"/>
        <w:szCs w:val="16"/>
      </w:rPr>
    </w:pPr>
    <w:r w:rsidRPr="00090881">
      <w:rPr>
        <w:rFonts w:ascii="Garamond" w:hAnsi="Garamond" w:cs="Arial"/>
        <w:sz w:val="16"/>
        <w:szCs w:val="16"/>
      </w:rPr>
      <w:t>Versión: 0</w:t>
    </w:r>
    <w:r>
      <w:rPr>
        <w:rFonts w:ascii="Garamond" w:hAnsi="Garamond" w:cs="Arial"/>
        <w:sz w:val="16"/>
        <w:szCs w:val="16"/>
      </w:rPr>
      <w:t>2</w:t>
    </w:r>
  </w:p>
  <w:p w:rsidR="004E46AB" w:rsidRPr="00090881" w:rsidRDefault="004E46AB" w:rsidP="004E46AB">
    <w:pPr>
      <w:pStyle w:val="Piedepgina"/>
      <w:jc w:val="right"/>
      <w:rPr>
        <w:rFonts w:ascii="Garamond" w:hAnsi="Garamond" w:cs="Arial"/>
        <w:sz w:val="16"/>
        <w:szCs w:val="16"/>
      </w:rPr>
    </w:pPr>
    <w:r w:rsidRPr="00090881">
      <w:rPr>
        <w:rFonts w:ascii="Garamond" w:hAnsi="Garamond" w:cs="Arial"/>
        <w:sz w:val="16"/>
        <w:szCs w:val="16"/>
      </w:rPr>
      <w:t xml:space="preserve">Vigencia: </w:t>
    </w:r>
    <w:r>
      <w:rPr>
        <w:rFonts w:ascii="Garamond" w:hAnsi="Garamond" w:cs="Arial"/>
        <w:sz w:val="16"/>
        <w:szCs w:val="16"/>
      </w:rPr>
      <w:t>24 de agosto de 2018</w:t>
    </w:r>
  </w:p>
  <w:p w:rsidR="004E46AB" w:rsidRDefault="004E46AB" w:rsidP="004E46AB">
    <w:pPr>
      <w:pStyle w:val="Piedepgina"/>
      <w:jc w:val="right"/>
    </w:pPr>
    <w:r w:rsidRPr="00090881">
      <w:rPr>
        <w:rFonts w:ascii="Garamond" w:hAnsi="Garamond" w:cs="Garamond"/>
        <w:sz w:val="16"/>
        <w:szCs w:val="16"/>
      </w:rPr>
      <w:t xml:space="preserve"> </w:t>
    </w:r>
    <w:r w:rsidRPr="00090881">
      <w:rPr>
        <w:rStyle w:val="Nmerodepgina"/>
        <w:rFonts w:ascii="Garamond" w:hAnsi="Garamond" w:cs="Arial"/>
        <w:sz w:val="16"/>
        <w:szCs w:val="16"/>
      </w:rPr>
      <w:t xml:space="preserve">Página </w:t>
    </w:r>
    <w:r w:rsidRPr="00090881">
      <w:rPr>
        <w:rStyle w:val="Nmerodepgina"/>
        <w:rFonts w:ascii="Garamond" w:hAnsi="Garamond" w:cs="Arial"/>
        <w:sz w:val="16"/>
        <w:szCs w:val="16"/>
      </w:rPr>
      <w:fldChar w:fldCharType="begin"/>
    </w:r>
    <w:r w:rsidRPr="00090881">
      <w:rPr>
        <w:rStyle w:val="Nmerodepgina"/>
        <w:rFonts w:ascii="Garamond" w:hAnsi="Garamond" w:cs="Arial"/>
        <w:sz w:val="16"/>
        <w:szCs w:val="16"/>
      </w:rPr>
      <w:instrText xml:space="preserve"> PAGE </w:instrText>
    </w:r>
    <w:r w:rsidRPr="00090881">
      <w:rPr>
        <w:rStyle w:val="Nmerodepgina"/>
        <w:rFonts w:ascii="Garamond" w:hAnsi="Garamond" w:cs="Arial"/>
        <w:sz w:val="16"/>
        <w:szCs w:val="16"/>
      </w:rPr>
      <w:fldChar w:fldCharType="separate"/>
    </w:r>
    <w:r w:rsidR="00D21C50">
      <w:rPr>
        <w:rStyle w:val="Nmerodepgina"/>
        <w:rFonts w:ascii="Garamond" w:hAnsi="Garamond" w:cs="Arial"/>
        <w:noProof/>
        <w:sz w:val="16"/>
        <w:szCs w:val="16"/>
      </w:rPr>
      <w:t>23</w:t>
    </w:r>
    <w:r w:rsidRPr="00090881">
      <w:rPr>
        <w:rStyle w:val="Nmerodepgina"/>
        <w:rFonts w:ascii="Garamond" w:hAnsi="Garamond" w:cs="Arial"/>
        <w:sz w:val="16"/>
        <w:szCs w:val="16"/>
      </w:rPr>
      <w:fldChar w:fldCharType="end"/>
    </w:r>
    <w:r w:rsidRPr="00090881">
      <w:rPr>
        <w:rStyle w:val="Nmerodepgina"/>
        <w:rFonts w:ascii="Garamond" w:hAnsi="Garamond" w:cs="Arial"/>
        <w:sz w:val="16"/>
        <w:szCs w:val="16"/>
      </w:rPr>
      <w:t xml:space="preserve"> de </w:t>
    </w:r>
    <w:r w:rsidRPr="00090881">
      <w:rPr>
        <w:rStyle w:val="Nmerodepgina"/>
        <w:rFonts w:ascii="Garamond" w:hAnsi="Garamond" w:cs="Arial"/>
        <w:sz w:val="16"/>
        <w:szCs w:val="16"/>
      </w:rPr>
      <w:fldChar w:fldCharType="begin"/>
    </w:r>
    <w:r w:rsidRPr="00090881">
      <w:rPr>
        <w:rStyle w:val="Nmerodepgina"/>
        <w:rFonts w:ascii="Garamond" w:hAnsi="Garamond" w:cs="Arial"/>
        <w:sz w:val="16"/>
        <w:szCs w:val="16"/>
      </w:rPr>
      <w:instrText xml:space="preserve"> NUMPAGES \* ARABIC </w:instrText>
    </w:r>
    <w:r w:rsidRPr="00090881">
      <w:rPr>
        <w:rStyle w:val="Nmerodepgina"/>
        <w:rFonts w:ascii="Garamond" w:hAnsi="Garamond" w:cs="Arial"/>
        <w:sz w:val="16"/>
        <w:szCs w:val="16"/>
      </w:rPr>
      <w:fldChar w:fldCharType="separate"/>
    </w:r>
    <w:r w:rsidR="00D21C50">
      <w:rPr>
        <w:rStyle w:val="Nmerodepgina"/>
        <w:rFonts w:ascii="Garamond" w:hAnsi="Garamond" w:cs="Arial"/>
        <w:noProof/>
        <w:sz w:val="16"/>
        <w:szCs w:val="16"/>
      </w:rPr>
      <w:t>24</w:t>
    </w:r>
    <w:r w:rsidRPr="00090881">
      <w:rPr>
        <w:rStyle w:val="Nmerodepgina"/>
        <w:rFonts w:ascii="Garamond" w:hAnsi="Garamond" w:cs="Arial"/>
        <w:sz w:val="16"/>
        <w:szCs w:val="16"/>
      </w:rPr>
      <w:fldChar w:fldCharType="end"/>
    </w:r>
  </w:p>
  <w:p w:rsidR="002425AA" w:rsidRPr="00B37F92" w:rsidRDefault="0004128E" w:rsidP="004E46AB">
    <w:pPr>
      <w:pStyle w:val="Piedepgina"/>
      <w:jc w:val="center"/>
      <w:rPr>
        <w:rFonts w:ascii="Arial" w:hAnsi="Arial" w:cs="Arial"/>
      </w:rPr>
    </w:pPr>
  </w:p>
  <w:p w:rsidR="002425AA" w:rsidRPr="00CB6B16" w:rsidRDefault="0004128E" w:rsidP="00AC47F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28E" w:rsidRDefault="0004128E" w:rsidP="004E46AB">
      <w:r>
        <w:separator/>
      </w:r>
    </w:p>
  </w:footnote>
  <w:footnote w:type="continuationSeparator" w:id="0">
    <w:p w:rsidR="0004128E" w:rsidRDefault="0004128E" w:rsidP="004E46AB">
      <w:r>
        <w:continuationSeparator/>
      </w:r>
    </w:p>
  </w:footnote>
  <w:footnote w:id="1">
    <w:p w:rsidR="004E46AB" w:rsidRPr="002A5F1E" w:rsidRDefault="004E46AB" w:rsidP="004E46AB">
      <w:pPr>
        <w:pStyle w:val="Textonotapie"/>
        <w:jc w:val="both"/>
        <w:rPr>
          <w:rFonts w:ascii="Arial" w:hAnsi="Arial" w:cs="Arial"/>
        </w:rPr>
      </w:pPr>
      <w:r w:rsidRPr="002A5F1E">
        <w:rPr>
          <w:rStyle w:val="Refdenotaalpie"/>
          <w:rFonts w:ascii="Arial" w:eastAsiaTheme="majorEastAsia" w:hAnsi="Arial" w:cs="Arial"/>
        </w:rPr>
        <w:footnoteRef/>
      </w:r>
      <w:r w:rsidRPr="002A5F1E">
        <w:rPr>
          <w:rFonts w:ascii="Arial" w:hAnsi="Arial" w:cs="Arial"/>
        </w:rPr>
        <w:t xml:space="preserve"> </w:t>
      </w:r>
      <w:proofErr w:type="spellStart"/>
      <w:r w:rsidRPr="002A5F1E">
        <w:rPr>
          <w:rFonts w:ascii="Arial" w:hAnsi="Arial" w:cs="Arial"/>
        </w:rPr>
        <w:t>pr</w:t>
      </w:r>
      <w:proofErr w:type="spellEnd"/>
      <w:r w:rsidRPr="002A5F1E">
        <w:rPr>
          <w:rFonts w:ascii="Arial" w:hAnsi="Arial" w:cs="Arial"/>
        </w:rPr>
        <w:t xml:space="preserve"> = datos preliminares.</w:t>
      </w:r>
    </w:p>
  </w:footnote>
  <w:footnote w:id="2">
    <w:p w:rsidR="004E46AB" w:rsidRDefault="004E46AB" w:rsidP="004E46AB">
      <w:pPr>
        <w:pStyle w:val="Textonotapie"/>
      </w:pPr>
      <w:r>
        <w:rPr>
          <w:rStyle w:val="Refdenotaalpie"/>
        </w:rPr>
        <w:footnoteRef/>
      </w:r>
      <w:r>
        <w:t xml:space="preserve"> </w:t>
      </w:r>
      <w:r w:rsidRPr="00F923A3">
        <w:t>Incluye propietarios, socios y familiares, y personal aprendiz o por convenio.</w:t>
      </w:r>
    </w:p>
  </w:footnote>
  <w:footnote w:id="3">
    <w:p w:rsidR="004E46AB" w:rsidRDefault="004E46AB" w:rsidP="004E46AB">
      <w:pPr>
        <w:pStyle w:val="Textonotapie"/>
      </w:pPr>
      <w:r>
        <w:rPr>
          <w:rStyle w:val="Refdenotaalpie"/>
        </w:rPr>
        <w:footnoteRef/>
      </w:r>
      <w:r>
        <w:t xml:space="preserve"> </w:t>
      </w:r>
      <w:r w:rsidRPr="00F923A3">
        <w:t>Incluye la remuneración del personal aprendiz</w:t>
      </w:r>
    </w:p>
  </w:footnote>
  <w:footnote w:id="4">
    <w:p w:rsidR="004E46AB" w:rsidRDefault="004E46AB" w:rsidP="004E46AB">
      <w:pPr>
        <w:pStyle w:val="Textonotapie"/>
        <w:rPr>
          <w:rFonts w:ascii="Arial" w:hAnsi="Arial" w:cs="Arial"/>
          <w:sz w:val="14"/>
          <w:szCs w:val="14"/>
        </w:rPr>
      </w:pPr>
      <w:r>
        <w:rPr>
          <w:rStyle w:val="Refdenotaalpie"/>
          <w:rFonts w:ascii="Arial" w:hAnsi="Arial" w:cs="Arial"/>
          <w:sz w:val="14"/>
          <w:szCs w:val="14"/>
        </w:rPr>
        <w:footnoteRef/>
      </w:r>
      <w:r>
        <w:rPr>
          <w:rFonts w:ascii="Arial" w:hAnsi="Arial" w:cs="Arial"/>
          <w:sz w:val="14"/>
          <w:szCs w:val="14"/>
        </w:rPr>
        <w:t xml:space="preserve"> http://www.uniajc.edu.co/documentos/2015/contratacion/Abril/Analisis%20Sector%20Consultorias.pdf</w:t>
      </w:r>
    </w:p>
  </w:footnote>
  <w:footnote w:id="5">
    <w:p w:rsidR="004E46AB" w:rsidRDefault="004E46AB" w:rsidP="004E46AB">
      <w:pPr>
        <w:pStyle w:val="Textonotapie"/>
        <w:rPr>
          <w:rFonts w:ascii="Arial" w:hAnsi="Arial" w:cs="Arial"/>
          <w:sz w:val="14"/>
          <w:szCs w:val="14"/>
        </w:rPr>
      </w:pPr>
      <w:r>
        <w:rPr>
          <w:rStyle w:val="Refdenotaalpie"/>
          <w:rFonts w:ascii="Arial" w:hAnsi="Arial" w:cs="Arial"/>
          <w:sz w:val="14"/>
          <w:szCs w:val="14"/>
        </w:rPr>
        <w:footnoteRef/>
      </w:r>
      <w:r>
        <w:rPr>
          <w:rFonts w:ascii="Arial" w:hAnsi="Arial" w:cs="Arial"/>
          <w:sz w:val="14"/>
          <w:szCs w:val="14"/>
        </w:rPr>
        <w:t xml:space="preserve"> </w:t>
      </w:r>
      <w:proofErr w:type="spellStart"/>
      <w:r>
        <w:rPr>
          <w:rFonts w:ascii="Arial" w:hAnsi="Arial" w:cs="Arial"/>
          <w:sz w:val="14"/>
          <w:szCs w:val="14"/>
        </w:rPr>
        <w:t>ibidem</w:t>
      </w:r>
      <w:proofErr w:type="spellEnd"/>
    </w:p>
  </w:footnote>
  <w:footnote w:id="6">
    <w:p w:rsidR="004E46AB" w:rsidRDefault="004E46AB" w:rsidP="004E46AB">
      <w:pPr>
        <w:pStyle w:val="Textonotapie"/>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http://repository.lasalle.edu.co/bitstream/handle/10185/3022/T11.09%20C29e.pdf?sequence</w:t>
      </w:r>
    </w:p>
  </w:footnote>
  <w:footnote w:id="7">
    <w:p w:rsidR="004E46AB" w:rsidRDefault="004E46AB" w:rsidP="004E46AB">
      <w:pPr>
        <w:pStyle w:val="Textonotapie"/>
      </w:pPr>
      <w:r>
        <w:rPr>
          <w:rStyle w:val="Refdenotaalpie"/>
          <w:rFonts w:ascii="Arial" w:hAnsi="Arial" w:cs="Arial"/>
          <w:sz w:val="16"/>
          <w:szCs w:val="16"/>
        </w:rPr>
        <w:footnoteRef/>
      </w:r>
      <w:r>
        <w:rPr>
          <w:rFonts w:ascii="Arial" w:hAnsi="Arial" w:cs="Arial"/>
          <w:sz w:val="16"/>
          <w:szCs w:val="16"/>
        </w:rPr>
        <w:t xml:space="preserve"> http://uniajc.edu.co/documentos/2015/contratacion/Abril/Analisis%20Sector%20Consultorias.pdf</w:t>
      </w:r>
    </w:p>
  </w:footnote>
  <w:footnote w:id="8">
    <w:p w:rsidR="004E46AB" w:rsidRDefault="004E46AB" w:rsidP="004E46AB">
      <w:pPr>
        <w:pStyle w:val="Textonotapie"/>
        <w:rPr>
          <w:sz w:val="16"/>
          <w:szCs w:val="16"/>
        </w:rPr>
      </w:pPr>
      <w:r>
        <w:rPr>
          <w:rStyle w:val="Refdenotaalpie"/>
          <w:sz w:val="16"/>
          <w:szCs w:val="16"/>
        </w:rPr>
        <w:footnoteRef/>
      </w:r>
      <w:r>
        <w:rPr>
          <w:sz w:val="16"/>
          <w:szCs w:val="16"/>
        </w:rPr>
        <w:t xml:space="preserve"> http://repository.lasalle.edu.co/bitstream/handle/10185/3022/T11.09%20C29e.pdf?sequence=1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25AA" w:rsidRDefault="004E46AB" w:rsidP="004E46AB">
    <w:pPr>
      <w:jc w:val="center"/>
      <w:rPr>
        <w:lang w:val="es-ES"/>
      </w:rPr>
    </w:pPr>
    <w:r w:rsidRPr="007A78EC">
      <w:rPr>
        <w:noProof/>
        <w:lang w:eastAsia="es-CO"/>
      </w:rPr>
      <w:drawing>
        <wp:inline distT="0" distB="0" distL="0" distR="0">
          <wp:extent cx="959644" cy="8858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280" cy="886412"/>
                  </a:xfrm>
                  <a:prstGeom prst="rect">
                    <a:avLst/>
                  </a:prstGeom>
                  <a:solidFill>
                    <a:srgbClr val="FFFFFF"/>
                  </a:solidFill>
                  <a:ln>
                    <a:noFill/>
                  </a:ln>
                </pic:spPr>
              </pic:pic>
            </a:graphicData>
          </a:graphic>
        </wp:inline>
      </w:drawing>
    </w:r>
  </w:p>
  <w:p w:rsidR="002425AA" w:rsidRDefault="0004128E" w:rsidP="00AC47F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CB5E58C6"/>
    <w:name w:val="WW8Num1"/>
    <w:lvl w:ilvl="0">
      <w:start w:val="1"/>
      <w:numFmt w:val="decimal"/>
      <w:lvlText w:val="%1."/>
      <w:lvlJc w:val="left"/>
      <w:pPr>
        <w:tabs>
          <w:tab w:val="num" w:pos="360"/>
        </w:tabs>
        <w:ind w:left="360" w:hanging="360"/>
      </w:pPr>
      <w:rPr>
        <w:rFonts w:ascii="Symbol" w:hAnsi="Symbol" w:cs="Symbol"/>
        <w:b/>
        <w:i w:val="0"/>
      </w:rPr>
    </w:lvl>
  </w:abstractNum>
  <w:abstractNum w:abstractNumId="1" w15:restartNumberingAfterBreak="0">
    <w:nsid w:val="00000002"/>
    <w:multiLevelType w:val="singleLevel"/>
    <w:tmpl w:val="1F2E6EFC"/>
    <w:name w:val="WW8Num2"/>
    <w:lvl w:ilvl="0">
      <w:start w:val="1"/>
      <w:numFmt w:val="lowerLetter"/>
      <w:lvlText w:val="%1."/>
      <w:lvlJc w:val="left"/>
      <w:pPr>
        <w:tabs>
          <w:tab w:val="num" w:pos="1128"/>
        </w:tabs>
        <w:ind w:left="1128" w:hanging="360"/>
      </w:pPr>
      <w:rPr>
        <w:rFonts w:ascii="Arial" w:hAnsi="Arial" w:cs="Arial"/>
        <w:color w:val="auto"/>
        <w:sz w:val="22"/>
        <w:szCs w:val="22"/>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cs="Arial"/>
        <w:b w:val="0"/>
      </w:rPr>
    </w:lvl>
  </w:abstractNum>
  <w:abstractNum w:abstractNumId="4" w15:restartNumberingAfterBreak="0">
    <w:nsid w:val="00000008"/>
    <w:multiLevelType w:val="singleLevel"/>
    <w:tmpl w:val="0EE4B7FC"/>
    <w:name w:val="WW8Num8"/>
    <w:lvl w:ilvl="0">
      <w:start w:val="1"/>
      <w:numFmt w:val="decimal"/>
      <w:lvlText w:val="%1."/>
      <w:lvlJc w:val="left"/>
      <w:pPr>
        <w:tabs>
          <w:tab w:val="num" w:pos="1128"/>
        </w:tabs>
        <w:ind w:left="1128" w:hanging="360"/>
      </w:pPr>
      <w:rPr>
        <w:rFonts w:cs="Times New Roman"/>
        <w:b w:val="0"/>
      </w:rPr>
    </w:lvl>
  </w:abstractNum>
  <w:abstractNum w:abstractNumId="5" w15:restartNumberingAfterBreak="0">
    <w:nsid w:val="04FF5D79"/>
    <w:multiLevelType w:val="hybridMultilevel"/>
    <w:tmpl w:val="6302D588"/>
    <w:lvl w:ilvl="0" w:tplc="391C3468">
      <w:start w:val="1"/>
      <w:numFmt w:val="decimal"/>
      <w:lvlText w:val="%1"/>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0207E18">
      <w:start w:val="1"/>
      <w:numFmt w:val="lowerLetter"/>
      <w:lvlText w:val="%2."/>
      <w:lvlJc w:val="left"/>
      <w:pPr>
        <w:ind w:left="99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DD6C13A">
      <w:start w:val="1"/>
      <w:numFmt w:val="lowerRoman"/>
      <w:lvlText w:val="%3"/>
      <w:lvlJc w:val="left"/>
      <w:pPr>
        <w:ind w:left="13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088DBB0">
      <w:start w:val="1"/>
      <w:numFmt w:val="decimal"/>
      <w:lvlText w:val="%4"/>
      <w:lvlJc w:val="left"/>
      <w:pPr>
        <w:ind w:left="20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CB007EE">
      <w:start w:val="1"/>
      <w:numFmt w:val="lowerLetter"/>
      <w:lvlText w:val="%5"/>
      <w:lvlJc w:val="left"/>
      <w:pPr>
        <w:ind w:left="2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BDCBDE0">
      <w:start w:val="1"/>
      <w:numFmt w:val="lowerRoman"/>
      <w:lvlText w:val="%6"/>
      <w:lvlJc w:val="left"/>
      <w:pPr>
        <w:ind w:left="350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DDCD066">
      <w:start w:val="1"/>
      <w:numFmt w:val="decimal"/>
      <w:lvlText w:val="%7"/>
      <w:lvlJc w:val="left"/>
      <w:pPr>
        <w:ind w:left="4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100A3DC">
      <w:start w:val="1"/>
      <w:numFmt w:val="lowerLetter"/>
      <w:lvlText w:val="%8"/>
      <w:lvlJc w:val="left"/>
      <w:pPr>
        <w:ind w:left="49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DB80D74">
      <w:start w:val="1"/>
      <w:numFmt w:val="lowerRoman"/>
      <w:lvlText w:val="%9"/>
      <w:lvlJc w:val="left"/>
      <w:pPr>
        <w:ind w:left="56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09897963"/>
    <w:multiLevelType w:val="multilevel"/>
    <w:tmpl w:val="66D6767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09F626B"/>
    <w:multiLevelType w:val="hybridMultilevel"/>
    <w:tmpl w:val="F868518E"/>
    <w:lvl w:ilvl="0" w:tplc="ACA47A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E3421"/>
    <w:multiLevelType w:val="multilevel"/>
    <w:tmpl w:val="030E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12639"/>
    <w:multiLevelType w:val="multilevel"/>
    <w:tmpl w:val="24A8CD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9FC215D"/>
    <w:multiLevelType w:val="hybridMultilevel"/>
    <w:tmpl w:val="63C4D5F2"/>
    <w:lvl w:ilvl="0" w:tplc="254061B8">
      <w:start w:val="1"/>
      <w:numFmt w:val="bullet"/>
      <w:lvlText w:val="-"/>
      <w:lvlJc w:val="left"/>
      <w:pPr>
        <w:ind w:left="7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224EF88">
      <w:start w:val="1"/>
      <w:numFmt w:val="bullet"/>
      <w:lvlText w:val="o"/>
      <w:lvlJc w:val="left"/>
      <w:pPr>
        <w:ind w:left="13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D22A50A">
      <w:start w:val="1"/>
      <w:numFmt w:val="bullet"/>
      <w:lvlText w:val="▪"/>
      <w:lvlJc w:val="left"/>
      <w:pPr>
        <w:ind w:left="20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D129176">
      <w:start w:val="1"/>
      <w:numFmt w:val="bullet"/>
      <w:lvlText w:val="•"/>
      <w:lvlJc w:val="left"/>
      <w:pPr>
        <w:ind w:left="2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B309770">
      <w:start w:val="1"/>
      <w:numFmt w:val="bullet"/>
      <w:lvlText w:val="o"/>
      <w:lvlJc w:val="left"/>
      <w:pPr>
        <w:ind w:left="350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0BC2C6E">
      <w:start w:val="1"/>
      <w:numFmt w:val="bullet"/>
      <w:lvlText w:val="▪"/>
      <w:lvlJc w:val="left"/>
      <w:pPr>
        <w:ind w:left="4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9ACCB1A">
      <w:start w:val="1"/>
      <w:numFmt w:val="bullet"/>
      <w:lvlText w:val="•"/>
      <w:lvlJc w:val="left"/>
      <w:pPr>
        <w:ind w:left="49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40874F0">
      <w:start w:val="1"/>
      <w:numFmt w:val="bullet"/>
      <w:lvlText w:val="o"/>
      <w:lvlJc w:val="left"/>
      <w:pPr>
        <w:ind w:left="56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43EC39A">
      <w:start w:val="1"/>
      <w:numFmt w:val="bullet"/>
      <w:lvlText w:val="▪"/>
      <w:lvlJc w:val="left"/>
      <w:pPr>
        <w:ind w:left="63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1D323242"/>
    <w:multiLevelType w:val="hybridMultilevel"/>
    <w:tmpl w:val="D7BC063A"/>
    <w:lvl w:ilvl="0" w:tplc="A9B072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D5188E"/>
    <w:multiLevelType w:val="hybridMultilevel"/>
    <w:tmpl w:val="883AA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AF3DE9"/>
    <w:multiLevelType w:val="hybridMultilevel"/>
    <w:tmpl w:val="963633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033B1F"/>
    <w:multiLevelType w:val="hybridMultilevel"/>
    <w:tmpl w:val="3FD4FF1C"/>
    <w:lvl w:ilvl="0" w:tplc="5E1E30FE">
      <w:start w:val="1"/>
      <w:numFmt w:val="decimal"/>
      <w:lvlText w:val="%1."/>
      <w:lvlJc w:val="left"/>
      <w:pPr>
        <w:ind w:left="360" w:hanging="360"/>
      </w:pPr>
      <w:rPr>
        <w:rFonts w:ascii="Arial" w:eastAsia="OpenSymbol"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7E35B73"/>
    <w:multiLevelType w:val="hybridMultilevel"/>
    <w:tmpl w:val="4E6CE9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200982"/>
    <w:multiLevelType w:val="hybridMultilevel"/>
    <w:tmpl w:val="E1889FE8"/>
    <w:lvl w:ilvl="0" w:tplc="F61C3E1A">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775892"/>
    <w:multiLevelType w:val="hybridMultilevel"/>
    <w:tmpl w:val="57F002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0D2A2A"/>
    <w:multiLevelType w:val="hybridMultilevel"/>
    <w:tmpl w:val="24123D9C"/>
    <w:lvl w:ilvl="0" w:tplc="C7800F1E">
      <w:numFmt w:val="bullet"/>
      <w:lvlText w:val="·"/>
      <w:lvlJc w:val="left"/>
      <w:pPr>
        <w:ind w:left="360" w:hanging="360"/>
      </w:pPr>
      <w:rPr>
        <w:rFonts w:ascii="Arial" w:eastAsia="Times New Roman" w:hAnsi="Arial" w:cs="Symbol" w:hint="default"/>
      </w:rPr>
    </w:lvl>
    <w:lvl w:ilvl="1" w:tplc="240A0003" w:tentative="1">
      <w:start w:val="1"/>
      <w:numFmt w:val="bullet"/>
      <w:lvlText w:val="o"/>
      <w:lvlJc w:val="left"/>
      <w:pPr>
        <w:ind w:left="1080" w:hanging="360"/>
      </w:pPr>
      <w:rPr>
        <w:rFonts w:ascii="Courier New" w:hAnsi="Courier New"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Aria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Arial"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79C10E3"/>
    <w:multiLevelType w:val="hybridMultilevel"/>
    <w:tmpl w:val="E50EE4C6"/>
    <w:lvl w:ilvl="0" w:tplc="240A0015">
      <w:start w:val="1"/>
      <w:numFmt w:val="upperLetter"/>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A5A3C63"/>
    <w:multiLevelType w:val="hybridMultilevel"/>
    <w:tmpl w:val="DA6E5C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B850DC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C361D59"/>
    <w:multiLevelType w:val="multilevel"/>
    <w:tmpl w:val="083E9EE4"/>
    <w:lvl w:ilvl="0">
      <w:start w:val="5"/>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C6E19B3"/>
    <w:multiLevelType w:val="hybridMultilevel"/>
    <w:tmpl w:val="5030A87C"/>
    <w:lvl w:ilvl="0" w:tplc="0B2A9C84">
      <w:start w:val="1"/>
      <w:numFmt w:val="bullet"/>
      <w:lvlText w:val="•"/>
      <w:lvlJc w:val="left"/>
      <w:pPr>
        <w:ind w:left="7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DE6FF56">
      <w:start w:val="1"/>
      <w:numFmt w:val="bullet"/>
      <w:lvlText w:val="o"/>
      <w:lvlJc w:val="left"/>
      <w:pPr>
        <w:ind w:left="1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12BE80B2">
      <w:start w:val="1"/>
      <w:numFmt w:val="bullet"/>
      <w:lvlText w:val="▪"/>
      <w:lvlJc w:val="left"/>
      <w:pPr>
        <w:ind w:left="2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C06C7E8C">
      <w:start w:val="1"/>
      <w:numFmt w:val="bullet"/>
      <w:lvlText w:val="•"/>
      <w:lvlJc w:val="left"/>
      <w:pPr>
        <w:ind w:left="2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D409866">
      <w:start w:val="1"/>
      <w:numFmt w:val="bullet"/>
      <w:lvlText w:val="o"/>
      <w:lvlJc w:val="left"/>
      <w:pPr>
        <w:ind w:left="3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FC1EB3D8">
      <w:start w:val="1"/>
      <w:numFmt w:val="bullet"/>
      <w:lvlText w:val="▪"/>
      <w:lvlJc w:val="left"/>
      <w:pPr>
        <w:ind w:left="4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FED0F454">
      <w:start w:val="1"/>
      <w:numFmt w:val="bullet"/>
      <w:lvlText w:val="•"/>
      <w:lvlJc w:val="left"/>
      <w:pPr>
        <w:ind w:left="49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C36325E">
      <w:start w:val="1"/>
      <w:numFmt w:val="bullet"/>
      <w:lvlText w:val="o"/>
      <w:lvlJc w:val="left"/>
      <w:pPr>
        <w:ind w:left="56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9F42427A">
      <w:start w:val="1"/>
      <w:numFmt w:val="bullet"/>
      <w:lvlText w:val="▪"/>
      <w:lvlJc w:val="left"/>
      <w:pPr>
        <w:ind w:left="63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4" w15:restartNumberingAfterBreak="0">
    <w:nsid w:val="3CF65DFD"/>
    <w:multiLevelType w:val="hybridMultilevel"/>
    <w:tmpl w:val="05AA9D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Aria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Arial"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3E824780"/>
    <w:multiLevelType w:val="hybridMultilevel"/>
    <w:tmpl w:val="C43CEF12"/>
    <w:lvl w:ilvl="0" w:tplc="457C2642">
      <w:start w:val="1"/>
      <w:numFmt w:val="lowerLetter"/>
      <w:lvlText w:val="%1."/>
      <w:lvlJc w:val="left"/>
      <w:pPr>
        <w:tabs>
          <w:tab w:val="num" w:pos="720"/>
        </w:tabs>
        <w:ind w:left="720" w:hanging="360"/>
      </w:pPr>
      <w:rPr>
        <w:rFonts w:ascii="Arial Narrow" w:eastAsia="Times New Roman" w:hAnsi="Arial Narrow" w:cs="Arial"/>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E9634A3"/>
    <w:multiLevelType w:val="hybridMultilevel"/>
    <w:tmpl w:val="115E991C"/>
    <w:lvl w:ilvl="0" w:tplc="5F7C6E56">
      <w:start w:val="1"/>
      <w:numFmt w:val="lowerLetter"/>
      <w:lvlText w:val="%1)"/>
      <w:lvlJc w:val="left"/>
      <w:pPr>
        <w:ind w:left="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7B04610">
      <w:start w:val="2"/>
      <w:numFmt w:val="upperLetter"/>
      <w:lvlText w:val="%2)"/>
      <w:lvlJc w:val="left"/>
      <w:pPr>
        <w:ind w:left="8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704AA96">
      <w:start w:val="1"/>
      <w:numFmt w:val="lowerRoman"/>
      <w:lvlText w:val="%3"/>
      <w:lvlJc w:val="left"/>
      <w:pPr>
        <w:ind w:left="13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B62B8C4">
      <w:start w:val="1"/>
      <w:numFmt w:val="decimal"/>
      <w:lvlText w:val="%4"/>
      <w:lvlJc w:val="left"/>
      <w:pPr>
        <w:ind w:left="20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7CE9FA6">
      <w:start w:val="1"/>
      <w:numFmt w:val="lowerLetter"/>
      <w:lvlText w:val="%5"/>
      <w:lvlJc w:val="left"/>
      <w:pPr>
        <w:ind w:left="2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936796E">
      <w:start w:val="1"/>
      <w:numFmt w:val="lowerRoman"/>
      <w:lvlText w:val="%6"/>
      <w:lvlJc w:val="left"/>
      <w:pPr>
        <w:ind w:left="350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BF6D004">
      <w:start w:val="1"/>
      <w:numFmt w:val="decimal"/>
      <w:lvlText w:val="%7"/>
      <w:lvlJc w:val="left"/>
      <w:pPr>
        <w:ind w:left="42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26830C8">
      <w:start w:val="1"/>
      <w:numFmt w:val="lowerLetter"/>
      <w:lvlText w:val="%8"/>
      <w:lvlJc w:val="left"/>
      <w:pPr>
        <w:ind w:left="49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F0536E">
      <w:start w:val="1"/>
      <w:numFmt w:val="lowerRoman"/>
      <w:lvlText w:val="%9"/>
      <w:lvlJc w:val="left"/>
      <w:pPr>
        <w:ind w:left="56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3EEA5746"/>
    <w:multiLevelType w:val="multilevel"/>
    <w:tmpl w:val="E0CEE35C"/>
    <w:lvl w:ilvl="0">
      <w:start w:val="9"/>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3F97544F"/>
    <w:multiLevelType w:val="multilevel"/>
    <w:tmpl w:val="72B86D10"/>
    <w:lvl w:ilvl="0">
      <w:start w:val="1"/>
      <w:numFmt w:val="decimal"/>
      <w:lvlText w:val="%1."/>
      <w:lvlJc w:val="left"/>
      <w:pPr>
        <w:ind w:left="360" w:hanging="360"/>
      </w:pPr>
      <w:rPr>
        <w:rFonts w:hint="default"/>
        <w:b/>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start w:val="1"/>
      <w:numFmt w:val="decimal"/>
      <w:lvlText w:val="%1.%2."/>
      <w:lvlJc w:val="left"/>
      <w:pPr>
        <w:ind w:left="792" w:hanging="432"/>
      </w:pPr>
      <w:rPr>
        <w:b/>
      </w:rPr>
    </w:lvl>
    <w:lvl w:ilvl="2">
      <w:start w:val="1"/>
      <w:numFmt w:val="decimal"/>
      <w:lvlText w:val="%1.%2.%3."/>
      <w:lvlJc w:val="left"/>
      <w:pPr>
        <w:ind w:left="1224" w:hanging="504"/>
      </w:pPr>
      <w:rPr>
        <w:color w:val="auto"/>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4095997"/>
    <w:multiLevelType w:val="hybridMultilevel"/>
    <w:tmpl w:val="A35C83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E84D5D"/>
    <w:multiLevelType w:val="multilevel"/>
    <w:tmpl w:val="354C1A34"/>
    <w:lvl w:ilvl="0">
      <w:start w:val="1"/>
      <w:numFmt w:val="decimal"/>
      <w:lvlText w:val="%1."/>
      <w:lvlJc w:val="left"/>
      <w:pPr>
        <w:ind w:left="374" w:hanging="360"/>
      </w:pPr>
      <w:rPr>
        <w:rFonts w:hint="default"/>
      </w:rPr>
    </w:lvl>
    <w:lvl w:ilvl="1">
      <w:start w:val="4"/>
      <w:numFmt w:val="decimal"/>
      <w:isLgl/>
      <w:lvlText w:val="%1.%2"/>
      <w:lvlJc w:val="left"/>
      <w:pPr>
        <w:ind w:left="374" w:hanging="360"/>
      </w:pPr>
      <w:rPr>
        <w:rFonts w:hint="default"/>
      </w:rPr>
    </w:lvl>
    <w:lvl w:ilvl="2">
      <w:start w:val="1"/>
      <w:numFmt w:val="decimal"/>
      <w:isLgl/>
      <w:lvlText w:val="%1.%2.%3"/>
      <w:lvlJc w:val="left"/>
      <w:pPr>
        <w:ind w:left="734" w:hanging="720"/>
      </w:pPr>
      <w:rPr>
        <w:rFonts w:hint="default"/>
      </w:rPr>
    </w:lvl>
    <w:lvl w:ilvl="3">
      <w:start w:val="1"/>
      <w:numFmt w:val="decimal"/>
      <w:isLgl/>
      <w:lvlText w:val="%1.%2.%3.%4"/>
      <w:lvlJc w:val="left"/>
      <w:pPr>
        <w:ind w:left="734" w:hanging="720"/>
      </w:pPr>
      <w:rPr>
        <w:rFonts w:hint="default"/>
      </w:rPr>
    </w:lvl>
    <w:lvl w:ilvl="4">
      <w:start w:val="1"/>
      <w:numFmt w:val="decimal"/>
      <w:isLgl/>
      <w:lvlText w:val="%1.%2.%3.%4.%5"/>
      <w:lvlJc w:val="left"/>
      <w:pPr>
        <w:ind w:left="1094" w:hanging="1080"/>
      </w:pPr>
      <w:rPr>
        <w:rFonts w:hint="default"/>
      </w:rPr>
    </w:lvl>
    <w:lvl w:ilvl="5">
      <w:start w:val="1"/>
      <w:numFmt w:val="decimal"/>
      <w:isLgl/>
      <w:lvlText w:val="%1.%2.%3.%4.%5.%6"/>
      <w:lvlJc w:val="left"/>
      <w:pPr>
        <w:ind w:left="1094" w:hanging="1080"/>
      </w:pPr>
      <w:rPr>
        <w:rFonts w:hint="default"/>
      </w:rPr>
    </w:lvl>
    <w:lvl w:ilvl="6">
      <w:start w:val="1"/>
      <w:numFmt w:val="decimal"/>
      <w:isLgl/>
      <w:lvlText w:val="%1.%2.%3.%4.%5.%6.%7"/>
      <w:lvlJc w:val="left"/>
      <w:pPr>
        <w:ind w:left="1454" w:hanging="1440"/>
      </w:pPr>
      <w:rPr>
        <w:rFonts w:hint="default"/>
      </w:rPr>
    </w:lvl>
    <w:lvl w:ilvl="7">
      <w:start w:val="1"/>
      <w:numFmt w:val="decimal"/>
      <w:isLgl/>
      <w:lvlText w:val="%1.%2.%3.%4.%5.%6.%7.%8"/>
      <w:lvlJc w:val="left"/>
      <w:pPr>
        <w:ind w:left="1454" w:hanging="1440"/>
      </w:pPr>
      <w:rPr>
        <w:rFonts w:hint="default"/>
      </w:rPr>
    </w:lvl>
    <w:lvl w:ilvl="8">
      <w:start w:val="1"/>
      <w:numFmt w:val="decimal"/>
      <w:isLgl/>
      <w:lvlText w:val="%1.%2.%3.%4.%5.%6.%7.%8.%9"/>
      <w:lvlJc w:val="left"/>
      <w:pPr>
        <w:ind w:left="1814" w:hanging="1800"/>
      </w:pPr>
      <w:rPr>
        <w:rFonts w:hint="default"/>
      </w:rPr>
    </w:lvl>
  </w:abstractNum>
  <w:abstractNum w:abstractNumId="31" w15:restartNumberingAfterBreak="0">
    <w:nsid w:val="494934B1"/>
    <w:multiLevelType w:val="hybridMultilevel"/>
    <w:tmpl w:val="C704563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19623E2"/>
    <w:multiLevelType w:val="hybridMultilevel"/>
    <w:tmpl w:val="BCCEC7D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8C1AF8"/>
    <w:multiLevelType w:val="hybridMultilevel"/>
    <w:tmpl w:val="91EC830A"/>
    <w:lvl w:ilvl="0" w:tplc="B4FA754E">
      <w:start w:val="1"/>
      <w:numFmt w:val="bullet"/>
      <w:lvlText w:val="-"/>
      <w:lvlJc w:val="left"/>
      <w:pPr>
        <w:ind w:left="78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993C19BE">
      <w:start w:val="1"/>
      <w:numFmt w:val="bullet"/>
      <w:lvlText w:val="o"/>
      <w:lvlJc w:val="left"/>
      <w:pPr>
        <w:ind w:left="134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DB248024">
      <w:start w:val="1"/>
      <w:numFmt w:val="bullet"/>
      <w:lvlText w:val="▪"/>
      <w:lvlJc w:val="left"/>
      <w:pPr>
        <w:ind w:left="206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4CCEEA16">
      <w:start w:val="1"/>
      <w:numFmt w:val="bullet"/>
      <w:lvlText w:val="•"/>
      <w:lvlJc w:val="left"/>
      <w:pPr>
        <w:ind w:left="278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E83288AA">
      <w:start w:val="1"/>
      <w:numFmt w:val="bullet"/>
      <w:lvlText w:val="o"/>
      <w:lvlJc w:val="left"/>
      <w:pPr>
        <w:ind w:left="350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8CFC1820">
      <w:start w:val="1"/>
      <w:numFmt w:val="bullet"/>
      <w:lvlText w:val="▪"/>
      <w:lvlJc w:val="left"/>
      <w:pPr>
        <w:ind w:left="422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CC905EDA">
      <w:start w:val="1"/>
      <w:numFmt w:val="bullet"/>
      <w:lvlText w:val="•"/>
      <w:lvlJc w:val="left"/>
      <w:pPr>
        <w:ind w:left="494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2FDEAB00">
      <w:start w:val="1"/>
      <w:numFmt w:val="bullet"/>
      <w:lvlText w:val="o"/>
      <w:lvlJc w:val="left"/>
      <w:pPr>
        <w:ind w:left="566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D0B2C5B2">
      <w:start w:val="1"/>
      <w:numFmt w:val="bullet"/>
      <w:lvlText w:val="▪"/>
      <w:lvlJc w:val="left"/>
      <w:pPr>
        <w:ind w:left="638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34" w15:restartNumberingAfterBreak="0">
    <w:nsid w:val="58EE726D"/>
    <w:multiLevelType w:val="hybridMultilevel"/>
    <w:tmpl w:val="A70E7762"/>
    <w:lvl w:ilvl="0" w:tplc="6166F26E">
      <w:start w:val="1"/>
      <w:numFmt w:val="decimal"/>
      <w:lvlText w:val="%1)"/>
      <w:lvlJc w:val="left"/>
      <w:pPr>
        <w:ind w:left="1495" w:hanging="360"/>
      </w:pPr>
      <w:rPr>
        <w:rFonts w:hint="default"/>
        <w:b w:val="0"/>
        <w:color w:val="auto"/>
      </w:rPr>
    </w:lvl>
    <w:lvl w:ilvl="1" w:tplc="0C0A0019">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35" w15:restartNumberingAfterBreak="0">
    <w:nsid w:val="5C40536F"/>
    <w:multiLevelType w:val="hybridMultilevel"/>
    <w:tmpl w:val="BA9A1E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4A4E23"/>
    <w:multiLevelType w:val="hybridMultilevel"/>
    <w:tmpl w:val="B9268AC2"/>
    <w:lvl w:ilvl="0" w:tplc="CA6C0970">
      <w:start w:val="1"/>
      <w:numFmt w:val="bullet"/>
      <w:lvlText w:val="-"/>
      <w:lvlJc w:val="left"/>
      <w:pPr>
        <w:ind w:left="78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5FD01B36">
      <w:start w:val="1"/>
      <w:numFmt w:val="bullet"/>
      <w:lvlText w:val="o"/>
      <w:lvlJc w:val="left"/>
      <w:pPr>
        <w:ind w:left="134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5588A380">
      <w:start w:val="1"/>
      <w:numFmt w:val="bullet"/>
      <w:lvlText w:val="▪"/>
      <w:lvlJc w:val="left"/>
      <w:pPr>
        <w:ind w:left="206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0B6EEFF6">
      <w:start w:val="1"/>
      <w:numFmt w:val="bullet"/>
      <w:lvlText w:val="•"/>
      <w:lvlJc w:val="left"/>
      <w:pPr>
        <w:ind w:left="278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4A4495DE">
      <w:start w:val="1"/>
      <w:numFmt w:val="bullet"/>
      <w:lvlText w:val="o"/>
      <w:lvlJc w:val="left"/>
      <w:pPr>
        <w:ind w:left="350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D6760890">
      <w:start w:val="1"/>
      <w:numFmt w:val="bullet"/>
      <w:lvlText w:val="▪"/>
      <w:lvlJc w:val="left"/>
      <w:pPr>
        <w:ind w:left="422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CD140824">
      <w:start w:val="1"/>
      <w:numFmt w:val="bullet"/>
      <w:lvlText w:val="•"/>
      <w:lvlJc w:val="left"/>
      <w:pPr>
        <w:ind w:left="494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97FE6326">
      <w:start w:val="1"/>
      <w:numFmt w:val="bullet"/>
      <w:lvlText w:val="o"/>
      <w:lvlJc w:val="left"/>
      <w:pPr>
        <w:ind w:left="566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4510FC52">
      <w:start w:val="1"/>
      <w:numFmt w:val="bullet"/>
      <w:lvlText w:val="▪"/>
      <w:lvlJc w:val="left"/>
      <w:pPr>
        <w:ind w:left="638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37" w15:restartNumberingAfterBreak="0">
    <w:nsid w:val="62326EBE"/>
    <w:multiLevelType w:val="hybridMultilevel"/>
    <w:tmpl w:val="6A6C1F4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FE044AF"/>
    <w:multiLevelType w:val="hybridMultilevel"/>
    <w:tmpl w:val="47C82886"/>
    <w:lvl w:ilvl="0" w:tplc="976C91A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71A22CD6"/>
    <w:multiLevelType w:val="multilevel"/>
    <w:tmpl w:val="E3C8222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4066BC8"/>
    <w:multiLevelType w:val="hybridMultilevel"/>
    <w:tmpl w:val="F2AA1AE2"/>
    <w:lvl w:ilvl="0" w:tplc="C90684C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74DB3D53"/>
    <w:multiLevelType w:val="hybridMultilevel"/>
    <w:tmpl w:val="B792D2DE"/>
    <w:lvl w:ilvl="0" w:tplc="240A0013">
      <w:start w:val="1"/>
      <w:numFmt w:val="upperRoman"/>
      <w:lvlText w:val="%1."/>
      <w:lvlJc w:val="right"/>
      <w:pPr>
        <w:ind w:left="1282" w:hanging="360"/>
      </w:pPr>
      <w:rPr>
        <w:rFonts w:hint="default"/>
        <w:b/>
      </w:rPr>
    </w:lvl>
    <w:lvl w:ilvl="1" w:tplc="240A0019">
      <w:start w:val="1"/>
      <w:numFmt w:val="lowerLetter"/>
      <w:lvlText w:val="%2."/>
      <w:lvlJc w:val="left"/>
      <w:pPr>
        <w:ind w:left="2002" w:hanging="360"/>
      </w:pPr>
    </w:lvl>
    <w:lvl w:ilvl="2" w:tplc="240A001B" w:tentative="1">
      <w:start w:val="1"/>
      <w:numFmt w:val="lowerRoman"/>
      <w:lvlText w:val="%3."/>
      <w:lvlJc w:val="right"/>
      <w:pPr>
        <w:ind w:left="2722" w:hanging="180"/>
      </w:pPr>
    </w:lvl>
    <w:lvl w:ilvl="3" w:tplc="240A000F" w:tentative="1">
      <w:start w:val="1"/>
      <w:numFmt w:val="decimal"/>
      <w:lvlText w:val="%4."/>
      <w:lvlJc w:val="left"/>
      <w:pPr>
        <w:ind w:left="3442" w:hanging="360"/>
      </w:pPr>
    </w:lvl>
    <w:lvl w:ilvl="4" w:tplc="240A0019" w:tentative="1">
      <w:start w:val="1"/>
      <w:numFmt w:val="lowerLetter"/>
      <w:lvlText w:val="%5."/>
      <w:lvlJc w:val="left"/>
      <w:pPr>
        <w:ind w:left="4162" w:hanging="360"/>
      </w:pPr>
    </w:lvl>
    <w:lvl w:ilvl="5" w:tplc="240A001B" w:tentative="1">
      <w:start w:val="1"/>
      <w:numFmt w:val="lowerRoman"/>
      <w:lvlText w:val="%6."/>
      <w:lvlJc w:val="right"/>
      <w:pPr>
        <w:ind w:left="4882" w:hanging="180"/>
      </w:pPr>
    </w:lvl>
    <w:lvl w:ilvl="6" w:tplc="240A000F" w:tentative="1">
      <w:start w:val="1"/>
      <w:numFmt w:val="decimal"/>
      <w:lvlText w:val="%7."/>
      <w:lvlJc w:val="left"/>
      <w:pPr>
        <w:ind w:left="5602" w:hanging="360"/>
      </w:pPr>
    </w:lvl>
    <w:lvl w:ilvl="7" w:tplc="240A0019" w:tentative="1">
      <w:start w:val="1"/>
      <w:numFmt w:val="lowerLetter"/>
      <w:lvlText w:val="%8."/>
      <w:lvlJc w:val="left"/>
      <w:pPr>
        <w:ind w:left="6322" w:hanging="360"/>
      </w:pPr>
    </w:lvl>
    <w:lvl w:ilvl="8" w:tplc="240A001B" w:tentative="1">
      <w:start w:val="1"/>
      <w:numFmt w:val="lowerRoman"/>
      <w:lvlText w:val="%9."/>
      <w:lvlJc w:val="right"/>
      <w:pPr>
        <w:ind w:left="7042" w:hanging="180"/>
      </w:pPr>
    </w:lvl>
  </w:abstractNum>
  <w:abstractNum w:abstractNumId="42" w15:restartNumberingAfterBreak="0">
    <w:nsid w:val="75F47146"/>
    <w:multiLevelType w:val="hybridMultilevel"/>
    <w:tmpl w:val="D7CAE4B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26"/>
  </w:num>
  <w:num w:numId="6">
    <w:abstractNumId w:val="5"/>
  </w:num>
  <w:num w:numId="7">
    <w:abstractNumId w:val="10"/>
  </w:num>
  <w:num w:numId="8">
    <w:abstractNumId w:val="23"/>
  </w:num>
  <w:num w:numId="9">
    <w:abstractNumId w:val="33"/>
  </w:num>
  <w:num w:numId="10">
    <w:abstractNumId w:val="36"/>
  </w:num>
  <w:num w:numId="11">
    <w:abstractNumId w:val="12"/>
  </w:num>
  <w:num w:numId="12">
    <w:abstractNumId w:val="34"/>
  </w:num>
  <w:num w:numId="13">
    <w:abstractNumId w:val="37"/>
  </w:num>
  <w:num w:numId="14">
    <w:abstractNumId w:val="42"/>
  </w:num>
  <w:num w:numId="15">
    <w:abstractNumId w:val="16"/>
  </w:num>
  <w:num w:numId="16">
    <w:abstractNumId w:val="25"/>
  </w:num>
  <w:num w:numId="17">
    <w:abstractNumId w:val="40"/>
  </w:num>
  <w:num w:numId="18">
    <w:abstractNumId w:val="22"/>
  </w:num>
  <w:num w:numId="19">
    <w:abstractNumId w:val="32"/>
  </w:num>
  <w:num w:numId="20">
    <w:abstractNumId w:val="13"/>
  </w:num>
  <w:num w:numId="21">
    <w:abstractNumId w:val="17"/>
  </w:num>
  <w:num w:numId="22">
    <w:abstractNumId w:val="4"/>
  </w:num>
  <w:num w:numId="23">
    <w:abstractNumId w:val="14"/>
  </w:num>
  <w:num w:numId="24">
    <w:abstractNumId w:val="27"/>
  </w:num>
  <w:num w:numId="25">
    <w:abstractNumId w:val="29"/>
  </w:num>
  <w:num w:numId="26">
    <w:abstractNumId w:val="24"/>
  </w:num>
  <w:num w:numId="27">
    <w:abstractNumId w:val="18"/>
  </w:num>
  <w:num w:numId="28">
    <w:abstractNumId w:val="6"/>
  </w:num>
  <w:num w:numId="29">
    <w:abstractNumId w:val="38"/>
  </w:num>
  <w:num w:numId="30">
    <w:abstractNumId w:val="39"/>
  </w:num>
  <w:num w:numId="31">
    <w:abstractNumId w:val="7"/>
  </w:num>
  <w:num w:numId="32">
    <w:abstractNumId w:val="8"/>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35"/>
  </w:num>
  <w:num w:numId="37">
    <w:abstractNumId w:val="11"/>
  </w:num>
  <w:num w:numId="38">
    <w:abstractNumId w:val="15"/>
  </w:num>
  <w:num w:numId="39">
    <w:abstractNumId w:val="19"/>
  </w:num>
  <w:num w:numId="40">
    <w:abstractNumId w:val="28"/>
  </w:num>
  <w:num w:numId="41">
    <w:abstractNumId w:val="41"/>
  </w:num>
  <w:num w:numId="42">
    <w:abstractNumId w:val="21"/>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6AB"/>
    <w:rsid w:val="0004128E"/>
    <w:rsid w:val="004E46AB"/>
    <w:rsid w:val="007906B1"/>
    <w:rsid w:val="00AA786B"/>
    <w:rsid w:val="00D21C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82ACFBB-6840-4C45-B949-E42BD5AD1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6AB"/>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Part,H1,Part1,H11,Part2,H12,Part11,H111"/>
    <w:basedOn w:val="Normal"/>
    <w:next w:val="Normal"/>
    <w:link w:val="Ttulo1Car"/>
    <w:qFormat/>
    <w:rsid w:val="004E46AB"/>
    <w:pPr>
      <w:keepNext/>
      <w:spacing w:before="240" w:after="60"/>
      <w:outlineLvl w:val="0"/>
    </w:pPr>
    <w:rPr>
      <w:rFonts w:ascii="Calibri Light" w:hAnsi="Calibri Light"/>
      <w:b/>
      <w:bCs/>
      <w:kern w:val="32"/>
      <w:sz w:val="32"/>
      <w:szCs w:val="32"/>
      <w:lang w:val="x-none"/>
    </w:rPr>
  </w:style>
  <w:style w:type="paragraph" w:styleId="Ttulo2">
    <w:name w:val="heading 2"/>
    <w:next w:val="Normal"/>
    <w:link w:val="Ttulo2Car"/>
    <w:uiPriority w:val="9"/>
    <w:unhideWhenUsed/>
    <w:qFormat/>
    <w:rsid w:val="004E46AB"/>
    <w:pPr>
      <w:keepNext/>
      <w:keepLines/>
      <w:spacing w:after="5" w:line="249" w:lineRule="auto"/>
      <w:ind w:left="10" w:right="4" w:hanging="10"/>
      <w:outlineLvl w:val="1"/>
    </w:pPr>
    <w:rPr>
      <w:rFonts w:ascii="Arial" w:eastAsia="Arial" w:hAnsi="Arial" w:cs="Times New Roman"/>
      <w:b/>
      <w:color w:val="000000"/>
      <w:lang w:eastAsia="es-CO"/>
    </w:rPr>
  </w:style>
  <w:style w:type="paragraph" w:styleId="Ttulo3">
    <w:name w:val="heading 3"/>
    <w:basedOn w:val="Normal"/>
    <w:next w:val="Normal"/>
    <w:link w:val="Ttulo3Car"/>
    <w:semiHidden/>
    <w:unhideWhenUsed/>
    <w:qFormat/>
    <w:rsid w:val="004E46AB"/>
    <w:pPr>
      <w:keepNext/>
      <w:spacing w:before="240" w:after="60"/>
      <w:outlineLvl w:val="2"/>
    </w:pPr>
    <w:rPr>
      <w:rFonts w:ascii="Calibri Light" w:hAnsi="Calibri Light"/>
      <w:b/>
      <w:bCs/>
      <w:sz w:val="26"/>
      <w:szCs w:val="26"/>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4E46AB"/>
    <w:rPr>
      <w:rFonts w:ascii="Calibri Light" w:eastAsia="Times New Roman" w:hAnsi="Calibri Light" w:cs="Times New Roman"/>
      <w:b/>
      <w:bCs/>
      <w:kern w:val="32"/>
      <w:sz w:val="32"/>
      <w:szCs w:val="32"/>
      <w:lang w:val="x-none" w:eastAsia="es-ES"/>
    </w:rPr>
  </w:style>
  <w:style w:type="character" w:customStyle="1" w:styleId="Ttulo2Car">
    <w:name w:val="Título 2 Car"/>
    <w:basedOn w:val="Fuentedeprrafopredeter"/>
    <w:link w:val="Ttulo2"/>
    <w:uiPriority w:val="9"/>
    <w:rsid w:val="004E46AB"/>
    <w:rPr>
      <w:rFonts w:ascii="Arial" w:eastAsia="Arial" w:hAnsi="Arial" w:cs="Times New Roman"/>
      <w:b/>
      <w:color w:val="000000"/>
      <w:lang w:eastAsia="es-CO"/>
    </w:rPr>
  </w:style>
  <w:style w:type="character" w:customStyle="1" w:styleId="Ttulo3Car">
    <w:name w:val="Título 3 Car"/>
    <w:basedOn w:val="Fuentedeprrafopredeter"/>
    <w:link w:val="Ttulo3"/>
    <w:semiHidden/>
    <w:rsid w:val="004E46AB"/>
    <w:rPr>
      <w:rFonts w:ascii="Calibri Light" w:eastAsia="Times New Roman" w:hAnsi="Calibri Light" w:cs="Times New Roman"/>
      <w:b/>
      <w:bCs/>
      <w:sz w:val="26"/>
      <w:szCs w:val="26"/>
      <w:lang w:val="x-none" w:eastAsia="es-ES"/>
    </w:rPr>
  </w:style>
  <w:style w:type="paragraph" w:styleId="Encabezado">
    <w:name w:val="header"/>
    <w:basedOn w:val="Normal"/>
    <w:link w:val="EncabezadoCar"/>
    <w:uiPriority w:val="99"/>
    <w:rsid w:val="004E46AB"/>
    <w:pPr>
      <w:tabs>
        <w:tab w:val="center" w:pos="4252"/>
        <w:tab w:val="right" w:pos="8504"/>
      </w:tabs>
    </w:pPr>
    <w:rPr>
      <w:lang w:val="x-none"/>
    </w:rPr>
  </w:style>
  <w:style w:type="character" w:customStyle="1" w:styleId="EncabezadoCar">
    <w:name w:val="Encabezado Car"/>
    <w:basedOn w:val="Fuentedeprrafopredeter"/>
    <w:link w:val="Encabezado"/>
    <w:uiPriority w:val="99"/>
    <w:rsid w:val="004E46AB"/>
    <w:rPr>
      <w:rFonts w:ascii="Times New Roman" w:eastAsia="Times New Roman" w:hAnsi="Times New Roman" w:cs="Times New Roman"/>
      <w:sz w:val="20"/>
      <w:szCs w:val="20"/>
      <w:lang w:val="x-none" w:eastAsia="es-ES"/>
    </w:rPr>
  </w:style>
  <w:style w:type="paragraph" w:styleId="Piedepgina">
    <w:name w:val="footer"/>
    <w:basedOn w:val="Normal"/>
    <w:link w:val="PiedepginaCar"/>
    <w:uiPriority w:val="99"/>
    <w:rsid w:val="004E46AB"/>
    <w:pPr>
      <w:tabs>
        <w:tab w:val="center" w:pos="4252"/>
        <w:tab w:val="right" w:pos="8504"/>
      </w:tabs>
    </w:pPr>
    <w:rPr>
      <w:lang w:val="x-none"/>
    </w:rPr>
  </w:style>
  <w:style w:type="character" w:customStyle="1" w:styleId="PiedepginaCar">
    <w:name w:val="Pie de página Car"/>
    <w:basedOn w:val="Fuentedeprrafopredeter"/>
    <w:link w:val="Piedepgina"/>
    <w:uiPriority w:val="99"/>
    <w:rsid w:val="004E46AB"/>
    <w:rPr>
      <w:rFonts w:ascii="Times New Roman" w:eastAsia="Times New Roman" w:hAnsi="Times New Roman" w:cs="Times New Roman"/>
      <w:sz w:val="20"/>
      <w:szCs w:val="20"/>
      <w:lang w:val="x-none" w:eastAsia="es-ES"/>
    </w:rPr>
  </w:style>
  <w:style w:type="character" w:styleId="Hipervnculo">
    <w:name w:val="Hyperlink"/>
    <w:uiPriority w:val="99"/>
    <w:rsid w:val="004E46AB"/>
    <w:rPr>
      <w:rFonts w:cs="Times New Roman"/>
      <w:color w:val="0000FF"/>
      <w:u w:val="single"/>
    </w:rPr>
  </w:style>
  <w:style w:type="paragraph" w:styleId="Textoindependiente">
    <w:name w:val="Body Text"/>
    <w:basedOn w:val="Normal"/>
    <w:link w:val="TextoindependienteCar"/>
    <w:uiPriority w:val="99"/>
    <w:rsid w:val="004E46AB"/>
    <w:pPr>
      <w:spacing w:line="360" w:lineRule="auto"/>
      <w:jc w:val="both"/>
    </w:pPr>
    <w:rPr>
      <w:lang w:val="x-none"/>
    </w:rPr>
  </w:style>
  <w:style w:type="character" w:customStyle="1" w:styleId="TextoindependienteCar">
    <w:name w:val="Texto independiente Car"/>
    <w:basedOn w:val="Fuentedeprrafopredeter"/>
    <w:link w:val="Textoindependiente"/>
    <w:uiPriority w:val="99"/>
    <w:rsid w:val="004E46AB"/>
    <w:rPr>
      <w:rFonts w:ascii="Times New Roman" w:eastAsia="Times New Roman" w:hAnsi="Times New Roman" w:cs="Times New Roman"/>
      <w:sz w:val="20"/>
      <w:szCs w:val="20"/>
      <w:lang w:val="x-none" w:eastAsia="es-ES"/>
    </w:rPr>
  </w:style>
  <w:style w:type="paragraph" w:styleId="Textonotapie">
    <w:name w:val="footnote text"/>
    <w:aliases w:val="Car,texto de nota al pie,Nota a pie/Bibliog,Texto nota pie Car Car,Car1 Car Car,Car1 Car2,ft Car Car,ft Car,Texto nota pie Car11,Texto nota pie Car Car1,Car1 Car Car1,Car1 Car21,Car11 Car Car,Car11 Car,ft"/>
    <w:basedOn w:val="Normal"/>
    <w:link w:val="TextonotapieCar"/>
    <w:rsid w:val="004E46AB"/>
  </w:style>
  <w:style w:type="character" w:customStyle="1" w:styleId="TextonotapieCar">
    <w:name w:val="Texto nota pie Car"/>
    <w:aliases w:val="Car Car,texto de nota al pie Car,Nota a pie/Bibliog Car,Texto nota pie Car Car Car,Car1 Car Car Car,Car1 Car2 Car,ft Car Car Car,ft Car Car1,Texto nota pie Car11 Car,Texto nota pie Car Car1 Car,Car1 Car Car1 Car,Car1 Car21 Car,ft Car1"/>
    <w:basedOn w:val="Fuentedeprrafopredeter"/>
    <w:link w:val="Textonotapie"/>
    <w:rsid w:val="004E46AB"/>
    <w:rPr>
      <w:rFonts w:ascii="Times New Roman" w:eastAsia="Times New Roman" w:hAnsi="Times New Roman" w:cs="Times New Roman"/>
      <w:sz w:val="20"/>
      <w:szCs w:val="20"/>
      <w:lang w:eastAsia="es-ES"/>
    </w:rPr>
  </w:style>
  <w:style w:type="character" w:customStyle="1" w:styleId="FootnoteTextChar">
    <w:name w:val="Footnote Text Char"/>
    <w:aliases w:val="Car Char"/>
    <w:uiPriority w:val="99"/>
    <w:semiHidden/>
    <w:locked/>
    <w:rsid w:val="004E46AB"/>
    <w:rPr>
      <w:rFonts w:cs="Times New Roman"/>
      <w:sz w:val="20"/>
      <w:szCs w:val="20"/>
      <w:lang w:val="x-none"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rsid w:val="004E46AB"/>
    <w:rPr>
      <w:rFonts w:cs="Times New Roman"/>
      <w:vertAlign w:val="superscript"/>
    </w:rPr>
  </w:style>
  <w:style w:type="paragraph" w:styleId="Textoindependiente2">
    <w:name w:val="Body Text 2"/>
    <w:basedOn w:val="Normal"/>
    <w:link w:val="Textoindependiente2Car"/>
    <w:uiPriority w:val="99"/>
    <w:rsid w:val="004E46AB"/>
    <w:pPr>
      <w:spacing w:after="120" w:line="480" w:lineRule="auto"/>
    </w:pPr>
    <w:rPr>
      <w:lang w:val="x-none"/>
    </w:rPr>
  </w:style>
  <w:style w:type="character" w:customStyle="1" w:styleId="Textoindependiente2Car">
    <w:name w:val="Texto independiente 2 Car"/>
    <w:basedOn w:val="Fuentedeprrafopredeter"/>
    <w:link w:val="Textoindependiente2"/>
    <w:uiPriority w:val="99"/>
    <w:rsid w:val="004E46AB"/>
    <w:rPr>
      <w:rFonts w:ascii="Times New Roman" w:eastAsia="Times New Roman" w:hAnsi="Times New Roman" w:cs="Times New Roman"/>
      <w:sz w:val="20"/>
      <w:szCs w:val="20"/>
      <w:lang w:val="x-none" w:eastAsia="es-ES"/>
    </w:rPr>
  </w:style>
  <w:style w:type="paragraph" w:styleId="ndice1">
    <w:name w:val="index 1"/>
    <w:basedOn w:val="Normal"/>
    <w:next w:val="Normal"/>
    <w:autoRedefine/>
    <w:uiPriority w:val="99"/>
    <w:semiHidden/>
    <w:rsid w:val="004E46AB"/>
    <w:pPr>
      <w:ind w:left="200" w:hanging="200"/>
    </w:pPr>
  </w:style>
  <w:style w:type="paragraph" w:styleId="ndice2">
    <w:name w:val="index 2"/>
    <w:basedOn w:val="Normal"/>
    <w:next w:val="Normal"/>
    <w:autoRedefine/>
    <w:uiPriority w:val="99"/>
    <w:semiHidden/>
    <w:rsid w:val="004E46AB"/>
    <w:pPr>
      <w:ind w:left="400" w:hanging="200"/>
    </w:pPr>
  </w:style>
  <w:style w:type="paragraph" w:styleId="ndice3">
    <w:name w:val="index 3"/>
    <w:basedOn w:val="Normal"/>
    <w:next w:val="Normal"/>
    <w:autoRedefine/>
    <w:uiPriority w:val="99"/>
    <w:semiHidden/>
    <w:rsid w:val="004E46AB"/>
    <w:pPr>
      <w:ind w:left="600" w:hanging="200"/>
    </w:pPr>
  </w:style>
  <w:style w:type="paragraph" w:styleId="ndice4">
    <w:name w:val="index 4"/>
    <w:basedOn w:val="Normal"/>
    <w:next w:val="Normal"/>
    <w:autoRedefine/>
    <w:uiPriority w:val="99"/>
    <w:semiHidden/>
    <w:rsid w:val="004E46AB"/>
    <w:pPr>
      <w:ind w:left="800" w:hanging="200"/>
    </w:pPr>
  </w:style>
  <w:style w:type="paragraph" w:styleId="ndice5">
    <w:name w:val="index 5"/>
    <w:basedOn w:val="Normal"/>
    <w:next w:val="Normal"/>
    <w:autoRedefine/>
    <w:uiPriority w:val="99"/>
    <w:semiHidden/>
    <w:rsid w:val="004E46AB"/>
    <w:pPr>
      <w:ind w:left="1000" w:hanging="200"/>
    </w:pPr>
  </w:style>
  <w:style w:type="paragraph" w:styleId="ndice6">
    <w:name w:val="index 6"/>
    <w:basedOn w:val="Normal"/>
    <w:next w:val="Normal"/>
    <w:autoRedefine/>
    <w:uiPriority w:val="99"/>
    <w:semiHidden/>
    <w:rsid w:val="004E46AB"/>
    <w:pPr>
      <w:ind w:left="1200" w:hanging="200"/>
    </w:pPr>
  </w:style>
  <w:style w:type="paragraph" w:styleId="ndice7">
    <w:name w:val="index 7"/>
    <w:basedOn w:val="Normal"/>
    <w:next w:val="Normal"/>
    <w:autoRedefine/>
    <w:uiPriority w:val="99"/>
    <w:semiHidden/>
    <w:rsid w:val="004E46AB"/>
    <w:pPr>
      <w:ind w:left="1400" w:hanging="200"/>
    </w:pPr>
  </w:style>
  <w:style w:type="paragraph" w:styleId="ndice8">
    <w:name w:val="index 8"/>
    <w:basedOn w:val="Normal"/>
    <w:next w:val="Normal"/>
    <w:autoRedefine/>
    <w:uiPriority w:val="99"/>
    <w:semiHidden/>
    <w:rsid w:val="004E46AB"/>
    <w:pPr>
      <w:ind w:left="1600" w:hanging="200"/>
    </w:pPr>
  </w:style>
  <w:style w:type="paragraph" w:styleId="ndice9">
    <w:name w:val="index 9"/>
    <w:basedOn w:val="Normal"/>
    <w:next w:val="Normal"/>
    <w:autoRedefine/>
    <w:uiPriority w:val="99"/>
    <w:semiHidden/>
    <w:rsid w:val="004E46AB"/>
    <w:pPr>
      <w:ind w:left="1800" w:hanging="200"/>
    </w:pPr>
  </w:style>
  <w:style w:type="paragraph" w:styleId="Ttulodendice">
    <w:name w:val="index heading"/>
    <w:basedOn w:val="Normal"/>
    <w:next w:val="ndice1"/>
    <w:uiPriority w:val="99"/>
    <w:semiHidden/>
    <w:rsid w:val="004E46AB"/>
    <w:pPr>
      <w:spacing w:before="120" w:after="120"/>
    </w:pPr>
    <w:rPr>
      <w:b/>
      <w:bCs/>
      <w:i/>
      <w:iCs/>
    </w:rPr>
  </w:style>
  <w:style w:type="paragraph" w:styleId="TDC1">
    <w:name w:val="toc 1"/>
    <w:basedOn w:val="Normal"/>
    <w:next w:val="Normal"/>
    <w:autoRedefine/>
    <w:uiPriority w:val="99"/>
    <w:semiHidden/>
    <w:rsid w:val="004E46AB"/>
    <w:pPr>
      <w:spacing w:before="120" w:after="120"/>
    </w:pPr>
    <w:rPr>
      <w:b/>
      <w:bCs/>
      <w:caps/>
    </w:rPr>
  </w:style>
  <w:style w:type="paragraph" w:styleId="TDC2">
    <w:name w:val="toc 2"/>
    <w:basedOn w:val="Normal"/>
    <w:next w:val="Normal"/>
    <w:autoRedefine/>
    <w:uiPriority w:val="99"/>
    <w:semiHidden/>
    <w:rsid w:val="004E46AB"/>
    <w:pPr>
      <w:ind w:left="200"/>
    </w:pPr>
    <w:rPr>
      <w:smallCaps/>
    </w:rPr>
  </w:style>
  <w:style w:type="paragraph" w:styleId="TDC3">
    <w:name w:val="toc 3"/>
    <w:basedOn w:val="Normal"/>
    <w:next w:val="Normal"/>
    <w:autoRedefine/>
    <w:uiPriority w:val="99"/>
    <w:semiHidden/>
    <w:rsid w:val="004E46AB"/>
    <w:pPr>
      <w:ind w:left="400"/>
    </w:pPr>
    <w:rPr>
      <w:i/>
      <w:iCs/>
    </w:rPr>
  </w:style>
  <w:style w:type="paragraph" w:styleId="TDC4">
    <w:name w:val="toc 4"/>
    <w:basedOn w:val="Normal"/>
    <w:next w:val="Normal"/>
    <w:autoRedefine/>
    <w:uiPriority w:val="99"/>
    <w:semiHidden/>
    <w:rsid w:val="004E46AB"/>
    <w:pPr>
      <w:ind w:left="600"/>
    </w:pPr>
    <w:rPr>
      <w:sz w:val="18"/>
      <w:szCs w:val="18"/>
    </w:rPr>
  </w:style>
  <w:style w:type="paragraph" w:styleId="TDC5">
    <w:name w:val="toc 5"/>
    <w:basedOn w:val="Normal"/>
    <w:next w:val="Normal"/>
    <w:autoRedefine/>
    <w:uiPriority w:val="99"/>
    <w:semiHidden/>
    <w:rsid w:val="004E46AB"/>
    <w:pPr>
      <w:ind w:left="800"/>
    </w:pPr>
    <w:rPr>
      <w:sz w:val="18"/>
      <w:szCs w:val="18"/>
    </w:rPr>
  </w:style>
  <w:style w:type="paragraph" w:styleId="TDC6">
    <w:name w:val="toc 6"/>
    <w:basedOn w:val="Normal"/>
    <w:next w:val="Normal"/>
    <w:autoRedefine/>
    <w:uiPriority w:val="99"/>
    <w:semiHidden/>
    <w:rsid w:val="004E46AB"/>
    <w:pPr>
      <w:ind w:left="1000"/>
    </w:pPr>
    <w:rPr>
      <w:sz w:val="18"/>
      <w:szCs w:val="18"/>
    </w:rPr>
  </w:style>
  <w:style w:type="paragraph" w:styleId="TDC7">
    <w:name w:val="toc 7"/>
    <w:basedOn w:val="Normal"/>
    <w:next w:val="Normal"/>
    <w:autoRedefine/>
    <w:uiPriority w:val="99"/>
    <w:semiHidden/>
    <w:rsid w:val="004E46AB"/>
    <w:pPr>
      <w:ind w:left="1200"/>
    </w:pPr>
    <w:rPr>
      <w:sz w:val="18"/>
      <w:szCs w:val="18"/>
    </w:rPr>
  </w:style>
  <w:style w:type="paragraph" w:styleId="TDC8">
    <w:name w:val="toc 8"/>
    <w:basedOn w:val="Normal"/>
    <w:next w:val="Normal"/>
    <w:autoRedefine/>
    <w:uiPriority w:val="99"/>
    <w:semiHidden/>
    <w:rsid w:val="004E46AB"/>
    <w:pPr>
      <w:ind w:left="1400"/>
    </w:pPr>
    <w:rPr>
      <w:sz w:val="18"/>
      <w:szCs w:val="18"/>
    </w:rPr>
  </w:style>
  <w:style w:type="paragraph" w:styleId="TDC9">
    <w:name w:val="toc 9"/>
    <w:basedOn w:val="Normal"/>
    <w:next w:val="Normal"/>
    <w:autoRedefine/>
    <w:uiPriority w:val="99"/>
    <w:rsid w:val="004E46AB"/>
    <w:pPr>
      <w:ind w:left="1600"/>
    </w:pPr>
    <w:rPr>
      <w:sz w:val="18"/>
      <w:szCs w:val="18"/>
    </w:rPr>
  </w:style>
  <w:style w:type="character" w:styleId="Nmerodepgina">
    <w:name w:val="page number"/>
    <w:uiPriority w:val="99"/>
    <w:rsid w:val="004E46AB"/>
    <w:rPr>
      <w:rFonts w:cs="Times New Roman"/>
    </w:rPr>
  </w:style>
  <w:style w:type="paragraph" w:styleId="NormalWeb">
    <w:name w:val="Normal (Web)"/>
    <w:basedOn w:val="Normal"/>
    <w:uiPriority w:val="99"/>
    <w:rsid w:val="004E46AB"/>
    <w:rPr>
      <w:sz w:val="24"/>
      <w:szCs w:val="24"/>
    </w:rPr>
  </w:style>
  <w:style w:type="paragraph" w:customStyle="1" w:styleId="Default">
    <w:name w:val="Default"/>
    <w:rsid w:val="004E46A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table" w:styleId="Tablaconcuadrcula">
    <w:name w:val="Table Grid"/>
    <w:basedOn w:val="Tablanormal"/>
    <w:uiPriority w:val="39"/>
    <w:rsid w:val="004E46A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4E46AB"/>
    <w:pPr>
      <w:ind w:left="708"/>
    </w:pPr>
  </w:style>
  <w:style w:type="paragraph" w:styleId="Textodeglobo">
    <w:name w:val="Balloon Text"/>
    <w:basedOn w:val="Normal"/>
    <w:link w:val="TextodegloboCar"/>
    <w:uiPriority w:val="99"/>
    <w:rsid w:val="004E46AB"/>
    <w:rPr>
      <w:rFonts w:ascii="Tahoma" w:hAnsi="Tahoma"/>
      <w:sz w:val="16"/>
      <w:szCs w:val="16"/>
      <w:lang w:eastAsia="x-none"/>
    </w:rPr>
  </w:style>
  <w:style w:type="character" w:customStyle="1" w:styleId="TextodegloboCar">
    <w:name w:val="Texto de globo Car"/>
    <w:basedOn w:val="Fuentedeprrafopredeter"/>
    <w:link w:val="Textodeglobo"/>
    <w:uiPriority w:val="99"/>
    <w:rsid w:val="004E46AB"/>
    <w:rPr>
      <w:rFonts w:ascii="Tahoma" w:eastAsia="Times New Roman" w:hAnsi="Tahoma" w:cs="Times New Roman"/>
      <w:sz w:val="16"/>
      <w:szCs w:val="16"/>
      <w:lang w:eastAsia="x-none"/>
    </w:rPr>
  </w:style>
  <w:style w:type="character" w:customStyle="1" w:styleId="FooterChar">
    <w:name w:val="Footer Char"/>
    <w:semiHidden/>
    <w:locked/>
    <w:rsid w:val="004E46AB"/>
    <w:rPr>
      <w:rFonts w:ascii="Times New Roman" w:hAnsi="Times New Roman" w:cs="Times New Roman"/>
      <w:sz w:val="24"/>
      <w:szCs w:val="24"/>
      <w:lang w:val="es-ES" w:eastAsia="es-ES"/>
    </w:rPr>
  </w:style>
  <w:style w:type="character" w:styleId="Refdecomentario">
    <w:name w:val="annotation reference"/>
    <w:rsid w:val="004E46AB"/>
    <w:rPr>
      <w:sz w:val="16"/>
      <w:szCs w:val="16"/>
    </w:rPr>
  </w:style>
  <w:style w:type="paragraph" w:styleId="Textocomentario">
    <w:name w:val="annotation text"/>
    <w:basedOn w:val="Normal"/>
    <w:link w:val="TextocomentarioCar"/>
    <w:uiPriority w:val="99"/>
    <w:rsid w:val="004E46AB"/>
    <w:rPr>
      <w:lang w:eastAsia="x-none"/>
    </w:rPr>
  </w:style>
  <w:style w:type="character" w:customStyle="1" w:styleId="TextocomentarioCar">
    <w:name w:val="Texto comentario Car"/>
    <w:basedOn w:val="Fuentedeprrafopredeter"/>
    <w:link w:val="Textocomentario"/>
    <w:uiPriority w:val="99"/>
    <w:rsid w:val="004E46AB"/>
    <w:rPr>
      <w:rFonts w:ascii="Times New Roman" w:eastAsia="Times New Roman" w:hAnsi="Times New Roman" w:cs="Times New Roman"/>
      <w:sz w:val="20"/>
      <w:szCs w:val="20"/>
      <w:lang w:eastAsia="x-none"/>
    </w:rPr>
  </w:style>
  <w:style w:type="paragraph" w:styleId="Asuntodelcomentario">
    <w:name w:val="annotation subject"/>
    <w:basedOn w:val="Textocomentario"/>
    <w:next w:val="Textocomentario"/>
    <w:link w:val="AsuntodelcomentarioCar"/>
    <w:semiHidden/>
    <w:rsid w:val="004E46AB"/>
    <w:rPr>
      <w:b/>
      <w:bCs/>
    </w:rPr>
  </w:style>
  <w:style w:type="character" w:customStyle="1" w:styleId="AsuntodelcomentarioCar">
    <w:name w:val="Asunto del comentario Car"/>
    <w:basedOn w:val="TextocomentarioCar"/>
    <w:link w:val="Asuntodelcomentario"/>
    <w:semiHidden/>
    <w:rsid w:val="004E46AB"/>
    <w:rPr>
      <w:rFonts w:ascii="Times New Roman" w:eastAsia="Times New Roman" w:hAnsi="Times New Roman" w:cs="Times New Roman"/>
      <w:b/>
      <w:bCs/>
      <w:sz w:val="20"/>
      <w:szCs w:val="20"/>
      <w:lang w:eastAsia="x-none"/>
    </w:rPr>
  </w:style>
  <w:style w:type="paragraph" w:customStyle="1" w:styleId="Sangradet">
    <w:name w:val="Sangría de t"/>
    <w:aliases w:val="independiente"/>
    <w:basedOn w:val="Normal"/>
    <w:rsid w:val="004E46AB"/>
    <w:pPr>
      <w:numPr>
        <w:ilvl w:val="12"/>
      </w:numPr>
      <w:autoSpaceDE w:val="0"/>
      <w:autoSpaceDN w:val="0"/>
      <w:jc w:val="both"/>
    </w:pPr>
    <w:rPr>
      <w:rFonts w:ascii="Arial" w:hAnsi="Arial" w:cs="Arial"/>
      <w:sz w:val="22"/>
      <w:szCs w:val="22"/>
      <w:lang w:val="es-ES_tradnl"/>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4E46AB"/>
    <w:pPr>
      <w:ind w:left="708"/>
    </w:pPr>
  </w:style>
  <w:style w:type="paragraph" w:styleId="Puesto">
    <w:name w:val="Title"/>
    <w:aliases w:val="Title"/>
    <w:basedOn w:val="Normal"/>
    <w:next w:val="Subttulo"/>
    <w:link w:val="PuestoCar"/>
    <w:qFormat/>
    <w:rsid w:val="004E46AB"/>
    <w:pPr>
      <w:suppressAutoHyphens/>
      <w:jc w:val="center"/>
    </w:pPr>
    <w:rPr>
      <w:b/>
      <w:bCs/>
      <w:sz w:val="28"/>
      <w:szCs w:val="24"/>
      <w:lang w:val="x-none" w:eastAsia="ar-SA"/>
    </w:rPr>
  </w:style>
  <w:style w:type="character" w:customStyle="1" w:styleId="PuestoCar">
    <w:name w:val="Puesto Car"/>
    <w:aliases w:val="Title Car"/>
    <w:basedOn w:val="Fuentedeprrafopredeter"/>
    <w:link w:val="Puesto"/>
    <w:rsid w:val="004E46AB"/>
    <w:rPr>
      <w:rFonts w:ascii="Times New Roman" w:eastAsia="Times New Roman" w:hAnsi="Times New Roman" w:cs="Times New Roman"/>
      <w:b/>
      <w:bCs/>
      <w:sz w:val="28"/>
      <w:szCs w:val="24"/>
      <w:lang w:val="x-none" w:eastAsia="ar-SA"/>
    </w:rPr>
  </w:style>
  <w:style w:type="paragraph" w:styleId="Subttulo">
    <w:name w:val="Subtitle"/>
    <w:basedOn w:val="Normal"/>
    <w:next w:val="Normal"/>
    <w:link w:val="SubttuloCar"/>
    <w:qFormat/>
    <w:rsid w:val="004E46AB"/>
    <w:pPr>
      <w:spacing w:after="60"/>
      <w:jc w:val="center"/>
      <w:outlineLvl w:val="1"/>
    </w:pPr>
    <w:rPr>
      <w:rFonts w:ascii="Cambria" w:hAnsi="Cambria"/>
      <w:sz w:val="24"/>
      <w:szCs w:val="24"/>
      <w:lang w:eastAsia="x-none"/>
    </w:rPr>
  </w:style>
  <w:style w:type="character" w:customStyle="1" w:styleId="SubttuloCar">
    <w:name w:val="Subtítulo Car"/>
    <w:basedOn w:val="Fuentedeprrafopredeter"/>
    <w:link w:val="Subttulo"/>
    <w:rsid w:val="004E46AB"/>
    <w:rPr>
      <w:rFonts w:ascii="Cambria" w:eastAsia="Times New Roman" w:hAnsi="Cambria" w:cs="Times New Roman"/>
      <w:sz w:val="24"/>
      <w:szCs w:val="24"/>
      <w:lang w:eastAsia="x-none"/>
    </w:rPr>
  </w:style>
  <w:style w:type="character" w:styleId="Textoennegrita">
    <w:name w:val="Strong"/>
    <w:uiPriority w:val="22"/>
    <w:qFormat/>
    <w:rsid w:val="004E46AB"/>
    <w:rPr>
      <w:b/>
      <w:bCs/>
    </w:rPr>
  </w:style>
  <w:style w:type="paragraph" w:customStyle="1" w:styleId="parrafos">
    <w:name w:val="parrafos"/>
    <w:basedOn w:val="Normal"/>
    <w:rsid w:val="004E46AB"/>
    <w:pPr>
      <w:spacing w:before="100" w:beforeAutospacing="1" w:after="100" w:afterAutospacing="1"/>
      <w:jc w:val="both"/>
    </w:pPr>
    <w:rPr>
      <w:rFonts w:ascii="Arial" w:hAnsi="Arial" w:cs="Arial"/>
      <w:color w:val="000000"/>
      <w:sz w:val="21"/>
      <w:szCs w:val="21"/>
      <w:lang w:val="es-ES"/>
    </w:rPr>
  </w:style>
  <w:style w:type="paragraph" w:styleId="Textoindependiente3">
    <w:name w:val="Body Text 3"/>
    <w:basedOn w:val="Normal"/>
    <w:link w:val="Textoindependiente3Car"/>
    <w:rsid w:val="004E46AB"/>
    <w:pPr>
      <w:spacing w:after="120"/>
    </w:pPr>
    <w:rPr>
      <w:sz w:val="16"/>
      <w:szCs w:val="16"/>
      <w:lang w:val="es-ES"/>
    </w:rPr>
  </w:style>
  <w:style w:type="character" w:customStyle="1" w:styleId="Textoindependiente3Car">
    <w:name w:val="Texto independiente 3 Car"/>
    <w:basedOn w:val="Fuentedeprrafopredeter"/>
    <w:link w:val="Textoindependiente3"/>
    <w:rsid w:val="004E46AB"/>
    <w:rPr>
      <w:rFonts w:ascii="Times New Roman" w:eastAsia="Times New Roman" w:hAnsi="Times New Roman" w:cs="Times New Roman"/>
      <w:sz w:val="16"/>
      <w:szCs w:val="16"/>
      <w:lang w:val="es-ES" w:eastAsia="es-ES"/>
    </w:rPr>
  </w:style>
  <w:style w:type="table" w:customStyle="1" w:styleId="TableGrid">
    <w:name w:val="TableGrid"/>
    <w:rsid w:val="004E46A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inespaciado">
    <w:name w:val="No Spacing"/>
    <w:link w:val="SinespaciadoCar"/>
    <w:uiPriority w:val="99"/>
    <w:qFormat/>
    <w:rsid w:val="004E46AB"/>
    <w:pPr>
      <w:suppressAutoHyphens/>
      <w:spacing w:after="0" w:line="240" w:lineRule="auto"/>
    </w:pPr>
    <w:rPr>
      <w:rFonts w:ascii="Calibri" w:eastAsia="Calibri" w:hAnsi="Calibri" w:cs="Times New Roman"/>
      <w:lang w:val="es-ES" w:eastAsia="ar-SA"/>
    </w:rPr>
  </w:style>
  <w:style w:type="character" w:customStyle="1" w:styleId="SinespaciadoCar">
    <w:name w:val="Sin espaciado Car"/>
    <w:link w:val="Sinespaciado"/>
    <w:uiPriority w:val="99"/>
    <w:rsid w:val="004E46AB"/>
    <w:rPr>
      <w:rFonts w:ascii="Calibri" w:eastAsia="Calibri" w:hAnsi="Calibri" w:cs="Times New Roman"/>
      <w:lang w:val="es-ES" w:eastAsia="ar-SA"/>
    </w:rPr>
  </w:style>
  <w:style w:type="paragraph" w:customStyle="1" w:styleId="western">
    <w:name w:val="western"/>
    <w:basedOn w:val="Normal"/>
    <w:rsid w:val="004E46AB"/>
    <w:pPr>
      <w:suppressAutoHyphens/>
      <w:spacing w:before="280" w:after="280"/>
    </w:pPr>
    <w:rPr>
      <w:sz w:val="24"/>
      <w:szCs w:val="24"/>
      <w:lang w:eastAsia="zh-CN"/>
    </w:rPr>
  </w:style>
  <w:style w:type="character" w:styleId="nfasis">
    <w:name w:val="Emphasis"/>
    <w:uiPriority w:val="20"/>
    <w:qFormat/>
    <w:rsid w:val="004E46AB"/>
    <w:rPr>
      <w:i/>
      <w:iCs/>
    </w:rPr>
  </w:style>
  <w:style w:type="paragraph" w:customStyle="1" w:styleId="Textoindependiente31">
    <w:name w:val="Texto independiente 31"/>
    <w:basedOn w:val="Normal"/>
    <w:rsid w:val="004E46AB"/>
    <w:pPr>
      <w:overflowPunct w:val="0"/>
      <w:autoSpaceDE w:val="0"/>
      <w:autoSpaceDN w:val="0"/>
      <w:adjustRightInd w:val="0"/>
      <w:jc w:val="both"/>
      <w:textAlignment w:val="baseline"/>
    </w:pPr>
    <w:rPr>
      <w:rFonts w:ascii="Arial" w:hAnsi="Arial"/>
      <w:sz w:val="22"/>
      <w:u w:val="single"/>
      <w:lang w:val="es-ES"/>
    </w:rPr>
  </w:style>
  <w:style w:type="paragraph" w:styleId="Textodebloque">
    <w:name w:val="Block Text"/>
    <w:basedOn w:val="Normal"/>
    <w:rsid w:val="004E46AB"/>
    <w:pPr>
      <w:ind w:left="1080" w:right="6"/>
      <w:jc w:val="both"/>
    </w:pPr>
    <w:rPr>
      <w:rFonts w:ascii="Tahoma" w:hAnsi="Tahoma"/>
      <w:sz w:val="24"/>
      <w:lang w:val="es-ES" w:eastAsia="es-MX"/>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4E46AB"/>
    <w:rPr>
      <w:rFonts w:ascii="Times New Roman" w:eastAsia="Times New Roman" w:hAnsi="Times New Roman" w:cs="Times New Roman"/>
      <w:sz w:val="20"/>
      <w:szCs w:val="20"/>
      <w:lang w:eastAsia="es-ES"/>
    </w:rPr>
  </w:style>
  <w:style w:type="paragraph" w:customStyle="1" w:styleId="Standard">
    <w:name w:val="Standard"/>
    <w:rsid w:val="004E46AB"/>
    <w:pPr>
      <w:suppressAutoHyphens/>
      <w:spacing w:after="0" w:line="240" w:lineRule="auto"/>
    </w:pPr>
    <w:rPr>
      <w:rFonts w:ascii="Times New Roman" w:eastAsia="Times New Roman" w:hAnsi="Times New Roman" w:cs="Times New Roman"/>
      <w:kern w:val="2"/>
      <w:sz w:val="20"/>
      <w:szCs w:val="20"/>
      <w:lang w:eastAsia="zh-CN"/>
    </w:rPr>
  </w:style>
  <w:style w:type="paragraph" w:customStyle="1" w:styleId="Listaconvietas21">
    <w:name w:val="Lista con viñetas 21"/>
    <w:basedOn w:val="Normal"/>
    <w:rsid w:val="004E46AB"/>
    <w:pPr>
      <w:widowControl w:val="0"/>
      <w:tabs>
        <w:tab w:val="num" w:pos="643"/>
      </w:tabs>
      <w:suppressAutoHyphens/>
      <w:ind w:left="643" w:hanging="360"/>
      <w:contextualSpacing/>
    </w:pPr>
    <w:rPr>
      <w:rFonts w:cs="Mangal"/>
      <w:kern w:val="2"/>
      <w:sz w:val="24"/>
      <w:szCs w:val="21"/>
      <w:lang w:eastAsia="zh-CN" w:bidi="hi-IN"/>
    </w:rPr>
  </w:style>
  <w:style w:type="character" w:customStyle="1" w:styleId="apple-converted-space">
    <w:name w:val="apple-converted-space"/>
    <w:rsid w:val="004E46AB"/>
  </w:style>
  <w:style w:type="character" w:customStyle="1" w:styleId="PiedepginaCar1">
    <w:name w:val="Pie de página Car1"/>
    <w:uiPriority w:val="99"/>
    <w:rsid w:val="004E46AB"/>
    <w:rPr>
      <w:rFonts w:ascii="Times New Roman" w:hAnsi="Times New Roman"/>
      <w:sz w:val="24"/>
      <w:lang w:val="es-E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hyperlink" Target="https://www.ugpp.gov.co/doc_download/394-ley-734-de-2002" TargetMode="External"/><Relationship Id="rId26" Type="http://schemas.openxmlformats.org/officeDocument/2006/relationships/hyperlink" Target="javascript:%20popUpSecop('/consultas/detalleProceso.do?numConstancia=16-15-5656170')" TargetMode="External"/><Relationship Id="rId39" Type="http://schemas.openxmlformats.org/officeDocument/2006/relationships/hyperlink" Target="javascript:%20popUpSecop('https://www.contratacionbogota.gov.co/cav2/ConsultaProcesoSECOP.jsp?NUMERO_PROCESO=FDLE-CM-57-2010')" TargetMode="External"/><Relationship Id="rId3" Type="http://schemas.openxmlformats.org/officeDocument/2006/relationships/settings" Target="settings.xml"/><Relationship Id="rId21" Type="http://schemas.openxmlformats.org/officeDocument/2006/relationships/hyperlink" Target="http://repository.lasalle.edu.co/bitstream/handle/10185/3022/T11.09%20C29e.pdf?sequence" TargetMode="External"/><Relationship Id="rId34" Type="http://schemas.openxmlformats.org/officeDocument/2006/relationships/hyperlink" Target="javascript:%20popUpSecop('https://www.contratacionbogota.gov.co/cav2/ConsultaProcesoSECOP.jsp?NUMERO_PROCESO=FDLE-CM-64-2010')" TargetMode="External"/><Relationship Id="rId42"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chart" Target="charts/chart4.xml"/><Relationship Id="rId17" Type="http://schemas.openxmlformats.org/officeDocument/2006/relationships/hyperlink" Target="https://www.ugpp.gov.co/doc_download/399-ley-80-de-1993" TargetMode="External"/><Relationship Id="rId25" Type="http://schemas.openxmlformats.org/officeDocument/2006/relationships/hyperlink" Target="javascript:%20popUpSecop('/consultas/detalleProceso.do?numConstancia=17-15-7399319')" TargetMode="External"/><Relationship Id="rId33" Type="http://schemas.openxmlformats.org/officeDocument/2006/relationships/hyperlink" Target="javascript:%20popUpSecop('https://www.contratacionbogota.gov.co/cav2/ConsultaProcesoSECOP.jsp?NUMERO_PROCESO=FDLE-CM-63-2010')" TargetMode="External"/><Relationship Id="rId38" Type="http://schemas.openxmlformats.org/officeDocument/2006/relationships/hyperlink" Target="javascript:%20popUpSecop('https://www.contratacionbogota.gov.co/cav2/ConsultaProcesoSECOP.jsp?NUMERO_PROCESO=FDLE-CM-58-2010')"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6.emf"/><Relationship Id="rId29" Type="http://schemas.openxmlformats.org/officeDocument/2006/relationships/hyperlink" Target="javascript:%20popUpSecop('/consultas/detalleProceso.do?numConstancia=11-15-694508')" TargetMode="External"/><Relationship Id="rId41"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hyperlink" Target="javascript:%20popUpSecop('/consultas/detalleProceso.do?numConstancia=17-15-7399037')" TargetMode="External"/><Relationship Id="rId32" Type="http://schemas.openxmlformats.org/officeDocument/2006/relationships/hyperlink" Target="javascript:%20popUpSecop('https://www.contratacionbogota.gov.co/cav2/ConsultaProcesoSECOP.jsp?NUMERO_PROCESO=FDLE-CM-62-2010')" TargetMode="External"/><Relationship Id="rId37" Type="http://schemas.openxmlformats.org/officeDocument/2006/relationships/hyperlink" Target="javascript:%20popUpSecop('https://www.contratacionbogota.gov.co/cav2/ConsultaProcesoSECOP.jsp?NUMERO_PROCESO=FDLE-CM-60-2010')" TargetMode="External"/><Relationship Id="rId40" Type="http://schemas.openxmlformats.org/officeDocument/2006/relationships/hyperlink" Target="javascript:%20popUpSecop('https://www.contratacionbogota.gov.co/cav2/ConsultaProcesoSECOP.jsp?NUMERO_PROCESO=FDLE-CM-56-2010')"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hyperlink" Target="http://repository.lasalle.edu.co/bitstream/handle/10185/3022/T11.09%20C29e.pdf?sequence" TargetMode="External"/><Relationship Id="rId28" Type="http://schemas.openxmlformats.org/officeDocument/2006/relationships/hyperlink" Target="javascript:%20popUpSecop('/consultas/detalleProceso.do?numConstancia=11-15-699921')" TargetMode="External"/><Relationship Id="rId36" Type="http://schemas.openxmlformats.org/officeDocument/2006/relationships/hyperlink" Target="javascript:%20popUpSecop('https://www.contratacionbogota.gov.co/cav2/ConsultaProcesoSECOP.jsp?NUMERO_PROCESO=FDLE-CM-61-2010')" TargetMode="External"/><Relationship Id="rId10" Type="http://schemas.openxmlformats.org/officeDocument/2006/relationships/chart" Target="charts/chart3.xml"/><Relationship Id="rId19" Type="http://schemas.openxmlformats.org/officeDocument/2006/relationships/hyperlink" Target="https://www.ugpp.gov.co/doc_download/335-estatuto-anticorrupcion-ley-1474-de-2011" TargetMode="External"/><Relationship Id="rId31" Type="http://schemas.openxmlformats.org/officeDocument/2006/relationships/hyperlink" Target="javascript:%20popUpSecop('https://www.contratacionbogota.gov.co/cav2/ConsultaProcesoSECOP.jsp?NUMERO_PROCESO=FDLE-CM-65-2010')"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hyperlink" Target="javascript:%20popUpSecop('/consultas/detalleProceso.do?numConstancia=11-15-605194')" TargetMode="External"/><Relationship Id="rId30" Type="http://schemas.openxmlformats.org/officeDocument/2006/relationships/hyperlink" Target="javascript:%20popUpSecop('/consultas/detalleProceso.do?numConstancia=11-15-679077')" TargetMode="External"/><Relationship Id="rId35" Type="http://schemas.openxmlformats.org/officeDocument/2006/relationships/hyperlink" Target="javascript:%20popUpSecop('https://www.contratacionbogota.gov.co/cav2/ConsultaProcesoSECOP.jsp?NUMERO_PROCESO=FDLE-59-2010')"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oleObject" Target="file:///L:\Alcaldia\Estadisticas%20Economicas\DANE\Cuentas%20Nacionales\Estudios%20secto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L:\Alcaldia\Estadisticas%20Economicas\BANREP\bi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L:\Alcaldia\Estadisticas%20Economicas\DANE\Cuentas%20Nacionales\Estudios%20sector.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2888867016622922"/>
          <c:y val="3.6096092385807473E-2"/>
          <c:w val="0.44243722659667539"/>
          <c:h val="0.86709320795810252"/>
        </c:manualLayout>
      </c:layout>
      <c:barChart>
        <c:barDir val="bar"/>
        <c:grouping val="clustered"/>
        <c:varyColors val="0"/>
        <c:ser>
          <c:idx val="0"/>
          <c:order val="0"/>
          <c:tx>
            <c:strRef>
              <c:f>Hoja2!$B$108</c:f>
              <c:strCache>
                <c:ptCount val="1"/>
                <c:pt idx="0">
                  <c:v>2017pr</c:v>
                </c:pt>
              </c:strCache>
            </c:strRef>
          </c:tx>
          <c:spPr>
            <a:solidFill>
              <a:srgbClr val="00B0F0"/>
            </a:solidFill>
            <a:ln>
              <a:noFill/>
            </a:ln>
            <a:effectLst>
              <a:outerShdw blurRad="57150" dist="19050" dir="5400000" algn="ctr" rotWithShape="0">
                <a:srgbClr val="000000">
                  <a:alpha val="63000"/>
                </a:srgbClr>
              </a:outerShdw>
            </a:effectLst>
          </c:spPr>
          <c:invertIfNegative val="0"/>
          <c:dPt>
            <c:idx val="2"/>
            <c:invertIfNegative val="0"/>
            <c:bubble3D val="0"/>
            <c:spPr>
              <a:solidFill>
                <a:srgbClr val="00B0F0"/>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3023-431A-8B5B-3F60EF2F575D}"/>
              </c:ext>
            </c:extLst>
          </c:dPt>
          <c:dPt>
            <c:idx val="6"/>
            <c:invertIfNegative val="0"/>
            <c:bubble3D val="0"/>
            <c:spPr>
              <a:solidFill>
                <a:srgbClr val="00B0F0"/>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3023-431A-8B5B-3F60EF2F575D}"/>
              </c:ext>
            </c:extLst>
          </c:dPt>
          <c:dPt>
            <c:idx val="7"/>
            <c:invertIfNegative val="0"/>
            <c:bubble3D val="0"/>
            <c:spPr>
              <a:solidFill>
                <a:srgbClr val="00B0F0"/>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5-3023-431A-8B5B-3F60EF2F575D}"/>
              </c:ext>
            </c:extLst>
          </c:dPt>
          <c:dPt>
            <c:idx val="8"/>
            <c:invertIfNegative val="0"/>
            <c:bubble3D val="0"/>
            <c:spPr>
              <a:solidFill>
                <a:srgbClr val="E7741D"/>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7-3023-431A-8B5B-3F60EF2F575D}"/>
              </c:ext>
            </c:extLst>
          </c:dPt>
          <c:dPt>
            <c:idx val="9"/>
            <c:invertIfNegative val="0"/>
            <c:bubble3D val="0"/>
            <c:spPr>
              <a:solidFill>
                <a:srgbClr val="E7741D"/>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9-3023-431A-8B5B-3F60EF2F575D}"/>
              </c:ext>
            </c:extLst>
          </c:dPt>
          <c:dPt>
            <c:idx val="10"/>
            <c:invertIfNegative val="0"/>
            <c:bubble3D val="0"/>
            <c:spPr>
              <a:solidFill>
                <a:srgbClr val="E7741D"/>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B-3023-431A-8B5B-3F60EF2F575D}"/>
              </c:ext>
            </c:extLst>
          </c:dPt>
          <c:dPt>
            <c:idx val="11"/>
            <c:invertIfNegative val="0"/>
            <c:bubble3D val="0"/>
            <c:spPr>
              <a:solidFill>
                <a:srgbClr val="E7741D"/>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D-3023-431A-8B5B-3F60EF2F575D}"/>
              </c:ext>
            </c:extLst>
          </c:dPt>
          <c:dPt>
            <c:idx val="12"/>
            <c:invertIfNegative val="0"/>
            <c:bubble3D val="0"/>
            <c:spPr>
              <a:solidFill>
                <a:schemeClr val="accent5">
                  <a:lumMod val="75000"/>
                </a:schemeClr>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F-3023-431A-8B5B-3F60EF2F575D}"/>
              </c:ext>
            </c:extLst>
          </c:dPt>
          <c:dPt>
            <c:idx val="13"/>
            <c:invertIfNegative val="0"/>
            <c:bubble3D val="0"/>
            <c:spPr>
              <a:solidFill>
                <a:schemeClr val="accent5">
                  <a:lumMod val="75000"/>
                </a:schemeClr>
              </a:soli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11-3023-431A-8B5B-3F60EF2F575D}"/>
              </c:ext>
            </c:extLst>
          </c:dPt>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Hoja2!$A$109:$A$122</c:f>
              <c:strCache>
                <c:ptCount val="14"/>
                <c:pt idx="0">
                  <c:v>Actividades financieras y de seguros</c:v>
                </c:pt>
                <c:pt idx="1">
                  <c:v>Agricultura, ganadería, caza, silvicultura y pesca</c:v>
                </c:pt>
                <c:pt idx="2">
                  <c:v>Actividades artísticas, de entretenimiento y otras actividades de servicios; Actividades de los hogares</c:v>
                </c:pt>
                <c:pt idx="3">
                  <c:v>Administración pública y defensa, Seguridad social, Educación, Salud y Servicios sociales</c:v>
                </c:pt>
                <c:pt idx="4">
                  <c:v>Actividades profesionales, Actividades de servicios administrativos y de apoyo</c:v>
                </c:pt>
                <c:pt idx="5">
                  <c:v>Actividades inmobiliarias</c:v>
                </c:pt>
                <c:pt idx="6">
                  <c:v>Comercio; reparación de vehículos, Transporte, Alojamiento y Restaurantes</c:v>
                </c:pt>
                <c:pt idx="7">
                  <c:v>Suministro de servicios públicos</c:v>
                </c:pt>
                <c:pt idx="8">
                  <c:v>Información y comunicaciones</c:v>
                </c:pt>
                <c:pt idx="9">
                  <c:v>Industrias manufactureras</c:v>
                </c:pt>
                <c:pt idx="10">
                  <c:v>Construcción</c:v>
                </c:pt>
                <c:pt idx="11">
                  <c:v>Explotación de minas y canteras</c:v>
                </c:pt>
                <c:pt idx="12">
                  <c:v>Producto interno bruto</c:v>
                </c:pt>
                <c:pt idx="13">
                  <c:v>Valor agregado bruto</c:v>
                </c:pt>
              </c:strCache>
            </c:strRef>
          </c:cat>
          <c:val>
            <c:numRef>
              <c:f>Hoja2!$B$109:$B$122</c:f>
              <c:numCache>
                <c:formatCode>#,##0.0</c:formatCode>
                <c:ptCount val="14"/>
                <c:pt idx="0">
                  <c:v>6.8776751497119335</c:v>
                </c:pt>
                <c:pt idx="1">
                  <c:v>5.6159303241980467</c:v>
                </c:pt>
                <c:pt idx="2">
                  <c:v>3.9078588664724521</c:v>
                </c:pt>
                <c:pt idx="3">
                  <c:v>3.8323399957274091</c:v>
                </c:pt>
                <c:pt idx="4">
                  <c:v>3.4640248561275371</c:v>
                </c:pt>
                <c:pt idx="5">
                  <c:v>2.783490856655348</c:v>
                </c:pt>
                <c:pt idx="6">
                  <c:v>1.1716134859401279</c:v>
                </c:pt>
                <c:pt idx="7">
                  <c:v>0.8436948202634369</c:v>
                </c:pt>
                <c:pt idx="8">
                  <c:v>-6.5601303773803465E-2</c:v>
                </c:pt>
                <c:pt idx="9">
                  <c:v>-1.9710905499055116</c:v>
                </c:pt>
                <c:pt idx="10">
                  <c:v>-1.9900392621819378</c:v>
                </c:pt>
                <c:pt idx="11">
                  <c:v>-4.2860156133657341</c:v>
                </c:pt>
                <c:pt idx="12">
                  <c:v>1.7891925462143661</c:v>
                </c:pt>
                <c:pt idx="13">
                  <c:v>1.542290689311983</c:v>
                </c:pt>
              </c:numCache>
            </c:numRef>
          </c:val>
          <c:extLst xmlns:c16r2="http://schemas.microsoft.com/office/drawing/2015/06/chart">
            <c:ext xmlns:c16="http://schemas.microsoft.com/office/drawing/2014/chart" uri="{C3380CC4-5D6E-409C-BE32-E72D297353CC}">
              <c16:uniqueId val="{00000012-3023-431A-8B5B-3F60EF2F575D}"/>
            </c:ext>
          </c:extLst>
        </c:ser>
        <c:dLbls>
          <c:showLegendKey val="0"/>
          <c:showVal val="0"/>
          <c:showCatName val="0"/>
          <c:showSerName val="0"/>
          <c:showPercent val="0"/>
          <c:showBubbleSize val="0"/>
        </c:dLbls>
        <c:gapWidth val="182"/>
        <c:axId val="513058416"/>
        <c:axId val="513056848"/>
      </c:barChart>
      <c:catAx>
        <c:axId val="513058416"/>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t" anchorCtr="0"/>
          <a:lstStyle/>
          <a:p>
            <a:pPr>
              <a:defRPr sz="600" b="1" i="0" u="none" strike="noStrike" kern="1200" baseline="0">
                <a:solidFill>
                  <a:schemeClr val="tx1">
                    <a:lumMod val="65000"/>
                    <a:lumOff val="35000"/>
                  </a:schemeClr>
                </a:solidFill>
                <a:latin typeface="+mn-lt"/>
                <a:ea typeface="+mn-ea"/>
                <a:cs typeface="+mn-cs"/>
              </a:defRPr>
            </a:pPr>
            <a:endParaRPr lang="es-CO"/>
          </a:p>
        </c:txPr>
        <c:crossAx val="513056848"/>
        <c:crosses val="autoZero"/>
        <c:auto val="0"/>
        <c:lblAlgn val="ctr"/>
        <c:lblOffset val="100"/>
        <c:noMultiLvlLbl val="0"/>
      </c:catAx>
      <c:valAx>
        <c:axId val="51305684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crossAx val="513058416"/>
        <c:crosses val="max"/>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interventoria!$C$2</c:f>
              <c:strCache>
                <c:ptCount val="1"/>
                <c:pt idx="0">
                  <c:v>PIB</c:v>
                </c:pt>
              </c:strCache>
            </c:strRef>
          </c:tx>
          <c:spPr>
            <a:ln w="28575" cap="rnd">
              <a:solidFill>
                <a:schemeClr val="accent1"/>
              </a:solidFill>
              <a:round/>
            </a:ln>
            <a:effectLst/>
          </c:spPr>
          <c:marker>
            <c:symbol val="diamond"/>
            <c:size val="5"/>
            <c:spPr>
              <a:solidFill>
                <a:srgbClr val="00B0F0"/>
              </a:solidFill>
              <a:ln w="9525">
                <a:solidFill>
                  <a:srgbClr val="00B0F0"/>
                </a:solidFill>
              </a:ln>
              <a:effectLst>
                <a:outerShdw blurRad="63500" sx="102000" sy="102000" algn="ctr" rotWithShape="0">
                  <a:prstClr val="black">
                    <a:alpha val="40000"/>
                  </a:prstClr>
                </a:outerShdw>
              </a:effectLst>
              <a:scene3d>
                <a:camera prst="orthographicFront"/>
                <a:lightRig rig="threePt" dir="t"/>
              </a:scene3d>
              <a:sp3d>
                <a:bevelT/>
              </a:sp3d>
            </c:spPr>
          </c:marker>
          <c:cat>
            <c:strRef>
              <c:f>interventoria!$A$3:$A$14</c:f>
              <c:strCache>
                <c:ptCount val="12"/>
                <c:pt idx="0">
                  <c:v>2006</c:v>
                </c:pt>
                <c:pt idx="1">
                  <c:v>2007</c:v>
                </c:pt>
                <c:pt idx="2">
                  <c:v>2008</c:v>
                </c:pt>
                <c:pt idx="3">
                  <c:v>2009</c:v>
                </c:pt>
                <c:pt idx="4">
                  <c:v>2010</c:v>
                </c:pt>
                <c:pt idx="5">
                  <c:v>2011</c:v>
                </c:pt>
                <c:pt idx="6">
                  <c:v>2012</c:v>
                </c:pt>
                <c:pt idx="7">
                  <c:v>2013</c:v>
                </c:pt>
                <c:pt idx="8">
                  <c:v>2014</c:v>
                </c:pt>
                <c:pt idx="9">
                  <c:v>2015</c:v>
                </c:pt>
                <c:pt idx="10">
                  <c:v>2016p</c:v>
                </c:pt>
                <c:pt idx="11">
                  <c:v>2017pr</c:v>
                </c:pt>
              </c:strCache>
            </c:strRef>
          </c:cat>
          <c:val>
            <c:numRef>
              <c:f>interventoria!$C$3:$C$14</c:f>
              <c:numCache>
                <c:formatCode>General</c:formatCode>
                <c:ptCount val="12"/>
                <c:pt idx="0">
                  <c:v>6.7794053422088041</c:v>
                </c:pt>
                <c:pt idx="1">
                  <c:v>6.8486547845820951</c:v>
                </c:pt>
                <c:pt idx="2">
                  <c:v>3.2570484653802794</c:v>
                </c:pt>
                <c:pt idx="3">
                  <c:v>1.2054220954949244</c:v>
                </c:pt>
                <c:pt idx="4">
                  <c:v>4.3475532684836793</c:v>
                </c:pt>
                <c:pt idx="5">
                  <c:v>7.3625309144793363</c:v>
                </c:pt>
                <c:pt idx="6">
                  <c:v>3.903054219269535</c:v>
                </c:pt>
                <c:pt idx="7">
                  <c:v>4.5668697727946181</c:v>
                </c:pt>
                <c:pt idx="8">
                  <c:v>4.7283122459850659</c:v>
                </c:pt>
                <c:pt idx="9">
                  <c:v>2.9559998877969633</c:v>
                </c:pt>
                <c:pt idx="10">
                  <c:v>1.9626142673221665</c:v>
                </c:pt>
                <c:pt idx="11">
                  <c:v>1.7891925462145224</c:v>
                </c:pt>
              </c:numCache>
            </c:numRef>
          </c:val>
          <c:smooth val="1"/>
          <c:extLst xmlns:c16r2="http://schemas.microsoft.com/office/drawing/2015/06/chart">
            <c:ext xmlns:c16="http://schemas.microsoft.com/office/drawing/2014/chart" uri="{C3380CC4-5D6E-409C-BE32-E72D297353CC}">
              <c16:uniqueId val="{00000000-D5F6-49F4-AB74-66BB387C2BD4}"/>
            </c:ext>
          </c:extLst>
        </c:ser>
        <c:ser>
          <c:idx val="1"/>
          <c:order val="1"/>
          <c:tx>
            <c:strRef>
              <c:f>interventoria!$B$2</c:f>
              <c:strCache>
                <c:ptCount val="1"/>
                <c:pt idx="0">
                  <c:v>Servicios administrativos y de apoyo</c:v>
                </c:pt>
              </c:strCache>
            </c:strRef>
          </c:tx>
          <c:spPr>
            <a:ln w="28575" cap="rnd">
              <a:solidFill>
                <a:srgbClr val="92D050"/>
              </a:solidFill>
              <a:round/>
            </a:ln>
            <a:effectLst/>
          </c:spPr>
          <c:marker>
            <c:symbol val="diamond"/>
            <c:size val="5"/>
            <c:spPr>
              <a:solidFill>
                <a:schemeClr val="accent6">
                  <a:lumMod val="75000"/>
                </a:schemeClr>
              </a:solidFill>
              <a:ln w="9525">
                <a:solidFill>
                  <a:srgbClr val="92D050"/>
                </a:solidFill>
              </a:ln>
              <a:effectLst>
                <a:outerShdw blurRad="63500" sx="102000" sy="102000" algn="ctr" rotWithShape="0">
                  <a:prstClr val="black">
                    <a:alpha val="40000"/>
                  </a:prstClr>
                </a:outerShdw>
              </a:effectLst>
              <a:scene3d>
                <a:camera prst="orthographicFront"/>
                <a:lightRig rig="threePt" dir="t"/>
              </a:scene3d>
              <a:sp3d>
                <a:bevelT/>
              </a:sp3d>
            </c:spPr>
          </c:marker>
          <c:cat>
            <c:strRef>
              <c:f>interventoria!$A$3:$A$14</c:f>
              <c:strCache>
                <c:ptCount val="12"/>
                <c:pt idx="0">
                  <c:v>2006</c:v>
                </c:pt>
                <c:pt idx="1">
                  <c:v>2007</c:v>
                </c:pt>
                <c:pt idx="2">
                  <c:v>2008</c:v>
                </c:pt>
                <c:pt idx="3">
                  <c:v>2009</c:v>
                </c:pt>
                <c:pt idx="4">
                  <c:v>2010</c:v>
                </c:pt>
                <c:pt idx="5">
                  <c:v>2011</c:v>
                </c:pt>
                <c:pt idx="6">
                  <c:v>2012</c:v>
                </c:pt>
                <c:pt idx="7">
                  <c:v>2013</c:v>
                </c:pt>
                <c:pt idx="8">
                  <c:v>2014</c:v>
                </c:pt>
                <c:pt idx="9">
                  <c:v>2015</c:v>
                </c:pt>
                <c:pt idx="10">
                  <c:v>2016p</c:v>
                </c:pt>
                <c:pt idx="11">
                  <c:v>2017pr</c:v>
                </c:pt>
              </c:strCache>
            </c:strRef>
          </c:cat>
          <c:val>
            <c:numRef>
              <c:f>interventoria!$B$3:$B$14</c:f>
              <c:numCache>
                <c:formatCode>General</c:formatCode>
                <c:ptCount val="12"/>
                <c:pt idx="0">
                  <c:v>7.0796886813552931</c:v>
                </c:pt>
                <c:pt idx="1">
                  <c:v>6.8996880736542892</c:v>
                </c:pt>
                <c:pt idx="2">
                  <c:v>3.7851921724028728</c:v>
                </c:pt>
                <c:pt idx="3">
                  <c:v>2.7509070291521454</c:v>
                </c:pt>
                <c:pt idx="4">
                  <c:v>3.1173117803504198</c:v>
                </c:pt>
                <c:pt idx="5">
                  <c:v>7.1466224405906758</c:v>
                </c:pt>
                <c:pt idx="6">
                  <c:v>4.8406875001797687</c:v>
                </c:pt>
                <c:pt idx="7">
                  <c:v>5.2657480532471368</c:v>
                </c:pt>
                <c:pt idx="8">
                  <c:v>7.3175529285303185</c:v>
                </c:pt>
                <c:pt idx="9">
                  <c:v>1.2881332456109931</c:v>
                </c:pt>
                <c:pt idx="10">
                  <c:v>-1.981209823636064</c:v>
                </c:pt>
                <c:pt idx="11">
                  <c:v>3.4053333534213408</c:v>
                </c:pt>
              </c:numCache>
            </c:numRef>
          </c:val>
          <c:smooth val="1"/>
          <c:extLst xmlns:c16r2="http://schemas.microsoft.com/office/drawing/2015/06/chart">
            <c:ext xmlns:c16="http://schemas.microsoft.com/office/drawing/2014/chart" uri="{C3380CC4-5D6E-409C-BE32-E72D297353CC}">
              <c16:uniqueId val="{00000001-D5F6-49F4-AB74-66BB387C2BD4}"/>
            </c:ext>
          </c:extLst>
        </c:ser>
        <c:dLbls>
          <c:showLegendKey val="0"/>
          <c:showVal val="0"/>
          <c:showCatName val="0"/>
          <c:showSerName val="0"/>
          <c:showPercent val="0"/>
          <c:showBubbleSize val="0"/>
        </c:dLbls>
        <c:marker val="1"/>
        <c:smooth val="0"/>
        <c:axId val="513055280"/>
        <c:axId val="513058024"/>
      </c:lineChart>
      <c:catAx>
        <c:axId val="513055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crossAx val="513058024"/>
        <c:crosses val="autoZero"/>
        <c:auto val="1"/>
        <c:lblAlgn val="ctr"/>
        <c:lblOffset val="100"/>
        <c:noMultiLvlLbl val="0"/>
      </c:catAx>
      <c:valAx>
        <c:axId val="513058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b="1"/>
                  <a:t>Variación porcentual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crossAx val="513055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81412114556976"/>
          <c:y val="6.4610866372980913E-2"/>
          <c:w val="0.85715649812582639"/>
          <c:h val="0.82092013828667887"/>
        </c:manualLayout>
      </c:layout>
      <c:barChart>
        <c:barDir val="col"/>
        <c:grouping val="clustered"/>
        <c:varyColors val="0"/>
        <c:ser>
          <c:idx val="0"/>
          <c:order val="0"/>
          <c:spPr>
            <a:solidFill>
              <a:srgbClr val="00B0F0"/>
            </a:solidFill>
            <a:ln>
              <a:noFill/>
            </a:ln>
            <a:effectLst>
              <a:outerShdw blurRad="63500" sx="102000" sy="102000" algn="ctr" rotWithShape="0">
                <a:prstClr val="black">
                  <a:alpha val="4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600" b="1" i="0" u="none" strike="noStrike" kern="1200" baseline="0">
                    <a:gradFill flip="none" rotWithShape="1">
                      <a:gsLst>
                        <a:gs pos="0">
                          <a:srgbClr val="00B0F0">
                            <a:shade val="30000"/>
                            <a:satMod val="115000"/>
                          </a:srgbClr>
                        </a:gs>
                        <a:gs pos="50000">
                          <a:srgbClr val="00B0F0">
                            <a:shade val="67500"/>
                            <a:satMod val="115000"/>
                          </a:srgbClr>
                        </a:gs>
                        <a:gs pos="100000">
                          <a:srgbClr val="00B0F0">
                            <a:shade val="100000"/>
                            <a:satMod val="115000"/>
                          </a:srgbClr>
                        </a:gs>
                      </a:gsLst>
                      <a:path path="circle">
                        <a:fillToRect l="50000" t="50000" r="50000" b="50000"/>
                      </a:path>
                      <a:tileRect/>
                    </a:gra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Pag_5!$C$9:$C$25</c:f>
              <c:numCache>
                <c:formatCode>0</c:formatCode>
                <c:ptCount val="17"/>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numCache>
            </c:numRef>
          </c:cat>
          <c:val>
            <c:numRef>
              <c:f>Pag_5!$N$9:$N$25</c:f>
              <c:numCache>
                <c:formatCode>0.0</c:formatCode>
                <c:ptCount val="17"/>
                <c:pt idx="0">
                  <c:v>14.954736233857563</c:v>
                </c:pt>
                <c:pt idx="1">
                  <c:v>15.519877000291597</c:v>
                </c:pt>
                <c:pt idx="2">
                  <c:v>14.045740511551156</c:v>
                </c:pt>
                <c:pt idx="3">
                  <c:v>13.643446350028517</c:v>
                </c:pt>
                <c:pt idx="4">
                  <c:v>11.808728993907849</c:v>
                </c:pt>
                <c:pt idx="5">
                  <c:v>12.033330457128107</c:v>
                </c:pt>
                <c:pt idx="6">
                  <c:v>11.19425193918967</c:v>
                </c:pt>
                <c:pt idx="7">
                  <c:v>11.265723097777661</c:v>
                </c:pt>
                <c:pt idx="8">
                  <c:v>12.028238940599101</c:v>
                </c:pt>
                <c:pt idx="9">
                  <c:v>11.785263996932814</c:v>
                </c:pt>
                <c:pt idx="10">
                  <c:v>10.834767094289569</c:v>
                </c:pt>
                <c:pt idx="11">
                  <c:v>10.376317214225628</c:v>
                </c:pt>
                <c:pt idx="12">
                  <c:v>9.6450109113342517</c:v>
                </c:pt>
                <c:pt idx="13">
                  <c:v>9.1089060112624427</c:v>
                </c:pt>
                <c:pt idx="14">
                  <c:v>8.9287254477085511</c:v>
                </c:pt>
                <c:pt idx="15">
                  <c:v>9.2233156123362399</c:v>
                </c:pt>
                <c:pt idx="16">
                  <c:v>9.3780388687143539</c:v>
                </c:pt>
              </c:numCache>
            </c:numRef>
          </c:val>
          <c:extLst xmlns:c16r2="http://schemas.microsoft.com/office/drawing/2015/06/chart">
            <c:ext xmlns:c16="http://schemas.microsoft.com/office/drawing/2014/chart" uri="{C3380CC4-5D6E-409C-BE32-E72D297353CC}">
              <c16:uniqueId val="{00000000-E9E3-4078-9659-9CDA849A44A3}"/>
            </c:ext>
          </c:extLst>
        </c:ser>
        <c:dLbls>
          <c:showLegendKey val="0"/>
          <c:showVal val="0"/>
          <c:showCatName val="0"/>
          <c:showSerName val="0"/>
          <c:showPercent val="0"/>
          <c:showBubbleSize val="0"/>
        </c:dLbls>
        <c:gapWidth val="219"/>
        <c:overlap val="-27"/>
        <c:axId val="513057240"/>
        <c:axId val="513056064"/>
      </c:barChart>
      <c:catAx>
        <c:axId val="513057240"/>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mn-lt"/>
                <a:ea typeface="+mn-ea"/>
                <a:cs typeface="+mn-cs"/>
              </a:defRPr>
            </a:pPr>
            <a:endParaRPr lang="es-CO"/>
          </a:p>
        </c:txPr>
        <c:crossAx val="513056064"/>
        <c:crosses val="autoZero"/>
        <c:auto val="1"/>
        <c:lblAlgn val="ctr"/>
        <c:lblOffset val="100"/>
        <c:noMultiLvlLbl val="0"/>
      </c:catAx>
      <c:valAx>
        <c:axId val="513056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Variación %</a:t>
                </a:r>
              </a:p>
            </c:rich>
          </c:tx>
          <c:layout>
            <c:manualLayout>
              <c:xMode val="edge"/>
              <c:yMode val="edge"/>
              <c:x val="6.1871601324734321E-3"/>
              <c:y val="0.3179488246788534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crossAx val="513057240"/>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676519646590923"/>
          <c:y val="4.7388252598043142E-2"/>
          <c:w val="0.8326793704858414"/>
          <c:h val="0.74066448031674503"/>
        </c:manualLayout>
      </c:layout>
      <c:lineChart>
        <c:grouping val="standard"/>
        <c:varyColors val="0"/>
        <c:ser>
          <c:idx val="0"/>
          <c:order val="0"/>
          <c:tx>
            <c:strRef>
              <c:f>tc!$B$1</c:f>
              <c:strCache>
                <c:ptCount val="1"/>
                <c:pt idx="0">
                  <c:v>TRM</c:v>
                </c:pt>
              </c:strCache>
            </c:strRef>
          </c:tx>
          <c:spPr>
            <a:ln w="28575" cap="rnd">
              <a:solidFill>
                <a:srgbClr val="0099FF"/>
              </a:solidFill>
              <a:round/>
            </a:ln>
            <a:effectLst>
              <a:outerShdw blurRad="63500" sx="102000" sy="102000" algn="ctr" rotWithShape="0">
                <a:prstClr val="black">
                  <a:alpha val="40000"/>
                </a:prstClr>
              </a:outerShdw>
            </a:effectLst>
          </c:spPr>
          <c:marker>
            <c:symbol val="none"/>
          </c:marker>
          <c:dLbls>
            <c:dLbl>
              <c:idx val="16"/>
              <c:layout>
                <c:manualLayout>
                  <c:x val="-4.882952750251339E-2"/>
                  <c:y val="4.366812227074233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2794-49B1-A86C-14DF7155E116}"/>
                </c:ext>
                <c:ext xmlns:c15="http://schemas.microsoft.com/office/drawing/2012/chart" uri="{CE6537A1-D6FC-4f65-9D91-7224C49458BB}"/>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accent1">
                        <a:lumMod val="7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tc!$A$2:$A$19</c:f>
              <c:numCache>
                <c:formatCode>General</c:formatCode>
                <c:ptCount val="1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numCache>
            </c:numRef>
          </c:cat>
          <c:val>
            <c:numRef>
              <c:f>tc!$B$2:$B$19</c:f>
              <c:numCache>
                <c:formatCode>#,##0.00</c:formatCode>
                <c:ptCount val="18"/>
                <c:pt idx="0">
                  <c:v>2229.1799999999998</c:v>
                </c:pt>
                <c:pt idx="1">
                  <c:v>2291.1799999999998</c:v>
                </c:pt>
                <c:pt idx="2">
                  <c:v>2864.79</c:v>
                </c:pt>
                <c:pt idx="3">
                  <c:v>2778.21</c:v>
                </c:pt>
                <c:pt idx="4">
                  <c:v>2389.75</c:v>
                </c:pt>
                <c:pt idx="5">
                  <c:v>2284.2199999999998</c:v>
                </c:pt>
                <c:pt idx="6">
                  <c:v>2238.79</c:v>
                </c:pt>
                <c:pt idx="7">
                  <c:v>2014.76</c:v>
                </c:pt>
                <c:pt idx="8">
                  <c:v>2243.59</c:v>
                </c:pt>
                <c:pt idx="9">
                  <c:v>2044.23</c:v>
                </c:pt>
                <c:pt idx="10">
                  <c:v>1913.98</c:v>
                </c:pt>
                <c:pt idx="11">
                  <c:v>1942.7</c:v>
                </c:pt>
                <c:pt idx="12">
                  <c:v>1768.23</c:v>
                </c:pt>
                <c:pt idx="13">
                  <c:v>1926.83</c:v>
                </c:pt>
                <c:pt idx="14">
                  <c:v>2392.46</c:v>
                </c:pt>
                <c:pt idx="15">
                  <c:v>3149.47</c:v>
                </c:pt>
                <c:pt idx="16">
                  <c:v>3000.71</c:v>
                </c:pt>
                <c:pt idx="17">
                  <c:v>2984</c:v>
                </c:pt>
              </c:numCache>
            </c:numRef>
          </c:val>
          <c:smooth val="0"/>
          <c:extLst xmlns:c16r2="http://schemas.microsoft.com/office/drawing/2015/06/chart">
            <c:ext xmlns:c16="http://schemas.microsoft.com/office/drawing/2014/chart" uri="{C3380CC4-5D6E-409C-BE32-E72D297353CC}">
              <c16:uniqueId val="{00000001-2794-49B1-A86C-14DF7155E116}"/>
            </c:ext>
          </c:extLst>
        </c:ser>
        <c:ser>
          <c:idx val="1"/>
          <c:order val="1"/>
          <c:tx>
            <c:strRef>
              <c:f>tc!$C$1</c:f>
              <c:strCache>
                <c:ptCount val="1"/>
                <c:pt idx="0">
                  <c:v>Promedio</c:v>
                </c:pt>
              </c:strCache>
            </c:strRef>
          </c:tx>
          <c:spPr>
            <a:ln w="28575" cap="rnd">
              <a:solidFill>
                <a:schemeClr val="accent2"/>
              </a:solidFill>
              <a:round/>
            </a:ln>
            <a:effectLst/>
          </c:spPr>
          <c:marker>
            <c:symbol val="none"/>
          </c:marker>
          <c:val>
            <c:numRef>
              <c:f>tc!$C$2:$C$19</c:f>
              <c:numCache>
                <c:formatCode>#,##0.00</c:formatCode>
                <c:ptCount val="18"/>
                <c:pt idx="0">
                  <c:v>2358.7266666666665</c:v>
                </c:pt>
                <c:pt idx="1">
                  <c:v>2358.7266666666665</c:v>
                </c:pt>
                <c:pt idx="2">
                  <c:v>2358.7266666666665</c:v>
                </c:pt>
                <c:pt idx="3">
                  <c:v>2358.7266666666665</c:v>
                </c:pt>
                <c:pt idx="4">
                  <c:v>2358.7266666666665</c:v>
                </c:pt>
                <c:pt idx="5">
                  <c:v>2358.7266666666665</c:v>
                </c:pt>
                <c:pt idx="6">
                  <c:v>2358.7266666666665</c:v>
                </c:pt>
                <c:pt idx="7">
                  <c:v>2358.7266666666665</c:v>
                </c:pt>
                <c:pt idx="8">
                  <c:v>2358.7266666666665</c:v>
                </c:pt>
                <c:pt idx="9">
                  <c:v>2358.7266666666665</c:v>
                </c:pt>
                <c:pt idx="10">
                  <c:v>2358.7266666666665</c:v>
                </c:pt>
                <c:pt idx="11">
                  <c:v>2358.7266666666665</c:v>
                </c:pt>
                <c:pt idx="12">
                  <c:v>2358.7266666666665</c:v>
                </c:pt>
                <c:pt idx="13">
                  <c:v>2358.7266666666665</c:v>
                </c:pt>
                <c:pt idx="14">
                  <c:v>2358.7266666666665</c:v>
                </c:pt>
                <c:pt idx="15">
                  <c:v>2358.7266666666665</c:v>
                </c:pt>
                <c:pt idx="16">
                  <c:v>2358.7266666666665</c:v>
                </c:pt>
                <c:pt idx="17">
                  <c:v>2358.7266666666665</c:v>
                </c:pt>
              </c:numCache>
            </c:numRef>
          </c:val>
          <c:smooth val="0"/>
          <c:extLst xmlns:c16r2="http://schemas.microsoft.com/office/drawing/2015/06/chart">
            <c:ext xmlns:c16="http://schemas.microsoft.com/office/drawing/2014/chart" uri="{C3380CC4-5D6E-409C-BE32-E72D297353CC}">
              <c16:uniqueId val="{00000002-2794-49B1-A86C-14DF7155E116}"/>
            </c:ext>
          </c:extLst>
        </c:ser>
        <c:dLbls>
          <c:showLegendKey val="0"/>
          <c:showVal val="0"/>
          <c:showCatName val="0"/>
          <c:showSerName val="0"/>
          <c:showPercent val="0"/>
          <c:showBubbleSize val="0"/>
        </c:dLbls>
        <c:smooth val="0"/>
        <c:axId val="513055672"/>
        <c:axId val="321753208"/>
      </c:lineChart>
      <c:catAx>
        <c:axId val="513055672"/>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700" b="1" i="0" u="none" strike="noStrike" kern="1200" cap="none" spc="20" normalizeH="0" baseline="0">
                <a:solidFill>
                  <a:schemeClr val="tx1">
                    <a:lumMod val="65000"/>
                    <a:lumOff val="35000"/>
                  </a:schemeClr>
                </a:solidFill>
                <a:latin typeface="+mn-lt"/>
                <a:ea typeface="+mn-ea"/>
                <a:cs typeface="+mn-cs"/>
              </a:defRPr>
            </a:pPr>
            <a:endParaRPr lang="es-CO"/>
          </a:p>
        </c:txPr>
        <c:crossAx val="321753208"/>
        <c:crosses val="autoZero"/>
        <c:auto val="1"/>
        <c:lblAlgn val="ctr"/>
        <c:lblOffset val="100"/>
        <c:noMultiLvlLbl val="0"/>
      </c:catAx>
      <c:valAx>
        <c:axId val="321753208"/>
        <c:scaling>
          <c:orientation val="minMax"/>
          <c:min val="1500"/>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s-ES" cap="none" baseline="0"/>
                  <a:t>Pesos/Dolar</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s-CO"/>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spc="20" baseline="0">
                <a:solidFill>
                  <a:schemeClr val="tx1">
                    <a:lumMod val="65000"/>
                    <a:lumOff val="35000"/>
                  </a:schemeClr>
                </a:solidFill>
                <a:latin typeface="+mn-lt"/>
                <a:ea typeface="+mn-ea"/>
                <a:cs typeface="+mn-cs"/>
              </a:defRPr>
            </a:pPr>
            <a:endParaRPr lang="es-CO"/>
          </a:p>
        </c:txPr>
        <c:crossAx val="513055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TRM!$B$3</c:f>
              <c:strCache>
                <c:ptCount val="1"/>
                <c:pt idx="0">
                  <c:v>TRM</c:v>
                </c:pt>
              </c:strCache>
            </c:strRef>
          </c:tx>
          <c:spPr>
            <a:ln w="28575" cap="rnd">
              <a:solidFill>
                <a:schemeClr val="accent1"/>
              </a:solidFill>
              <a:round/>
            </a:ln>
            <a:effectLst/>
          </c:spPr>
          <c:marker>
            <c:symbol val="diamond"/>
            <c:size val="5"/>
            <c:spPr>
              <a:solidFill>
                <a:srgbClr val="00B0F0"/>
              </a:solidFill>
              <a:ln w="9525">
                <a:solidFill>
                  <a:srgbClr val="0079A4"/>
                </a:solidFill>
              </a:ln>
              <a:effectLst>
                <a:outerShdw blurRad="63500" sx="102000" sy="102000" algn="ctr" rotWithShape="0">
                  <a:prstClr val="black">
                    <a:alpha val="40000"/>
                  </a:prstClr>
                </a:outerShdw>
              </a:effectLst>
              <a:scene3d>
                <a:camera prst="orthographicFront"/>
                <a:lightRig rig="threePt" dir="t"/>
              </a:scene3d>
              <a:sp3d>
                <a:bevelT/>
              </a:sp3d>
            </c:spPr>
          </c:marker>
          <c:dLbls>
            <c:dLbl>
              <c:idx val="28"/>
              <c:layout>
                <c:manualLayout>
                  <c:x val="-1.7940669404329091E-16"/>
                  <c:y val="-5.5555555555555552E-2"/>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75000"/>
                        </a:schemeClr>
                      </a:solidFill>
                      <a:latin typeface="+mn-lt"/>
                      <a:ea typeface="+mn-ea"/>
                      <a:cs typeface="+mn-cs"/>
                    </a:defRPr>
                  </a:pPr>
                  <a:endParaRPr lang="es-CO"/>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AAC2-44FC-B696-D1E04079C29F}"/>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TRM!$A$4:$A$32</c:f>
              <c:numCache>
                <c:formatCode>mmm\-yy</c:formatCode>
                <c:ptCount val="29"/>
                <c:pt idx="0">
                  <c:v>42370</c:v>
                </c:pt>
                <c:pt idx="1">
                  <c:v>42401</c:v>
                </c:pt>
                <c:pt idx="2">
                  <c:v>42430</c:v>
                </c:pt>
                <c:pt idx="3">
                  <c:v>42461</c:v>
                </c:pt>
                <c:pt idx="4">
                  <c:v>42491</c:v>
                </c:pt>
                <c:pt idx="5">
                  <c:v>42522</c:v>
                </c:pt>
                <c:pt idx="6">
                  <c:v>42552</c:v>
                </c:pt>
                <c:pt idx="7">
                  <c:v>42583</c:v>
                </c:pt>
                <c:pt idx="8">
                  <c:v>42614</c:v>
                </c:pt>
                <c:pt idx="9">
                  <c:v>42644</c:v>
                </c:pt>
                <c:pt idx="10">
                  <c:v>42675</c:v>
                </c:pt>
                <c:pt idx="11">
                  <c:v>42705</c:v>
                </c:pt>
                <c:pt idx="12">
                  <c:v>42736</c:v>
                </c:pt>
                <c:pt idx="13">
                  <c:v>42767</c:v>
                </c:pt>
                <c:pt idx="14">
                  <c:v>42795</c:v>
                </c:pt>
                <c:pt idx="15">
                  <c:v>42826</c:v>
                </c:pt>
                <c:pt idx="16">
                  <c:v>42856</c:v>
                </c:pt>
                <c:pt idx="17">
                  <c:v>42887</c:v>
                </c:pt>
                <c:pt idx="18">
                  <c:v>42917</c:v>
                </c:pt>
                <c:pt idx="19">
                  <c:v>42948</c:v>
                </c:pt>
                <c:pt idx="20">
                  <c:v>42979</c:v>
                </c:pt>
                <c:pt idx="21">
                  <c:v>43009</c:v>
                </c:pt>
                <c:pt idx="22">
                  <c:v>43040</c:v>
                </c:pt>
                <c:pt idx="23">
                  <c:v>43070</c:v>
                </c:pt>
                <c:pt idx="24">
                  <c:v>43101</c:v>
                </c:pt>
                <c:pt idx="25">
                  <c:v>43132</c:v>
                </c:pt>
                <c:pt idx="26">
                  <c:v>43160</c:v>
                </c:pt>
                <c:pt idx="27">
                  <c:v>43191</c:v>
                </c:pt>
                <c:pt idx="28">
                  <c:v>43221</c:v>
                </c:pt>
              </c:numCache>
            </c:numRef>
          </c:cat>
          <c:val>
            <c:numRef>
              <c:f>TRM!$B$4:$B$32</c:f>
              <c:numCache>
                <c:formatCode>#,##0.00</c:formatCode>
                <c:ptCount val="29"/>
                <c:pt idx="0">
                  <c:v>3287.31</c:v>
                </c:pt>
                <c:pt idx="1">
                  <c:v>3306</c:v>
                </c:pt>
                <c:pt idx="2">
                  <c:v>3022.35</c:v>
                </c:pt>
                <c:pt idx="3">
                  <c:v>2851.14</c:v>
                </c:pt>
                <c:pt idx="4">
                  <c:v>3069.17</c:v>
                </c:pt>
                <c:pt idx="5">
                  <c:v>2916.15</c:v>
                </c:pt>
                <c:pt idx="6">
                  <c:v>3081.75</c:v>
                </c:pt>
                <c:pt idx="7">
                  <c:v>2933.82</c:v>
                </c:pt>
                <c:pt idx="8">
                  <c:v>2879.95</c:v>
                </c:pt>
                <c:pt idx="9">
                  <c:v>2967.66</c:v>
                </c:pt>
                <c:pt idx="10">
                  <c:v>3165.09</c:v>
                </c:pt>
                <c:pt idx="11">
                  <c:v>3000.71</c:v>
                </c:pt>
                <c:pt idx="12">
                  <c:v>2936.66</c:v>
                </c:pt>
                <c:pt idx="13">
                  <c:v>2896.27</c:v>
                </c:pt>
                <c:pt idx="14">
                  <c:v>2880.24</c:v>
                </c:pt>
                <c:pt idx="15">
                  <c:v>2947.85</c:v>
                </c:pt>
                <c:pt idx="16">
                  <c:v>2920.42</c:v>
                </c:pt>
                <c:pt idx="17">
                  <c:v>3038.26</c:v>
                </c:pt>
                <c:pt idx="18">
                  <c:v>2995.23</c:v>
                </c:pt>
                <c:pt idx="19">
                  <c:v>2937.09</c:v>
                </c:pt>
                <c:pt idx="20">
                  <c:v>2936.67</c:v>
                </c:pt>
                <c:pt idx="21">
                  <c:v>3011.44</c:v>
                </c:pt>
                <c:pt idx="22">
                  <c:v>3006.09</c:v>
                </c:pt>
                <c:pt idx="23">
                  <c:v>2984</c:v>
                </c:pt>
                <c:pt idx="24">
                  <c:v>2844.14</c:v>
                </c:pt>
                <c:pt idx="25">
                  <c:v>2855.93</c:v>
                </c:pt>
                <c:pt idx="26">
                  <c:v>2780.47</c:v>
                </c:pt>
                <c:pt idx="27">
                  <c:v>2806.28</c:v>
                </c:pt>
                <c:pt idx="28">
                  <c:v>2886.23</c:v>
                </c:pt>
              </c:numCache>
            </c:numRef>
          </c:val>
          <c:smooth val="1"/>
          <c:extLst xmlns:c16r2="http://schemas.microsoft.com/office/drawing/2015/06/chart">
            <c:ext xmlns:c16="http://schemas.microsoft.com/office/drawing/2014/chart" uri="{C3380CC4-5D6E-409C-BE32-E72D297353CC}">
              <c16:uniqueId val="{00000002-AAC2-44FC-B696-D1E04079C29F}"/>
            </c:ext>
          </c:extLst>
        </c:ser>
        <c:dLbls>
          <c:showLegendKey val="0"/>
          <c:showVal val="0"/>
          <c:showCatName val="0"/>
          <c:showSerName val="0"/>
          <c:showPercent val="0"/>
          <c:showBubbleSize val="0"/>
        </c:dLbls>
        <c:marker val="1"/>
        <c:smooth val="0"/>
        <c:axId val="321752816"/>
        <c:axId val="321750856"/>
      </c:lineChart>
      <c:dateAx>
        <c:axId val="321752816"/>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O"/>
          </a:p>
        </c:txPr>
        <c:crossAx val="321750856"/>
        <c:crosses val="autoZero"/>
        <c:auto val="1"/>
        <c:lblOffset val="100"/>
        <c:baseTimeUnit val="months"/>
      </c:dateAx>
      <c:valAx>
        <c:axId val="321750856"/>
        <c:scaling>
          <c:orientation val="minMax"/>
          <c:min val="26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b="1"/>
                  <a:t>Variación porcentual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s-CO"/>
          </a:p>
        </c:txPr>
        <c:crossAx val="321752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24</Pages>
  <Words>7412</Words>
  <Characters>40770</Characters>
  <Application>Microsoft Office Word</Application>
  <DocSecurity>0</DocSecurity>
  <Lines>339</Lines>
  <Paragraphs>96</Paragraphs>
  <ScaleCrop>false</ScaleCrop>
  <Company/>
  <LinksUpToDate>false</LinksUpToDate>
  <CharactersWithSpaces>48086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Mildreth Alejandra Ruiz Aguirre</dc:creator>
  <cp:keywords/>
  <dc:description/>
  <cp:lastModifiedBy>Mildreth Alejandra Ruiz Aguirre</cp:lastModifiedBy>
  <cp:revision>2</cp:revision>
  <dcterms:created xsi:type="dcterms:W3CDTF">2018-11-02T23:39:00Z</dcterms:created>
  <dcterms:modified xsi:type="dcterms:W3CDTF">2018-11-06T15:17:00Z</dcterms:modified>
</cp:coreProperties>
</file>