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993" w:rsidRPr="004718A0" w:rsidRDefault="00F40993" w:rsidP="00F40993">
      <w:pPr>
        <w:pStyle w:val="Prrafodelista"/>
        <w:tabs>
          <w:tab w:val="left" w:pos="240"/>
        </w:tabs>
        <w:ind w:left="0"/>
        <w:jc w:val="center"/>
        <w:rPr>
          <w:rFonts w:ascii="Arial" w:hAnsi="Arial" w:cs="Arial"/>
          <w:b/>
          <w:sz w:val="22"/>
          <w:szCs w:val="22"/>
          <w:lang w:val="es-CO"/>
        </w:rPr>
      </w:pPr>
      <w:r w:rsidRPr="004718A0">
        <w:rPr>
          <w:rFonts w:ascii="Arial" w:hAnsi="Arial" w:cs="Arial"/>
          <w:b/>
          <w:sz w:val="22"/>
          <w:szCs w:val="22"/>
        </w:rPr>
        <w:t xml:space="preserve">ANEXO No. </w:t>
      </w:r>
      <w:r>
        <w:rPr>
          <w:rFonts w:ascii="Arial" w:hAnsi="Arial" w:cs="Arial"/>
          <w:b/>
          <w:sz w:val="22"/>
          <w:szCs w:val="22"/>
          <w:lang w:val="es-CO"/>
        </w:rPr>
        <w:t>2</w:t>
      </w:r>
    </w:p>
    <w:p w:rsidR="00F40993" w:rsidRPr="004718A0" w:rsidRDefault="00F40993" w:rsidP="00F40993">
      <w:pPr>
        <w:pStyle w:val="Prrafodelista"/>
        <w:ind w:left="0"/>
        <w:jc w:val="both"/>
        <w:rPr>
          <w:rFonts w:ascii="Arial" w:hAnsi="Arial" w:cs="Arial"/>
          <w:b/>
          <w:sz w:val="22"/>
          <w:szCs w:val="22"/>
        </w:rPr>
      </w:pPr>
    </w:p>
    <w:p w:rsidR="00F40993" w:rsidRPr="004718A0" w:rsidRDefault="00F40993" w:rsidP="00F40993">
      <w:pPr>
        <w:pStyle w:val="Prrafodelista"/>
        <w:ind w:left="0"/>
        <w:jc w:val="center"/>
        <w:rPr>
          <w:rFonts w:ascii="Arial" w:hAnsi="Arial" w:cs="Arial"/>
          <w:b/>
          <w:sz w:val="22"/>
          <w:szCs w:val="22"/>
        </w:rPr>
      </w:pPr>
      <w:r w:rsidRPr="004718A0">
        <w:rPr>
          <w:rFonts w:ascii="Arial" w:hAnsi="Arial" w:cs="Arial"/>
          <w:b/>
          <w:sz w:val="22"/>
          <w:szCs w:val="22"/>
        </w:rPr>
        <w:t xml:space="preserve">ESTIMACIÓN, TIPIFICACIÓN, ASIGNACIÓN DE RIESGOS </w:t>
      </w:r>
    </w:p>
    <w:p w:rsidR="00F40993" w:rsidRPr="004718A0" w:rsidRDefault="00F40993" w:rsidP="00F40993">
      <w:pPr>
        <w:pStyle w:val="Prrafodelista"/>
        <w:ind w:left="0"/>
        <w:jc w:val="center"/>
        <w:rPr>
          <w:rFonts w:ascii="Arial" w:hAnsi="Arial" w:cs="Arial"/>
          <w:b/>
          <w:sz w:val="22"/>
          <w:szCs w:val="22"/>
        </w:rPr>
      </w:pPr>
      <w:r w:rsidRPr="004718A0">
        <w:rPr>
          <w:rFonts w:ascii="Arial" w:hAnsi="Arial" w:cs="Arial"/>
          <w:b/>
          <w:sz w:val="22"/>
          <w:szCs w:val="22"/>
        </w:rPr>
        <w:t>Y DETERMINACIÓN DE GARANTÍAS.</w:t>
      </w:r>
    </w:p>
    <w:p w:rsidR="00F40993" w:rsidRPr="004718A0" w:rsidRDefault="00F40993" w:rsidP="00F40993">
      <w:pPr>
        <w:pStyle w:val="Prrafodelista"/>
        <w:tabs>
          <w:tab w:val="left" w:pos="240"/>
        </w:tabs>
        <w:ind w:left="0"/>
        <w:jc w:val="both"/>
        <w:rPr>
          <w:rFonts w:ascii="Arial" w:hAnsi="Arial" w:cs="Arial"/>
          <w:b/>
          <w:sz w:val="20"/>
          <w:szCs w:val="20"/>
        </w:rPr>
      </w:pPr>
    </w:p>
    <w:p w:rsidR="00535655" w:rsidRPr="004718A0" w:rsidRDefault="00535655" w:rsidP="00535655">
      <w:pPr>
        <w:pStyle w:val="Anexos"/>
        <w:jc w:val="both"/>
        <w:rPr>
          <w:rFonts w:cs="Arial"/>
          <w:b w:val="0"/>
          <w:sz w:val="20"/>
        </w:rPr>
      </w:pPr>
      <w:r w:rsidRPr="004718A0">
        <w:rPr>
          <w:rFonts w:cs="Arial"/>
          <w:b w:val="0"/>
          <w:sz w:val="20"/>
        </w:rPr>
        <w:t>En la definición de los parámetros de mecanismos de cobertura de los riesgos se efectuó dentro de los términos definidos en la subsección 1 de la sección 3 del Decreto 10</w:t>
      </w:r>
      <w:r>
        <w:rPr>
          <w:rFonts w:cs="Arial"/>
          <w:b w:val="0"/>
          <w:sz w:val="20"/>
        </w:rPr>
        <w:t>82</w:t>
      </w:r>
      <w:r w:rsidRPr="004718A0">
        <w:rPr>
          <w:rFonts w:cs="Arial"/>
          <w:b w:val="0"/>
          <w:sz w:val="20"/>
        </w:rPr>
        <w:t xml:space="preserve"> de 2015.</w:t>
      </w:r>
    </w:p>
    <w:p w:rsidR="00535655" w:rsidRPr="002A06FB" w:rsidRDefault="00535655" w:rsidP="00535655">
      <w:pPr>
        <w:pStyle w:val="Prrafodelista"/>
        <w:tabs>
          <w:tab w:val="left" w:pos="240"/>
        </w:tabs>
        <w:ind w:left="0"/>
        <w:jc w:val="center"/>
        <w:rPr>
          <w:rFonts w:ascii="Arial" w:hAnsi="Arial" w:cs="Arial"/>
          <w:b/>
          <w:sz w:val="20"/>
          <w:szCs w:val="20"/>
          <w:lang w:val="es-ES"/>
        </w:rPr>
      </w:pPr>
    </w:p>
    <w:p w:rsidR="007F2EC8" w:rsidRPr="007F2EC8" w:rsidRDefault="007F2EC8" w:rsidP="007F2EC8">
      <w:pPr>
        <w:tabs>
          <w:tab w:val="left" w:pos="240"/>
        </w:tabs>
        <w:autoSpaceDE w:val="0"/>
        <w:autoSpaceDN w:val="0"/>
        <w:spacing w:line="0" w:lineRule="atLeast"/>
        <w:contextualSpacing/>
        <w:jc w:val="both"/>
        <w:rPr>
          <w:rFonts w:ascii="Arial" w:hAnsi="Arial" w:cs="Arial"/>
          <w:sz w:val="20"/>
          <w:szCs w:val="20"/>
          <w:lang w:val="es-ES_tradnl"/>
        </w:rPr>
      </w:pPr>
      <w:r w:rsidRPr="007F2EC8">
        <w:rPr>
          <w:rFonts w:ascii="Arial" w:hAnsi="Arial" w:cs="Arial"/>
          <w:sz w:val="20"/>
          <w:szCs w:val="20"/>
          <w:lang w:val="es-ES_tradnl"/>
        </w:rPr>
        <w:t xml:space="preserve">Establecer el contexto en el cual se adelanta el proceso de Contratación: </w:t>
      </w:r>
    </w:p>
    <w:p w:rsidR="007F2EC8" w:rsidRPr="007F2EC8" w:rsidRDefault="007F2EC8" w:rsidP="007F2EC8">
      <w:pPr>
        <w:tabs>
          <w:tab w:val="left" w:pos="240"/>
        </w:tabs>
        <w:autoSpaceDE w:val="0"/>
        <w:autoSpaceDN w:val="0"/>
        <w:spacing w:line="0" w:lineRule="atLeast"/>
        <w:contextualSpacing/>
        <w:jc w:val="both"/>
        <w:rPr>
          <w:rFonts w:ascii="Arial" w:hAnsi="Arial" w:cs="Arial"/>
          <w:sz w:val="18"/>
          <w:szCs w:val="20"/>
          <w:lang w:val="es-ES_tradnl"/>
        </w:rPr>
      </w:pPr>
    </w:p>
    <w:p w:rsidR="007F2EC8" w:rsidRPr="007F2EC8" w:rsidRDefault="007F2EC8" w:rsidP="007F2EC8">
      <w:pPr>
        <w:autoSpaceDE w:val="0"/>
        <w:autoSpaceDN w:val="0"/>
        <w:spacing w:line="0" w:lineRule="atLeast"/>
        <w:jc w:val="both"/>
        <w:rPr>
          <w:rFonts w:ascii="Arial" w:hAnsi="Arial" w:cs="Arial"/>
          <w:sz w:val="20"/>
          <w:szCs w:val="20"/>
          <w:lang w:val="es-ES_tradnl"/>
        </w:rPr>
      </w:pPr>
      <w:r w:rsidRPr="007F2EC8">
        <w:rPr>
          <w:rFonts w:ascii="Arial" w:hAnsi="Arial" w:cs="Arial"/>
          <w:sz w:val="20"/>
          <w:szCs w:val="20"/>
          <w:lang w:val="es-ES_tradnl"/>
        </w:rPr>
        <w:t xml:space="preserve">Objeto del proceso de Contratación: MANTENIMIENTO DE EQUIPOS </w:t>
      </w:r>
      <w:r w:rsidR="007B762C" w:rsidRPr="007F2EC8">
        <w:rPr>
          <w:rFonts w:ascii="Arial" w:hAnsi="Arial" w:cs="Arial"/>
          <w:sz w:val="20"/>
          <w:szCs w:val="20"/>
          <w:lang w:val="es-ES_tradnl"/>
        </w:rPr>
        <w:t>TECNOLÓGICOS</w:t>
      </w:r>
      <w:r w:rsidRPr="007F2EC8">
        <w:rPr>
          <w:rFonts w:ascii="Arial" w:hAnsi="Arial" w:cs="Arial"/>
          <w:sz w:val="20"/>
          <w:szCs w:val="20"/>
          <w:lang w:val="es-ES_tradnl"/>
        </w:rPr>
        <w:t xml:space="preserve"> DE LA </w:t>
      </w:r>
      <w:r w:rsidR="007B762C" w:rsidRPr="007F2EC8">
        <w:rPr>
          <w:rFonts w:ascii="Arial" w:hAnsi="Arial" w:cs="Arial"/>
          <w:sz w:val="20"/>
          <w:szCs w:val="20"/>
          <w:lang w:val="es-ES_tradnl"/>
        </w:rPr>
        <w:t>POLICÍA</w:t>
      </w:r>
      <w:r w:rsidRPr="007F2EC8">
        <w:rPr>
          <w:rFonts w:ascii="Arial" w:hAnsi="Arial" w:cs="Arial"/>
          <w:sz w:val="20"/>
          <w:szCs w:val="20"/>
          <w:lang w:val="es-ES_tradnl"/>
        </w:rPr>
        <w:t xml:space="preserve"> METROPOLITANA DE VILLAVICENCIO Y UNIDADES ADSCRITAS ADMINISTRATIVAMENTE.</w:t>
      </w: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Los partícipes del proceso de contratación: Personas naturales y jurídicas nacionales o extranjeras, en forma individual o conjunta (consorcios, uniones temporales), que tengan la capacidad jurídica técnica y económica de prestar el servicio de mantenimiento a la Policía Metropolitana de Villavicencio y unidades adscritas administrativamente.</w:t>
      </w:r>
    </w:p>
    <w:p w:rsidR="007F2EC8" w:rsidRPr="007F2EC8" w:rsidRDefault="007F2EC8" w:rsidP="007F2EC8">
      <w:pPr>
        <w:tabs>
          <w:tab w:val="left" w:pos="142"/>
        </w:tabs>
        <w:autoSpaceDE w:val="0"/>
        <w:autoSpaceDN w:val="0"/>
        <w:spacing w:line="0" w:lineRule="atLeast"/>
        <w:ind w:left="426" w:hanging="284"/>
        <w:jc w:val="both"/>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 xml:space="preserve">La ciudadana que se benéfica del proceso de contratación: Se benefician los funcionarios que laboran en Policía Metropolitana de Villavicencio y sus unidades adscritas administrativamente, al igual que la comunidad en general que solicita los servicios de policía </w:t>
      </w:r>
    </w:p>
    <w:p w:rsidR="007F2EC8" w:rsidRPr="007F2EC8" w:rsidRDefault="007F2EC8" w:rsidP="007F2EC8">
      <w:pPr>
        <w:autoSpaceDE w:val="0"/>
        <w:autoSpaceDN w:val="0"/>
        <w:spacing w:line="0" w:lineRule="atLeast"/>
        <w:ind w:left="720"/>
        <w:contextualSpacing/>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Capacidad Estatal en la disponibilidad presupuestal y conocimientos para los procesos de contratación estatal: El Grupo de Telemática garantiza que cuenta con un equipo interdisciplinario con el conocimiento y experiencia en el desarrollo de los procesos de contratación.</w:t>
      </w: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Suficiencia del presupuesto del proceso de contratación: De acuerdo al análisis efectuado con el Grupo Financiero existe la suficiencia del presupuesto para suplir las necesidades de estos elementos, durante la vigencia 2015, y de esta forma garantizar la eficiencia en el servicio de policía.</w:t>
      </w: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 xml:space="preserve">Condiciones geográficas y de acceso al lugar en el cual se debe cumplir el objeto contractual: </w:t>
      </w:r>
    </w:p>
    <w:p w:rsidR="007F2EC8" w:rsidRPr="007F2EC8" w:rsidRDefault="007F2EC8" w:rsidP="007F2EC8">
      <w:pPr>
        <w:tabs>
          <w:tab w:val="left" w:pos="142"/>
        </w:tabs>
        <w:autoSpaceDE w:val="0"/>
        <w:autoSpaceDN w:val="0"/>
        <w:spacing w:line="0" w:lineRule="atLeast"/>
        <w:jc w:val="both"/>
        <w:rPr>
          <w:rFonts w:ascii="Arial" w:hAnsi="Arial" w:cs="Arial"/>
          <w:sz w:val="20"/>
          <w:szCs w:val="20"/>
          <w:lang w:val="es-CO"/>
        </w:rPr>
      </w:pP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r w:rsidRPr="007F2EC8">
        <w:rPr>
          <w:rFonts w:ascii="Arial" w:hAnsi="Arial" w:cs="Arial"/>
          <w:sz w:val="20"/>
          <w:szCs w:val="20"/>
          <w:lang w:val="es-ES_tradnl"/>
        </w:rPr>
        <w:t xml:space="preserve">El suministro del servicio se debe efectuar en la ciudad de Villavicencio, el cual están ubicado en el piedemonte de la cordillera oriental, hacen parte de los principales Municipios del Departamento del Meta, Villavicencio se ubica a 86 kilómetros al sur de la capital del país con vías pavimentadas, por ser capital de </w:t>
      </w:r>
      <w:r w:rsidRPr="007F2EC8">
        <w:rPr>
          <w:rFonts w:ascii="Arial" w:hAnsi="Arial" w:cs="Arial"/>
          <w:sz w:val="20"/>
          <w:szCs w:val="20"/>
          <w:lang w:val="es-CO"/>
        </w:rPr>
        <w:t>D</w:t>
      </w:r>
      <w:r w:rsidRPr="007F2EC8">
        <w:rPr>
          <w:rFonts w:ascii="Arial" w:hAnsi="Arial" w:cs="Arial"/>
          <w:sz w:val="20"/>
          <w:szCs w:val="20"/>
          <w:lang w:val="es-ES_tradnl"/>
        </w:rPr>
        <w:t>epar</w:t>
      </w:r>
      <w:r w:rsidRPr="007F2EC8">
        <w:rPr>
          <w:rFonts w:ascii="Arial" w:hAnsi="Arial" w:cs="Arial"/>
          <w:sz w:val="20"/>
          <w:szCs w:val="20"/>
          <w:lang w:val="es-CO"/>
        </w:rPr>
        <w:t>t</w:t>
      </w:r>
      <w:r w:rsidRPr="007F2EC8">
        <w:rPr>
          <w:rFonts w:ascii="Arial" w:hAnsi="Arial" w:cs="Arial"/>
          <w:sz w:val="20"/>
          <w:szCs w:val="20"/>
          <w:lang w:val="es-ES_tradnl"/>
        </w:rPr>
        <w:t>amento cuenta con accesos a los principales municipios del Departamento del Meta, lo cual facilita la ejecución del objeto del presente proceso contractual.</w:t>
      </w:r>
    </w:p>
    <w:p w:rsidR="007F2EC8" w:rsidRPr="007F2EC8" w:rsidRDefault="007F2EC8" w:rsidP="007F2EC8">
      <w:pPr>
        <w:tabs>
          <w:tab w:val="left" w:pos="240"/>
        </w:tabs>
        <w:autoSpaceDE w:val="0"/>
        <w:autoSpaceDN w:val="0"/>
        <w:spacing w:line="0" w:lineRule="atLeast"/>
        <w:ind w:left="284"/>
        <w:contextualSpacing/>
        <w:jc w:val="both"/>
        <w:rPr>
          <w:rFonts w:ascii="Arial" w:hAnsi="Arial" w:cs="Arial"/>
          <w:sz w:val="20"/>
          <w:szCs w:val="20"/>
          <w:lang w:val="es-ES_tradnl"/>
        </w:rPr>
      </w:pPr>
    </w:p>
    <w:p w:rsidR="007F2EC8" w:rsidRPr="007F2EC8" w:rsidRDefault="007F2EC8" w:rsidP="007F2EC8">
      <w:pPr>
        <w:tabs>
          <w:tab w:val="left" w:pos="426"/>
        </w:tabs>
        <w:autoSpaceDE w:val="0"/>
        <w:autoSpaceDN w:val="0"/>
        <w:spacing w:line="0" w:lineRule="atLeast"/>
        <w:ind w:left="426"/>
        <w:contextualSpacing/>
        <w:jc w:val="both"/>
        <w:rPr>
          <w:rFonts w:ascii="Arial" w:hAnsi="Arial" w:cs="Arial"/>
          <w:sz w:val="20"/>
          <w:szCs w:val="20"/>
          <w:lang w:val="es-ES_tradnl"/>
        </w:rPr>
      </w:pPr>
      <w:r w:rsidRPr="007F2EC8">
        <w:rPr>
          <w:rFonts w:ascii="Arial" w:hAnsi="Arial" w:cs="Arial"/>
          <w:sz w:val="20"/>
          <w:szCs w:val="20"/>
          <w:lang w:val="es-ES_tradnl"/>
        </w:rPr>
        <w:t xml:space="preserve">Por otra parte el servicio del Vaupés es uno de los </w:t>
      </w:r>
      <w:hyperlink r:id="rId7" w:tooltip="Departamentos de Colombia" w:history="1">
        <w:r w:rsidRPr="007F2EC8">
          <w:rPr>
            <w:rFonts w:ascii="Arial" w:hAnsi="Arial" w:cs="Arial"/>
            <w:sz w:val="20"/>
            <w:szCs w:val="20"/>
            <w:lang w:val="es-ES_tradnl"/>
          </w:rPr>
          <w:t>32 departamentos</w:t>
        </w:r>
      </w:hyperlink>
      <w:r w:rsidRPr="007F2EC8">
        <w:rPr>
          <w:rFonts w:ascii="Arial" w:hAnsi="Arial" w:cs="Arial"/>
          <w:sz w:val="20"/>
          <w:szCs w:val="20"/>
          <w:lang w:val="es-ES_tradnl"/>
        </w:rPr>
        <w:t xml:space="preserve"> de </w:t>
      </w:r>
      <w:hyperlink r:id="rId8" w:tooltip="Colombia" w:history="1">
        <w:r w:rsidRPr="007F2EC8">
          <w:rPr>
            <w:rFonts w:ascii="Arial" w:hAnsi="Arial" w:cs="Arial"/>
            <w:sz w:val="20"/>
            <w:szCs w:val="20"/>
            <w:lang w:val="es-ES_tradnl"/>
          </w:rPr>
          <w:t>Colombia</w:t>
        </w:r>
      </w:hyperlink>
      <w:r w:rsidRPr="007F2EC8">
        <w:rPr>
          <w:rFonts w:ascii="Arial" w:hAnsi="Arial" w:cs="Arial"/>
          <w:sz w:val="20"/>
          <w:szCs w:val="20"/>
          <w:lang w:val="es-ES_tradnl"/>
        </w:rPr>
        <w:t xml:space="preserve">, situado en la </w:t>
      </w:r>
      <w:hyperlink r:id="rId9" w:tooltip="Amazonía" w:history="1">
        <w:r w:rsidRPr="007F2EC8">
          <w:rPr>
            <w:rFonts w:ascii="Arial" w:hAnsi="Arial" w:cs="Arial"/>
            <w:sz w:val="20"/>
            <w:szCs w:val="20"/>
            <w:lang w:val="es-ES_tradnl"/>
          </w:rPr>
          <w:t>Amazonía</w:t>
        </w:r>
      </w:hyperlink>
      <w:r w:rsidRPr="007F2EC8">
        <w:rPr>
          <w:rFonts w:ascii="Arial" w:hAnsi="Arial" w:cs="Arial"/>
          <w:sz w:val="20"/>
          <w:szCs w:val="20"/>
          <w:lang w:val="es-ES_tradnl"/>
        </w:rPr>
        <w:t xml:space="preserve"> colombiana. Posee una superficie de 54.135 </w:t>
      </w:r>
      <w:hyperlink r:id="rId10" w:tooltip="Kilómetro cuadrado" w:history="1">
        <w:r w:rsidRPr="007F2EC8">
          <w:rPr>
            <w:rFonts w:ascii="Arial" w:hAnsi="Arial" w:cs="Arial"/>
            <w:sz w:val="20"/>
            <w:szCs w:val="20"/>
            <w:lang w:val="es-ES_tradnl"/>
          </w:rPr>
          <w:t>km²</w:t>
        </w:r>
      </w:hyperlink>
      <w:r w:rsidRPr="007F2EC8">
        <w:rPr>
          <w:rFonts w:ascii="Arial" w:hAnsi="Arial" w:cs="Arial"/>
          <w:sz w:val="20"/>
          <w:szCs w:val="20"/>
          <w:lang w:val="es-ES_tradnl"/>
        </w:rPr>
        <w:t xml:space="preserve"> y una población para 2012 de 42 392 habitantes, en su gran mayoría </w:t>
      </w:r>
      <w:hyperlink r:id="rId11" w:tooltip="Amerindios" w:history="1">
        <w:r w:rsidRPr="007F2EC8">
          <w:rPr>
            <w:rFonts w:ascii="Arial" w:hAnsi="Arial" w:cs="Arial"/>
            <w:sz w:val="20"/>
            <w:szCs w:val="20"/>
            <w:lang w:val="es-ES_tradnl"/>
          </w:rPr>
          <w:t>indígenas</w:t>
        </w:r>
      </w:hyperlink>
      <w:r w:rsidRPr="007F2EC8">
        <w:rPr>
          <w:rFonts w:ascii="Arial" w:hAnsi="Arial" w:cs="Arial"/>
          <w:sz w:val="20"/>
          <w:szCs w:val="20"/>
          <w:lang w:val="es-ES_tradnl"/>
        </w:rPr>
        <w:t xml:space="preserve">. Limita por el norte con los departamentos de </w:t>
      </w:r>
      <w:hyperlink r:id="rId12" w:tooltip="Guaviare" w:history="1">
        <w:r w:rsidRPr="007F2EC8">
          <w:rPr>
            <w:rFonts w:ascii="Arial" w:hAnsi="Arial" w:cs="Arial"/>
            <w:sz w:val="20"/>
            <w:szCs w:val="20"/>
            <w:lang w:val="es-ES_tradnl"/>
          </w:rPr>
          <w:t>Guaviare</w:t>
        </w:r>
      </w:hyperlink>
      <w:r w:rsidRPr="007F2EC8">
        <w:rPr>
          <w:rFonts w:ascii="Arial" w:hAnsi="Arial" w:cs="Arial"/>
          <w:sz w:val="20"/>
          <w:szCs w:val="20"/>
          <w:lang w:val="es-ES_tradnl"/>
        </w:rPr>
        <w:t xml:space="preserve"> y </w:t>
      </w:r>
      <w:hyperlink r:id="rId13" w:tooltip="Guainía" w:history="1">
        <w:r w:rsidRPr="007F2EC8">
          <w:rPr>
            <w:rFonts w:ascii="Arial" w:hAnsi="Arial" w:cs="Arial"/>
            <w:sz w:val="20"/>
            <w:szCs w:val="20"/>
            <w:lang w:val="es-ES_tradnl"/>
          </w:rPr>
          <w:t>Guainía</w:t>
        </w:r>
      </w:hyperlink>
      <w:r w:rsidRPr="007F2EC8">
        <w:rPr>
          <w:rFonts w:ascii="Arial" w:hAnsi="Arial" w:cs="Arial"/>
          <w:sz w:val="20"/>
          <w:szCs w:val="20"/>
          <w:lang w:val="es-ES_tradnl"/>
        </w:rPr>
        <w:t xml:space="preserve"> (estos tres departamentos formaron lo que fue antes el </w:t>
      </w:r>
      <w:hyperlink r:id="rId14" w:tooltip="Gran Vaupés" w:history="1">
        <w:r w:rsidRPr="007F2EC8">
          <w:rPr>
            <w:rFonts w:ascii="Arial" w:hAnsi="Arial" w:cs="Arial"/>
            <w:sz w:val="20"/>
            <w:szCs w:val="20"/>
            <w:lang w:val="es-ES_tradnl"/>
          </w:rPr>
          <w:t>Gran Vaupés</w:t>
        </w:r>
      </w:hyperlink>
      <w:r w:rsidRPr="007F2EC8">
        <w:rPr>
          <w:rFonts w:ascii="Arial" w:hAnsi="Arial" w:cs="Arial"/>
          <w:sz w:val="20"/>
          <w:szCs w:val="20"/>
          <w:lang w:val="es-ES_tradnl"/>
        </w:rPr>
        <w:t xml:space="preserve">, siendo luego escindidos del mismo), por el este con </w:t>
      </w:r>
      <w:hyperlink r:id="rId15" w:tooltip="Brasil" w:history="1">
        <w:r w:rsidRPr="007F2EC8">
          <w:rPr>
            <w:rFonts w:ascii="Arial" w:hAnsi="Arial" w:cs="Arial"/>
            <w:sz w:val="20"/>
            <w:szCs w:val="20"/>
            <w:lang w:val="es-ES_tradnl"/>
          </w:rPr>
          <w:t>Brasil</w:t>
        </w:r>
      </w:hyperlink>
      <w:r w:rsidRPr="007F2EC8">
        <w:rPr>
          <w:rFonts w:ascii="Arial" w:hAnsi="Arial" w:cs="Arial"/>
          <w:sz w:val="20"/>
          <w:szCs w:val="20"/>
          <w:lang w:val="es-ES_tradnl"/>
        </w:rPr>
        <w:t xml:space="preserve">, por el sur con el </w:t>
      </w:r>
      <w:hyperlink r:id="rId16" w:tooltip="Río Apaporis" w:history="1">
        <w:r w:rsidRPr="007F2EC8">
          <w:rPr>
            <w:rFonts w:ascii="Arial" w:hAnsi="Arial" w:cs="Arial"/>
            <w:sz w:val="20"/>
            <w:szCs w:val="20"/>
            <w:lang w:val="es-ES_tradnl"/>
          </w:rPr>
          <w:t>río Apaporis</w:t>
        </w:r>
      </w:hyperlink>
      <w:r w:rsidRPr="007F2EC8">
        <w:rPr>
          <w:rFonts w:ascii="Arial" w:hAnsi="Arial" w:cs="Arial"/>
          <w:sz w:val="20"/>
          <w:szCs w:val="20"/>
          <w:lang w:val="es-ES_tradnl"/>
        </w:rPr>
        <w:t xml:space="preserve">, que lo separa de los departamentos de </w:t>
      </w:r>
      <w:hyperlink r:id="rId17" w:tooltip="Amazonas (Colombia)" w:history="1">
        <w:r w:rsidRPr="007F2EC8">
          <w:rPr>
            <w:rFonts w:ascii="Arial" w:hAnsi="Arial" w:cs="Arial"/>
            <w:sz w:val="20"/>
            <w:szCs w:val="20"/>
            <w:lang w:val="es-ES_tradnl"/>
          </w:rPr>
          <w:t>Amazonas</w:t>
        </w:r>
      </w:hyperlink>
      <w:r w:rsidRPr="007F2EC8">
        <w:rPr>
          <w:rFonts w:ascii="Arial" w:hAnsi="Arial" w:cs="Arial"/>
          <w:sz w:val="20"/>
          <w:szCs w:val="20"/>
          <w:lang w:val="es-ES_tradnl"/>
        </w:rPr>
        <w:t xml:space="preserve"> y </w:t>
      </w:r>
      <w:hyperlink r:id="rId18" w:tooltip="Caquetá" w:history="1">
        <w:r w:rsidRPr="007F2EC8">
          <w:rPr>
            <w:rFonts w:ascii="Arial" w:hAnsi="Arial" w:cs="Arial"/>
            <w:sz w:val="20"/>
            <w:szCs w:val="20"/>
            <w:lang w:val="es-ES_tradnl"/>
          </w:rPr>
          <w:t>Caquetá</w:t>
        </w:r>
      </w:hyperlink>
      <w:r w:rsidRPr="007F2EC8">
        <w:rPr>
          <w:rFonts w:ascii="Arial" w:hAnsi="Arial" w:cs="Arial"/>
          <w:sz w:val="20"/>
          <w:szCs w:val="20"/>
          <w:lang w:val="es-ES_tradnl"/>
        </w:rPr>
        <w:t xml:space="preserve"> y por el oeste con los departamentos de Caquetá y Guaviare.</w:t>
      </w:r>
    </w:p>
    <w:p w:rsidR="007F2EC8" w:rsidRPr="007F2EC8" w:rsidRDefault="007F2EC8" w:rsidP="007F2EC8">
      <w:pPr>
        <w:autoSpaceDE w:val="0"/>
        <w:autoSpaceDN w:val="0"/>
        <w:spacing w:line="0" w:lineRule="atLeast"/>
        <w:ind w:left="426"/>
        <w:jc w:val="both"/>
        <w:rPr>
          <w:rFonts w:ascii="Arial" w:hAnsi="Arial" w:cs="Arial"/>
          <w:sz w:val="20"/>
          <w:szCs w:val="20"/>
          <w:lang w:val="es-ES_tradnl"/>
        </w:rPr>
      </w:pPr>
      <w:r w:rsidRPr="007F2EC8">
        <w:rPr>
          <w:rFonts w:ascii="Arial" w:hAnsi="Arial" w:cs="Arial"/>
          <w:sz w:val="20"/>
          <w:szCs w:val="20"/>
          <w:lang w:val="es-ES_tradnl"/>
        </w:rPr>
        <w:t xml:space="preserve">Al estar ubicado en la selva amazónica, el Vaupés carece de vías terrestres para su comunicación y sólo es posible llegar hasta su capital por vía fluvial (especialmente por el </w:t>
      </w:r>
      <w:hyperlink r:id="rId19" w:tooltip="Río Vaupés" w:history="1">
        <w:r w:rsidRPr="007F2EC8">
          <w:rPr>
            <w:rFonts w:ascii="Arial" w:hAnsi="Arial" w:cs="Arial"/>
            <w:sz w:val="20"/>
            <w:szCs w:val="20"/>
            <w:lang w:val="es-ES_tradnl"/>
          </w:rPr>
          <w:t>río Vaupés</w:t>
        </w:r>
      </w:hyperlink>
      <w:r w:rsidRPr="007F2EC8">
        <w:rPr>
          <w:rFonts w:ascii="Arial" w:hAnsi="Arial" w:cs="Arial"/>
          <w:sz w:val="20"/>
          <w:szCs w:val="20"/>
          <w:lang w:val="es-ES_tradnl"/>
        </w:rPr>
        <w:t xml:space="preserve">) o aérea, contando así pequeños aeródromos en varias de sus comunidades o poblados indígenas, que le permiten la conexión con </w:t>
      </w:r>
      <w:hyperlink r:id="rId20" w:tooltip="Mitú" w:history="1">
        <w:r w:rsidRPr="007F2EC8">
          <w:rPr>
            <w:rFonts w:ascii="Arial" w:hAnsi="Arial" w:cs="Arial"/>
            <w:sz w:val="20"/>
            <w:szCs w:val="20"/>
            <w:lang w:val="es-ES_tradnl"/>
          </w:rPr>
          <w:t>Mitú</w:t>
        </w:r>
      </w:hyperlink>
      <w:r w:rsidRPr="007F2EC8">
        <w:rPr>
          <w:rFonts w:ascii="Arial" w:hAnsi="Arial" w:cs="Arial"/>
          <w:sz w:val="20"/>
          <w:szCs w:val="20"/>
          <w:lang w:val="es-ES_tradnl"/>
        </w:rPr>
        <w:t xml:space="preserve">, y desde allí con </w:t>
      </w:r>
      <w:hyperlink r:id="rId21" w:tooltip="Bogotá" w:history="1">
        <w:r w:rsidRPr="007F2EC8">
          <w:rPr>
            <w:rFonts w:ascii="Arial" w:hAnsi="Arial" w:cs="Arial"/>
            <w:sz w:val="20"/>
            <w:szCs w:val="20"/>
            <w:lang w:val="es-ES_tradnl"/>
          </w:rPr>
          <w:t>Bogotá</w:t>
        </w:r>
      </w:hyperlink>
      <w:r w:rsidRPr="007F2EC8">
        <w:rPr>
          <w:rFonts w:ascii="Arial" w:hAnsi="Arial" w:cs="Arial"/>
          <w:sz w:val="20"/>
          <w:szCs w:val="20"/>
          <w:lang w:val="es-ES_tradnl"/>
        </w:rPr>
        <w:t xml:space="preserve"> u otras regiones.</w:t>
      </w:r>
    </w:p>
    <w:p w:rsidR="007F2EC8" w:rsidRPr="007F2EC8" w:rsidRDefault="007F2EC8" w:rsidP="007F2EC8">
      <w:pPr>
        <w:autoSpaceDE w:val="0"/>
        <w:autoSpaceDN w:val="0"/>
        <w:spacing w:line="0" w:lineRule="atLeast"/>
        <w:ind w:left="426"/>
        <w:jc w:val="both"/>
        <w:rPr>
          <w:rFonts w:ascii="Arial" w:hAnsi="Arial" w:cs="Arial"/>
          <w:sz w:val="20"/>
          <w:szCs w:val="20"/>
          <w:lang w:val="es-ES_tradnl"/>
        </w:rPr>
      </w:pP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 xml:space="preserve">Condiciones Social </w:t>
      </w: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18"/>
          <w:szCs w:val="20"/>
          <w:lang w:val="es-ES_tradnl"/>
        </w:rPr>
      </w:pP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r w:rsidRPr="007F2EC8">
        <w:rPr>
          <w:rFonts w:ascii="Arial" w:hAnsi="Arial" w:cs="Arial"/>
          <w:sz w:val="20"/>
          <w:szCs w:val="20"/>
          <w:lang w:val="es-ES_tradnl"/>
        </w:rPr>
        <w:t xml:space="preserve">El Municipio de Villavicencio se encuentra dividido en 8 comunas, 235 barrios (de los cuales solo 32 son legalizados), 101 asentamientos, 2 zonas de invasión, 7 corregimientos y 61 veredas en total, la agricultura, la ganadería, y la minería son pilares de la economía de la ciudad desarrollada por un importante y agitado comercio, respaldado en el recurso financiero, que la convierten en el polo de desarrollo de todos los llanos orientales, Villavicencio cuenta con una red de instituciones de carácter </w:t>
      </w:r>
      <w:r w:rsidRPr="007F2EC8">
        <w:rPr>
          <w:rFonts w:ascii="Arial" w:hAnsi="Arial" w:cs="Arial"/>
          <w:sz w:val="20"/>
          <w:szCs w:val="20"/>
          <w:lang w:val="es-ES_tradnl"/>
        </w:rPr>
        <w:lastRenderedPageBreak/>
        <w:t xml:space="preserve">público y privado que prestan el garantizan el derecho de la educación a nivel de básica primaria, básica secundaria, media vocacional y superior. Como la ciudad eje de los Llanos Orientales, Villavicencio es el principal centro urbano universitario de la región al cual llegan jóvenes de los departamentos vecinos, igualmente existen varias empresas y establecimientos de comercio que se dedican a la comercialización de bienes y servicios al mayor y al detal. </w:t>
      </w:r>
    </w:p>
    <w:p w:rsidR="007F2EC8" w:rsidRPr="007F2EC8" w:rsidRDefault="007F2EC8" w:rsidP="007F2EC8">
      <w:pPr>
        <w:shd w:val="clear" w:color="auto" w:fill="FFFFFF"/>
        <w:autoSpaceDE w:val="0"/>
        <w:autoSpaceDN w:val="0"/>
        <w:spacing w:line="0" w:lineRule="atLeast"/>
        <w:ind w:left="426"/>
        <w:jc w:val="both"/>
        <w:rPr>
          <w:rFonts w:ascii="Arial" w:hAnsi="Arial" w:cs="Arial"/>
          <w:sz w:val="20"/>
          <w:szCs w:val="20"/>
          <w:lang w:val="es-ES_tradnl"/>
        </w:rPr>
      </w:pPr>
      <w:r w:rsidRPr="007F2EC8">
        <w:rPr>
          <w:rFonts w:ascii="Arial" w:hAnsi="Arial" w:cs="Arial"/>
          <w:sz w:val="20"/>
          <w:szCs w:val="20"/>
          <w:lang w:val="es-ES_tradnl"/>
        </w:rPr>
        <w:t>La producción en el Departamento del Vaupés es esencialmente minera se desarrolla con métodos rudimentarios, se explotan metales preciosos como el oro y la ilmenita. La principal producción artesanal es la cestería, actividad realizada por la población indígena y luego comercializada en el municipio de Mitú y la inspección de policía de Monfort, en el corregimiento departamental de Yavaraté. El departamento cuenta con dos establecimientos comerciales ubicados en su capital, Mitú.  </w:t>
      </w:r>
    </w:p>
    <w:p w:rsidR="007F2EC8" w:rsidRPr="007F2EC8" w:rsidRDefault="007F2EC8" w:rsidP="007F2EC8">
      <w:pPr>
        <w:numPr>
          <w:ilvl w:val="0"/>
          <w:numId w:val="2"/>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Condiciones políticas:</w:t>
      </w:r>
    </w:p>
    <w:p w:rsidR="007F2EC8" w:rsidRPr="007F2EC8" w:rsidRDefault="007F2EC8" w:rsidP="007F2EC8">
      <w:pPr>
        <w:tabs>
          <w:tab w:val="left" w:pos="142"/>
        </w:tabs>
        <w:autoSpaceDE w:val="0"/>
        <w:autoSpaceDN w:val="0"/>
        <w:spacing w:line="0" w:lineRule="atLeast"/>
        <w:ind w:left="426"/>
        <w:contextualSpacing/>
        <w:jc w:val="both"/>
        <w:rPr>
          <w:rFonts w:ascii="Arial" w:hAnsi="Arial" w:cs="Arial"/>
          <w:sz w:val="20"/>
          <w:szCs w:val="20"/>
          <w:lang w:val="es-ES_tradnl"/>
        </w:rPr>
      </w:pPr>
    </w:p>
    <w:p w:rsidR="007F2EC8" w:rsidRPr="007F2EC8" w:rsidRDefault="007F2EC8" w:rsidP="007F2EC8">
      <w:pPr>
        <w:tabs>
          <w:tab w:val="left" w:pos="142"/>
          <w:tab w:val="left" w:pos="284"/>
        </w:tabs>
        <w:autoSpaceDE w:val="0"/>
        <w:autoSpaceDN w:val="0"/>
        <w:spacing w:line="0" w:lineRule="atLeast"/>
        <w:ind w:left="426"/>
        <w:contextualSpacing/>
        <w:jc w:val="both"/>
        <w:rPr>
          <w:rFonts w:ascii="Arial" w:hAnsi="Arial" w:cs="Arial"/>
          <w:sz w:val="20"/>
          <w:szCs w:val="20"/>
          <w:lang w:val="es-ES_tradnl"/>
        </w:rPr>
      </w:pPr>
      <w:r w:rsidRPr="007F2EC8">
        <w:rPr>
          <w:rFonts w:ascii="Arial" w:hAnsi="Arial" w:cs="Arial"/>
          <w:sz w:val="20"/>
          <w:szCs w:val="20"/>
          <w:lang w:val="es-ES_tradnl"/>
        </w:rPr>
        <w:t xml:space="preserve">Villavicencio como capital departamental, alberga las sedes de la Gobernación del Departamento del Meta, Alcaldía Municipal y Corporaciones Públicas como Asamblea Departamental y Concejo Municipal, la Empresa de Acueducto y Alcantarillado de Villavicencio, la Electrificadora del Meta, la sucursal del </w:t>
      </w:r>
      <w:hyperlink r:id="rId22" w:tooltip="Banco de la República de Colombia" w:history="1">
        <w:r w:rsidRPr="007F2EC8">
          <w:rPr>
            <w:rFonts w:ascii="Arial" w:hAnsi="Arial" w:cs="Arial"/>
            <w:sz w:val="20"/>
            <w:szCs w:val="20"/>
            <w:lang w:val="es-ES_tradnl"/>
          </w:rPr>
          <w:t>Banco de la República de Colombia</w:t>
        </w:r>
      </w:hyperlink>
      <w:r w:rsidRPr="007F2EC8">
        <w:rPr>
          <w:rFonts w:ascii="Arial" w:hAnsi="Arial" w:cs="Arial"/>
          <w:sz w:val="20"/>
          <w:szCs w:val="20"/>
          <w:lang w:val="es-ES_tradnl"/>
        </w:rPr>
        <w:t xml:space="preserve"> y la Cámara de Comercio de Villavicencio. La ciudad se encuentra a 86 kilómetros al sur de la capital de </w:t>
      </w:r>
      <w:hyperlink r:id="rId23" w:tooltip="Colombia" w:history="1">
        <w:r w:rsidRPr="007F2EC8">
          <w:rPr>
            <w:rFonts w:ascii="Arial" w:hAnsi="Arial" w:cs="Arial"/>
            <w:sz w:val="20"/>
            <w:szCs w:val="20"/>
            <w:lang w:val="es-ES_tradnl"/>
          </w:rPr>
          <w:t>Colombia</w:t>
        </w:r>
      </w:hyperlink>
      <w:r w:rsidRPr="007F2EC8">
        <w:rPr>
          <w:rFonts w:ascii="Arial" w:hAnsi="Arial" w:cs="Arial"/>
          <w:sz w:val="20"/>
          <w:szCs w:val="20"/>
          <w:lang w:val="es-ES_tradnl"/>
        </w:rPr>
        <w:t xml:space="preserve">, a dos horas y media por la </w:t>
      </w:r>
      <w:hyperlink r:id="rId24" w:tooltip="Autopista al Llano" w:history="1">
        <w:r w:rsidRPr="007F2EC8">
          <w:rPr>
            <w:rFonts w:ascii="Arial" w:hAnsi="Arial" w:cs="Arial"/>
            <w:sz w:val="20"/>
            <w:szCs w:val="20"/>
            <w:lang w:val="es-ES_tradnl"/>
          </w:rPr>
          <w:t>Autopista al Llano</w:t>
        </w:r>
      </w:hyperlink>
      <w:r w:rsidRPr="007F2EC8">
        <w:rPr>
          <w:rFonts w:ascii="Arial" w:hAnsi="Arial" w:cs="Arial"/>
          <w:sz w:val="20"/>
          <w:szCs w:val="20"/>
          <w:lang w:val="es-ES_tradnl"/>
        </w:rPr>
        <w:t xml:space="preserve">, Villavicencio como </w:t>
      </w:r>
      <w:hyperlink r:id="rId25" w:tooltip="Área Metropolitana" w:history="1">
        <w:r w:rsidRPr="007F2EC8">
          <w:rPr>
            <w:rFonts w:ascii="Arial" w:hAnsi="Arial" w:cs="Arial"/>
            <w:sz w:val="20"/>
            <w:szCs w:val="20"/>
            <w:lang w:val="es-ES_tradnl"/>
          </w:rPr>
          <w:t>Área Metropolitana</w:t>
        </w:r>
      </w:hyperlink>
      <w:r w:rsidRPr="007F2EC8">
        <w:rPr>
          <w:rFonts w:ascii="Arial" w:hAnsi="Arial" w:cs="Arial"/>
          <w:sz w:val="20"/>
          <w:szCs w:val="20"/>
          <w:lang w:val="es-ES_tradnl"/>
        </w:rPr>
        <w:t xml:space="preserve"> está integrada por los municipios de </w:t>
      </w:r>
      <w:hyperlink r:id="rId26" w:tooltip="Acacías" w:history="1">
        <w:r w:rsidRPr="007F2EC8">
          <w:rPr>
            <w:rFonts w:ascii="Arial" w:hAnsi="Arial" w:cs="Arial"/>
            <w:sz w:val="20"/>
            <w:szCs w:val="20"/>
            <w:lang w:val="es-ES_tradnl"/>
          </w:rPr>
          <w:t>Acacias</w:t>
        </w:r>
      </w:hyperlink>
      <w:r w:rsidRPr="007F2EC8">
        <w:rPr>
          <w:rFonts w:ascii="Arial" w:hAnsi="Arial" w:cs="Arial"/>
          <w:sz w:val="20"/>
          <w:szCs w:val="20"/>
          <w:lang w:val="es-ES_tradnl"/>
        </w:rPr>
        <w:t xml:space="preserve">, </w:t>
      </w:r>
      <w:hyperlink r:id="rId27" w:tooltip="Cumaral" w:history="1">
        <w:r w:rsidRPr="007F2EC8">
          <w:rPr>
            <w:rFonts w:ascii="Arial" w:hAnsi="Arial" w:cs="Arial"/>
            <w:sz w:val="20"/>
            <w:szCs w:val="20"/>
            <w:lang w:val="es-ES_tradnl"/>
          </w:rPr>
          <w:t>Cumaral</w:t>
        </w:r>
      </w:hyperlink>
      <w:r w:rsidRPr="007F2EC8">
        <w:rPr>
          <w:rFonts w:ascii="Arial" w:hAnsi="Arial" w:cs="Arial"/>
          <w:sz w:val="20"/>
          <w:szCs w:val="20"/>
          <w:lang w:val="es-ES_tradnl"/>
        </w:rPr>
        <w:t xml:space="preserve"> y </w:t>
      </w:r>
      <w:hyperlink r:id="rId28" w:tooltip="Restrepo (Meta)" w:history="1">
        <w:r w:rsidRPr="007F2EC8">
          <w:rPr>
            <w:rFonts w:ascii="Arial" w:hAnsi="Arial" w:cs="Arial"/>
            <w:sz w:val="20"/>
            <w:szCs w:val="20"/>
            <w:lang w:val="es-ES_tradnl"/>
          </w:rPr>
          <w:t>Restrepo</w:t>
        </w:r>
      </w:hyperlink>
      <w:r w:rsidRPr="007F2EC8">
        <w:rPr>
          <w:rFonts w:ascii="Arial" w:hAnsi="Arial" w:cs="Arial"/>
          <w:sz w:val="20"/>
          <w:szCs w:val="20"/>
          <w:lang w:val="es-ES_tradnl"/>
        </w:rPr>
        <w:t>.</w:t>
      </w:r>
    </w:p>
    <w:p w:rsidR="007F2EC8" w:rsidRPr="007F2EC8" w:rsidRDefault="007F2EC8" w:rsidP="007F2EC8">
      <w:pPr>
        <w:autoSpaceDE w:val="0"/>
        <w:autoSpaceDN w:val="0"/>
        <w:spacing w:line="0" w:lineRule="atLeast"/>
        <w:ind w:left="426"/>
        <w:jc w:val="both"/>
        <w:rPr>
          <w:rFonts w:ascii="Arial" w:hAnsi="Arial" w:cs="Arial"/>
          <w:sz w:val="20"/>
          <w:szCs w:val="20"/>
          <w:lang w:val="es-CO"/>
        </w:rPr>
      </w:pPr>
      <w:r w:rsidRPr="007F2EC8">
        <w:rPr>
          <w:rFonts w:ascii="Arial" w:hAnsi="Arial" w:cs="Arial"/>
          <w:sz w:val="20"/>
          <w:szCs w:val="20"/>
          <w:lang w:val="es-ES_tradnl"/>
        </w:rPr>
        <w:t xml:space="preserve">Por su parte el Departamento del Vaupés, se ubica Mitú, si bien se ha realizado una sustracción para el área capitalina, está localizado en el resguardo indígena Gran resguardo del Vaupés que tiene una extensión de 3227 hectáreas, decretado con la Resolución 086 de 1982. Este a su vez, está localizado en la Reserva Forestal de la Amazonía según ley 2 de 1959, y las tierras del municipio no pertenecientes al resguardo son de Reserva Protectora de la Amazonia. El municipio de Mitú es multiétnico y pluricultural. </w:t>
      </w:r>
    </w:p>
    <w:p w:rsidR="007F2EC8" w:rsidRPr="007F2EC8" w:rsidRDefault="007F2EC8" w:rsidP="007F2EC8">
      <w:pPr>
        <w:numPr>
          <w:ilvl w:val="0"/>
          <w:numId w:val="2"/>
        </w:numPr>
        <w:tabs>
          <w:tab w:val="left" w:pos="142"/>
          <w:tab w:val="left" w:pos="284"/>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El sector objeto del proceso de contratación y su mercado: En el Sector e</w:t>
      </w:r>
      <w:r w:rsidRPr="007F2EC8">
        <w:rPr>
          <w:rFonts w:ascii="Arial" w:hAnsi="Arial" w:cs="Arial"/>
          <w:color w:val="232323"/>
          <w:sz w:val="20"/>
          <w:szCs w:val="20"/>
          <w:lang w:val="es-ES_tradnl"/>
        </w:rPr>
        <w:t xml:space="preserve">xisten diversas empresas que pueden prestar el servicio de mantenimiento solicitado y que cumplen con los requisitos exigidos, con el talento humano calificado para la atención de las necesidades en esta área.  Estas empresas cuentan con el </w:t>
      </w:r>
      <w:r w:rsidRPr="007F2EC8">
        <w:rPr>
          <w:rFonts w:ascii="Arial" w:hAnsi="Arial" w:cs="Arial"/>
          <w:sz w:val="20"/>
          <w:szCs w:val="20"/>
          <w:lang w:val="es-ES_tradnl"/>
        </w:rPr>
        <w:t>respaldo de los distribuidores y casas fabricantes. Stock y partes para brindar solución oportuna y rápida a nuestra necesidad, de tal forma que se determina que en el mercado local y nacional existen diferentes oferentes con la capacidad de suplir el objeto del presente proceso contractual.</w:t>
      </w:r>
    </w:p>
    <w:p w:rsidR="007F2EC8" w:rsidRPr="007F2EC8" w:rsidRDefault="007F2EC8" w:rsidP="007F2EC8">
      <w:pPr>
        <w:tabs>
          <w:tab w:val="left" w:pos="142"/>
          <w:tab w:val="left" w:pos="284"/>
        </w:tabs>
        <w:autoSpaceDE w:val="0"/>
        <w:autoSpaceDN w:val="0"/>
        <w:spacing w:line="0" w:lineRule="atLeast"/>
        <w:jc w:val="both"/>
        <w:rPr>
          <w:rFonts w:ascii="Arial" w:hAnsi="Arial" w:cs="Arial"/>
          <w:sz w:val="20"/>
          <w:szCs w:val="20"/>
          <w:lang w:val="es-CO"/>
        </w:rPr>
      </w:pPr>
    </w:p>
    <w:p w:rsidR="007F2EC8" w:rsidRPr="007F2EC8" w:rsidRDefault="007F2EC8" w:rsidP="007F2EC8">
      <w:pPr>
        <w:numPr>
          <w:ilvl w:val="0"/>
          <w:numId w:val="2"/>
        </w:numPr>
        <w:tabs>
          <w:tab w:val="left" w:pos="142"/>
          <w:tab w:val="left" w:pos="284"/>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La normatividad aplicable al objeto del proceso de contratación: Ley 80 de 1993, ley 1150 de 2007, decreto 1082 de 2015, Resolución 3049 de 2014.</w:t>
      </w:r>
    </w:p>
    <w:p w:rsidR="007F2EC8" w:rsidRPr="007F2EC8" w:rsidRDefault="007F2EC8" w:rsidP="007F2EC8">
      <w:pPr>
        <w:tabs>
          <w:tab w:val="left" w:pos="142"/>
        </w:tabs>
        <w:autoSpaceDE w:val="0"/>
        <w:autoSpaceDN w:val="0"/>
        <w:spacing w:line="0" w:lineRule="atLeast"/>
        <w:ind w:left="426" w:hanging="284"/>
        <w:contextualSpacing/>
        <w:rPr>
          <w:rFonts w:ascii="Arial" w:hAnsi="Arial" w:cs="Arial"/>
          <w:sz w:val="20"/>
          <w:szCs w:val="20"/>
          <w:lang w:val="es-ES_tradnl"/>
        </w:rPr>
      </w:pPr>
    </w:p>
    <w:p w:rsidR="007F2EC8" w:rsidRPr="007F2EC8" w:rsidRDefault="007F2EC8" w:rsidP="007F2EC8">
      <w:pPr>
        <w:numPr>
          <w:ilvl w:val="0"/>
          <w:numId w:val="2"/>
        </w:numPr>
        <w:tabs>
          <w:tab w:val="left" w:pos="142"/>
          <w:tab w:val="left" w:pos="284"/>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Experiencia propia y de otras entidades estatales en procesos de contratación y de otro tipo: Se puede verificar que existen diferentes entidades estatales de acuerdo a la verificación del Portal Único de Contratación que han contrato este tipo de servicios, aunque algunos con especificaciones técnicas diferentes.</w:t>
      </w:r>
    </w:p>
    <w:p w:rsidR="007F2EC8" w:rsidRPr="007F2EC8" w:rsidRDefault="007F2EC8" w:rsidP="007F2EC8">
      <w:pPr>
        <w:tabs>
          <w:tab w:val="left" w:pos="142"/>
          <w:tab w:val="left" w:pos="284"/>
        </w:tabs>
        <w:autoSpaceDE w:val="0"/>
        <w:autoSpaceDN w:val="0"/>
        <w:spacing w:line="0" w:lineRule="atLeast"/>
        <w:ind w:left="426" w:hanging="284"/>
        <w:jc w:val="both"/>
        <w:rPr>
          <w:rFonts w:ascii="Arial" w:hAnsi="Arial" w:cs="Arial"/>
          <w:sz w:val="20"/>
          <w:szCs w:val="20"/>
          <w:lang w:val="es-ES_tradnl"/>
        </w:rPr>
      </w:pPr>
    </w:p>
    <w:p w:rsidR="007F2EC8" w:rsidRPr="007F2EC8" w:rsidRDefault="007F2EC8" w:rsidP="007F2EC8">
      <w:pPr>
        <w:tabs>
          <w:tab w:val="left" w:pos="240"/>
        </w:tabs>
        <w:autoSpaceDE w:val="0"/>
        <w:autoSpaceDN w:val="0"/>
        <w:spacing w:line="0" w:lineRule="atLeast"/>
        <w:rPr>
          <w:rFonts w:ascii="Arial" w:hAnsi="Arial" w:cs="Arial"/>
          <w:sz w:val="20"/>
          <w:szCs w:val="20"/>
          <w:lang w:val="es-ES_tradnl"/>
        </w:rPr>
      </w:pPr>
      <w:r w:rsidRPr="007F2EC8">
        <w:rPr>
          <w:rFonts w:ascii="Arial" w:hAnsi="Arial" w:cs="Arial"/>
          <w:sz w:val="20"/>
          <w:szCs w:val="20"/>
          <w:lang w:val="es-ES_tradnl"/>
        </w:rPr>
        <w:t xml:space="preserve">2. IDENTIFICAR Y CLASIFICAR LOS RIESGOS </w:t>
      </w:r>
    </w:p>
    <w:p w:rsidR="007F2EC8" w:rsidRPr="007F2EC8" w:rsidRDefault="007F2EC8" w:rsidP="007F2EC8">
      <w:pPr>
        <w:tabs>
          <w:tab w:val="left" w:pos="240"/>
        </w:tabs>
        <w:autoSpaceDE w:val="0"/>
        <w:autoSpaceDN w:val="0"/>
        <w:spacing w:line="0" w:lineRule="atLeast"/>
        <w:ind w:left="426"/>
        <w:contextualSpacing/>
        <w:rPr>
          <w:rFonts w:ascii="Arial" w:hAnsi="Arial" w:cs="Arial"/>
          <w:sz w:val="20"/>
          <w:szCs w:val="20"/>
          <w:lang w:val="es-ES_tradnl"/>
        </w:rPr>
      </w:pPr>
    </w:p>
    <w:p w:rsidR="007F2EC8" w:rsidRPr="007F2EC8" w:rsidRDefault="007F2EC8" w:rsidP="007F2EC8">
      <w:pPr>
        <w:numPr>
          <w:ilvl w:val="0"/>
          <w:numId w:val="4"/>
        </w:numPr>
        <w:tabs>
          <w:tab w:val="left" w:pos="142"/>
        </w:tabs>
        <w:autoSpaceDE w:val="0"/>
        <w:autoSpaceDN w:val="0"/>
        <w:spacing w:line="0" w:lineRule="atLeast"/>
        <w:ind w:left="426" w:hanging="284"/>
        <w:contextualSpacing/>
        <w:rPr>
          <w:rFonts w:ascii="Arial" w:hAnsi="Arial" w:cs="Arial"/>
          <w:sz w:val="20"/>
          <w:szCs w:val="20"/>
          <w:lang w:val="es-ES_tradnl"/>
        </w:rPr>
      </w:pPr>
      <w:r w:rsidRPr="007F2EC8">
        <w:rPr>
          <w:rFonts w:ascii="Arial" w:hAnsi="Arial" w:cs="Arial"/>
          <w:sz w:val="20"/>
          <w:szCs w:val="20"/>
          <w:lang w:val="es-ES_tradnl"/>
        </w:rPr>
        <w:t>La no adjudicación del contrato ya sea porque no se cumplan con los requisitos habilitantes o no se presenten propuestas.</w:t>
      </w:r>
    </w:p>
    <w:p w:rsidR="007F2EC8" w:rsidRPr="007F2EC8" w:rsidRDefault="007F2EC8" w:rsidP="007F2EC8">
      <w:pPr>
        <w:numPr>
          <w:ilvl w:val="0"/>
          <w:numId w:val="4"/>
        </w:numPr>
        <w:tabs>
          <w:tab w:val="left" w:pos="142"/>
        </w:tabs>
        <w:autoSpaceDE w:val="0"/>
        <w:autoSpaceDN w:val="0"/>
        <w:spacing w:line="0" w:lineRule="atLeast"/>
        <w:ind w:left="426" w:hanging="284"/>
        <w:contextualSpacing/>
        <w:jc w:val="both"/>
        <w:rPr>
          <w:rFonts w:ascii="Arial" w:hAnsi="Arial" w:cs="Arial"/>
          <w:sz w:val="20"/>
          <w:szCs w:val="20"/>
          <w:lang w:val="es-ES_tradnl"/>
        </w:rPr>
      </w:pPr>
      <w:r w:rsidRPr="007F2EC8">
        <w:rPr>
          <w:rFonts w:ascii="Arial" w:hAnsi="Arial" w:cs="Arial"/>
          <w:sz w:val="20"/>
          <w:szCs w:val="20"/>
          <w:lang w:val="es-ES_tradnl"/>
        </w:rPr>
        <w:t>Incumplimiento del contrato.</w:t>
      </w:r>
    </w:p>
    <w:p w:rsidR="007F2EC8" w:rsidRPr="007F2EC8" w:rsidRDefault="007F2EC8" w:rsidP="007F2EC8">
      <w:pPr>
        <w:numPr>
          <w:ilvl w:val="0"/>
          <w:numId w:val="4"/>
        </w:numPr>
        <w:tabs>
          <w:tab w:val="left" w:pos="142"/>
        </w:tabs>
        <w:autoSpaceDE w:val="0"/>
        <w:autoSpaceDN w:val="0"/>
        <w:spacing w:line="0" w:lineRule="atLeast"/>
        <w:ind w:left="426" w:hanging="284"/>
        <w:contextualSpacing/>
        <w:rPr>
          <w:rFonts w:ascii="Arial" w:hAnsi="Arial" w:cs="Arial"/>
          <w:sz w:val="20"/>
          <w:szCs w:val="20"/>
          <w:lang w:val="es-ES_tradnl"/>
        </w:rPr>
      </w:pPr>
      <w:r w:rsidRPr="007F2EC8">
        <w:rPr>
          <w:rFonts w:ascii="Arial" w:hAnsi="Arial" w:cs="Arial"/>
          <w:sz w:val="20"/>
          <w:szCs w:val="20"/>
          <w:lang w:val="es-ES_tradnl"/>
        </w:rPr>
        <w:t>Mala calidad del servicio.</w:t>
      </w:r>
    </w:p>
    <w:p w:rsidR="007F2EC8" w:rsidRPr="007F2EC8" w:rsidRDefault="007F2EC8" w:rsidP="007F2EC8">
      <w:pPr>
        <w:numPr>
          <w:ilvl w:val="0"/>
          <w:numId w:val="4"/>
        </w:numPr>
        <w:tabs>
          <w:tab w:val="left" w:pos="142"/>
        </w:tabs>
        <w:autoSpaceDE w:val="0"/>
        <w:autoSpaceDN w:val="0"/>
        <w:spacing w:line="0" w:lineRule="atLeast"/>
        <w:ind w:left="426" w:hanging="284"/>
        <w:contextualSpacing/>
        <w:rPr>
          <w:rFonts w:ascii="Arial" w:hAnsi="Arial" w:cs="Arial"/>
          <w:sz w:val="20"/>
          <w:szCs w:val="20"/>
          <w:lang w:val="es-ES_tradnl"/>
        </w:rPr>
      </w:pPr>
      <w:r w:rsidRPr="007F2EC8">
        <w:rPr>
          <w:rFonts w:ascii="Arial" w:hAnsi="Arial" w:cs="Arial"/>
          <w:sz w:val="20"/>
          <w:szCs w:val="20"/>
          <w:lang w:val="es-ES_tradnl"/>
        </w:rPr>
        <w:t>La no ejecución de los mantenimientos por falta de disponibilidad de los repuestos en el mercado nacional</w:t>
      </w:r>
    </w:p>
    <w:p w:rsidR="007F2EC8" w:rsidRPr="007F2EC8" w:rsidRDefault="007F2EC8" w:rsidP="007F2EC8">
      <w:pPr>
        <w:numPr>
          <w:ilvl w:val="0"/>
          <w:numId w:val="4"/>
        </w:numPr>
        <w:tabs>
          <w:tab w:val="left" w:pos="142"/>
        </w:tabs>
        <w:autoSpaceDE w:val="0"/>
        <w:autoSpaceDN w:val="0"/>
        <w:spacing w:line="0" w:lineRule="atLeast"/>
        <w:ind w:left="426" w:hanging="284"/>
        <w:contextualSpacing/>
        <w:rPr>
          <w:rFonts w:ascii="Arial" w:hAnsi="Arial" w:cs="Arial"/>
          <w:sz w:val="20"/>
          <w:szCs w:val="20"/>
          <w:lang w:val="es-ES_tradnl"/>
        </w:rPr>
      </w:pPr>
      <w:r w:rsidRPr="007F2EC8">
        <w:rPr>
          <w:rFonts w:ascii="Arial" w:hAnsi="Arial" w:cs="Arial"/>
          <w:sz w:val="20"/>
          <w:szCs w:val="20"/>
          <w:lang w:val="es-ES_tradnl"/>
        </w:rPr>
        <w:t>No Pago de prestaciones sociales y salarios</w:t>
      </w:r>
    </w:p>
    <w:p w:rsidR="007F2EC8" w:rsidRPr="007F2EC8" w:rsidRDefault="007F2EC8" w:rsidP="007F2EC8">
      <w:pPr>
        <w:numPr>
          <w:ilvl w:val="0"/>
          <w:numId w:val="4"/>
        </w:numPr>
        <w:tabs>
          <w:tab w:val="left" w:pos="142"/>
        </w:tabs>
        <w:autoSpaceDE w:val="0"/>
        <w:autoSpaceDN w:val="0"/>
        <w:spacing w:line="0" w:lineRule="atLeast"/>
        <w:ind w:left="426" w:hanging="284"/>
        <w:contextualSpacing/>
        <w:rPr>
          <w:rFonts w:ascii="Arial" w:hAnsi="Arial" w:cs="Arial"/>
          <w:sz w:val="20"/>
          <w:szCs w:val="20"/>
          <w:lang w:val="es-ES_tradnl"/>
        </w:rPr>
        <w:sectPr w:rsidR="007F2EC8" w:rsidRPr="007F2EC8" w:rsidSect="007B762C">
          <w:footerReference w:type="default" r:id="rId29"/>
          <w:pgSz w:w="12240" w:h="15840"/>
          <w:pgMar w:top="1134" w:right="1134" w:bottom="1560" w:left="1701" w:header="680" w:footer="68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7F2EC8">
        <w:rPr>
          <w:rFonts w:ascii="Arial" w:hAnsi="Arial" w:cs="Arial"/>
          <w:sz w:val="20"/>
          <w:szCs w:val="20"/>
          <w:lang w:val="es-ES_tradnl"/>
        </w:rPr>
        <w:t>Incumplimiento a la normatividad ambiental</w:t>
      </w:r>
    </w:p>
    <w:p w:rsidR="00F663B4" w:rsidRPr="00F663B4" w:rsidRDefault="00F663B4" w:rsidP="00F663B4">
      <w:pPr>
        <w:jc w:val="center"/>
        <w:rPr>
          <w:rFonts w:ascii="Arial" w:hAnsi="Arial" w:cs="Arial"/>
          <w:b/>
          <w:sz w:val="22"/>
          <w:szCs w:val="22"/>
        </w:rPr>
      </w:pPr>
      <w:r w:rsidRPr="00F663B4">
        <w:rPr>
          <w:rFonts w:ascii="Arial" w:hAnsi="Arial" w:cs="Arial"/>
          <w:b/>
          <w:sz w:val="22"/>
          <w:szCs w:val="22"/>
        </w:rPr>
        <w:lastRenderedPageBreak/>
        <w:t>ANÁLISIS DEL RIESGO Y LA FORMA DE MITIGARLO</w:t>
      </w:r>
    </w:p>
    <w:p w:rsidR="00F663B4" w:rsidRDefault="00F663B4" w:rsidP="00F663B4">
      <w:pPr>
        <w:jc w:val="center"/>
        <w:rPr>
          <w:b/>
          <w:sz w:val="22"/>
          <w:szCs w:val="22"/>
        </w:rPr>
      </w:pPr>
    </w:p>
    <w:tbl>
      <w:tblPr>
        <w:tblW w:w="14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0"/>
        <w:gridCol w:w="376"/>
        <w:gridCol w:w="376"/>
        <w:gridCol w:w="376"/>
        <w:gridCol w:w="379"/>
        <w:gridCol w:w="1519"/>
        <w:gridCol w:w="1377"/>
        <w:gridCol w:w="350"/>
        <w:gridCol w:w="198"/>
        <w:gridCol w:w="306"/>
        <w:gridCol w:w="378"/>
        <w:gridCol w:w="535"/>
        <w:gridCol w:w="1842"/>
        <w:gridCol w:w="376"/>
        <w:gridCol w:w="376"/>
        <w:gridCol w:w="376"/>
        <w:gridCol w:w="378"/>
        <w:gridCol w:w="447"/>
        <w:gridCol w:w="793"/>
        <w:gridCol w:w="906"/>
        <w:gridCol w:w="941"/>
        <w:gridCol w:w="494"/>
        <w:gridCol w:w="686"/>
      </w:tblGrid>
      <w:tr w:rsidR="00F663B4" w:rsidRPr="00F663B4" w:rsidTr="00105F5C">
        <w:trPr>
          <w:trHeight w:val="924"/>
          <w:jc w:val="center"/>
        </w:trPr>
        <w:tc>
          <w:tcPr>
            <w:tcW w:w="390" w:type="dxa"/>
            <w:vMerge w:val="restart"/>
            <w:shd w:val="clear" w:color="000000" w:fill="D9D9D9"/>
            <w:noWrap/>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No</w:t>
            </w:r>
          </w:p>
        </w:tc>
        <w:tc>
          <w:tcPr>
            <w:tcW w:w="376"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Clase</w:t>
            </w:r>
          </w:p>
        </w:tc>
        <w:tc>
          <w:tcPr>
            <w:tcW w:w="376"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Fuente</w:t>
            </w:r>
          </w:p>
        </w:tc>
        <w:tc>
          <w:tcPr>
            <w:tcW w:w="376"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Etapa</w:t>
            </w:r>
          </w:p>
        </w:tc>
        <w:tc>
          <w:tcPr>
            <w:tcW w:w="379"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Tipo</w:t>
            </w:r>
          </w:p>
        </w:tc>
        <w:tc>
          <w:tcPr>
            <w:tcW w:w="1519"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Descripción (Que puede pasar y cómo puede pasar ocurrir)</w:t>
            </w:r>
          </w:p>
        </w:tc>
        <w:tc>
          <w:tcPr>
            <w:tcW w:w="1377"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Consecuencia de la ocurrencia del evento</w:t>
            </w:r>
          </w:p>
        </w:tc>
        <w:tc>
          <w:tcPr>
            <w:tcW w:w="350"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Probabilidad</w:t>
            </w:r>
          </w:p>
        </w:tc>
        <w:tc>
          <w:tcPr>
            <w:tcW w:w="198"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Impacto</w:t>
            </w:r>
          </w:p>
        </w:tc>
        <w:tc>
          <w:tcPr>
            <w:tcW w:w="306"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Calificación total</w:t>
            </w:r>
          </w:p>
        </w:tc>
        <w:tc>
          <w:tcPr>
            <w:tcW w:w="378" w:type="dxa"/>
            <w:vMerge w:val="restart"/>
            <w:shd w:val="clear" w:color="000000" w:fill="D9D9D9"/>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Prioridad</w:t>
            </w:r>
          </w:p>
        </w:tc>
        <w:tc>
          <w:tcPr>
            <w:tcW w:w="535"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¿A quién se le asigna?</w:t>
            </w:r>
          </w:p>
        </w:tc>
        <w:tc>
          <w:tcPr>
            <w:tcW w:w="1842"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Tratamiento/controles a ser implementados</w:t>
            </w:r>
          </w:p>
        </w:tc>
        <w:tc>
          <w:tcPr>
            <w:tcW w:w="1506" w:type="dxa"/>
            <w:gridSpan w:val="4"/>
            <w:shd w:val="clear" w:color="000000" w:fill="F2F2F2"/>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Impacto después del tratamiento</w:t>
            </w:r>
          </w:p>
        </w:tc>
        <w:tc>
          <w:tcPr>
            <w:tcW w:w="447"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¿Afecta el equilibrio económico del contrato?</w:t>
            </w:r>
          </w:p>
        </w:tc>
        <w:tc>
          <w:tcPr>
            <w:tcW w:w="793"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persona responsable de implementar el tratamiento</w:t>
            </w:r>
          </w:p>
        </w:tc>
        <w:tc>
          <w:tcPr>
            <w:tcW w:w="906"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fecha estimada que se inicia el tratamiento</w:t>
            </w:r>
          </w:p>
        </w:tc>
        <w:tc>
          <w:tcPr>
            <w:tcW w:w="941" w:type="dxa"/>
            <w:vMerge w:val="restart"/>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fecha estimada en que se completa el tratamiento</w:t>
            </w:r>
          </w:p>
        </w:tc>
        <w:tc>
          <w:tcPr>
            <w:tcW w:w="1180" w:type="dxa"/>
            <w:gridSpan w:val="2"/>
            <w:shd w:val="clear" w:color="000000" w:fill="F2F2F2"/>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Monitoreo y revisión</w:t>
            </w:r>
          </w:p>
        </w:tc>
      </w:tr>
      <w:tr w:rsidR="00F663B4" w:rsidRPr="00F663B4" w:rsidTr="00F663B4">
        <w:trPr>
          <w:trHeight w:val="1093"/>
          <w:jc w:val="center"/>
        </w:trPr>
        <w:tc>
          <w:tcPr>
            <w:tcW w:w="390" w:type="dxa"/>
            <w:vMerge/>
            <w:vAlign w:val="center"/>
            <w:hideMark/>
          </w:tcPr>
          <w:p w:rsidR="00F663B4" w:rsidRPr="00F663B4" w:rsidRDefault="00F663B4" w:rsidP="00105F5C">
            <w:pPr>
              <w:jc w:val="center"/>
              <w:rPr>
                <w:rFonts w:ascii="Arial" w:hAnsi="Arial" w:cs="Arial"/>
                <w:color w:val="000000"/>
                <w:sz w:val="12"/>
                <w:szCs w:val="12"/>
              </w:rPr>
            </w:pPr>
          </w:p>
        </w:tc>
        <w:tc>
          <w:tcPr>
            <w:tcW w:w="376" w:type="dxa"/>
            <w:vMerge/>
            <w:vAlign w:val="center"/>
            <w:hideMark/>
          </w:tcPr>
          <w:p w:rsidR="00F663B4" w:rsidRPr="00F663B4" w:rsidRDefault="00F663B4" w:rsidP="00105F5C">
            <w:pPr>
              <w:jc w:val="center"/>
              <w:rPr>
                <w:rFonts w:ascii="Arial" w:hAnsi="Arial" w:cs="Arial"/>
                <w:color w:val="000000"/>
                <w:sz w:val="12"/>
                <w:szCs w:val="12"/>
              </w:rPr>
            </w:pPr>
          </w:p>
        </w:tc>
        <w:tc>
          <w:tcPr>
            <w:tcW w:w="376" w:type="dxa"/>
            <w:vMerge/>
            <w:vAlign w:val="center"/>
            <w:hideMark/>
          </w:tcPr>
          <w:p w:rsidR="00F663B4" w:rsidRPr="00F663B4" w:rsidRDefault="00F663B4" w:rsidP="00105F5C">
            <w:pPr>
              <w:jc w:val="center"/>
              <w:rPr>
                <w:rFonts w:ascii="Arial" w:hAnsi="Arial" w:cs="Arial"/>
                <w:color w:val="000000"/>
                <w:sz w:val="12"/>
                <w:szCs w:val="12"/>
              </w:rPr>
            </w:pPr>
          </w:p>
        </w:tc>
        <w:tc>
          <w:tcPr>
            <w:tcW w:w="376" w:type="dxa"/>
            <w:vMerge/>
            <w:vAlign w:val="center"/>
            <w:hideMark/>
          </w:tcPr>
          <w:p w:rsidR="00F663B4" w:rsidRPr="00F663B4" w:rsidRDefault="00F663B4" w:rsidP="00105F5C">
            <w:pPr>
              <w:jc w:val="center"/>
              <w:rPr>
                <w:rFonts w:ascii="Arial" w:hAnsi="Arial" w:cs="Arial"/>
                <w:color w:val="000000"/>
                <w:sz w:val="12"/>
                <w:szCs w:val="12"/>
              </w:rPr>
            </w:pPr>
          </w:p>
        </w:tc>
        <w:tc>
          <w:tcPr>
            <w:tcW w:w="379" w:type="dxa"/>
            <w:vMerge/>
            <w:vAlign w:val="center"/>
            <w:hideMark/>
          </w:tcPr>
          <w:p w:rsidR="00F663B4" w:rsidRPr="00F663B4" w:rsidRDefault="00F663B4" w:rsidP="00105F5C">
            <w:pPr>
              <w:jc w:val="center"/>
              <w:rPr>
                <w:rFonts w:ascii="Arial" w:hAnsi="Arial" w:cs="Arial"/>
                <w:color w:val="000000"/>
                <w:sz w:val="12"/>
                <w:szCs w:val="12"/>
              </w:rPr>
            </w:pPr>
          </w:p>
        </w:tc>
        <w:tc>
          <w:tcPr>
            <w:tcW w:w="1519" w:type="dxa"/>
            <w:vMerge/>
            <w:vAlign w:val="center"/>
            <w:hideMark/>
          </w:tcPr>
          <w:p w:rsidR="00F663B4" w:rsidRPr="00F663B4" w:rsidRDefault="00F663B4" w:rsidP="00105F5C">
            <w:pPr>
              <w:jc w:val="center"/>
              <w:rPr>
                <w:rFonts w:ascii="Arial" w:hAnsi="Arial" w:cs="Arial"/>
                <w:color w:val="000000"/>
                <w:sz w:val="12"/>
                <w:szCs w:val="12"/>
              </w:rPr>
            </w:pPr>
          </w:p>
        </w:tc>
        <w:tc>
          <w:tcPr>
            <w:tcW w:w="1377" w:type="dxa"/>
            <w:vMerge/>
            <w:vAlign w:val="center"/>
            <w:hideMark/>
          </w:tcPr>
          <w:p w:rsidR="00F663B4" w:rsidRPr="00F663B4" w:rsidRDefault="00F663B4" w:rsidP="00105F5C">
            <w:pPr>
              <w:jc w:val="center"/>
              <w:rPr>
                <w:rFonts w:ascii="Arial" w:hAnsi="Arial" w:cs="Arial"/>
                <w:color w:val="000000"/>
                <w:sz w:val="12"/>
                <w:szCs w:val="12"/>
              </w:rPr>
            </w:pPr>
          </w:p>
        </w:tc>
        <w:tc>
          <w:tcPr>
            <w:tcW w:w="350" w:type="dxa"/>
            <w:vMerge/>
            <w:vAlign w:val="center"/>
            <w:hideMark/>
          </w:tcPr>
          <w:p w:rsidR="00F663B4" w:rsidRPr="00F663B4" w:rsidRDefault="00F663B4" w:rsidP="00105F5C">
            <w:pPr>
              <w:jc w:val="center"/>
              <w:rPr>
                <w:rFonts w:ascii="Arial" w:hAnsi="Arial" w:cs="Arial"/>
                <w:color w:val="000000"/>
                <w:sz w:val="12"/>
                <w:szCs w:val="12"/>
              </w:rPr>
            </w:pPr>
          </w:p>
        </w:tc>
        <w:tc>
          <w:tcPr>
            <w:tcW w:w="198" w:type="dxa"/>
            <w:vMerge/>
            <w:vAlign w:val="center"/>
            <w:hideMark/>
          </w:tcPr>
          <w:p w:rsidR="00F663B4" w:rsidRPr="00F663B4" w:rsidRDefault="00F663B4" w:rsidP="00105F5C">
            <w:pPr>
              <w:jc w:val="center"/>
              <w:rPr>
                <w:rFonts w:ascii="Arial" w:hAnsi="Arial" w:cs="Arial"/>
                <w:color w:val="000000"/>
                <w:sz w:val="12"/>
                <w:szCs w:val="12"/>
              </w:rPr>
            </w:pPr>
          </w:p>
        </w:tc>
        <w:tc>
          <w:tcPr>
            <w:tcW w:w="306" w:type="dxa"/>
            <w:vMerge/>
            <w:vAlign w:val="center"/>
            <w:hideMark/>
          </w:tcPr>
          <w:p w:rsidR="00F663B4" w:rsidRPr="00F663B4" w:rsidRDefault="00F663B4" w:rsidP="00105F5C">
            <w:pPr>
              <w:jc w:val="center"/>
              <w:rPr>
                <w:rFonts w:ascii="Arial" w:hAnsi="Arial" w:cs="Arial"/>
                <w:color w:val="000000"/>
                <w:sz w:val="12"/>
                <w:szCs w:val="12"/>
              </w:rPr>
            </w:pPr>
          </w:p>
        </w:tc>
        <w:tc>
          <w:tcPr>
            <w:tcW w:w="378" w:type="dxa"/>
            <w:vMerge/>
            <w:vAlign w:val="center"/>
            <w:hideMark/>
          </w:tcPr>
          <w:p w:rsidR="00F663B4" w:rsidRPr="00F663B4" w:rsidRDefault="00F663B4" w:rsidP="00105F5C">
            <w:pPr>
              <w:jc w:val="center"/>
              <w:rPr>
                <w:rFonts w:ascii="Arial" w:hAnsi="Arial" w:cs="Arial"/>
                <w:color w:val="000000"/>
                <w:sz w:val="12"/>
                <w:szCs w:val="12"/>
              </w:rPr>
            </w:pPr>
          </w:p>
        </w:tc>
        <w:tc>
          <w:tcPr>
            <w:tcW w:w="535" w:type="dxa"/>
            <w:vMerge/>
            <w:vAlign w:val="center"/>
            <w:hideMark/>
          </w:tcPr>
          <w:p w:rsidR="00F663B4" w:rsidRPr="00F663B4" w:rsidRDefault="00F663B4" w:rsidP="00105F5C">
            <w:pPr>
              <w:jc w:val="center"/>
              <w:rPr>
                <w:rFonts w:ascii="Arial" w:hAnsi="Arial" w:cs="Arial"/>
                <w:color w:val="000000"/>
                <w:sz w:val="12"/>
                <w:szCs w:val="12"/>
              </w:rPr>
            </w:pPr>
          </w:p>
        </w:tc>
        <w:tc>
          <w:tcPr>
            <w:tcW w:w="1842" w:type="dxa"/>
            <w:vMerge/>
            <w:vAlign w:val="center"/>
            <w:hideMark/>
          </w:tcPr>
          <w:p w:rsidR="00F663B4" w:rsidRPr="00F663B4" w:rsidRDefault="00F663B4" w:rsidP="00105F5C">
            <w:pPr>
              <w:jc w:val="center"/>
              <w:rPr>
                <w:rFonts w:ascii="Arial" w:hAnsi="Arial" w:cs="Arial"/>
                <w:color w:val="000000"/>
                <w:sz w:val="12"/>
                <w:szCs w:val="12"/>
              </w:rPr>
            </w:pPr>
          </w:p>
        </w:tc>
        <w:tc>
          <w:tcPr>
            <w:tcW w:w="376"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Probabilidad</w:t>
            </w:r>
          </w:p>
        </w:tc>
        <w:tc>
          <w:tcPr>
            <w:tcW w:w="376"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Impacto</w:t>
            </w:r>
          </w:p>
        </w:tc>
        <w:tc>
          <w:tcPr>
            <w:tcW w:w="376"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Calificación</w:t>
            </w:r>
          </w:p>
        </w:tc>
        <w:tc>
          <w:tcPr>
            <w:tcW w:w="378"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Calificación total</w:t>
            </w:r>
          </w:p>
        </w:tc>
        <w:tc>
          <w:tcPr>
            <w:tcW w:w="447" w:type="dxa"/>
            <w:vMerge/>
            <w:vAlign w:val="center"/>
            <w:hideMark/>
          </w:tcPr>
          <w:p w:rsidR="00F663B4" w:rsidRPr="00F663B4" w:rsidRDefault="00F663B4" w:rsidP="00105F5C">
            <w:pPr>
              <w:jc w:val="center"/>
              <w:rPr>
                <w:rFonts w:ascii="Arial" w:hAnsi="Arial" w:cs="Arial"/>
                <w:color w:val="000000"/>
                <w:sz w:val="12"/>
                <w:szCs w:val="12"/>
              </w:rPr>
            </w:pPr>
          </w:p>
        </w:tc>
        <w:tc>
          <w:tcPr>
            <w:tcW w:w="793" w:type="dxa"/>
            <w:vMerge/>
            <w:vAlign w:val="center"/>
            <w:hideMark/>
          </w:tcPr>
          <w:p w:rsidR="00F663B4" w:rsidRPr="00F663B4" w:rsidRDefault="00F663B4" w:rsidP="00105F5C">
            <w:pPr>
              <w:jc w:val="center"/>
              <w:rPr>
                <w:rFonts w:ascii="Arial" w:hAnsi="Arial" w:cs="Arial"/>
                <w:color w:val="000000"/>
                <w:sz w:val="12"/>
                <w:szCs w:val="12"/>
              </w:rPr>
            </w:pPr>
          </w:p>
        </w:tc>
        <w:tc>
          <w:tcPr>
            <w:tcW w:w="906" w:type="dxa"/>
            <w:vMerge/>
            <w:vAlign w:val="center"/>
            <w:hideMark/>
          </w:tcPr>
          <w:p w:rsidR="00F663B4" w:rsidRPr="00F663B4" w:rsidRDefault="00F663B4" w:rsidP="00105F5C">
            <w:pPr>
              <w:jc w:val="center"/>
              <w:rPr>
                <w:rFonts w:ascii="Arial" w:hAnsi="Arial" w:cs="Arial"/>
                <w:color w:val="000000"/>
                <w:sz w:val="12"/>
                <w:szCs w:val="12"/>
              </w:rPr>
            </w:pPr>
          </w:p>
        </w:tc>
        <w:tc>
          <w:tcPr>
            <w:tcW w:w="941" w:type="dxa"/>
            <w:vMerge/>
            <w:vAlign w:val="center"/>
            <w:hideMark/>
          </w:tcPr>
          <w:p w:rsidR="00F663B4" w:rsidRPr="00F663B4" w:rsidRDefault="00F663B4" w:rsidP="00105F5C">
            <w:pPr>
              <w:jc w:val="center"/>
              <w:rPr>
                <w:rFonts w:ascii="Arial" w:hAnsi="Arial" w:cs="Arial"/>
                <w:color w:val="000000"/>
                <w:sz w:val="12"/>
                <w:szCs w:val="12"/>
              </w:rPr>
            </w:pPr>
          </w:p>
        </w:tc>
        <w:tc>
          <w:tcPr>
            <w:tcW w:w="494"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¿Cómo se realiza el monitoreo?</w:t>
            </w:r>
          </w:p>
        </w:tc>
        <w:tc>
          <w:tcPr>
            <w:tcW w:w="686" w:type="dxa"/>
            <w:shd w:val="clear" w:color="000000" w:fill="F2F2F2"/>
            <w:textDirection w:val="btLr"/>
            <w:vAlign w:val="center"/>
            <w:hideMark/>
          </w:tcPr>
          <w:p w:rsidR="00F663B4" w:rsidRPr="00F663B4" w:rsidRDefault="00F663B4" w:rsidP="00105F5C">
            <w:pPr>
              <w:jc w:val="center"/>
              <w:rPr>
                <w:rFonts w:ascii="Arial" w:hAnsi="Arial" w:cs="Arial"/>
                <w:color w:val="000000"/>
                <w:sz w:val="12"/>
                <w:szCs w:val="12"/>
              </w:rPr>
            </w:pPr>
            <w:r w:rsidRPr="00F663B4">
              <w:rPr>
                <w:rFonts w:ascii="Arial" w:hAnsi="Arial" w:cs="Arial"/>
                <w:color w:val="000000"/>
                <w:sz w:val="12"/>
                <w:szCs w:val="12"/>
              </w:rPr>
              <w:t>Periodicidad ¿Cuándo?</w:t>
            </w:r>
          </w:p>
        </w:tc>
      </w:tr>
      <w:tr w:rsidR="00F663B4" w:rsidRPr="00F663B4" w:rsidTr="00105F5C">
        <w:trPr>
          <w:trHeight w:val="1506"/>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1</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general</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selección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La no adjudicación del contrato ya sea porque no se cumplan con los requisitos habilitantes o no se presenten propuestas</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Afectación en la prestación del servicio de policía, posibles atentados contra las instalaciones policiales,  ante la paralización del funcionamiento de los equipos tecnológicos por falta de mantenimiento.</w:t>
            </w:r>
          </w:p>
        </w:tc>
        <w:tc>
          <w:tcPr>
            <w:tcW w:w="35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vAlign w:val="center"/>
          </w:tcPr>
          <w:p w:rsidR="00F663B4" w:rsidRPr="00F663B4" w:rsidRDefault="00F663B4" w:rsidP="00105F5C">
            <w:pPr>
              <w:rPr>
                <w:rFonts w:ascii="Arial" w:hAnsi="Arial" w:cs="Arial"/>
                <w:color w:val="000000"/>
                <w:sz w:val="12"/>
                <w:szCs w:val="12"/>
              </w:rPr>
            </w:pPr>
            <w:r w:rsidRPr="00F663B4">
              <w:rPr>
                <w:rFonts w:ascii="Arial" w:hAnsi="Arial" w:cs="Arial"/>
                <w:color w:val="000000"/>
                <w:sz w:val="12"/>
                <w:szCs w:val="12"/>
              </w:rPr>
              <w:t>Medio</w:t>
            </w:r>
          </w:p>
        </w:tc>
        <w:tc>
          <w:tcPr>
            <w:tcW w:w="535"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Policía Metropolitana de Villavicencio</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Evitar el riesgo o reducir la probabilidad de la ocurrencia del riesgo</w:t>
            </w:r>
            <w:r w:rsidRPr="00F663B4">
              <w:rPr>
                <w:rFonts w:ascii="Arial" w:hAnsi="Arial" w:cs="Arial"/>
                <w:sz w:val="12"/>
                <w:szCs w:val="12"/>
              </w:rPr>
              <w:t>, a través de establecer requisitos habilitantes que permitan la pluralidad de oferentes.</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4</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color w:val="000000"/>
                <w:sz w:val="12"/>
                <w:szCs w:val="12"/>
                <w:lang w:val="es-CO"/>
              </w:rPr>
              <w:t>bajo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NO</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 xml:space="preserve">Estructurador estudios previos </w:t>
            </w:r>
          </w:p>
        </w:tc>
        <w:tc>
          <w:tcPr>
            <w:tcW w:w="906" w:type="dxa"/>
            <w:textDirection w:val="btLr"/>
            <w:vAlign w:val="center"/>
          </w:tcPr>
          <w:p w:rsidR="00F663B4" w:rsidRPr="00F663B4" w:rsidRDefault="00F663B4" w:rsidP="00105F5C">
            <w:pPr>
              <w:pStyle w:val="Prrafodelista"/>
              <w:tabs>
                <w:tab w:val="left" w:pos="240"/>
              </w:tabs>
              <w:ind w:left="113" w:right="113"/>
              <w:jc w:val="center"/>
              <w:rPr>
                <w:rFonts w:ascii="Arial" w:hAnsi="Arial" w:cs="Arial"/>
                <w:sz w:val="12"/>
                <w:szCs w:val="12"/>
                <w:lang w:val="es-CO"/>
              </w:rPr>
            </w:pPr>
            <w:r w:rsidRPr="00F663B4">
              <w:rPr>
                <w:rFonts w:ascii="Arial" w:hAnsi="Arial" w:cs="Arial"/>
                <w:sz w:val="12"/>
                <w:szCs w:val="12"/>
                <w:lang w:val="es-CO"/>
              </w:rPr>
              <w:t xml:space="preserve">Solicitud  de realización de estudios  previos </w:t>
            </w:r>
          </w:p>
        </w:tc>
        <w:tc>
          <w:tcPr>
            <w:tcW w:w="941" w:type="dxa"/>
            <w:textDirection w:val="btLr"/>
            <w:vAlign w:val="center"/>
          </w:tcPr>
          <w:p w:rsidR="00F663B4" w:rsidRPr="00F663B4" w:rsidRDefault="00F663B4" w:rsidP="00105F5C">
            <w:pPr>
              <w:pStyle w:val="Prrafodelista"/>
              <w:tabs>
                <w:tab w:val="left" w:pos="240"/>
              </w:tabs>
              <w:ind w:left="113" w:right="113"/>
              <w:jc w:val="center"/>
              <w:rPr>
                <w:rFonts w:ascii="Arial" w:hAnsi="Arial" w:cs="Arial"/>
                <w:sz w:val="12"/>
                <w:szCs w:val="12"/>
              </w:rPr>
            </w:pPr>
            <w:r w:rsidRPr="00F663B4">
              <w:rPr>
                <w:rFonts w:ascii="Arial" w:hAnsi="Arial" w:cs="Arial"/>
                <w:sz w:val="12"/>
                <w:szCs w:val="12"/>
              </w:rPr>
              <w:t xml:space="preserve">Entrega al Grupo de Contratos de los  Estudios  Previos </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rPr>
              <w:t>Revisión de estudios previos</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 xml:space="preserve">Una vez </w:t>
            </w:r>
          </w:p>
        </w:tc>
      </w:tr>
      <w:tr w:rsidR="00F663B4" w:rsidRPr="00F663B4" w:rsidTr="00105F5C">
        <w:trPr>
          <w:trHeight w:val="1684"/>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Especifico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Ejecución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 xml:space="preserve">El incumplimiento del contrato </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No satisfacción de la necesidad</w:t>
            </w:r>
          </w:p>
        </w:tc>
        <w:tc>
          <w:tcPr>
            <w:tcW w:w="350"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6</w:t>
            </w:r>
          </w:p>
        </w:tc>
        <w:tc>
          <w:tcPr>
            <w:tcW w:w="37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alto</w:t>
            </w:r>
          </w:p>
        </w:tc>
        <w:tc>
          <w:tcPr>
            <w:tcW w:w="535"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Contratista</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Transferencia del riesgo, a través de las aseguradoras.</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Medio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SI</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Supervisor del Contrato</w:t>
            </w:r>
          </w:p>
        </w:tc>
        <w:tc>
          <w:tcPr>
            <w:tcW w:w="90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Desde la firma de la carta de inicio y ejecución</w:t>
            </w:r>
          </w:p>
        </w:tc>
        <w:tc>
          <w:tcPr>
            <w:tcW w:w="941"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Termino de ejecución del Contrato.</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A través del seguimiento en la ejecución del contrato, y los informes de supervisión.</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Mensual</w:t>
            </w:r>
          </w:p>
        </w:tc>
      </w:tr>
      <w:tr w:rsidR="00F663B4" w:rsidRPr="00F663B4" w:rsidTr="00105F5C">
        <w:trPr>
          <w:trHeight w:val="2127"/>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Especifico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Ejecución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 xml:space="preserve">Mala calidad del servicio de mantenimiento </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Que se reduzca la disponibilidad del número de equipos de tecnología o estén fuera de servicio.</w:t>
            </w:r>
          </w:p>
        </w:tc>
        <w:tc>
          <w:tcPr>
            <w:tcW w:w="350"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6</w:t>
            </w:r>
          </w:p>
        </w:tc>
        <w:tc>
          <w:tcPr>
            <w:tcW w:w="37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alto</w:t>
            </w:r>
          </w:p>
        </w:tc>
        <w:tc>
          <w:tcPr>
            <w:tcW w:w="535"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Contratista</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 xml:space="preserve">Transferencia del riesgo, a través de las aseguradoras </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Medio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SI</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Supervisor del Contrato</w:t>
            </w:r>
          </w:p>
        </w:tc>
        <w:tc>
          <w:tcPr>
            <w:tcW w:w="90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Desde la firma de la carta de inicio y ejecución</w:t>
            </w:r>
          </w:p>
        </w:tc>
        <w:tc>
          <w:tcPr>
            <w:tcW w:w="941"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Termino de la garantía de los mantenimientos.</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A través del seguimiento en la ejecución del contrato, y los informes de supervisión.</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Mensual</w:t>
            </w:r>
          </w:p>
        </w:tc>
      </w:tr>
      <w:tr w:rsidR="00F663B4" w:rsidRPr="00F663B4" w:rsidTr="00105F5C">
        <w:trPr>
          <w:trHeight w:val="1046"/>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lastRenderedPageBreak/>
              <w:t>4</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Especifico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Ejecución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La no ejecución de los mantenimientos por falta de disponibilidad de los repuestos en el mercado nacional debiéndose  realizar la importación o que en muchos casos no se consiga los repuestos adecuados.</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Que se reduzca la disponibilidad del número de equipos de tecnología o estén fuera de servicio</w:t>
            </w:r>
          </w:p>
        </w:tc>
        <w:tc>
          <w:tcPr>
            <w:tcW w:w="35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Medio</w:t>
            </w:r>
          </w:p>
        </w:tc>
        <w:tc>
          <w:tcPr>
            <w:tcW w:w="535"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Contratista</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rPr>
            </w:pPr>
            <w:r w:rsidRPr="00F663B4">
              <w:rPr>
                <w:rFonts w:ascii="Arial" w:hAnsi="Arial" w:cs="Arial"/>
                <w:sz w:val="12"/>
                <w:szCs w:val="12"/>
              </w:rPr>
              <w:t>Evitar el riesgo o reducir la probabilidad de la ocurrencia del riesgo, a través de establecer requisitos habilitantes una certificación suscita por el oferente donde certifique que cuenta con los medios logísticos necesarios para el mantenimiento</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1</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4</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Bajo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SI</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 xml:space="preserve">Estructurador estudios previos </w:t>
            </w:r>
          </w:p>
        </w:tc>
        <w:tc>
          <w:tcPr>
            <w:tcW w:w="906" w:type="dxa"/>
            <w:textDirection w:val="btLr"/>
            <w:vAlign w:val="center"/>
          </w:tcPr>
          <w:p w:rsidR="00F663B4" w:rsidRPr="00F663B4" w:rsidRDefault="00F663B4" w:rsidP="00105F5C">
            <w:pPr>
              <w:pStyle w:val="Prrafodelista"/>
              <w:tabs>
                <w:tab w:val="left" w:pos="240"/>
              </w:tabs>
              <w:ind w:left="113" w:right="113"/>
              <w:jc w:val="center"/>
              <w:rPr>
                <w:rFonts w:ascii="Arial" w:hAnsi="Arial" w:cs="Arial"/>
                <w:sz w:val="12"/>
                <w:szCs w:val="12"/>
                <w:lang w:val="es-CO"/>
              </w:rPr>
            </w:pPr>
            <w:r w:rsidRPr="00F663B4">
              <w:rPr>
                <w:rFonts w:ascii="Arial" w:hAnsi="Arial" w:cs="Arial"/>
                <w:sz w:val="12"/>
                <w:szCs w:val="12"/>
                <w:lang w:val="es-CO"/>
              </w:rPr>
              <w:t xml:space="preserve">Solicitud  de realización de estudios  previos </w:t>
            </w:r>
          </w:p>
        </w:tc>
        <w:tc>
          <w:tcPr>
            <w:tcW w:w="941" w:type="dxa"/>
            <w:textDirection w:val="btLr"/>
            <w:vAlign w:val="center"/>
          </w:tcPr>
          <w:p w:rsidR="00F663B4" w:rsidRPr="00F663B4" w:rsidRDefault="00F663B4" w:rsidP="00105F5C">
            <w:pPr>
              <w:pStyle w:val="Prrafodelista"/>
              <w:tabs>
                <w:tab w:val="left" w:pos="240"/>
              </w:tabs>
              <w:ind w:left="113" w:right="113"/>
              <w:jc w:val="center"/>
              <w:rPr>
                <w:rFonts w:ascii="Arial" w:hAnsi="Arial" w:cs="Arial"/>
                <w:sz w:val="12"/>
                <w:szCs w:val="12"/>
              </w:rPr>
            </w:pPr>
            <w:r w:rsidRPr="00F663B4">
              <w:rPr>
                <w:rFonts w:ascii="Arial" w:hAnsi="Arial" w:cs="Arial"/>
                <w:sz w:val="12"/>
                <w:szCs w:val="12"/>
              </w:rPr>
              <w:t xml:space="preserve">Entrega al Grupo de Contratos de los  Estudios  Previos </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rPr>
              <w:t>Revisión de estudios previos</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 xml:space="preserve">Una vez </w:t>
            </w:r>
          </w:p>
        </w:tc>
      </w:tr>
      <w:tr w:rsidR="00F663B4" w:rsidRPr="00F663B4" w:rsidTr="00105F5C">
        <w:trPr>
          <w:trHeight w:val="2127"/>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General</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Ejecución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El no pago de salarios y prestaciones sociales de los trabajadores que contrate el oferente</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Incumplimiento de la normatividad aplicable del Código Sustantivo del Trabajo y del sistema de seguridad social integral</w:t>
            </w:r>
          </w:p>
        </w:tc>
        <w:tc>
          <w:tcPr>
            <w:tcW w:w="35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Medio</w:t>
            </w:r>
          </w:p>
        </w:tc>
        <w:tc>
          <w:tcPr>
            <w:tcW w:w="535"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Contratista</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Transferencia del riesgo, a través de las aseguradoras</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1</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4</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Bajo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NO</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Supervisor del Contrato</w:t>
            </w:r>
          </w:p>
        </w:tc>
        <w:tc>
          <w:tcPr>
            <w:tcW w:w="90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Desde la firma de la carta de inicio y ejecución</w:t>
            </w:r>
          </w:p>
        </w:tc>
        <w:tc>
          <w:tcPr>
            <w:tcW w:w="941"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Termino de ejecución del Contrato</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Revisión mensual por parte del supervisor del pago de salarios y de la seguridad social</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Mensual</w:t>
            </w:r>
          </w:p>
        </w:tc>
      </w:tr>
      <w:tr w:rsidR="00F663B4" w:rsidRPr="00F663B4" w:rsidTr="00105F5C">
        <w:trPr>
          <w:trHeight w:val="2127"/>
          <w:jc w:val="center"/>
        </w:trPr>
        <w:tc>
          <w:tcPr>
            <w:tcW w:w="39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6</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General</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externo</w:t>
            </w:r>
          </w:p>
        </w:tc>
        <w:tc>
          <w:tcPr>
            <w:tcW w:w="37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Ejecución</w:t>
            </w:r>
          </w:p>
        </w:tc>
        <w:tc>
          <w:tcPr>
            <w:tcW w:w="379"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operacional</w:t>
            </w:r>
          </w:p>
        </w:tc>
        <w:tc>
          <w:tcPr>
            <w:tcW w:w="1519"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Incumplimiento a la normatividad ambiental</w:t>
            </w:r>
          </w:p>
        </w:tc>
        <w:tc>
          <w:tcPr>
            <w:tcW w:w="1377" w:type="dxa"/>
            <w:vAlign w:val="center"/>
          </w:tcPr>
          <w:p w:rsidR="00F663B4" w:rsidRPr="00F663B4" w:rsidRDefault="00F663B4" w:rsidP="00105F5C">
            <w:pPr>
              <w:pStyle w:val="Prrafodelista"/>
              <w:tabs>
                <w:tab w:val="left" w:pos="240"/>
                <w:tab w:val="center" w:pos="4419"/>
                <w:tab w:val="right" w:pos="8838"/>
              </w:tabs>
              <w:ind w:left="0"/>
              <w:jc w:val="both"/>
              <w:rPr>
                <w:rFonts w:ascii="Arial" w:hAnsi="Arial" w:cs="Arial"/>
                <w:sz w:val="12"/>
                <w:szCs w:val="12"/>
                <w:lang w:val="es-CO"/>
              </w:rPr>
            </w:pPr>
            <w:r w:rsidRPr="00F663B4">
              <w:rPr>
                <w:rFonts w:ascii="Arial" w:hAnsi="Arial" w:cs="Arial"/>
                <w:sz w:val="12"/>
                <w:szCs w:val="12"/>
                <w:lang w:val="es-CO"/>
              </w:rPr>
              <w:t xml:space="preserve">Imposición de sanciones a la Policía Nacional por incumplimiento a la normatividad ambiental </w:t>
            </w:r>
          </w:p>
        </w:tc>
        <w:tc>
          <w:tcPr>
            <w:tcW w:w="350"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198"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2</w:t>
            </w:r>
          </w:p>
        </w:tc>
        <w:tc>
          <w:tcPr>
            <w:tcW w:w="306"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5</w:t>
            </w:r>
          </w:p>
        </w:tc>
        <w:tc>
          <w:tcPr>
            <w:tcW w:w="378"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Medio</w:t>
            </w:r>
          </w:p>
        </w:tc>
        <w:tc>
          <w:tcPr>
            <w:tcW w:w="535"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Contratista</w:t>
            </w:r>
          </w:p>
        </w:tc>
        <w:tc>
          <w:tcPr>
            <w:tcW w:w="1842"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rPr>
            </w:pPr>
            <w:r w:rsidRPr="00F663B4">
              <w:rPr>
                <w:rFonts w:ascii="Arial" w:hAnsi="Arial" w:cs="Arial"/>
                <w:sz w:val="12"/>
                <w:szCs w:val="12"/>
              </w:rPr>
              <w:t xml:space="preserve">Evitar el riesgo o reducir la probabilidad de la ocurrencia del riesgo, a través de establecer requisitos la obligación por parte del contratista del cumplimiento de la normatividad ambiental y la disposición final de los residuos a la cual deberá realizar seguimiento el supervisor del contrato  </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3</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1</w:t>
            </w:r>
          </w:p>
        </w:tc>
        <w:tc>
          <w:tcPr>
            <w:tcW w:w="37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4</w:t>
            </w:r>
          </w:p>
        </w:tc>
        <w:tc>
          <w:tcPr>
            <w:tcW w:w="378" w:type="dxa"/>
            <w:shd w:val="clear" w:color="000000" w:fill="F2F2F2"/>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Bajo</w:t>
            </w:r>
          </w:p>
        </w:tc>
        <w:tc>
          <w:tcPr>
            <w:tcW w:w="447" w:type="dxa"/>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SI</w:t>
            </w:r>
          </w:p>
        </w:tc>
        <w:tc>
          <w:tcPr>
            <w:tcW w:w="793"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Supervisor del Contrato</w:t>
            </w:r>
          </w:p>
        </w:tc>
        <w:tc>
          <w:tcPr>
            <w:tcW w:w="906"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Desde la firma de la carta de inicio y ejecución</w:t>
            </w:r>
          </w:p>
        </w:tc>
        <w:tc>
          <w:tcPr>
            <w:tcW w:w="941" w:type="dxa"/>
            <w:textDirection w:val="btLr"/>
            <w:vAlign w:val="center"/>
          </w:tcPr>
          <w:p w:rsidR="00F663B4" w:rsidRPr="00F663B4" w:rsidRDefault="00F663B4" w:rsidP="00105F5C">
            <w:pPr>
              <w:pStyle w:val="Prrafodelista"/>
              <w:tabs>
                <w:tab w:val="left" w:pos="240"/>
                <w:tab w:val="center" w:pos="4419"/>
                <w:tab w:val="right" w:pos="8838"/>
              </w:tabs>
              <w:ind w:left="113" w:right="113"/>
              <w:jc w:val="center"/>
              <w:rPr>
                <w:rFonts w:ascii="Arial" w:hAnsi="Arial" w:cs="Arial"/>
                <w:sz w:val="12"/>
                <w:szCs w:val="12"/>
                <w:lang w:val="es-CO"/>
              </w:rPr>
            </w:pPr>
            <w:r w:rsidRPr="00F663B4">
              <w:rPr>
                <w:rFonts w:ascii="Arial" w:hAnsi="Arial" w:cs="Arial"/>
                <w:sz w:val="12"/>
                <w:szCs w:val="12"/>
                <w:lang w:val="es-CO"/>
              </w:rPr>
              <w:t>Termino de la garantía de los mantenimientos.</w:t>
            </w:r>
          </w:p>
        </w:tc>
        <w:tc>
          <w:tcPr>
            <w:tcW w:w="494"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A través del seguimiento en la ejecución del contrato, y los informes de supervisión.</w:t>
            </w:r>
          </w:p>
        </w:tc>
        <w:tc>
          <w:tcPr>
            <w:tcW w:w="686" w:type="dxa"/>
            <w:shd w:val="clear" w:color="000000" w:fill="F2F2F2"/>
            <w:vAlign w:val="center"/>
          </w:tcPr>
          <w:p w:rsidR="00F663B4" w:rsidRPr="00F663B4" w:rsidRDefault="00F663B4" w:rsidP="00105F5C">
            <w:pPr>
              <w:pStyle w:val="Prrafodelista"/>
              <w:tabs>
                <w:tab w:val="left" w:pos="240"/>
                <w:tab w:val="center" w:pos="4419"/>
                <w:tab w:val="right" w:pos="8838"/>
              </w:tabs>
              <w:ind w:left="0"/>
              <w:jc w:val="center"/>
              <w:rPr>
                <w:rFonts w:ascii="Arial" w:hAnsi="Arial" w:cs="Arial"/>
                <w:sz w:val="12"/>
                <w:szCs w:val="12"/>
                <w:lang w:val="es-CO"/>
              </w:rPr>
            </w:pPr>
            <w:r w:rsidRPr="00F663B4">
              <w:rPr>
                <w:rFonts w:ascii="Arial" w:hAnsi="Arial" w:cs="Arial"/>
                <w:sz w:val="12"/>
                <w:szCs w:val="12"/>
                <w:lang w:val="es-CO"/>
              </w:rPr>
              <w:t>Mensual</w:t>
            </w:r>
          </w:p>
        </w:tc>
      </w:tr>
    </w:tbl>
    <w:p w:rsidR="00F663B4" w:rsidRDefault="00F663B4" w:rsidP="00F663B4">
      <w:pPr>
        <w:pStyle w:val="Prrafodelista"/>
        <w:tabs>
          <w:tab w:val="left" w:pos="240"/>
        </w:tabs>
        <w:ind w:left="0"/>
        <w:jc w:val="center"/>
        <w:rPr>
          <w:b/>
          <w:sz w:val="22"/>
          <w:szCs w:val="22"/>
        </w:rPr>
      </w:pPr>
    </w:p>
    <w:p w:rsidR="00F663B4" w:rsidRPr="00615739" w:rsidRDefault="00F663B4" w:rsidP="00F663B4"/>
    <w:p w:rsidR="00F663B4" w:rsidRPr="00AD5699" w:rsidRDefault="00F663B4" w:rsidP="00F663B4">
      <w:pPr>
        <w:pStyle w:val="Prrafodelista"/>
        <w:tabs>
          <w:tab w:val="left" w:pos="240"/>
        </w:tabs>
        <w:ind w:left="0"/>
        <w:rPr>
          <w:b/>
          <w:sz w:val="22"/>
          <w:szCs w:val="22"/>
        </w:rPr>
        <w:sectPr w:rsidR="00F663B4" w:rsidRPr="00AD5699" w:rsidSect="007B762C">
          <w:pgSz w:w="15840" w:h="12240" w:orient="landscape"/>
          <w:pgMar w:top="1701" w:right="1418" w:bottom="1701"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663B4" w:rsidRPr="00F663B4" w:rsidRDefault="00F663B4" w:rsidP="00F663B4">
      <w:pPr>
        <w:tabs>
          <w:tab w:val="left" w:pos="-1080"/>
          <w:tab w:val="left" w:pos="0"/>
        </w:tabs>
        <w:autoSpaceDE w:val="0"/>
        <w:autoSpaceDN w:val="0"/>
        <w:rPr>
          <w:rFonts w:ascii="Arial" w:hAnsi="Arial" w:cs="Arial"/>
          <w:b/>
          <w:sz w:val="20"/>
          <w:szCs w:val="20"/>
          <w:lang w:val="es-ES_tradnl"/>
        </w:rPr>
      </w:pPr>
      <w:r w:rsidRPr="00F663B4">
        <w:rPr>
          <w:rFonts w:ascii="Arial" w:hAnsi="Arial" w:cs="Arial"/>
          <w:b/>
          <w:sz w:val="20"/>
          <w:szCs w:val="20"/>
          <w:lang w:val="es-ES_tradnl"/>
        </w:rPr>
        <w:lastRenderedPageBreak/>
        <w:t>GARANTÍAS DEL PROCESO</w:t>
      </w:r>
    </w:p>
    <w:p w:rsidR="00F663B4" w:rsidRPr="00F663B4" w:rsidRDefault="00F663B4" w:rsidP="00F663B4">
      <w:pPr>
        <w:tabs>
          <w:tab w:val="left" w:pos="-1080"/>
          <w:tab w:val="left" w:pos="0"/>
        </w:tabs>
        <w:autoSpaceDE w:val="0"/>
        <w:autoSpaceDN w:val="0"/>
        <w:rPr>
          <w:rFonts w:ascii="Arial" w:hAnsi="Arial" w:cs="Arial"/>
          <w:b/>
          <w:sz w:val="20"/>
          <w:szCs w:val="20"/>
          <w:lang w:val="es-ES_tradnl"/>
        </w:rPr>
      </w:pPr>
    </w:p>
    <w:p w:rsidR="00F663B4" w:rsidRPr="00F663B4" w:rsidRDefault="00F663B4" w:rsidP="00F663B4">
      <w:pPr>
        <w:autoSpaceDE w:val="0"/>
        <w:autoSpaceDN w:val="0"/>
        <w:jc w:val="both"/>
        <w:rPr>
          <w:rFonts w:ascii="Arial" w:hAnsi="Arial" w:cs="Arial"/>
          <w:sz w:val="20"/>
          <w:szCs w:val="20"/>
          <w:lang w:val="es-ES_tradnl"/>
        </w:rPr>
      </w:pPr>
      <w:r w:rsidRPr="00F663B4">
        <w:rPr>
          <w:rFonts w:ascii="Arial" w:hAnsi="Arial" w:cs="Arial"/>
          <w:sz w:val="20"/>
          <w:szCs w:val="20"/>
          <w:lang w:val="es-ES_tradnl"/>
        </w:rPr>
        <w:t>ETAPA PRECONTRACTUAL</w:t>
      </w:r>
    </w:p>
    <w:tbl>
      <w:tblPr>
        <w:tblW w:w="10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89"/>
        <w:gridCol w:w="3258"/>
        <w:gridCol w:w="851"/>
        <w:gridCol w:w="1415"/>
        <w:gridCol w:w="1133"/>
        <w:gridCol w:w="1841"/>
      </w:tblGrid>
      <w:tr w:rsidR="00F663B4" w:rsidRPr="00F663B4" w:rsidTr="00A376FF">
        <w:trPr>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CO"/>
              </w:rPr>
            </w:pPr>
            <w:r w:rsidRPr="00F663B4">
              <w:rPr>
                <w:rFonts w:ascii="Arial" w:hAnsi="Arial" w:cs="Arial"/>
                <w:sz w:val="14"/>
                <w:szCs w:val="14"/>
                <w:lang w:val="es-ES_tradnl"/>
              </w:rPr>
              <w:t>MECANISMO DE COBERTURA</w:t>
            </w:r>
          </w:p>
        </w:tc>
        <w:tc>
          <w:tcPr>
            <w:tcW w:w="98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CLASE DE RIESGO</w:t>
            </w:r>
          </w:p>
        </w:tc>
        <w:tc>
          <w:tcPr>
            <w:tcW w:w="325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TIPIFICACIÓN</w:t>
            </w:r>
            <w:r w:rsidR="00F663B4" w:rsidRPr="00F663B4">
              <w:rPr>
                <w:rFonts w:ascii="Arial" w:hAnsi="Arial" w:cs="Arial"/>
                <w:sz w:val="14"/>
                <w:szCs w:val="14"/>
                <w:lang w:val="es-ES_tradnl"/>
              </w:rPr>
              <w:t xml:space="preserve"> DE LOS RIESGOS</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ESTIMACIÓN</w:t>
            </w:r>
            <w:r w:rsidR="00F663B4" w:rsidRPr="00F663B4">
              <w:rPr>
                <w:rFonts w:ascii="Arial" w:hAnsi="Arial" w:cs="Arial"/>
                <w:sz w:val="14"/>
                <w:szCs w:val="14"/>
                <w:lang w:val="es-ES_tradnl"/>
              </w:rPr>
              <w:t xml:space="preserve"> DEL RIESGO</w:t>
            </w:r>
          </w:p>
        </w:tc>
        <w:tc>
          <w:tcPr>
            <w:tcW w:w="141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ASIGNACIÓN</w:t>
            </w:r>
            <w:r w:rsidR="00F663B4" w:rsidRPr="00F663B4">
              <w:rPr>
                <w:rFonts w:ascii="Arial" w:hAnsi="Arial" w:cs="Arial"/>
                <w:sz w:val="14"/>
                <w:szCs w:val="14"/>
                <w:lang w:val="es-ES_tradnl"/>
              </w:rPr>
              <w:t xml:space="preserve"> DEL RIESGO</w:t>
            </w:r>
          </w:p>
        </w:tc>
        <w:tc>
          <w:tcPr>
            <w:tcW w:w="113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VIGENCIA</w:t>
            </w:r>
          </w:p>
        </w:tc>
        <w:tc>
          <w:tcPr>
            <w:tcW w:w="184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JUSTIFICACIÓN</w:t>
            </w:r>
            <w:r w:rsidR="00F663B4" w:rsidRPr="00F663B4">
              <w:rPr>
                <w:rFonts w:ascii="Arial" w:hAnsi="Arial" w:cs="Arial"/>
                <w:sz w:val="14"/>
                <w:szCs w:val="14"/>
                <w:lang w:val="es-ES_tradnl"/>
              </w:rPr>
              <w:t xml:space="preserve"> COBERTURA / VIGENCIA</w:t>
            </w:r>
          </w:p>
        </w:tc>
      </w:tr>
      <w:tr w:rsidR="00F663B4" w:rsidRPr="00F663B4" w:rsidTr="00A376FF">
        <w:trPr>
          <w:jc w:val="center"/>
        </w:trPr>
        <w:tc>
          <w:tcPr>
            <w:tcW w:w="1271" w:type="dxa"/>
            <w:vMerge w:val="restart"/>
            <w:tcBorders>
              <w:top w:val="single" w:sz="4" w:space="0" w:color="000000"/>
              <w:left w:val="single" w:sz="4" w:space="0" w:color="000000"/>
              <w:bottom w:val="single" w:sz="4" w:space="0" w:color="000000"/>
              <w:right w:val="single" w:sz="4" w:space="0" w:color="000000"/>
            </w:tcBorders>
            <w:vAlign w:val="center"/>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GARANTÍA</w:t>
            </w:r>
            <w:r w:rsidR="00F663B4" w:rsidRPr="00F663B4">
              <w:rPr>
                <w:rFonts w:ascii="Arial" w:hAnsi="Arial" w:cs="Arial"/>
                <w:sz w:val="14"/>
                <w:szCs w:val="14"/>
                <w:lang w:val="es-ES_tradnl"/>
              </w:rPr>
              <w:t xml:space="preserve"> DE SERIEDAD</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325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NO </w:t>
            </w:r>
            <w:r w:rsidR="007B762C" w:rsidRPr="00F663B4">
              <w:rPr>
                <w:rFonts w:ascii="Arial" w:hAnsi="Arial" w:cs="Arial"/>
                <w:sz w:val="14"/>
                <w:szCs w:val="14"/>
                <w:lang w:val="es-ES_tradnl"/>
              </w:rPr>
              <w:t>SUSCRIPCIÓN</w:t>
            </w:r>
            <w:r w:rsidRPr="00F663B4">
              <w:rPr>
                <w:rFonts w:ascii="Arial" w:hAnsi="Arial" w:cs="Arial"/>
                <w:sz w:val="14"/>
                <w:szCs w:val="14"/>
                <w:lang w:val="es-ES_tradnl"/>
              </w:rPr>
              <w:t xml:space="preserve"> DEL CONTRATO SIN JUSTA CAUSA</w:t>
            </w:r>
          </w:p>
        </w:tc>
        <w:tc>
          <w:tcPr>
            <w:tcW w:w="851" w:type="dxa"/>
            <w:vMerge w:val="restart"/>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Diez por ciento (10%) DEL MONTO DEL PRESUPUESTO OFICIAL.</w:t>
            </w:r>
          </w:p>
        </w:tc>
        <w:tc>
          <w:tcPr>
            <w:tcW w:w="1415" w:type="dxa"/>
            <w:vMerge w:val="restart"/>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ind w:left="-108"/>
              <w:jc w:val="center"/>
              <w:rPr>
                <w:rFonts w:ascii="Arial" w:hAnsi="Arial" w:cs="Arial"/>
                <w:sz w:val="14"/>
                <w:szCs w:val="14"/>
                <w:lang w:val="es-ES_tradnl"/>
              </w:rPr>
            </w:pPr>
            <w:r w:rsidRPr="00F663B4">
              <w:rPr>
                <w:rFonts w:ascii="Arial" w:hAnsi="Arial" w:cs="Arial"/>
                <w:sz w:val="14"/>
                <w:szCs w:val="14"/>
                <w:lang w:val="es-ES_tradnl"/>
              </w:rPr>
              <w:t>PROPONENTE SELECCIONADO.</w:t>
            </w:r>
          </w:p>
        </w:tc>
        <w:tc>
          <w:tcPr>
            <w:tcW w:w="1133" w:type="dxa"/>
            <w:vMerge w:val="restart"/>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DESDE LA </w:t>
            </w:r>
            <w:r w:rsidR="007B762C" w:rsidRPr="00F663B4">
              <w:rPr>
                <w:rFonts w:ascii="Arial" w:hAnsi="Arial" w:cs="Arial"/>
                <w:sz w:val="14"/>
                <w:szCs w:val="14"/>
                <w:lang w:val="es-ES_tradnl"/>
              </w:rPr>
              <w:t>PRESENTACIÓN</w:t>
            </w:r>
            <w:r w:rsidRPr="00F663B4">
              <w:rPr>
                <w:rFonts w:ascii="Arial" w:hAnsi="Arial" w:cs="Arial"/>
                <w:sz w:val="14"/>
                <w:szCs w:val="14"/>
                <w:lang w:val="es-ES_tradnl"/>
              </w:rPr>
              <w:t xml:space="preserve"> DE LA OFERTA Y POR CUATRO (4) MESES MAS.</w:t>
            </w:r>
          </w:p>
        </w:tc>
        <w:tc>
          <w:tcPr>
            <w:tcW w:w="1841" w:type="dxa"/>
            <w:vMerge w:val="restart"/>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AMPARA LA NO SUSCRIPCIÓN DEL CONTRATO SIN JUSTA CAUSA POR EL DIEZ POR CIENTO (10%) DEL PRESUPUESTO OFICIAL DESDE LA PRESENTACIÓN DE LA OFERTA Y POR CUATRO               (4) MESES MÁS.</w:t>
            </w:r>
          </w:p>
        </w:tc>
      </w:tr>
      <w:tr w:rsidR="00F663B4" w:rsidRPr="00F663B4" w:rsidTr="00A376FF">
        <w:trPr>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325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NO </w:t>
            </w:r>
            <w:r w:rsidR="007B762C" w:rsidRPr="00F663B4">
              <w:rPr>
                <w:rFonts w:ascii="Arial" w:hAnsi="Arial" w:cs="Arial"/>
                <w:sz w:val="14"/>
                <w:szCs w:val="14"/>
                <w:lang w:val="es-ES_tradnl"/>
              </w:rPr>
              <w:t>AMPLIACIÓN</w:t>
            </w:r>
            <w:r w:rsidRPr="00F663B4">
              <w:rPr>
                <w:rFonts w:ascii="Arial" w:hAnsi="Arial" w:cs="Arial"/>
                <w:sz w:val="14"/>
                <w:szCs w:val="14"/>
                <w:lang w:val="es-ES_tradnl"/>
              </w:rPr>
              <w:t xml:space="preserve"> DE LA VIGENCIA DE LA </w:t>
            </w:r>
            <w:r w:rsidR="007B762C" w:rsidRPr="00F663B4">
              <w:rPr>
                <w:rFonts w:ascii="Arial" w:hAnsi="Arial" w:cs="Arial"/>
                <w:sz w:val="14"/>
                <w:szCs w:val="14"/>
                <w:lang w:val="es-ES_tradnl"/>
              </w:rPr>
              <w:t>GARANTÍA</w:t>
            </w:r>
            <w:r w:rsidRPr="00F663B4">
              <w:rPr>
                <w:rFonts w:ascii="Arial" w:hAnsi="Arial" w:cs="Arial"/>
                <w:sz w:val="14"/>
                <w:szCs w:val="14"/>
                <w:lang w:val="es-ES_tradnl"/>
              </w:rPr>
              <w:t xml:space="preserve"> DE SERIEDAD DE OFERTA CUANDO EL TERMINO PREVISTO EN LA </w:t>
            </w:r>
            <w:r w:rsidR="007B762C" w:rsidRPr="00F663B4">
              <w:rPr>
                <w:rFonts w:ascii="Arial" w:hAnsi="Arial" w:cs="Arial"/>
                <w:sz w:val="14"/>
                <w:szCs w:val="14"/>
                <w:lang w:val="es-ES_tradnl"/>
              </w:rPr>
              <w:t>INVITACIÓN</w:t>
            </w:r>
            <w:r w:rsidRPr="00F663B4">
              <w:rPr>
                <w:rFonts w:ascii="Arial" w:hAnsi="Arial" w:cs="Arial"/>
                <w:sz w:val="14"/>
                <w:szCs w:val="14"/>
                <w:lang w:val="es-ES_tradnl"/>
              </w:rPr>
              <w:t xml:space="preserve"> PARA LA </w:t>
            </w:r>
            <w:r w:rsidR="007B762C" w:rsidRPr="00F663B4">
              <w:rPr>
                <w:rFonts w:ascii="Arial" w:hAnsi="Arial" w:cs="Arial"/>
                <w:sz w:val="14"/>
                <w:szCs w:val="14"/>
                <w:lang w:val="es-ES_tradnl"/>
              </w:rPr>
              <w:t>ADJUDICACIÓN</w:t>
            </w:r>
            <w:r w:rsidRPr="00F663B4">
              <w:rPr>
                <w:rFonts w:ascii="Arial" w:hAnsi="Arial" w:cs="Arial"/>
                <w:sz w:val="14"/>
                <w:szCs w:val="14"/>
                <w:lang w:val="es-ES_tradnl"/>
              </w:rPr>
              <w:t xml:space="preserve"> DEL CONTRATO SE PRORROGUE O CUANDO EL TERMINO PREVISTO PARA LA </w:t>
            </w:r>
            <w:r w:rsidR="007B762C" w:rsidRPr="00F663B4">
              <w:rPr>
                <w:rFonts w:ascii="Arial" w:hAnsi="Arial" w:cs="Arial"/>
                <w:sz w:val="14"/>
                <w:szCs w:val="14"/>
                <w:lang w:val="es-ES_tradnl"/>
              </w:rPr>
              <w:t>SUSCRIPCIÓN</w:t>
            </w:r>
            <w:r w:rsidRPr="00F663B4">
              <w:rPr>
                <w:rFonts w:ascii="Arial" w:hAnsi="Arial" w:cs="Arial"/>
                <w:sz w:val="14"/>
                <w:szCs w:val="14"/>
                <w:lang w:val="es-ES_tradnl"/>
              </w:rPr>
              <w:t xml:space="preserve"> DEL CONTRATO SE PRORROGUE SIEMPRE Y CUANDO ESAS PRORROGAS NO EXCEDAN UN TERMINO DE TRES MESES. </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133"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r>
      <w:tr w:rsidR="00F663B4" w:rsidRPr="00F663B4" w:rsidTr="00A376FF">
        <w:trPr>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325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FALTA DE OTORGAMIENTO POR PARTE DEL PROPONENTE SELECCIONADO DE </w:t>
            </w:r>
            <w:r w:rsidR="007B762C" w:rsidRPr="00F663B4">
              <w:rPr>
                <w:rFonts w:ascii="Arial" w:hAnsi="Arial" w:cs="Arial"/>
                <w:sz w:val="14"/>
                <w:szCs w:val="14"/>
                <w:lang w:val="es-ES_tradnl"/>
              </w:rPr>
              <w:t>GARANTÍA</w:t>
            </w:r>
            <w:r w:rsidRPr="00F663B4">
              <w:rPr>
                <w:rFonts w:ascii="Arial" w:hAnsi="Arial" w:cs="Arial"/>
                <w:sz w:val="14"/>
                <w:szCs w:val="14"/>
                <w:lang w:val="es-ES_tradnl"/>
              </w:rPr>
              <w:t xml:space="preserve"> DE CUMPLIMIENTO EXIGIDA POR LA ENTIDAD PARA AMPARAR EL INCUMPLIMIENTO DE LAS OBLIGACIONES DEL CONTRATO.</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133"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r>
      <w:tr w:rsidR="00F663B4" w:rsidRPr="00F663B4" w:rsidTr="00A376FF">
        <w:trPr>
          <w:jc w:val="center"/>
        </w:trPr>
        <w:tc>
          <w:tcPr>
            <w:tcW w:w="127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325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EL RETIRO DE LA OFERTA </w:t>
            </w:r>
            <w:r w:rsidR="007B762C" w:rsidRPr="00F663B4">
              <w:rPr>
                <w:rFonts w:ascii="Arial" w:hAnsi="Arial" w:cs="Arial"/>
                <w:sz w:val="14"/>
                <w:szCs w:val="14"/>
                <w:lang w:val="es-ES_tradnl"/>
              </w:rPr>
              <w:t>DESPUÉS</w:t>
            </w:r>
            <w:r w:rsidRPr="00F663B4">
              <w:rPr>
                <w:rFonts w:ascii="Arial" w:hAnsi="Arial" w:cs="Arial"/>
                <w:sz w:val="14"/>
                <w:szCs w:val="14"/>
                <w:lang w:val="es-ES_tradnl"/>
              </w:rPr>
              <w:t xml:space="preserve"> DE VENCIDO EL TERMINO FIJADO PARA LA </w:t>
            </w:r>
            <w:r w:rsidR="007B762C" w:rsidRPr="00F663B4">
              <w:rPr>
                <w:rFonts w:ascii="Arial" w:hAnsi="Arial" w:cs="Arial"/>
                <w:sz w:val="14"/>
                <w:szCs w:val="14"/>
                <w:lang w:val="es-ES_tradnl"/>
              </w:rPr>
              <w:t>PRESENTACIÓN</w:t>
            </w:r>
            <w:r w:rsidRPr="00F663B4">
              <w:rPr>
                <w:rFonts w:ascii="Arial" w:hAnsi="Arial" w:cs="Arial"/>
                <w:sz w:val="14"/>
                <w:szCs w:val="14"/>
                <w:lang w:val="es-ES_tradnl"/>
              </w:rPr>
              <w:t xml:space="preserve"> DE LAS OFERTAS.</w:t>
            </w: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415"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133"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c>
          <w:tcPr>
            <w:tcW w:w="1841" w:type="dxa"/>
            <w:vMerge/>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rPr>
                <w:rFonts w:ascii="Arial" w:hAnsi="Arial" w:cs="Arial"/>
                <w:sz w:val="14"/>
                <w:szCs w:val="14"/>
                <w:lang w:val="es-ES_tradnl"/>
              </w:rPr>
            </w:pPr>
          </w:p>
        </w:tc>
      </w:tr>
    </w:tbl>
    <w:p w:rsidR="00F663B4" w:rsidRPr="00F663B4" w:rsidRDefault="00F663B4" w:rsidP="00F663B4">
      <w:pPr>
        <w:autoSpaceDE w:val="0"/>
        <w:autoSpaceDN w:val="0"/>
        <w:jc w:val="both"/>
        <w:rPr>
          <w:rFonts w:ascii="Arial" w:hAnsi="Arial" w:cs="Arial"/>
          <w:sz w:val="20"/>
          <w:szCs w:val="22"/>
          <w:lang w:val="es-ES_tradnl"/>
        </w:rPr>
      </w:pPr>
    </w:p>
    <w:p w:rsidR="00F663B4" w:rsidRPr="00F663B4" w:rsidRDefault="00F663B4" w:rsidP="00F663B4">
      <w:pPr>
        <w:autoSpaceDE w:val="0"/>
        <w:autoSpaceDN w:val="0"/>
        <w:jc w:val="both"/>
        <w:rPr>
          <w:rFonts w:ascii="Arial" w:hAnsi="Arial" w:cs="Arial"/>
          <w:sz w:val="20"/>
          <w:szCs w:val="22"/>
          <w:lang w:val="es-ES_tradnl"/>
        </w:rPr>
      </w:pPr>
      <w:r w:rsidRPr="00F663B4">
        <w:rPr>
          <w:rFonts w:ascii="Arial" w:hAnsi="Arial" w:cs="Arial"/>
          <w:sz w:val="20"/>
          <w:szCs w:val="22"/>
          <w:lang w:val="es-ES_tradnl"/>
        </w:rPr>
        <w:t>ETAPA CONTRACTUAL</w:t>
      </w:r>
    </w:p>
    <w:p w:rsidR="00F663B4" w:rsidRPr="00F663B4" w:rsidRDefault="00F663B4" w:rsidP="00F663B4">
      <w:pPr>
        <w:autoSpaceDE w:val="0"/>
        <w:autoSpaceDN w:val="0"/>
        <w:ind w:left="360"/>
        <w:jc w:val="both"/>
        <w:rPr>
          <w:rFonts w:ascii="Arial" w:hAnsi="Arial" w:cs="Arial"/>
          <w:sz w:val="8"/>
          <w:szCs w:val="22"/>
          <w:lang w:val="es-ES_tradnl"/>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87"/>
        <w:gridCol w:w="1559"/>
        <w:gridCol w:w="1275"/>
        <w:gridCol w:w="1278"/>
        <w:gridCol w:w="1700"/>
        <w:gridCol w:w="3118"/>
      </w:tblGrid>
      <w:tr w:rsidR="00F663B4" w:rsidRPr="00F663B4" w:rsidTr="00A376FF">
        <w:trPr>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CO"/>
              </w:rPr>
            </w:pPr>
            <w:r w:rsidRPr="00F663B4">
              <w:rPr>
                <w:rFonts w:ascii="Arial" w:hAnsi="Arial" w:cs="Arial"/>
                <w:sz w:val="14"/>
                <w:szCs w:val="14"/>
                <w:lang w:val="es-ES_tradnl"/>
              </w:rPr>
              <w:t>MECANISMO DE COBERTURA</w:t>
            </w:r>
          </w:p>
        </w:tc>
        <w:tc>
          <w:tcPr>
            <w:tcW w:w="98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TIPIFICACIÓN</w:t>
            </w:r>
            <w:r w:rsidR="00F663B4" w:rsidRPr="00F663B4">
              <w:rPr>
                <w:rFonts w:ascii="Arial" w:hAnsi="Arial" w:cs="Arial"/>
                <w:sz w:val="14"/>
                <w:szCs w:val="14"/>
                <w:lang w:val="es-ES_tradnl"/>
              </w:rPr>
              <w:t xml:space="preserve">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ESTIMACIÓN</w:t>
            </w:r>
            <w:r w:rsidR="00F663B4" w:rsidRPr="00F663B4">
              <w:rPr>
                <w:rFonts w:ascii="Arial" w:hAnsi="Arial" w:cs="Arial"/>
                <w:sz w:val="14"/>
                <w:szCs w:val="14"/>
                <w:lang w:val="es-ES_tradnl"/>
              </w:rPr>
              <w:t xml:space="preserve"> DEL RIESGO</w:t>
            </w:r>
          </w:p>
        </w:tc>
        <w:tc>
          <w:tcPr>
            <w:tcW w:w="127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ASIGNACIÓN</w:t>
            </w:r>
            <w:r w:rsidR="00F663B4" w:rsidRPr="00F663B4">
              <w:rPr>
                <w:rFonts w:ascii="Arial" w:hAnsi="Arial" w:cs="Arial"/>
                <w:sz w:val="14"/>
                <w:szCs w:val="14"/>
                <w:lang w:val="es-ES_tradnl"/>
              </w:rPr>
              <w:t xml:space="preserve"> DEL RIESGO</w:t>
            </w:r>
          </w:p>
        </w:tc>
        <w:tc>
          <w:tcPr>
            <w:tcW w:w="170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VIGENCIA</w:t>
            </w:r>
          </w:p>
        </w:tc>
        <w:tc>
          <w:tcPr>
            <w:tcW w:w="311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JUSTIFICACIÓN</w:t>
            </w:r>
            <w:r w:rsidR="00F663B4" w:rsidRPr="00F663B4">
              <w:rPr>
                <w:rFonts w:ascii="Arial" w:hAnsi="Arial" w:cs="Arial"/>
                <w:sz w:val="14"/>
                <w:szCs w:val="14"/>
                <w:lang w:val="es-ES_tradnl"/>
              </w:rPr>
              <w:t xml:space="preserve"> COBERTURA / VIGENCIA</w:t>
            </w:r>
          </w:p>
        </w:tc>
      </w:tr>
      <w:tr w:rsidR="00F663B4" w:rsidRPr="00F663B4" w:rsidTr="00A376FF">
        <w:trPr>
          <w:trHeight w:val="1368"/>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GARANTÍA</w:t>
            </w:r>
            <w:r w:rsidR="00F663B4" w:rsidRPr="00F663B4">
              <w:rPr>
                <w:rFonts w:ascii="Arial" w:hAnsi="Arial" w:cs="Arial"/>
                <w:sz w:val="14"/>
                <w:szCs w:val="14"/>
                <w:lang w:val="es-ES_tradnl"/>
              </w:rPr>
              <w:t xml:space="preserve"> </w:t>
            </w:r>
            <w:r w:rsidRPr="00F663B4">
              <w:rPr>
                <w:rFonts w:ascii="Arial" w:hAnsi="Arial" w:cs="Arial"/>
                <w:sz w:val="14"/>
                <w:szCs w:val="14"/>
                <w:lang w:val="es-ES_tradnl"/>
              </w:rPr>
              <w:t>ÚNICA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INCUMPLIMIENTO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VEINTE POR CIENTO (20%) DEL VALOR DEL CONTRATO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700"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VIGENTE POR UN TERMINO IGUAL  A LA VIGENCIA DEL CONTRATO </w:t>
            </w:r>
          </w:p>
        </w:tc>
        <w:tc>
          <w:tcPr>
            <w:tcW w:w="311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AMPARA EL RIESGO DE INCUMPLIMIENTO DURANTE EL PLAZO DE EJECUCIÓN Y </w:t>
            </w:r>
            <w:r w:rsidR="007B762C" w:rsidRPr="00F663B4">
              <w:rPr>
                <w:rFonts w:ascii="Arial" w:hAnsi="Arial" w:cs="Arial"/>
                <w:sz w:val="14"/>
                <w:szCs w:val="14"/>
                <w:lang w:val="es-ES_tradnl"/>
              </w:rPr>
              <w:t>LIQUIDACIÓN</w:t>
            </w:r>
            <w:r w:rsidRPr="00F663B4">
              <w:rPr>
                <w:rFonts w:ascii="Arial" w:hAnsi="Arial" w:cs="Arial"/>
                <w:sz w:val="14"/>
                <w:szCs w:val="14"/>
                <w:lang w:val="es-ES_tradnl"/>
              </w:rPr>
              <w:t xml:space="preserve"> DEL CONTRATO LA </w:t>
            </w:r>
            <w:r w:rsidR="007B762C" w:rsidRPr="00F663B4">
              <w:rPr>
                <w:rFonts w:ascii="Arial" w:hAnsi="Arial" w:cs="Arial"/>
                <w:sz w:val="14"/>
                <w:szCs w:val="14"/>
                <w:lang w:val="es-ES_tradnl"/>
              </w:rPr>
              <w:t>ESTIMACIÓN</w:t>
            </w:r>
            <w:r w:rsidRPr="00F663B4">
              <w:rPr>
                <w:rFonts w:ascii="Arial" w:hAnsi="Arial" w:cs="Arial"/>
                <w:sz w:val="14"/>
                <w:szCs w:val="14"/>
                <w:lang w:val="es-ES_tradnl"/>
              </w:rPr>
              <w:t xml:space="preserve"> DEL RIESGO CUBRE EL 20% DEL VALOR DEL CONTRATO COMO QUIERA QUE SE PRETENDE EL PAGO PARCIAL O DEFINITIVO DE LOS PERJUICIOS QUE CAUSE A LA ENTIDAD EN LOS MISMOS </w:t>
            </w:r>
            <w:r w:rsidR="007B762C" w:rsidRPr="00F663B4">
              <w:rPr>
                <w:rFonts w:ascii="Arial" w:hAnsi="Arial" w:cs="Arial"/>
                <w:sz w:val="14"/>
                <w:szCs w:val="14"/>
                <w:lang w:val="es-ES_tradnl"/>
              </w:rPr>
              <w:t>TÉRMINOS</w:t>
            </w:r>
            <w:r w:rsidRPr="00F663B4">
              <w:rPr>
                <w:rFonts w:ascii="Arial" w:hAnsi="Arial" w:cs="Arial"/>
                <w:sz w:val="14"/>
                <w:szCs w:val="14"/>
                <w:lang w:val="es-ES_tradnl"/>
              </w:rPr>
              <w:t xml:space="preserve"> DE LA CLAUSULA PENAL PECUNIARIA.</w:t>
            </w:r>
          </w:p>
        </w:tc>
      </w:tr>
      <w:tr w:rsidR="00F663B4" w:rsidRPr="00F663B4" w:rsidTr="00A376FF">
        <w:trPr>
          <w:trHeight w:val="693"/>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GARANTÍA</w:t>
            </w:r>
            <w:r w:rsidR="00F663B4" w:rsidRPr="00F663B4">
              <w:rPr>
                <w:rFonts w:ascii="Arial" w:hAnsi="Arial" w:cs="Arial"/>
                <w:sz w:val="14"/>
                <w:szCs w:val="14"/>
                <w:lang w:val="es-ES_tradnl"/>
              </w:rPr>
              <w:t xml:space="preserve"> </w:t>
            </w:r>
            <w:r w:rsidRPr="00F663B4">
              <w:rPr>
                <w:rFonts w:ascii="Arial" w:hAnsi="Arial" w:cs="Arial"/>
                <w:sz w:val="14"/>
                <w:szCs w:val="14"/>
                <w:lang w:val="es-ES_tradnl"/>
              </w:rPr>
              <w:t>ÚNICA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CALIDAD DEL SERVICIO</w:t>
            </w:r>
          </w:p>
          <w:p w:rsidR="00F663B4" w:rsidRPr="00F663B4" w:rsidRDefault="00F663B4" w:rsidP="00F663B4">
            <w:pPr>
              <w:autoSpaceDE w:val="0"/>
              <w:autoSpaceDN w:val="0"/>
              <w:jc w:val="both"/>
              <w:rPr>
                <w:rFonts w:ascii="Arial" w:hAnsi="Arial" w:cs="Arial"/>
                <w:sz w:val="14"/>
                <w:szCs w:val="14"/>
                <w:lang w:val="es-ES_tradnl"/>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CINCUENTA POR CIENTO (50%) DEL VALOR DEL CONTRATO.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700"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ind w:firstLine="4"/>
              <w:jc w:val="both"/>
              <w:rPr>
                <w:rFonts w:ascii="Arial" w:hAnsi="Arial" w:cs="Arial"/>
                <w:sz w:val="14"/>
                <w:szCs w:val="14"/>
                <w:lang w:val="es-ES_tradnl"/>
              </w:rPr>
            </w:pPr>
            <w:r w:rsidRPr="00F663B4">
              <w:rPr>
                <w:rFonts w:ascii="Arial" w:hAnsi="Arial" w:cs="Arial"/>
                <w:sz w:val="14"/>
                <w:szCs w:val="14"/>
                <w:lang w:val="es-ES_tradnl"/>
              </w:rPr>
              <w:t xml:space="preserve">VIGENTE POR UN TERMINO DE SEIS (6) MESES CONTADOS A PARTIR DE LA </w:t>
            </w:r>
            <w:r w:rsidR="007B762C" w:rsidRPr="00F663B4">
              <w:rPr>
                <w:rFonts w:ascii="Arial" w:hAnsi="Arial" w:cs="Arial"/>
                <w:sz w:val="14"/>
                <w:szCs w:val="14"/>
                <w:lang w:val="es-ES_tradnl"/>
              </w:rPr>
              <w:t>TERMINACIÓN</w:t>
            </w:r>
            <w:r w:rsidRPr="00F663B4">
              <w:rPr>
                <w:rFonts w:ascii="Arial" w:hAnsi="Arial" w:cs="Arial"/>
                <w:sz w:val="14"/>
                <w:szCs w:val="14"/>
                <w:lang w:val="es-ES_tradnl"/>
              </w:rPr>
              <w:t xml:space="preserve"> DEL CONTRATO</w:t>
            </w:r>
          </w:p>
        </w:tc>
        <w:tc>
          <w:tcPr>
            <w:tcW w:w="311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ESTE AMPARO CUBRE AL ASEGURADO POR LOS PERJUICIOS IMPUTABLES AL TOMADOR, DERIVADOS DEL INCUMPLIMIENTO DE LAS ESPECIFICACIONES  FIJADAS EN EL CONTRATO O EN LAS NORMAS TÉCNICAS </w:t>
            </w:r>
          </w:p>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BÁSICAS RELACIONADAS CON EL SERVICIO CONTRATA DO. ESTE AMPARO SOLAMENTE OPERARÁ CON POSTERIORIDAD A LA FINALIZACIÓN DE LA PRESTACIÓN DEL SERVICIO OBJETO DEL CONTRATO.</w:t>
            </w:r>
          </w:p>
        </w:tc>
      </w:tr>
      <w:tr w:rsidR="00F663B4" w:rsidRPr="00F663B4" w:rsidTr="00A376FF">
        <w:trPr>
          <w:trHeight w:val="693"/>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GARANTÍA</w:t>
            </w:r>
            <w:r w:rsidR="00F663B4" w:rsidRPr="00F663B4">
              <w:rPr>
                <w:rFonts w:ascii="Arial" w:hAnsi="Arial" w:cs="Arial"/>
                <w:sz w:val="14"/>
                <w:szCs w:val="14"/>
                <w:lang w:val="es-ES_tradnl"/>
              </w:rPr>
              <w:t xml:space="preserve"> </w:t>
            </w:r>
            <w:r w:rsidRPr="00F663B4">
              <w:rPr>
                <w:rFonts w:ascii="Arial" w:hAnsi="Arial" w:cs="Arial"/>
                <w:sz w:val="14"/>
                <w:szCs w:val="14"/>
                <w:lang w:val="es-ES_tradnl"/>
              </w:rPr>
              <w:t>ÚNICA</w:t>
            </w:r>
          </w:p>
        </w:tc>
        <w:tc>
          <w:tcPr>
            <w:tcW w:w="987"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CALIDAD DE LOS BIENES</w:t>
            </w:r>
          </w:p>
        </w:tc>
        <w:tc>
          <w:tcPr>
            <w:tcW w:w="1275"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CINCUENTA POR CIENTO (50%)  DEL VALOR DEL CONTRATO</w:t>
            </w:r>
          </w:p>
        </w:tc>
        <w:tc>
          <w:tcPr>
            <w:tcW w:w="1278"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700"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ind w:firstLine="4"/>
              <w:jc w:val="both"/>
              <w:rPr>
                <w:rFonts w:ascii="Arial" w:hAnsi="Arial" w:cs="Arial"/>
                <w:sz w:val="14"/>
                <w:szCs w:val="14"/>
                <w:lang w:val="es-ES_tradnl"/>
              </w:rPr>
            </w:pPr>
            <w:r w:rsidRPr="00F663B4">
              <w:rPr>
                <w:rFonts w:ascii="Arial" w:hAnsi="Arial" w:cs="Arial"/>
                <w:sz w:val="14"/>
                <w:szCs w:val="14"/>
                <w:lang w:val="es-ES_tradnl"/>
              </w:rPr>
              <w:t>VIGENTE POR EL TERMINO DE EJECUCIÓN DEL CONTRATO Y SEIS (06) MESES MAS.</w:t>
            </w:r>
          </w:p>
        </w:tc>
        <w:tc>
          <w:tcPr>
            <w:tcW w:w="3118"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eastAsia="MS Mincho" w:hAnsi="Arial" w:cs="Arial"/>
                <w:sz w:val="14"/>
                <w:szCs w:val="14"/>
                <w:lang w:val="es-ES_tradnl"/>
              </w:rPr>
              <w:t>AMPARA EL RIESGO DE MALA CALIDAD DE LOS REPUESTOS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 O LA PRESTACIÓN DEL SERVICIO REQUERIDO.</w:t>
            </w:r>
          </w:p>
        </w:tc>
      </w:tr>
      <w:tr w:rsidR="00F663B4" w:rsidRPr="00F663B4" w:rsidTr="00A376FF">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7B762C"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GARANTÍA</w:t>
            </w:r>
            <w:r w:rsidR="00F663B4" w:rsidRPr="00F663B4">
              <w:rPr>
                <w:rFonts w:ascii="Arial" w:hAnsi="Arial" w:cs="Arial"/>
                <w:sz w:val="14"/>
                <w:szCs w:val="14"/>
                <w:lang w:val="es-ES_tradnl"/>
              </w:rPr>
              <w:t xml:space="preserve"> </w:t>
            </w:r>
            <w:r w:rsidRPr="00F663B4">
              <w:rPr>
                <w:rFonts w:ascii="Arial" w:hAnsi="Arial" w:cs="Arial"/>
                <w:sz w:val="14"/>
                <w:szCs w:val="14"/>
                <w:lang w:val="es-ES_tradnl"/>
              </w:rPr>
              <w:t>ÚNICA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367C9C">
            <w:pPr>
              <w:autoSpaceDE w:val="0"/>
              <w:autoSpaceDN w:val="0"/>
              <w:rPr>
                <w:rFonts w:ascii="Arial" w:hAnsi="Arial" w:cs="Arial"/>
                <w:sz w:val="14"/>
                <w:szCs w:val="14"/>
                <w:lang w:val="es-ES_tradnl"/>
              </w:rPr>
            </w:pPr>
            <w:r w:rsidRPr="00F663B4">
              <w:rPr>
                <w:rFonts w:ascii="Arial" w:hAnsi="Arial" w:cs="Arial"/>
                <w:sz w:val="14"/>
                <w:szCs w:val="14"/>
                <w:lang w:val="es-ES_tradnl"/>
              </w:rPr>
              <w:t>NO</w:t>
            </w:r>
            <w:bookmarkStart w:id="0" w:name="_GoBack"/>
            <w:bookmarkEnd w:id="0"/>
            <w:r w:rsidRPr="00F663B4">
              <w:rPr>
                <w:rFonts w:ascii="Arial" w:hAnsi="Arial" w:cs="Arial"/>
                <w:sz w:val="14"/>
                <w:szCs w:val="14"/>
                <w:lang w:val="es-ES_tradnl"/>
              </w:rPr>
              <w:t xml:space="preserve"> PAGO DE SALARIOS PRESTACIONES E INDEMNIZACIONES LABORALES.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CINCO POR CIENTO (5%) DEL VALOR DEL CONTRATO.</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700"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VIGENTE POR UN TERMINO IGUAL A LA VIGENCIA DEL CONTRATO Y TRES (3) AÑOS MAS</w:t>
            </w:r>
          </w:p>
        </w:tc>
        <w:tc>
          <w:tcPr>
            <w:tcW w:w="3118"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F663B4" w:rsidRPr="00F663B4" w:rsidRDefault="00F663B4" w:rsidP="00F663B4">
      <w:pPr>
        <w:autoSpaceDE w:val="0"/>
        <w:autoSpaceDN w:val="0"/>
        <w:rPr>
          <w:rFonts w:ascii="Arial" w:hAnsi="Arial" w:cs="Arial"/>
          <w:sz w:val="16"/>
          <w:szCs w:val="20"/>
          <w:lang w:val="es-ES_tradnl"/>
        </w:rPr>
      </w:pPr>
    </w:p>
    <w:p w:rsidR="00F663B4" w:rsidRPr="00F663B4" w:rsidRDefault="00F663B4" w:rsidP="00F663B4">
      <w:pPr>
        <w:autoSpaceDE w:val="0"/>
        <w:autoSpaceDN w:val="0"/>
        <w:jc w:val="both"/>
        <w:rPr>
          <w:rFonts w:ascii="Arial" w:hAnsi="Arial" w:cs="Arial"/>
          <w:sz w:val="20"/>
          <w:szCs w:val="22"/>
          <w:lang w:val="es-ES_tradnl"/>
        </w:rPr>
      </w:pPr>
      <w:r w:rsidRPr="00F663B4">
        <w:rPr>
          <w:rFonts w:ascii="Arial" w:hAnsi="Arial" w:cs="Arial"/>
          <w:sz w:val="20"/>
          <w:szCs w:val="22"/>
          <w:lang w:val="es-ES_tradnl"/>
        </w:rPr>
        <w:lastRenderedPageBreak/>
        <w:t>CLAUSULAS SANCIONATORIAS</w:t>
      </w:r>
    </w:p>
    <w:p w:rsidR="00F663B4" w:rsidRPr="00F663B4" w:rsidRDefault="00F663B4" w:rsidP="00F663B4">
      <w:pPr>
        <w:autoSpaceDE w:val="0"/>
        <w:autoSpaceDN w:val="0"/>
        <w:jc w:val="both"/>
        <w:rPr>
          <w:rFonts w:ascii="Arial" w:hAnsi="Arial" w:cs="Arial"/>
          <w:sz w:val="8"/>
          <w:szCs w:val="22"/>
          <w:lang w:val="es-ES_tradnl"/>
        </w:rPr>
      </w:pPr>
    </w:p>
    <w:tbl>
      <w:tblPr>
        <w:tblW w:w="106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983"/>
        <w:gridCol w:w="1275"/>
        <w:gridCol w:w="989"/>
        <w:gridCol w:w="1985"/>
        <w:gridCol w:w="2550"/>
      </w:tblGrid>
      <w:tr w:rsidR="00921ABF" w:rsidRPr="00F663B4" w:rsidTr="0054316C">
        <w:trPr>
          <w:trHeight w:val="77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CO"/>
              </w:rPr>
            </w:pPr>
            <w:r w:rsidRPr="00F663B4">
              <w:rPr>
                <w:rFonts w:ascii="Arial" w:hAnsi="Arial" w:cs="Arial"/>
                <w:sz w:val="14"/>
                <w:szCs w:val="14"/>
                <w:lang w:val="es-ES_tradnl"/>
              </w:rPr>
              <w:t>MECANISMO DE COBERTURA</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CLASE DE RIESGO</w:t>
            </w:r>
          </w:p>
        </w:tc>
        <w:tc>
          <w:tcPr>
            <w:tcW w:w="1983"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TIPIFICACIÓN</w:t>
            </w:r>
            <w:r w:rsidRPr="00F663B4">
              <w:rPr>
                <w:rFonts w:ascii="Arial" w:hAnsi="Arial" w:cs="Arial"/>
                <w:sz w:val="14"/>
                <w:szCs w:val="14"/>
                <w:lang w:val="es-ES_tradnl"/>
              </w:rPr>
              <w:t xml:space="preserve"> DE LOS RIESGOS</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ESTIMACIÓN</w:t>
            </w:r>
            <w:r w:rsidRPr="00F663B4">
              <w:rPr>
                <w:rFonts w:ascii="Arial" w:hAnsi="Arial" w:cs="Arial"/>
                <w:sz w:val="14"/>
                <w:szCs w:val="14"/>
                <w:lang w:val="es-ES_tradnl"/>
              </w:rPr>
              <w:t xml:space="preserve"> DEL RIESGO</w:t>
            </w:r>
          </w:p>
        </w:tc>
        <w:tc>
          <w:tcPr>
            <w:tcW w:w="989"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ASIGNACIÓN</w:t>
            </w:r>
            <w:r w:rsidRPr="00F663B4">
              <w:rPr>
                <w:rFonts w:ascii="Arial" w:hAnsi="Arial" w:cs="Arial"/>
                <w:sz w:val="14"/>
                <w:szCs w:val="14"/>
                <w:lang w:val="es-ES_tradnl"/>
              </w:rPr>
              <w:t xml:space="preserve"> DEL RIESGO</w:t>
            </w:r>
          </w:p>
        </w:tc>
        <w:tc>
          <w:tcPr>
            <w:tcW w:w="1985"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VIGENCIA</w:t>
            </w:r>
          </w:p>
        </w:tc>
        <w:tc>
          <w:tcPr>
            <w:tcW w:w="2550"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921ABF" w:rsidRPr="00F663B4" w:rsidRDefault="00921ABF" w:rsidP="00921ABF">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JUSTIFICACIÓN</w:t>
            </w:r>
            <w:r w:rsidRPr="00F663B4">
              <w:rPr>
                <w:rFonts w:ascii="Arial" w:hAnsi="Arial" w:cs="Arial"/>
                <w:sz w:val="14"/>
                <w:szCs w:val="14"/>
                <w:lang w:val="es-ES_tradnl"/>
              </w:rPr>
              <w:t xml:space="preserve"> COBERTURA / VIGENCIA</w:t>
            </w:r>
          </w:p>
        </w:tc>
      </w:tr>
      <w:tr w:rsidR="00F663B4" w:rsidRPr="00F663B4" w:rsidTr="00A376FF">
        <w:trPr>
          <w:trHeight w:val="772"/>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CO"/>
              </w:rPr>
            </w:pPr>
            <w:r w:rsidRPr="00F663B4">
              <w:rPr>
                <w:rFonts w:ascii="Arial" w:hAnsi="Arial" w:cs="Arial"/>
                <w:sz w:val="14"/>
                <w:szCs w:val="14"/>
                <w:lang w:val="es-ES_tradnl"/>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1983"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p>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NO </w:t>
            </w:r>
            <w:r w:rsidR="007B762C" w:rsidRPr="00F663B4">
              <w:rPr>
                <w:rFonts w:ascii="Arial" w:hAnsi="Arial" w:cs="Arial"/>
                <w:sz w:val="14"/>
                <w:szCs w:val="14"/>
                <w:lang w:val="es-ES_tradnl"/>
              </w:rPr>
              <w:t>CONSTITUCIÓN</w:t>
            </w:r>
            <w:r w:rsidRPr="00F663B4">
              <w:rPr>
                <w:rFonts w:ascii="Arial" w:hAnsi="Arial" w:cs="Arial"/>
                <w:sz w:val="14"/>
                <w:szCs w:val="14"/>
                <w:lang w:val="es-ES_tradnl"/>
              </w:rPr>
              <w:t xml:space="preserve"> DENTRO DEL TERMINO Y EN LA FORMA PREVISTA EN EL CONTRATO O EN ALGUNO DE SUS MODIFICATORIOS LA </w:t>
            </w:r>
            <w:r w:rsidR="007B762C" w:rsidRPr="00F663B4">
              <w:rPr>
                <w:rFonts w:ascii="Arial" w:hAnsi="Arial" w:cs="Arial"/>
                <w:sz w:val="14"/>
                <w:szCs w:val="14"/>
                <w:lang w:val="es-ES_tradnl"/>
              </w:rPr>
              <w:t>PÓLIZA</w:t>
            </w:r>
            <w:r w:rsidRPr="00F663B4">
              <w:rPr>
                <w:rFonts w:ascii="Arial" w:hAnsi="Arial" w:cs="Arial"/>
                <w:sz w:val="14"/>
                <w:szCs w:val="14"/>
                <w:lang w:val="es-ES_tradnl"/>
              </w:rPr>
              <w:t xml:space="preserve"> DE </w:t>
            </w:r>
            <w:r w:rsidR="007B762C" w:rsidRPr="00F663B4">
              <w:rPr>
                <w:rFonts w:ascii="Arial" w:hAnsi="Arial" w:cs="Arial"/>
                <w:sz w:val="14"/>
                <w:szCs w:val="14"/>
                <w:lang w:val="es-ES_tradnl"/>
              </w:rPr>
              <w:t>GARANTÍA</w:t>
            </w:r>
            <w:r w:rsidRPr="00F663B4">
              <w:rPr>
                <w:rFonts w:ascii="Arial" w:hAnsi="Arial" w:cs="Arial"/>
                <w:sz w:val="14"/>
                <w:szCs w:val="14"/>
                <w:lang w:val="es-ES_tradnl"/>
              </w:rPr>
              <w:t xml:space="preserve"> </w:t>
            </w:r>
            <w:r w:rsidR="007B762C" w:rsidRPr="00F663B4">
              <w:rPr>
                <w:rFonts w:ascii="Arial" w:hAnsi="Arial" w:cs="Arial"/>
                <w:sz w:val="14"/>
                <w:szCs w:val="14"/>
                <w:lang w:val="es-ES_tradnl"/>
              </w:rPr>
              <w:t>ÚNICA</w:t>
            </w:r>
            <w:r w:rsidRPr="00F663B4">
              <w:rPr>
                <w:rFonts w:ascii="Arial" w:hAnsi="Arial" w:cs="Arial"/>
                <w:sz w:val="14"/>
                <w:szCs w:val="14"/>
                <w:lang w:val="es-ES_tradnl"/>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MULTA CUYO VALOR SE LIQUIDARA CON BASE EN UN CERO PUNTO DOS (0.2%) DEL VALOR DEL CONTRATO</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MULTA SE APLICARA POR CADA </w:t>
            </w:r>
            <w:r w:rsidR="007B762C" w:rsidRPr="00F663B4">
              <w:rPr>
                <w:rFonts w:ascii="Arial" w:hAnsi="Arial" w:cs="Arial"/>
                <w:sz w:val="14"/>
                <w:szCs w:val="14"/>
                <w:lang w:val="es-ES_tradnl"/>
              </w:rPr>
              <w:t>DÍA</w:t>
            </w:r>
            <w:r w:rsidRPr="00F663B4">
              <w:rPr>
                <w:rFonts w:ascii="Arial" w:hAnsi="Arial" w:cs="Arial"/>
                <w:sz w:val="14"/>
                <w:szCs w:val="14"/>
                <w:lang w:val="es-ES_tradnl"/>
              </w:rPr>
              <w:t xml:space="preserve"> DE RETARDO Y HASTA POR DIEZ(10) </w:t>
            </w:r>
            <w:r w:rsidR="007B762C" w:rsidRPr="00F663B4">
              <w:rPr>
                <w:rFonts w:ascii="Arial" w:hAnsi="Arial" w:cs="Arial"/>
                <w:sz w:val="14"/>
                <w:szCs w:val="14"/>
                <w:lang w:val="es-ES_tradnl"/>
              </w:rPr>
              <w:t>DÍAS</w:t>
            </w:r>
          </w:p>
        </w:tc>
        <w:tc>
          <w:tcPr>
            <w:tcW w:w="2550" w:type="dxa"/>
            <w:tcBorders>
              <w:top w:val="single" w:sz="4" w:space="0" w:color="000000"/>
              <w:left w:val="single" w:sz="4" w:space="0" w:color="000000"/>
              <w:bottom w:val="single" w:sz="4" w:space="0" w:color="000000"/>
              <w:right w:val="single" w:sz="4" w:space="0" w:color="000000"/>
            </w:tcBorders>
            <w:vAlign w:val="center"/>
          </w:tcPr>
          <w:p w:rsidR="00F663B4" w:rsidRPr="00F663B4" w:rsidRDefault="00F663B4" w:rsidP="00F663B4">
            <w:pPr>
              <w:autoSpaceDE w:val="0"/>
              <w:autoSpaceDN w:val="0"/>
              <w:jc w:val="both"/>
              <w:rPr>
                <w:rFonts w:ascii="Arial" w:hAnsi="Arial" w:cs="Arial"/>
                <w:sz w:val="14"/>
                <w:szCs w:val="14"/>
                <w:lang w:val="es-ES_tradnl"/>
              </w:rPr>
            </w:pPr>
          </w:p>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CUANDO EL CONTRATISTA NO CONSTITUYA DENTRO DEL TERMINO Y EN LA FORMA PREVISTA EN EL CONTRATO O EN ALGUNO DE SUS MODIFICATORIOS, A </w:t>
            </w:r>
            <w:r w:rsidR="00921ABF" w:rsidRPr="00F663B4">
              <w:rPr>
                <w:rFonts w:ascii="Arial" w:hAnsi="Arial" w:cs="Arial"/>
                <w:sz w:val="14"/>
                <w:szCs w:val="14"/>
                <w:lang w:val="es-ES_tradnl"/>
              </w:rPr>
              <w:t>PÓLIZA</w:t>
            </w:r>
            <w:r w:rsidRPr="00F663B4">
              <w:rPr>
                <w:rFonts w:ascii="Arial" w:hAnsi="Arial" w:cs="Arial"/>
                <w:sz w:val="14"/>
                <w:szCs w:val="14"/>
                <w:lang w:val="es-ES_tradnl"/>
              </w:rPr>
              <w:t xml:space="preserve"> DE </w:t>
            </w:r>
            <w:r w:rsidR="00921ABF" w:rsidRPr="00F663B4">
              <w:rPr>
                <w:rFonts w:ascii="Arial" w:hAnsi="Arial" w:cs="Arial"/>
                <w:sz w:val="14"/>
                <w:szCs w:val="14"/>
                <w:lang w:val="es-ES_tradnl"/>
              </w:rPr>
              <w:t>GARANTÍA</w:t>
            </w:r>
            <w:r w:rsidRPr="00F663B4">
              <w:rPr>
                <w:rFonts w:ascii="Arial" w:hAnsi="Arial" w:cs="Arial"/>
                <w:sz w:val="14"/>
                <w:szCs w:val="14"/>
                <w:lang w:val="es-ES_tradnl"/>
              </w:rPr>
              <w:t xml:space="preserve"> </w:t>
            </w:r>
            <w:r w:rsidR="00921ABF" w:rsidRPr="00F663B4">
              <w:rPr>
                <w:rFonts w:ascii="Arial" w:hAnsi="Arial" w:cs="Arial"/>
                <w:sz w:val="14"/>
                <w:szCs w:val="14"/>
                <w:lang w:val="es-ES_tradnl"/>
              </w:rPr>
              <w:t>ÚNICA</w:t>
            </w:r>
          </w:p>
        </w:tc>
      </w:tr>
      <w:tr w:rsidR="00F663B4" w:rsidRPr="00F663B4" w:rsidTr="00A376FF">
        <w:trPr>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RIESGO </w:t>
            </w:r>
            <w:r w:rsidR="00921ABF" w:rsidRPr="00F663B4">
              <w:rPr>
                <w:rFonts w:ascii="Arial" w:hAnsi="Arial" w:cs="Arial"/>
                <w:sz w:val="14"/>
                <w:szCs w:val="14"/>
                <w:lang w:val="es-ES_tradnl"/>
              </w:rPr>
              <w:t>JURÍDICO</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MULTAS CUYO VALOR SE LIQUIDARA CON BASE EN UN CERO PUNTO CINCO (0.5%) DEL VALOR DEJADO DE CUMPLIR O ENTREGAR</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LA MULTA SE APLICARA POR CADA </w:t>
            </w:r>
            <w:r w:rsidR="00921ABF" w:rsidRPr="00F663B4">
              <w:rPr>
                <w:rFonts w:ascii="Arial" w:hAnsi="Arial" w:cs="Arial"/>
                <w:sz w:val="14"/>
                <w:szCs w:val="14"/>
                <w:lang w:val="es-ES_tradnl"/>
              </w:rPr>
              <w:t>DÍA</w:t>
            </w:r>
            <w:r w:rsidRPr="00F663B4">
              <w:rPr>
                <w:rFonts w:ascii="Arial" w:hAnsi="Arial" w:cs="Arial"/>
                <w:sz w:val="14"/>
                <w:szCs w:val="14"/>
                <w:lang w:val="es-ES_tradnl"/>
              </w:rPr>
              <w:t xml:space="preserve"> DE RETARDO HASTA POR UN PLAZO DE QUINCE (15) </w:t>
            </w:r>
            <w:r w:rsidR="00921ABF" w:rsidRPr="00F663B4">
              <w:rPr>
                <w:rFonts w:ascii="Arial" w:hAnsi="Arial" w:cs="Arial"/>
                <w:sz w:val="14"/>
                <w:szCs w:val="14"/>
                <w:lang w:val="es-ES_tradnl"/>
              </w:rPr>
              <w:t>DÍAS</w:t>
            </w:r>
            <w:r w:rsidRPr="00F663B4">
              <w:rPr>
                <w:rFonts w:ascii="Arial" w:hAnsi="Arial" w:cs="Arial"/>
                <w:sz w:val="14"/>
                <w:szCs w:val="14"/>
                <w:lang w:val="es-ES_tradnl"/>
              </w:rPr>
              <w:t xml:space="preserve"> CALENDARIO QUE SE DESCONTARA DEL SALDO QUE LE ADEUDE LA ENTIDAD. ESTA </w:t>
            </w:r>
            <w:r w:rsidR="00921ABF" w:rsidRPr="00F663B4">
              <w:rPr>
                <w:rFonts w:ascii="Arial" w:hAnsi="Arial" w:cs="Arial"/>
                <w:sz w:val="14"/>
                <w:szCs w:val="14"/>
                <w:lang w:val="es-ES_tradnl"/>
              </w:rPr>
              <w:t>SANCIÓN</w:t>
            </w:r>
            <w:r w:rsidRPr="00F663B4">
              <w:rPr>
                <w:rFonts w:ascii="Arial" w:hAnsi="Arial" w:cs="Arial"/>
                <w:sz w:val="14"/>
                <w:szCs w:val="14"/>
                <w:lang w:val="es-ES_tradnl"/>
              </w:rPr>
              <w:t xml:space="preserve"> SE </w:t>
            </w:r>
            <w:r w:rsidR="00921ABF" w:rsidRPr="00F663B4">
              <w:rPr>
                <w:rFonts w:ascii="Arial" w:hAnsi="Arial" w:cs="Arial"/>
                <w:sz w:val="14"/>
                <w:szCs w:val="14"/>
                <w:lang w:val="es-ES_tradnl"/>
              </w:rPr>
              <w:t>IMPONDRÁ</w:t>
            </w:r>
            <w:r w:rsidRPr="00F663B4">
              <w:rPr>
                <w:rFonts w:ascii="Arial" w:hAnsi="Arial" w:cs="Arial"/>
                <w:sz w:val="14"/>
                <w:szCs w:val="14"/>
                <w:lang w:val="es-ES_tradnl"/>
              </w:rPr>
              <w:t xml:space="preserve"> MEDIANTE ACTO ADMINISTRATIVO MOTIVADO EN EL QUE SE EXPRESARA LAS CAUSAS QUE </w:t>
            </w:r>
            <w:r w:rsidR="007B762C" w:rsidRPr="00F663B4">
              <w:rPr>
                <w:rFonts w:ascii="Arial" w:hAnsi="Arial" w:cs="Arial"/>
                <w:sz w:val="14"/>
                <w:szCs w:val="14"/>
                <w:lang w:val="es-ES_tradnl"/>
              </w:rPr>
              <w:t>DIERON LUGAR</w:t>
            </w:r>
            <w:r w:rsidRPr="00F663B4">
              <w:rPr>
                <w:rFonts w:ascii="Arial" w:hAnsi="Arial" w:cs="Arial"/>
                <w:sz w:val="14"/>
                <w:szCs w:val="14"/>
                <w:lang w:val="es-ES_tradnl"/>
              </w:rPr>
              <w:t xml:space="preserve"> A ELLA</w:t>
            </w:r>
          </w:p>
        </w:tc>
        <w:tc>
          <w:tcPr>
            <w:tcW w:w="2550"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AMPARA LA MORA O INCUMPLIMIENTO PARCIAL DE ALGUNA </w:t>
            </w:r>
            <w:r w:rsidR="007B762C" w:rsidRPr="00F663B4">
              <w:rPr>
                <w:rFonts w:ascii="Arial" w:hAnsi="Arial" w:cs="Arial"/>
                <w:sz w:val="14"/>
                <w:szCs w:val="14"/>
                <w:lang w:val="es-ES_tradnl"/>
              </w:rPr>
              <w:t>OBLIGACIÓN</w:t>
            </w:r>
            <w:r w:rsidRPr="00F663B4">
              <w:rPr>
                <w:rFonts w:ascii="Arial" w:hAnsi="Arial" w:cs="Arial"/>
                <w:sz w:val="14"/>
                <w:szCs w:val="14"/>
                <w:lang w:val="es-ES_tradnl"/>
              </w:rPr>
              <w:t xml:space="preserve"> DERIVADA DEL CONTRATO POR CAUSAS IMPUTABLES AL CONTRATISTA</w:t>
            </w:r>
          </w:p>
        </w:tc>
      </w:tr>
      <w:tr w:rsidR="00F663B4" w:rsidRPr="00F663B4" w:rsidTr="00A376FF">
        <w:trPr>
          <w:trHeight w:val="839"/>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 xml:space="preserve">RIESGO </w:t>
            </w:r>
            <w:r w:rsidR="007B762C" w:rsidRPr="00F663B4">
              <w:rPr>
                <w:rFonts w:ascii="Arial" w:hAnsi="Arial" w:cs="Arial"/>
                <w:sz w:val="14"/>
                <w:szCs w:val="14"/>
                <w:lang w:val="es-ES_tradnl"/>
              </w:rPr>
              <w:t>JURÍDICO</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VEINTE POR CIENTO (20%) DEL VALOR TOTAL DEL CONTRATO</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center"/>
              <w:rPr>
                <w:rFonts w:ascii="Arial" w:hAnsi="Arial" w:cs="Arial"/>
                <w:sz w:val="14"/>
                <w:szCs w:val="14"/>
                <w:lang w:val="es-ES_tradnl"/>
              </w:rPr>
            </w:pPr>
            <w:r w:rsidRPr="00F663B4">
              <w:rPr>
                <w:rFonts w:ascii="Arial" w:hAnsi="Arial" w:cs="Arial"/>
                <w:sz w:val="14"/>
                <w:szCs w:val="14"/>
                <w:lang w:val="es-ES_tradnl"/>
              </w:rPr>
              <w:t>CONTRATISTA</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EL VEINTE POR CIENTO (20%) DEL VALOR TOTAL DEL CONTRATO CUANDO SE TRATE DE INCUMPLIMIENTO TOTAL DEL CONTRATO Y PROPORCIONAL AL INCUMPLIMIENTO PARCIAL DEL CONTRATO</w:t>
            </w:r>
          </w:p>
        </w:tc>
        <w:tc>
          <w:tcPr>
            <w:tcW w:w="2550" w:type="dxa"/>
            <w:tcBorders>
              <w:top w:val="single" w:sz="4" w:space="0" w:color="000000"/>
              <w:left w:val="single" w:sz="4" w:space="0" w:color="000000"/>
              <w:bottom w:val="single" w:sz="4" w:space="0" w:color="000000"/>
              <w:right w:val="single" w:sz="4" w:space="0" w:color="000000"/>
            </w:tcBorders>
            <w:hideMark/>
          </w:tcPr>
          <w:p w:rsidR="00F663B4" w:rsidRPr="00F663B4" w:rsidRDefault="00F663B4" w:rsidP="00F663B4">
            <w:pPr>
              <w:autoSpaceDE w:val="0"/>
              <w:autoSpaceDN w:val="0"/>
              <w:jc w:val="both"/>
              <w:rPr>
                <w:rFonts w:ascii="Arial" w:hAnsi="Arial" w:cs="Arial"/>
                <w:sz w:val="14"/>
                <w:szCs w:val="14"/>
                <w:lang w:val="es-ES_tradnl"/>
              </w:rPr>
            </w:pPr>
            <w:r w:rsidRPr="00F663B4">
              <w:rPr>
                <w:rFonts w:ascii="Arial" w:hAnsi="Arial" w:cs="Arial"/>
                <w:sz w:val="14"/>
                <w:szCs w:val="14"/>
                <w:lang w:val="es-ES_tradnl"/>
              </w:rPr>
              <w:t>AMPARA EL INCUMPLIMIENTO PARCIAL O DEFINITIVO DEL CONTRATO POR PARTE DEL CONTRATISTA , SE BUSCA EL PAGO PARCIAL Y DEFINITIVO DE LOS PERJUICIOS QUE SE CAUSEN A LA ENTIDAD</w:t>
            </w:r>
          </w:p>
        </w:tc>
      </w:tr>
    </w:tbl>
    <w:p w:rsidR="00C619B6" w:rsidRDefault="00C619B6" w:rsidP="00F663B4">
      <w:pPr>
        <w:pStyle w:val="Prrafodelista"/>
        <w:tabs>
          <w:tab w:val="left" w:pos="0"/>
          <w:tab w:val="left" w:pos="240"/>
        </w:tabs>
        <w:ind w:left="0"/>
        <w:jc w:val="center"/>
      </w:pPr>
    </w:p>
    <w:sectPr w:rsidR="00C619B6" w:rsidSect="007B762C">
      <w:headerReference w:type="default" r:id="rId30"/>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61B" w:rsidRDefault="00EC261B" w:rsidP="00F40993">
      <w:r>
        <w:separator/>
      </w:r>
    </w:p>
  </w:endnote>
  <w:endnote w:type="continuationSeparator" w:id="0">
    <w:p w:rsidR="00EC261B" w:rsidRDefault="00EC261B" w:rsidP="00F4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EC8" w:rsidRPr="00367C9C" w:rsidRDefault="007F2EC8" w:rsidP="00D7774A">
    <w:pPr>
      <w:pStyle w:val="Piedepgina"/>
      <w:jc w:val="center"/>
      <w:rPr>
        <w:rFonts w:ascii="Arial" w:hAnsi="Arial" w:cs="Arial"/>
      </w:rPr>
    </w:pPr>
    <w:r w:rsidRPr="00367C9C">
      <w:rPr>
        <w:rFonts w:ascii="Arial" w:hAnsi="Arial" w:cs="Arial"/>
        <w:sz w:val="16"/>
        <w:szCs w:val="16"/>
      </w:rPr>
      <w:t xml:space="preserve">Página </w:t>
    </w:r>
    <w:r w:rsidRPr="00367C9C">
      <w:rPr>
        <w:rFonts w:ascii="Arial" w:hAnsi="Arial" w:cs="Arial"/>
        <w:b/>
        <w:sz w:val="16"/>
        <w:szCs w:val="16"/>
      </w:rPr>
      <w:fldChar w:fldCharType="begin"/>
    </w:r>
    <w:r w:rsidRPr="00367C9C">
      <w:rPr>
        <w:rFonts w:ascii="Arial" w:hAnsi="Arial" w:cs="Arial"/>
        <w:b/>
        <w:sz w:val="16"/>
        <w:szCs w:val="16"/>
      </w:rPr>
      <w:instrText>PAGE</w:instrText>
    </w:r>
    <w:r w:rsidRPr="00367C9C">
      <w:rPr>
        <w:rFonts w:ascii="Arial" w:hAnsi="Arial" w:cs="Arial"/>
        <w:b/>
        <w:sz w:val="16"/>
        <w:szCs w:val="16"/>
      </w:rPr>
      <w:fldChar w:fldCharType="separate"/>
    </w:r>
    <w:r w:rsidR="00367C9C">
      <w:rPr>
        <w:rFonts w:ascii="Arial" w:hAnsi="Arial" w:cs="Arial"/>
        <w:b/>
        <w:noProof/>
        <w:sz w:val="16"/>
        <w:szCs w:val="16"/>
      </w:rPr>
      <w:t>6</w:t>
    </w:r>
    <w:r w:rsidRPr="00367C9C">
      <w:rPr>
        <w:rFonts w:ascii="Arial" w:hAnsi="Arial" w:cs="Arial"/>
        <w:b/>
        <w:sz w:val="16"/>
        <w:szCs w:val="16"/>
      </w:rPr>
      <w:fldChar w:fldCharType="end"/>
    </w:r>
    <w:r w:rsidRPr="00367C9C">
      <w:rPr>
        <w:rFonts w:ascii="Arial" w:hAnsi="Arial" w:cs="Arial"/>
        <w:sz w:val="16"/>
        <w:szCs w:val="16"/>
      </w:rPr>
      <w:t xml:space="preserve"> de </w:t>
    </w:r>
    <w:r w:rsidRPr="00367C9C">
      <w:rPr>
        <w:rFonts w:ascii="Arial" w:hAnsi="Arial" w:cs="Arial"/>
        <w:b/>
        <w:sz w:val="16"/>
        <w:szCs w:val="16"/>
      </w:rPr>
      <w:fldChar w:fldCharType="begin"/>
    </w:r>
    <w:r w:rsidRPr="00367C9C">
      <w:rPr>
        <w:rFonts w:ascii="Arial" w:hAnsi="Arial" w:cs="Arial"/>
        <w:b/>
        <w:sz w:val="16"/>
        <w:szCs w:val="16"/>
      </w:rPr>
      <w:instrText>NUMPAGES</w:instrText>
    </w:r>
    <w:r w:rsidRPr="00367C9C">
      <w:rPr>
        <w:rFonts w:ascii="Arial" w:hAnsi="Arial" w:cs="Arial"/>
        <w:b/>
        <w:sz w:val="16"/>
        <w:szCs w:val="16"/>
      </w:rPr>
      <w:fldChar w:fldCharType="separate"/>
    </w:r>
    <w:r w:rsidR="00367C9C">
      <w:rPr>
        <w:rFonts w:ascii="Arial" w:hAnsi="Arial" w:cs="Arial"/>
        <w:b/>
        <w:noProof/>
        <w:sz w:val="16"/>
        <w:szCs w:val="16"/>
      </w:rPr>
      <w:t>6</w:t>
    </w:r>
    <w:r w:rsidRPr="00367C9C">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61B" w:rsidRDefault="00EC261B" w:rsidP="00F40993">
      <w:r>
        <w:separator/>
      </w:r>
    </w:p>
  </w:footnote>
  <w:footnote w:type="continuationSeparator" w:id="0">
    <w:p w:rsidR="00EC261B" w:rsidRDefault="00EC261B" w:rsidP="00F40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0F7F" w:rsidRDefault="00EC261B">
    <w:pPr>
      <w:pStyle w:val="Encabezado"/>
      <w:rPr>
        <w:lang w:val="es-CO"/>
      </w:rPr>
    </w:pPr>
  </w:p>
  <w:p w:rsidR="00AB0F7F" w:rsidRPr="004505D0" w:rsidRDefault="00EC261B">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101EA9"/>
    <w:multiLevelType w:val="hybridMultilevel"/>
    <w:tmpl w:val="E298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55F084F"/>
    <w:multiLevelType w:val="hybridMultilevel"/>
    <w:tmpl w:val="D54EBE50"/>
    <w:lvl w:ilvl="0" w:tplc="240A000F">
      <w:start w:val="1"/>
      <w:numFmt w:val="decimal"/>
      <w:lvlText w:val="%1."/>
      <w:lvlJc w:val="left"/>
      <w:pPr>
        <w:ind w:left="64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2">
    <w:nsid w:val="694D70BF"/>
    <w:multiLevelType w:val="hybridMultilevel"/>
    <w:tmpl w:val="C4743418"/>
    <w:lvl w:ilvl="0" w:tplc="4BF0BD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4B10081"/>
    <w:multiLevelType w:val="hybridMultilevel"/>
    <w:tmpl w:val="EC9CD0CC"/>
    <w:lvl w:ilvl="0" w:tplc="EDB4BDCC">
      <w:start w:val="1"/>
      <w:numFmt w:val="decimal"/>
      <w:lvlText w:val="%1."/>
      <w:lvlJc w:val="left"/>
      <w:pPr>
        <w:ind w:left="1506" w:hanging="360"/>
      </w:pPr>
      <w:rPr>
        <w:rFonts w:hint="default"/>
        <w:b w:val="0"/>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993"/>
    <w:rsid w:val="00264D6A"/>
    <w:rsid w:val="003511A9"/>
    <w:rsid w:val="00367C9C"/>
    <w:rsid w:val="003F3729"/>
    <w:rsid w:val="00535655"/>
    <w:rsid w:val="007B762C"/>
    <w:rsid w:val="007F2EC8"/>
    <w:rsid w:val="00921ABF"/>
    <w:rsid w:val="00A376FF"/>
    <w:rsid w:val="00C619B6"/>
    <w:rsid w:val="00D93958"/>
    <w:rsid w:val="00DA5866"/>
    <w:rsid w:val="00EC261B"/>
    <w:rsid w:val="00F40993"/>
    <w:rsid w:val="00F66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881E9F-BC24-40BD-8746-4A12CFD9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99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
    <w:basedOn w:val="Normal"/>
    <w:next w:val="Normal"/>
    <w:link w:val="Ttulo1Car"/>
    <w:qFormat/>
    <w:rsid w:val="00F40993"/>
    <w:pPr>
      <w:keepNext/>
      <w:keepLines/>
      <w:spacing w:before="480"/>
      <w:jc w:val="both"/>
      <w:outlineLvl w:val="0"/>
    </w:pPr>
    <w:rPr>
      <w:rFonts w:ascii="Cambria" w:hAnsi="Cambria"/>
      <w:b/>
      <w:bCs/>
      <w:color w:val="365F91"/>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F40993"/>
    <w:rPr>
      <w:rFonts w:ascii="Cambria" w:eastAsia="Times New Roman" w:hAnsi="Cambria" w:cs="Times New Roman"/>
      <w:b/>
      <w:bCs/>
      <w:color w:val="365F91"/>
      <w:sz w:val="28"/>
      <w:szCs w:val="28"/>
      <w:lang w:val="es-ES_tradnl"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F40993"/>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0993"/>
    <w:rPr>
      <w:rFonts w:ascii="Times New Roman" w:eastAsia="Times New Roman" w:hAnsi="Times New Roman" w:cs="Times New Roman"/>
      <w:sz w:val="24"/>
      <w:szCs w:val="24"/>
      <w:lang w:val="es-ES"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Normal1"/>
    <w:basedOn w:val="Normal"/>
    <w:link w:val="PrrafodelistaCar"/>
    <w:qFormat/>
    <w:rsid w:val="00F40993"/>
    <w:pPr>
      <w:ind w:left="720"/>
      <w:contextualSpacing/>
    </w:pPr>
    <w:rPr>
      <w:lang w:val="x-none"/>
    </w:rPr>
  </w:style>
  <w:style w:type="paragraph" w:styleId="Puesto">
    <w:name w:val="Title"/>
    <w:basedOn w:val="Normal"/>
    <w:link w:val="PuestoCar"/>
    <w:uiPriority w:val="10"/>
    <w:qFormat/>
    <w:rsid w:val="00F40993"/>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nexos Car,Puesto Car1,Título1 Car,Title Char Car"/>
    <w:link w:val="Anexos"/>
    <w:rsid w:val="00F40993"/>
    <w:rPr>
      <w:rFonts w:ascii="Arial" w:hAnsi="Arial"/>
      <w:b/>
      <w:sz w:val="24"/>
      <w:lang w:val="es-ES" w:eastAsia="es-ES"/>
    </w:rPr>
  </w:style>
  <w:style w:type="paragraph" w:customStyle="1" w:styleId="Default">
    <w:name w:val="Default"/>
    <w:link w:val="DefaultCar"/>
    <w:rsid w:val="00F40993"/>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rsid w:val="00F40993"/>
    <w:rPr>
      <w:rFonts w:ascii="Times New Roman" w:eastAsia="Times New Roman" w:hAnsi="Times New Roman" w:cs="Times New Roman"/>
      <w:sz w:val="24"/>
      <w:szCs w:val="24"/>
      <w:lang w:val="x-none" w:eastAsia="es-ES"/>
    </w:rPr>
  </w:style>
  <w:style w:type="character" w:customStyle="1" w:styleId="DefaultCar">
    <w:name w:val="Default Car"/>
    <w:link w:val="Default"/>
    <w:locked/>
    <w:rsid w:val="00F40993"/>
    <w:rPr>
      <w:rFonts w:ascii="Times New Roman" w:eastAsia="Calibri" w:hAnsi="Times New Roman" w:cs="Times New Roman"/>
      <w:color w:val="000000"/>
      <w:sz w:val="24"/>
      <w:szCs w:val="24"/>
      <w:lang w:eastAsia="ar-SA"/>
    </w:rPr>
  </w:style>
  <w:style w:type="character" w:customStyle="1" w:styleId="PuestoCar">
    <w:name w:val="Puesto Car"/>
    <w:basedOn w:val="Fuentedeprrafopredeter"/>
    <w:link w:val="Puesto"/>
    <w:uiPriority w:val="10"/>
    <w:rsid w:val="00F40993"/>
    <w:rPr>
      <w:rFonts w:asciiTheme="majorHAnsi" w:eastAsiaTheme="majorEastAsia" w:hAnsiTheme="majorHAnsi" w:cstheme="majorBidi"/>
      <w:spacing w:val="-10"/>
      <w:kern w:val="28"/>
      <w:sz w:val="56"/>
      <w:szCs w:val="56"/>
      <w:lang w:val="es-ES" w:eastAsia="es-ES"/>
    </w:rPr>
  </w:style>
  <w:style w:type="paragraph" w:styleId="Piedepgina">
    <w:name w:val="footer"/>
    <w:basedOn w:val="Normal"/>
    <w:link w:val="PiedepginaCar"/>
    <w:uiPriority w:val="99"/>
    <w:unhideWhenUsed/>
    <w:rsid w:val="00F40993"/>
    <w:pPr>
      <w:tabs>
        <w:tab w:val="center" w:pos="4419"/>
        <w:tab w:val="right" w:pos="8838"/>
      </w:tabs>
    </w:pPr>
  </w:style>
  <w:style w:type="character" w:customStyle="1" w:styleId="PiedepginaCar">
    <w:name w:val="Pie de página Car"/>
    <w:basedOn w:val="Fuentedeprrafopredeter"/>
    <w:link w:val="Piedepgina"/>
    <w:uiPriority w:val="99"/>
    <w:rsid w:val="00F40993"/>
    <w:rPr>
      <w:rFonts w:ascii="Times New Roman" w:eastAsia="Times New Roman" w:hAnsi="Times New Roman" w:cs="Times New Roman"/>
      <w:sz w:val="24"/>
      <w:szCs w:val="24"/>
      <w:lang w:val="es-ES" w:eastAsia="es-ES"/>
    </w:rPr>
  </w:style>
  <w:style w:type="paragraph" w:customStyle="1" w:styleId="Anexos">
    <w:name w:val="Anexos"/>
    <w:aliases w:val="Título1,Title Char"/>
    <w:basedOn w:val="Normal"/>
    <w:next w:val="Puesto"/>
    <w:link w:val="TtuloCar"/>
    <w:qFormat/>
    <w:rsid w:val="00535655"/>
    <w:pPr>
      <w:jc w:val="center"/>
    </w:pPr>
    <w:rPr>
      <w:rFonts w:ascii="Arial" w:eastAsiaTheme="minorHAnsi" w:hAnsi="Arial" w:cstheme="minorBidi"/>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lombia" TargetMode="External"/><Relationship Id="rId13" Type="http://schemas.openxmlformats.org/officeDocument/2006/relationships/hyperlink" Target="http://es.wikipedia.org/wiki/Guain%C3%ADa" TargetMode="External"/><Relationship Id="rId18" Type="http://schemas.openxmlformats.org/officeDocument/2006/relationships/hyperlink" Target="http://es.wikipedia.org/wiki/Caquet%C3%A1" TargetMode="External"/><Relationship Id="rId26" Type="http://schemas.openxmlformats.org/officeDocument/2006/relationships/hyperlink" Target="http://es.wikipedia.org/wiki/Acac%C3%ADas" TargetMode="External"/><Relationship Id="rId3" Type="http://schemas.openxmlformats.org/officeDocument/2006/relationships/settings" Target="settings.xml"/><Relationship Id="rId21" Type="http://schemas.openxmlformats.org/officeDocument/2006/relationships/hyperlink" Target="http://es.wikipedia.org/wiki/Bogot%C3%A1" TargetMode="External"/><Relationship Id="rId7" Type="http://schemas.openxmlformats.org/officeDocument/2006/relationships/hyperlink" Target="http://es.wikipedia.org/wiki/Departamentos_de_Colombia" TargetMode="External"/><Relationship Id="rId12" Type="http://schemas.openxmlformats.org/officeDocument/2006/relationships/hyperlink" Target="http://es.wikipedia.org/wiki/Guaviare" TargetMode="External"/><Relationship Id="rId17" Type="http://schemas.openxmlformats.org/officeDocument/2006/relationships/hyperlink" Target="http://es.wikipedia.org/wiki/Amazonas_(Colombia)" TargetMode="External"/><Relationship Id="rId25" Type="http://schemas.openxmlformats.org/officeDocument/2006/relationships/hyperlink" Target="http://es.wikipedia.org/wiki/%C3%81rea_Metropolitana" TargetMode="External"/><Relationship Id="rId2" Type="http://schemas.openxmlformats.org/officeDocument/2006/relationships/styles" Target="styles.xml"/><Relationship Id="rId16" Type="http://schemas.openxmlformats.org/officeDocument/2006/relationships/hyperlink" Target="http://es.wikipedia.org/wiki/R%C3%ADo_Apaporis" TargetMode="External"/><Relationship Id="rId20" Type="http://schemas.openxmlformats.org/officeDocument/2006/relationships/hyperlink" Target="http://es.wikipedia.org/wiki/Mit%C3%BA"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Amerindios" TargetMode="External"/><Relationship Id="rId24" Type="http://schemas.openxmlformats.org/officeDocument/2006/relationships/hyperlink" Target="http://es.wikipedia.org/wiki/Autopista_al_Llano"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es.wikipedia.org/wiki/Brasil" TargetMode="External"/><Relationship Id="rId23" Type="http://schemas.openxmlformats.org/officeDocument/2006/relationships/hyperlink" Target="http://es.wikipedia.org/wiki/Colombia" TargetMode="External"/><Relationship Id="rId28" Type="http://schemas.openxmlformats.org/officeDocument/2006/relationships/hyperlink" Target="http://es.wikipedia.org/wiki/Restrepo_(Meta)" TargetMode="External"/><Relationship Id="rId10" Type="http://schemas.openxmlformats.org/officeDocument/2006/relationships/hyperlink" Target="http://es.wikipedia.org/wiki/Kil%C3%B3metro_cuadrado" TargetMode="External"/><Relationship Id="rId19" Type="http://schemas.openxmlformats.org/officeDocument/2006/relationships/hyperlink" Target="http://es.wikipedia.org/wiki/R%C3%ADo_Vaup%C3%A9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s.wikipedia.org/wiki/Amazon%C3%ADa" TargetMode="External"/><Relationship Id="rId14" Type="http://schemas.openxmlformats.org/officeDocument/2006/relationships/hyperlink" Target="http://es.wikipedia.org/wiki/Gran_Vaup%C3%A9s" TargetMode="External"/><Relationship Id="rId22" Type="http://schemas.openxmlformats.org/officeDocument/2006/relationships/hyperlink" Target="http://es.wikipedia.org/wiki/Banco_de_la_Rep%C3%BAblica_de_Colombia" TargetMode="External"/><Relationship Id="rId27" Type="http://schemas.openxmlformats.org/officeDocument/2006/relationships/hyperlink" Target="http://es.wikipedia.org/wiki/Cumaral" TargetMode="External"/><Relationship Id="rId30"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2878</Words>
  <Characters>15832</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MEVIL - DIEGO ALEXANDER SANCHEZ CARREÑO</cp:lastModifiedBy>
  <cp:revision>5</cp:revision>
  <dcterms:created xsi:type="dcterms:W3CDTF">2017-08-11T20:50:00Z</dcterms:created>
  <dcterms:modified xsi:type="dcterms:W3CDTF">2017-09-06T16:42:00Z</dcterms:modified>
</cp:coreProperties>
</file>