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EE1" w:rsidRDefault="00816EE1" w:rsidP="00816EE1">
      <w:pPr>
        <w:spacing w:after="0" w:line="0" w:lineRule="atLeast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ANEXO 4</w:t>
      </w:r>
    </w:p>
    <w:p w:rsidR="00816EE1" w:rsidRDefault="00816EE1" w:rsidP="00816EE1">
      <w:pPr>
        <w:spacing w:after="0" w:line="0" w:lineRule="atLeast"/>
        <w:jc w:val="center"/>
        <w:rPr>
          <w:rFonts w:ascii="Arial" w:hAnsi="Arial" w:cs="Arial"/>
          <w:b/>
          <w:bCs/>
          <w:sz w:val="20"/>
          <w:szCs w:val="20"/>
        </w:rPr>
      </w:pPr>
    </w:p>
    <w:p w:rsidR="00C619B6" w:rsidRDefault="00816EE1" w:rsidP="00816EE1">
      <w:pPr>
        <w:spacing w:after="0" w:line="0" w:lineRule="atLeast"/>
        <w:jc w:val="center"/>
        <w:rPr>
          <w:rFonts w:ascii="Arial" w:hAnsi="Arial" w:cs="Arial"/>
          <w:b/>
          <w:bCs/>
          <w:sz w:val="20"/>
          <w:szCs w:val="20"/>
        </w:rPr>
      </w:pPr>
      <w:r w:rsidRPr="00816EE1">
        <w:rPr>
          <w:rFonts w:ascii="Arial" w:hAnsi="Arial" w:cs="Arial"/>
          <w:b/>
          <w:bCs/>
          <w:sz w:val="20"/>
          <w:szCs w:val="20"/>
        </w:rPr>
        <w:t>CAUSALES DE RECHAZO DE LA PROPUESTA O DECLARATORIA DESIERTA DEL PROCESO</w:t>
      </w:r>
    </w:p>
    <w:p w:rsidR="00F94DD7" w:rsidRDefault="00F94DD7" w:rsidP="00816EE1">
      <w:pPr>
        <w:spacing w:after="0" w:line="0" w:lineRule="atLeast"/>
        <w:jc w:val="center"/>
        <w:rPr>
          <w:rFonts w:ascii="Arial" w:hAnsi="Arial" w:cs="Arial"/>
          <w:b/>
          <w:bCs/>
          <w:sz w:val="20"/>
          <w:szCs w:val="20"/>
        </w:rPr>
      </w:pPr>
    </w:p>
    <w:p w:rsidR="000422AA" w:rsidRPr="000422AA" w:rsidRDefault="000422AA" w:rsidP="000422A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0422AA">
        <w:rPr>
          <w:rFonts w:ascii="Arial" w:eastAsia="Times New Roman" w:hAnsi="Arial" w:cs="Arial"/>
          <w:b/>
          <w:sz w:val="20"/>
          <w:szCs w:val="20"/>
          <w:lang w:val="es-ES_tradnl" w:eastAsia="es-ES"/>
        </w:rPr>
        <w:t>CAUSALES PARA EL RECHAZO DE LAS PROPUESTAS</w:t>
      </w:r>
    </w:p>
    <w:p w:rsidR="000422AA" w:rsidRPr="000422AA" w:rsidRDefault="000422AA" w:rsidP="000422A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20"/>
          <w:lang w:val="es-ES_tradnl" w:eastAsia="es-ES"/>
        </w:rPr>
      </w:pPr>
    </w:p>
    <w:p w:rsidR="000422AA" w:rsidRPr="000422AA" w:rsidRDefault="000422AA" w:rsidP="000422A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</w:pPr>
      <w:r w:rsidRPr="000422AA"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  <w:t>Cuando se compruebe que un proponente ha interferido, influenciado, u obtenido correspondencia interna, proyectos de concepto de evaluación o de respuesta a observaciones, no enviados oficialmente a los proponentes.</w:t>
      </w:r>
    </w:p>
    <w:p w:rsidR="000422AA" w:rsidRPr="000422AA" w:rsidRDefault="000422AA" w:rsidP="000422A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</w:pPr>
      <w:r w:rsidRPr="000422AA"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  <w:t>Cuando se compruebe confabulación entre los proponentes que altere de cualquier manera la aplicación del principio de selección objetiva.</w:t>
      </w:r>
    </w:p>
    <w:p w:rsidR="000422AA" w:rsidRPr="000422AA" w:rsidRDefault="000422AA" w:rsidP="000422A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</w:pPr>
      <w:r w:rsidRPr="000422AA"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  <w:t>Cuando el proponente o alguno de sus integrantes se encuentre incurso en las causales de inhabilidades o incompatibilidad fijadas por la Constitución y la Ley.</w:t>
      </w:r>
    </w:p>
    <w:p w:rsidR="000422AA" w:rsidRPr="000422AA" w:rsidRDefault="000422AA" w:rsidP="000422A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</w:pPr>
      <w:r w:rsidRPr="000422AA"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  <w:t>Cuando en la propuesta se encuentre información o documentos que no correspondan a la realidad que le permita cumplir un requisito mínimo.</w:t>
      </w:r>
    </w:p>
    <w:p w:rsidR="000422AA" w:rsidRPr="000422AA" w:rsidRDefault="000422AA" w:rsidP="000422A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</w:pPr>
      <w:r w:rsidRPr="000422AA"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  <w:t>Cuando el Objeto Social de la firma, incluido en el Certificado de Existencia y Representación Legal no faculte a la sociedad para desarrollar la actividad materia de la futura contratación.</w:t>
      </w:r>
    </w:p>
    <w:p w:rsidR="000422AA" w:rsidRPr="000422AA" w:rsidRDefault="000422AA" w:rsidP="000422A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</w:pPr>
      <w:r w:rsidRPr="000422AA"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  <w:t>Cuando el oferente sea persona jurídica y se encuentre incurso en alguna de las causales de disolución o liquidación proferidas por Autoridad Competente.</w:t>
      </w:r>
    </w:p>
    <w:p w:rsidR="000422AA" w:rsidRPr="000422AA" w:rsidRDefault="000422AA" w:rsidP="000422A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</w:pPr>
      <w:r w:rsidRPr="000422AA"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  <w:t>Cuando se presente más de una oferta</w:t>
      </w:r>
      <w:r w:rsidRPr="000422AA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</w:t>
      </w:r>
      <w:r w:rsidRPr="000422AA"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  <w:t>por un mismo oferente o se ostente la cali</w:t>
      </w:r>
      <w:bookmarkStart w:id="0" w:name="_GoBack"/>
      <w:bookmarkEnd w:id="0"/>
      <w:r w:rsidRPr="000422AA"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  <w:t>dad de representante legal o socio de más de una persona jurídica participante en el presente proceso de selección.</w:t>
      </w:r>
    </w:p>
    <w:p w:rsidR="000422AA" w:rsidRPr="000422AA" w:rsidRDefault="000422AA" w:rsidP="000422A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</w:pPr>
      <w:r w:rsidRPr="000422AA"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  <w:t>Cuando el valor de la propuesta contenga precios artificialmente bajos.</w:t>
      </w:r>
    </w:p>
    <w:p w:rsidR="000422AA" w:rsidRPr="000422AA" w:rsidRDefault="000422AA" w:rsidP="000422A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0422AA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No estar inscrito en el Registro Único de Proponentes  </w:t>
      </w:r>
    </w:p>
    <w:p w:rsidR="000422AA" w:rsidRPr="000422AA" w:rsidRDefault="000422AA" w:rsidP="000422A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</w:pPr>
      <w:r w:rsidRPr="000422AA">
        <w:rPr>
          <w:rFonts w:ascii="Arial" w:eastAsia="Times New Roman" w:hAnsi="Arial" w:cs="Arial"/>
          <w:sz w:val="20"/>
          <w:szCs w:val="20"/>
          <w:lang w:val="es-ES_tradnl" w:eastAsia="es-ES"/>
        </w:rPr>
        <w:t>Cuando la propuesta sobrepase el presupuesto oficial total establecido para el presente proceso contractual.</w:t>
      </w:r>
    </w:p>
    <w:p w:rsidR="000422AA" w:rsidRPr="000422AA" w:rsidRDefault="000422AA" w:rsidP="000422A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</w:pPr>
      <w:r w:rsidRPr="000422AA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Cuando el proponente no oferte un porcentaje de descuento en </w:t>
      </w:r>
      <w:r>
        <w:rPr>
          <w:rFonts w:ascii="Arial" w:eastAsia="Times New Roman" w:hAnsi="Arial" w:cs="Arial"/>
          <w:sz w:val="20"/>
          <w:szCs w:val="20"/>
          <w:lang w:val="es-ES_tradnl" w:eastAsia="es-ES"/>
        </w:rPr>
        <w:t>la</w:t>
      </w:r>
      <w:r w:rsidRPr="000422AA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propuesta económica. </w:t>
      </w:r>
    </w:p>
    <w:p w:rsidR="000422AA" w:rsidRPr="000422AA" w:rsidRDefault="000422AA" w:rsidP="000422A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</w:pPr>
      <w:r w:rsidRPr="000422AA">
        <w:rPr>
          <w:rFonts w:ascii="Arial" w:eastAsia="Times New Roman" w:hAnsi="Arial" w:cs="Arial"/>
          <w:sz w:val="20"/>
          <w:szCs w:val="20"/>
          <w:lang w:val="es-ES_tradnl" w:eastAsia="es-ES"/>
        </w:rPr>
        <w:t>Cuando exista una medida cautelar dispuesta por autoridad judicial competente.</w:t>
      </w:r>
    </w:p>
    <w:p w:rsidR="000422AA" w:rsidRPr="000422AA" w:rsidRDefault="000422AA" w:rsidP="000422A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</w:pPr>
      <w:r w:rsidRPr="000422AA"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  <w:t>No subsanar los documentos habilitantes hasta el momento antes de dar inicio de la subasta inversa presencial.</w:t>
      </w:r>
    </w:p>
    <w:p w:rsidR="000422AA" w:rsidRPr="000422AA" w:rsidRDefault="000422AA" w:rsidP="000422AA">
      <w:pPr>
        <w:autoSpaceDE w:val="0"/>
        <w:autoSpaceDN w:val="0"/>
        <w:spacing w:after="0" w:line="240" w:lineRule="auto"/>
        <w:ind w:left="720"/>
        <w:contextualSpacing/>
        <w:rPr>
          <w:rFonts w:ascii="Arial" w:eastAsia="Times New Roman" w:hAnsi="Arial" w:cs="Arial"/>
          <w:sz w:val="18"/>
          <w:szCs w:val="20"/>
          <w:lang w:val="es-ES_tradnl" w:eastAsia="es-ES"/>
        </w:rPr>
      </w:pPr>
    </w:p>
    <w:p w:rsidR="000422AA" w:rsidRPr="000422AA" w:rsidRDefault="000422AA" w:rsidP="000422A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  <w:r w:rsidRPr="000422AA"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  <w:t>CAUSALES PARA DECLARAR DESIERTO EL PROCESO</w:t>
      </w:r>
    </w:p>
    <w:p w:rsidR="000422AA" w:rsidRPr="000422AA" w:rsidRDefault="000422AA" w:rsidP="000422A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val="es-ES_tradnl" w:eastAsia="es-ES"/>
        </w:rPr>
      </w:pPr>
    </w:p>
    <w:p w:rsidR="000422AA" w:rsidRPr="000422AA" w:rsidRDefault="000422AA" w:rsidP="000422A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0422AA">
        <w:rPr>
          <w:rFonts w:ascii="Arial" w:eastAsia="Times New Roman" w:hAnsi="Arial" w:cs="Arial"/>
          <w:sz w:val="20"/>
          <w:szCs w:val="20"/>
          <w:lang w:val="es-ES_tradnl" w:eastAsia="es-ES"/>
        </w:rPr>
        <w:t>LA POLICÍA METROPOLITANA DE VILLAVICENCIO, declarará desierto el presente proceso al vencimiento del plazo previsto para adjudicar, cuando entre las propuestas presentadas no se logre adjudicar a ninguna el contrato ofrecido, ya sea porque las propuestas no cumplan con las condiciones para ser adjudicatarias, porque no se presenten propuestas, o por cualquier otra causa que impida la selección objetiva.</w:t>
      </w:r>
    </w:p>
    <w:p w:rsidR="000422AA" w:rsidRPr="000422AA" w:rsidRDefault="000422AA" w:rsidP="000422A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0422AA" w:rsidRPr="000422AA" w:rsidRDefault="000422AA" w:rsidP="000422A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0422AA">
        <w:rPr>
          <w:rFonts w:ascii="Arial" w:eastAsia="Times New Roman" w:hAnsi="Arial" w:cs="Arial"/>
          <w:sz w:val="20"/>
          <w:szCs w:val="20"/>
          <w:lang w:val="es-ES_tradnl" w:eastAsia="es-ES"/>
        </w:rPr>
        <w:t>Si de la consulta y análisis de precios o condiciones del mercado se desprende que no existen razones que justifiquen la diferencia de precios entre los precios de referencia y los presentados por los oferentes en el presente proceso, la entidad podrá descalificarlos o declarar desierto el proceso, caso en el cual deberá darse inicio a uno nuevo.</w:t>
      </w:r>
    </w:p>
    <w:p w:rsidR="000422AA" w:rsidRPr="000422AA" w:rsidRDefault="000422AA" w:rsidP="000422A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20"/>
          <w:lang w:val="es-ES_tradnl" w:eastAsia="es-ES"/>
        </w:rPr>
      </w:pPr>
    </w:p>
    <w:p w:rsidR="000422AA" w:rsidRPr="000422AA" w:rsidRDefault="000422AA" w:rsidP="000422A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0422AA">
        <w:rPr>
          <w:rFonts w:ascii="Arial" w:eastAsia="Times New Roman" w:hAnsi="Arial" w:cs="Arial"/>
          <w:sz w:val="20"/>
          <w:szCs w:val="20"/>
          <w:lang w:val="es-ES_tradnl" w:eastAsia="es-ES"/>
        </w:rPr>
        <w:t>La declaratoria de desierta del proceso se hará mediante acto motivado, el cual se notificará a todos los proponentes. Contra este acto administrativo procede el recurso de reposición, en las condiciones establecidas en el artículo 74 del Código de Procedimiento Administrativo y de lo Contencioso Administrativo.</w:t>
      </w:r>
    </w:p>
    <w:p w:rsidR="00F94DD7" w:rsidRPr="00F94DD7" w:rsidRDefault="00F94DD7" w:rsidP="000422AA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sectPr w:rsidR="00F94DD7" w:rsidRPr="00F94DD7" w:rsidSect="000422AA">
      <w:foot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4DD7" w:rsidRDefault="00BF4DD7" w:rsidP="000422AA">
      <w:pPr>
        <w:spacing w:after="0" w:line="240" w:lineRule="auto"/>
      </w:pPr>
      <w:r>
        <w:separator/>
      </w:r>
    </w:p>
  </w:endnote>
  <w:endnote w:type="continuationSeparator" w:id="0">
    <w:p w:rsidR="00BF4DD7" w:rsidRDefault="00BF4DD7" w:rsidP="00042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2AA" w:rsidRPr="000422AA" w:rsidRDefault="000422AA" w:rsidP="000422AA">
    <w:pPr>
      <w:pStyle w:val="Piedepgina"/>
      <w:jc w:val="center"/>
      <w:rPr>
        <w:rFonts w:ascii="Arial" w:hAnsi="Arial" w:cs="Arial"/>
        <w:sz w:val="24"/>
      </w:rPr>
    </w:pPr>
    <w:r w:rsidRPr="000422AA">
      <w:rPr>
        <w:rFonts w:ascii="Arial" w:hAnsi="Arial" w:cs="Arial"/>
        <w:sz w:val="18"/>
        <w:szCs w:val="16"/>
      </w:rPr>
      <w:t xml:space="preserve">Página </w:t>
    </w:r>
    <w:r w:rsidRPr="000422AA">
      <w:rPr>
        <w:rFonts w:ascii="Arial" w:hAnsi="Arial" w:cs="Arial"/>
        <w:b/>
        <w:sz w:val="18"/>
        <w:szCs w:val="16"/>
      </w:rPr>
      <w:fldChar w:fldCharType="begin"/>
    </w:r>
    <w:r w:rsidRPr="000422AA">
      <w:rPr>
        <w:rFonts w:ascii="Arial" w:hAnsi="Arial" w:cs="Arial"/>
        <w:b/>
        <w:sz w:val="18"/>
        <w:szCs w:val="16"/>
      </w:rPr>
      <w:instrText>PAGE</w:instrText>
    </w:r>
    <w:r w:rsidRPr="000422AA">
      <w:rPr>
        <w:rFonts w:ascii="Arial" w:hAnsi="Arial" w:cs="Arial"/>
        <w:b/>
        <w:sz w:val="18"/>
        <w:szCs w:val="16"/>
      </w:rPr>
      <w:fldChar w:fldCharType="separate"/>
    </w:r>
    <w:r>
      <w:rPr>
        <w:rFonts w:ascii="Arial" w:hAnsi="Arial" w:cs="Arial"/>
        <w:b/>
        <w:noProof/>
        <w:sz w:val="18"/>
        <w:szCs w:val="16"/>
      </w:rPr>
      <w:t>1</w:t>
    </w:r>
    <w:r w:rsidRPr="000422AA">
      <w:rPr>
        <w:rFonts w:ascii="Arial" w:hAnsi="Arial" w:cs="Arial"/>
        <w:b/>
        <w:sz w:val="18"/>
        <w:szCs w:val="16"/>
      </w:rPr>
      <w:fldChar w:fldCharType="end"/>
    </w:r>
    <w:r w:rsidRPr="000422AA">
      <w:rPr>
        <w:rFonts w:ascii="Arial" w:hAnsi="Arial" w:cs="Arial"/>
        <w:sz w:val="18"/>
        <w:szCs w:val="16"/>
      </w:rPr>
      <w:t xml:space="preserve"> de </w:t>
    </w:r>
    <w:r w:rsidRPr="000422AA">
      <w:rPr>
        <w:rFonts w:ascii="Arial" w:hAnsi="Arial" w:cs="Arial"/>
        <w:b/>
        <w:sz w:val="18"/>
        <w:szCs w:val="16"/>
      </w:rPr>
      <w:fldChar w:fldCharType="begin"/>
    </w:r>
    <w:r w:rsidRPr="000422AA">
      <w:rPr>
        <w:rFonts w:ascii="Arial" w:hAnsi="Arial" w:cs="Arial"/>
        <w:b/>
        <w:sz w:val="18"/>
        <w:szCs w:val="16"/>
      </w:rPr>
      <w:instrText>NUMPAGES</w:instrText>
    </w:r>
    <w:r w:rsidRPr="000422AA">
      <w:rPr>
        <w:rFonts w:ascii="Arial" w:hAnsi="Arial" w:cs="Arial"/>
        <w:b/>
        <w:sz w:val="18"/>
        <w:szCs w:val="16"/>
      </w:rPr>
      <w:fldChar w:fldCharType="separate"/>
    </w:r>
    <w:r>
      <w:rPr>
        <w:rFonts w:ascii="Arial" w:hAnsi="Arial" w:cs="Arial"/>
        <w:b/>
        <w:noProof/>
        <w:sz w:val="18"/>
        <w:szCs w:val="16"/>
      </w:rPr>
      <w:t>1</w:t>
    </w:r>
    <w:r w:rsidRPr="000422AA">
      <w:rPr>
        <w:rFonts w:ascii="Arial" w:hAnsi="Arial" w:cs="Arial"/>
        <w:b/>
        <w:sz w:val="18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4DD7" w:rsidRDefault="00BF4DD7" w:rsidP="000422AA">
      <w:pPr>
        <w:spacing w:after="0" w:line="240" w:lineRule="auto"/>
      </w:pPr>
      <w:r>
        <w:separator/>
      </w:r>
    </w:p>
  </w:footnote>
  <w:footnote w:type="continuationSeparator" w:id="0">
    <w:p w:rsidR="00BF4DD7" w:rsidRDefault="00BF4DD7" w:rsidP="000422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7E276971"/>
    <w:multiLevelType w:val="hybridMultilevel"/>
    <w:tmpl w:val="D58A9CD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EE1"/>
    <w:rsid w:val="000422AA"/>
    <w:rsid w:val="00190211"/>
    <w:rsid w:val="00816EE1"/>
    <w:rsid w:val="00BF4DD7"/>
    <w:rsid w:val="00C619B6"/>
    <w:rsid w:val="00F9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43580BB-5A8E-47D7-A89F-F078FE00B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Paragraphe de liste1,lp1,Elabora,List Paragraph1,Use Case List Paragraph,Lista vistosa - Énfasis 13,Ha,titulo 3,HOJA,Bolita,Párrafo de lista4,BOLADEF,BO"/>
    <w:basedOn w:val="Normal"/>
    <w:link w:val="PrrafodelistaCar"/>
    <w:uiPriority w:val="34"/>
    <w:qFormat/>
    <w:rsid w:val="00F94DD7"/>
    <w:pPr>
      <w:autoSpaceDE w:val="0"/>
      <w:autoSpaceDN w:val="0"/>
      <w:spacing w:after="0" w:line="240" w:lineRule="auto"/>
      <w:ind w:left="720"/>
      <w:contextualSpacing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Elabora Car,List Paragraph1 Car,Use Case List Paragraph Car,Lista vistosa - Énfasis 13 Car,Ha Car,titulo 3 Car,HOJA Car,Bolita Car,BOLADEF Car"/>
    <w:link w:val="Prrafodelista"/>
    <w:uiPriority w:val="34"/>
    <w:rsid w:val="00F94DD7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0422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422A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0422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0422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453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MEVIL - DIEGO ALEXANDER SANCHEZ CARREÑO</dc:creator>
  <cp:keywords/>
  <dc:description/>
  <cp:lastModifiedBy>MEVIL - DIEGO ALEXANDER SANCHEZ CARREÑO</cp:lastModifiedBy>
  <cp:revision>3</cp:revision>
  <dcterms:created xsi:type="dcterms:W3CDTF">2017-08-11T20:58:00Z</dcterms:created>
  <dcterms:modified xsi:type="dcterms:W3CDTF">2017-09-06T20:24:00Z</dcterms:modified>
</cp:coreProperties>
</file>