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3A7" w:rsidRDefault="00932AA0" w:rsidP="00B15E97">
      <w:pPr>
        <w:jc w:val="center"/>
        <w:rPr>
          <w:rFonts w:ascii="Arial" w:hAnsi="Arial" w:cs="Arial"/>
          <w:b/>
          <w:sz w:val="24"/>
        </w:rPr>
      </w:pPr>
      <w:r w:rsidRPr="00B15E97">
        <w:rPr>
          <w:rFonts w:ascii="Arial" w:hAnsi="Arial" w:cs="Arial"/>
          <w:b/>
          <w:sz w:val="24"/>
        </w:rPr>
        <w:t>Presupuesto</w:t>
      </w:r>
      <w:r w:rsidR="00B15E97" w:rsidRPr="00B15E97">
        <w:rPr>
          <w:rFonts w:ascii="Arial" w:hAnsi="Arial" w:cs="Arial"/>
          <w:b/>
          <w:sz w:val="24"/>
        </w:rPr>
        <w:t xml:space="preserve"> </w:t>
      </w:r>
      <w:r w:rsidR="009045D0" w:rsidRPr="009045D0">
        <w:rPr>
          <w:rFonts w:ascii="Arial" w:hAnsi="Arial" w:cs="Arial"/>
          <w:b/>
          <w:sz w:val="24"/>
        </w:rPr>
        <w:t>Lote 16: Desarrolladores, programadores y sistemas de información.  (Software, BI, bases de datos y/o lenguajes de programación) - Grupo 1</w:t>
      </w:r>
    </w:p>
    <w:p w:rsidR="00667AD2" w:rsidRDefault="00667AD2" w:rsidP="00B15E97">
      <w:pPr>
        <w:jc w:val="center"/>
        <w:rPr>
          <w:rFonts w:ascii="Arial" w:hAnsi="Arial" w:cs="Arial"/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7"/>
        <w:gridCol w:w="1349"/>
        <w:gridCol w:w="2023"/>
        <w:gridCol w:w="1939"/>
        <w:gridCol w:w="631"/>
        <w:gridCol w:w="739"/>
        <w:gridCol w:w="1113"/>
        <w:gridCol w:w="1619"/>
      </w:tblGrid>
      <w:tr w:rsidR="00AC23A9" w:rsidRPr="00AC23A9" w:rsidTr="00AC23A9">
        <w:trPr>
          <w:trHeight w:val="675"/>
          <w:tblHeader/>
        </w:trPr>
        <w:tc>
          <w:tcPr>
            <w:tcW w:w="527" w:type="pct"/>
            <w:shd w:val="clear" w:color="000000" w:fill="D9D9D9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Componente </w:t>
            </w:r>
          </w:p>
        </w:tc>
        <w:tc>
          <w:tcPr>
            <w:tcW w:w="775" w:type="pct"/>
            <w:shd w:val="clear" w:color="000000" w:fill="D9D9D9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Actividad </w:t>
            </w:r>
          </w:p>
        </w:tc>
        <w:tc>
          <w:tcPr>
            <w:tcW w:w="1087" w:type="pct"/>
            <w:shd w:val="clear" w:color="000000" w:fill="D9D9D9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Producto </w:t>
            </w:r>
          </w:p>
        </w:tc>
        <w:tc>
          <w:tcPr>
            <w:tcW w:w="1048" w:type="pct"/>
            <w:shd w:val="clear" w:color="000000" w:fill="D9D9D9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Detalle </w:t>
            </w:r>
          </w:p>
        </w:tc>
        <w:tc>
          <w:tcPr>
            <w:tcW w:w="286" w:type="pct"/>
            <w:shd w:val="clear" w:color="000000" w:fill="D9D9D9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Unidad de medida </w:t>
            </w:r>
          </w:p>
        </w:tc>
        <w:tc>
          <w:tcPr>
            <w:tcW w:w="267" w:type="pct"/>
            <w:shd w:val="clear" w:color="000000" w:fill="D9D9D9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Cantidad</w:t>
            </w:r>
          </w:p>
        </w:tc>
        <w:tc>
          <w:tcPr>
            <w:tcW w:w="410" w:type="pct"/>
            <w:shd w:val="clear" w:color="000000" w:fill="D9D9D9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 Valor Unitario </w:t>
            </w:r>
          </w:p>
        </w:tc>
        <w:tc>
          <w:tcPr>
            <w:tcW w:w="599" w:type="pct"/>
            <w:shd w:val="clear" w:color="000000" w:fill="D9D9D9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 Valor Total  </w:t>
            </w:r>
          </w:p>
        </w:tc>
      </w:tr>
      <w:tr w:rsidR="00AC23A9" w:rsidRPr="00AC23A9" w:rsidTr="00AC23A9">
        <w:trPr>
          <w:trHeight w:val="1185"/>
        </w:trPr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COMPONENTE 1: Identificación y selección de talentos </w:t>
            </w: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sz w:val="14"/>
                <w:szCs w:val="16"/>
                <w:u w:val="single"/>
              </w:rPr>
              <w:t xml:space="preserve">1.1. Convocatoria de talentos.  </w:t>
            </w:r>
            <w:r w:rsidRPr="00AC23A9">
              <w:rPr>
                <w:rFonts w:ascii="Arial" w:eastAsia="Times New Roman" w:hAnsi="Arial" w:cs="Arial"/>
                <w:sz w:val="14"/>
                <w:szCs w:val="16"/>
                <w:u w:val="single"/>
              </w:rPr>
              <w:br/>
              <w:t>1.2. Inscripción de talentos.</w:t>
            </w:r>
            <w:r w:rsidRPr="00AC23A9">
              <w:rPr>
                <w:rFonts w:ascii="Arial" w:eastAsia="Times New Roman" w:hAnsi="Arial" w:cs="Arial"/>
                <w:sz w:val="14"/>
                <w:szCs w:val="16"/>
              </w:rPr>
              <w:t xml:space="preserve">  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a) Informe general del proceso de convocatoria e inscripción que contenga las estrategias implementadas y resultados obtenidos. 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Campañas publicitarias en diferentes medios: radiales y/o en redes sociales (Twitter, Facebook, Instagram, entre otros), emisión de boletines, volanteo entre otros. 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720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sz w:val="14"/>
                <w:szCs w:val="16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Apoyo logístico y operativo, materiales e implementos, alimentación y transporte  para la inscripción presencial. 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675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1.3. Selección de talentos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b) Base de datos de los aspirantes que presentaron las pruebas de selección con los resultados. 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Apoyo logístico y operativo, materiales </w:t>
            </w:r>
            <w:r w:rsidR="007F1FBC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e implementos para la selección.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300"/>
        </w:trPr>
        <w:tc>
          <w:tcPr>
            <w:tcW w:w="4401" w:type="pct"/>
            <w:gridSpan w:val="7"/>
            <w:shd w:val="clear" w:color="000000" w:fill="E2EFDA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Total COMPONENTE 1: Identificación y selección de talentos </w:t>
            </w:r>
          </w:p>
        </w:tc>
        <w:tc>
          <w:tcPr>
            <w:tcW w:w="599" w:type="pct"/>
            <w:shd w:val="clear" w:color="000000" w:fill="E2EFDA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510"/>
        </w:trPr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COMPONENTE 2: CUALIFICACIÓN DE TALENTOS</w:t>
            </w: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2.1. Evento de ingreso y contextualización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a) Informe de los resultados del evento de ingreso y contextualización. 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Materiales e implementos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450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Actividad dirigida para el evento de ingreso en la institución formadora 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Unidad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1155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 xml:space="preserve">2.2. Matrícula de Talentos y Administrar la información del programa 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a) Acta de cierre de estudiantes matriculados.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 xml:space="preserve">Auxiliar administrativo: 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gestión de Matricula, Sistematización, Seguimiento y control de refrigerios y transporte, seguimiento a la inasistencia y deserciones. 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20"/>
              </w:rPr>
              <w:t xml:space="preserve"> </w:t>
            </w:r>
            <w:r w:rsidRPr="00AC23A9">
              <w:rPr>
                <w:rFonts w:ascii="Arial" w:eastAsia="Times New Roman" w:hAnsi="Arial" w:cs="Arial"/>
                <w:color w:val="FF0000"/>
                <w:sz w:val="14"/>
                <w:szCs w:val="20"/>
              </w:rPr>
              <w:t>*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Mes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9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1.465.900 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           13.193.100 </w:t>
            </w:r>
          </w:p>
        </w:tc>
      </w:tr>
      <w:tr w:rsidR="00AC23A9" w:rsidRPr="00AC23A9" w:rsidTr="00AC23A9">
        <w:trPr>
          <w:trHeight w:val="450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b) Informes mensuales de Seguimiento al proyecto.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Coordinación, seguimiento y gestión del proyecto. 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750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2.3. Formación de talentos: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(técnico Laboral hasta 1200 horas). Nivelación, Cupos Educativo fase lectiva y fase práctica. 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br/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 xml:space="preserve">2.4. Orientación para la Educación Superior 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br/>
              <w:t xml:space="preserve">2.5. Evento de Cierre y Certificación 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a) Informe de seguimiento académico.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br/>
              <w:t>b) Informes mensuales de avance del proyecto.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br/>
              <w:t>c) Informe de la Orientación a los estudiantes para la educación superior que contenga las estrategias utilizadas y los resultados obtenidos.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br/>
              <w:t>a) Actas generales y/o firma en libros de certificación</w:t>
            </w:r>
          </w:p>
        </w:tc>
        <w:tc>
          <w:tcPr>
            <w:tcW w:w="1048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Cupo Educativo </w:t>
            </w: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mínimo 600 y máximo en 1.200 horas 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(Fase lectiva y Fase práctica), Orientación ES</w:t>
            </w:r>
            <w:r w:rsidRPr="00AC23A9">
              <w:rPr>
                <w:rFonts w:ascii="Arial" w:eastAsia="Times New Roman" w:hAnsi="Arial" w:cs="Arial"/>
                <w:sz w:val="14"/>
                <w:szCs w:val="16"/>
              </w:rPr>
              <w:t xml:space="preserve"> y Certificación. </w:t>
            </w:r>
          </w:p>
        </w:tc>
        <w:tc>
          <w:tcPr>
            <w:tcW w:w="286" w:type="pct"/>
            <w:vMerge w:val="restar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Unidad </w:t>
            </w:r>
          </w:p>
        </w:tc>
        <w:tc>
          <w:tcPr>
            <w:tcW w:w="267" w:type="pct"/>
            <w:vMerge w:val="restar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125</w:t>
            </w:r>
          </w:p>
        </w:tc>
        <w:tc>
          <w:tcPr>
            <w:tcW w:w="410" w:type="pct"/>
            <w:vMerge w:val="restar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vMerge w:val="restar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750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286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26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410" w:type="pct"/>
            <w:vMerge/>
            <w:vAlign w:val="center"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vMerge/>
            <w:vAlign w:val="center"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750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286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26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410" w:type="pct"/>
            <w:vMerge/>
            <w:vAlign w:val="center"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vMerge/>
            <w:vAlign w:val="center"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300"/>
        </w:trPr>
        <w:tc>
          <w:tcPr>
            <w:tcW w:w="3724" w:type="pct"/>
            <w:gridSpan w:val="5"/>
            <w:shd w:val="clear" w:color="000000" w:fill="E2EFDA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Total COMPONENTE 2: CUALIFICACIÓN DE TALENTOS</w:t>
            </w:r>
          </w:p>
        </w:tc>
        <w:tc>
          <w:tcPr>
            <w:tcW w:w="267" w:type="pct"/>
            <w:shd w:val="clear" w:color="000000" w:fill="E2EFDA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410" w:type="pct"/>
            <w:shd w:val="clear" w:color="000000" w:fill="E2EFDA"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599" w:type="pct"/>
            <w:shd w:val="clear" w:color="000000" w:fill="E2EFDA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1440"/>
        </w:trPr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COMPONENTE 3: ESTRATÉGIAS TRANSVERSALES </w:t>
            </w: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 xml:space="preserve">3.1. Acompañamiento Psicosocial 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a) Informe de estrategias de Acompañamiento Psicosocial.  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br/>
              <w:t xml:space="preserve">b) Informe de los resultados de estrategias utilizadas para la motivación a la asistencia y prevención a la deserción.  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Profesional Psicosocial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: Responsable del desarrollo del componente psicosocial y dinamizador de la contención a la deserción.</w:t>
            </w: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 (desde el inicio del proceso formativo hasta la certificación de los estudiantes)</w:t>
            </w:r>
            <w:r w:rsidRPr="00AC23A9">
              <w:rPr>
                <w:rFonts w:ascii="Arial" w:eastAsia="Times New Roman" w:hAnsi="Arial" w:cs="Arial"/>
                <w:b/>
                <w:bCs/>
                <w:color w:val="FF0000"/>
                <w:sz w:val="14"/>
                <w:szCs w:val="20"/>
              </w:rPr>
              <w:t>*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Mes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9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3.032.000 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           27.288.000 </w:t>
            </w:r>
          </w:p>
        </w:tc>
      </w:tr>
      <w:tr w:rsidR="00AC23A9" w:rsidRPr="00AC23A9" w:rsidTr="00AC23A9">
        <w:trPr>
          <w:trHeight w:val="450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Transferencia de conocimiento modelo de formación </w:t>
            </w:r>
            <w:r w:rsidRPr="00AC23A9">
              <w:rPr>
                <w:rFonts w:ascii="Arial" w:eastAsia="Times New Roman" w:hAnsi="Arial" w:cs="Arial"/>
                <w:color w:val="FF0000"/>
                <w:sz w:val="14"/>
                <w:szCs w:val="16"/>
              </w:rPr>
              <w:t>*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   250.000 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                250.000 </w:t>
            </w:r>
          </w:p>
        </w:tc>
      </w:tr>
      <w:tr w:rsidR="00AC23A9" w:rsidRPr="00AC23A9" w:rsidTr="00AC23A9">
        <w:trPr>
          <w:trHeight w:val="300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Encuentro intergeneracional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300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3.2. Motivación a la asistencia y prevención a la deserción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a) Entrega de apoyos de bienestar a los estudiantes matriculados.  (Transporte fase lectiva y práctica, Refrigerio fase lectiva, póliza estudiantil, insumos básicos) 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Transporte</w:t>
            </w:r>
            <w:r w:rsidRPr="00AC23A9">
              <w:rPr>
                <w:rFonts w:ascii="Arial" w:eastAsia="Times New Roman" w:hAnsi="Arial" w:cs="Arial"/>
                <w:color w:val="FF0000"/>
                <w:sz w:val="14"/>
                <w:szCs w:val="20"/>
              </w:rPr>
              <w:t>*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Unidad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20000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       5.076 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         101.520.000 </w:t>
            </w:r>
          </w:p>
        </w:tc>
      </w:tr>
      <w:tr w:rsidR="00AC23A9" w:rsidRPr="00AC23A9" w:rsidTr="00AC23A9">
        <w:trPr>
          <w:trHeight w:val="300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Refrigerio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Unidad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10625</w:t>
            </w:r>
          </w:p>
        </w:tc>
        <w:tc>
          <w:tcPr>
            <w:tcW w:w="410" w:type="pct"/>
            <w:shd w:val="clear" w:color="auto" w:fill="auto"/>
            <w:noWrap/>
            <w:vAlign w:val="bottom"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300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Implementos básicos para la formación</w:t>
            </w:r>
            <w:r w:rsidRPr="00AC23A9">
              <w:rPr>
                <w:rFonts w:ascii="Arial" w:eastAsia="Times New Roman" w:hAnsi="Arial" w:cs="Arial"/>
                <w:color w:val="FF0000"/>
                <w:sz w:val="14"/>
                <w:szCs w:val="16"/>
              </w:rPr>
              <w:t xml:space="preserve"> 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sz w:val="14"/>
                <w:szCs w:val="16"/>
              </w:rPr>
              <w:t xml:space="preserve">Unidad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sz w:val="14"/>
                <w:szCs w:val="16"/>
              </w:rPr>
              <w:t>125</w:t>
            </w:r>
          </w:p>
        </w:tc>
        <w:tc>
          <w:tcPr>
            <w:tcW w:w="410" w:type="pct"/>
            <w:shd w:val="clear" w:color="auto" w:fill="auto"/>
            <w:noWrap/>
            <w:vAlign w:val="bottom"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300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Póliza Estudiantil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Unidad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125</w:t>
            </w:r>
          </w:p>
        </w:tc>
        <w:tc>
          <w:tcPr>
            <w:tcW w:w="410" w:type="pct"/>
            <w:shd w:val="clear" w:color="auto" w:fill="auto"/>
            <w:noWrap/>
            <w:vAlign w:val="bottom"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300"/>
        </w:trPr>
        <w:tc>
          <w:tcPr>
            <w:tcW w:w="3724" w:type="pct"/>
            <w:gridSpan w:val="5"/>
            <w:shd w:val="clear" w:color="000000" w:fill="E2EFDA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Total COMPONENTE 3: ESTRATÉGIAS TRANSVERSALES </w:t>
            </w:r>
          </w:p>
        </w:tc>
        <w:tc>
          <w:tcPr>
            <w:tcW w:w="267" w:type="pct"/>
            <w:shd w:val="clear" w:color="000000" w:fill="E2EFDA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410" w:type="pct"/>
            <w:shd w:val="clear" w:color="000000" w:fill="E2EFDA"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 </w:t>
            </w:r>
          </w:p>
        </w:tc>
        <w:tc>
          <w:tcPr>
            <w:tcW w:w="599" w:type="pct"/>
            <w:shd w:val="clear" w:color="000000" w:fill="E2EFDA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1935"/>
        </w:trPr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COMPONENTE 4: INTERMEDIACIÓN Y VINCULACIÓN LABORAL </w:t>
            </w: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4.1.  Orientación Vocacional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br w:type="page"/>
              <w:t>4.2.  Orientación Ocupacional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br w:type="page"/>
              <w:t>4.6. Vinculación Laboral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a) Inserción laboral para Técnicos laborales: Área de Fortalecimiento y Especialización un 30% y Área de Oportunidad 20% sobre el total de estudiantes certificados y Académicos: 20% Inglés sobre el total de estudiantes certificados.</w:t>
            </w: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Profesional para el componente de intermediación e inserción laboral: Responsable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del desarrollo del componente de intermediación e inserción laboral y de velar por el cumplimiento de la meta de inserción laboral.</w:t>
            </w: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 (Iniciando después del proceso de matrícula hasta finalización del contrato).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</w:t>
            </w:r>
            <w:r w:rsidRPr="00AC23A9">
              <w:rPr>
                <w:rFonts w:ascii="Arial" w:eastAsia="Times New Roman" w:hAnsi="Arial" w:cs="Arial"/>
                <w:color w:val="000000"/>
                <w:sz w:val="14"/>
                <w:szCs w:val="20"/>
              </w:rPr>
              <w:t xml:space="preserve"> </w:t>
            </w:r>
            <w:r w:rsidRPr="00AC23A9">
              <w:rPr>
                <w:rFonts w:ascii="Arial" w:eastAsia="Times New Roman" w:hAnsi="Arial" w:cs="Arial"/>
                <w:color w:val="FF0000"/>
                <w:sz w:val="14"/>
                <w:szCs w:val="20"/>
              </w:rPr>
              <w:t>*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Mes 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7</w:t>
            </w:r>
          </w:p>
        </w:tc>
        <w:tc>
          <w:tcPr>
            <w:tcW w:w="410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3.032.000 </w:t>
            </w:r>
          </w:p>
        </w:tc>
        <w:tc>
          <w:tcPr>
            <w:tcW w:w="599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 $                 21.224.000 </w:t>
            </w:r>
          </w:p>
        </w:tc>
      </w:tr>
      <w:tr w:rsidR="00AC23A9" w:rsidRPr="00AC23A9" w:rsidTr="00AC23A9">
        <w:trPr>
          <w:trHeight w:val="525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sz w:val="14"/>
                <w:szCs w:val="16"/>
              </w:rPr>
              <w:t>Materiales e Insumos orientación ocupacional (hoja de vida y fotos)</w:t>
            </w:r>
          </w:p>
        </w:tc>
        <w:tc>
          <w:tcPr>
            <w:tcW w:w="286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450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  <w:t>4.5. Conexión empresarial</w:t>
            </w:r>
          </w:p>
        </w:tc>
        <w:tc>
          <w:tcPr>
            <w:tcW w:w="1087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a) Informe con los resultados del evento conexión empresarial que incluya listados de asistencia y registros fotográficos. </w:t>
            </w:r>
          </w:p>
        </w:tc>
        <w:tc>
          <w:tcPr>
            <w:tcW w:w="1048" w:type="pct"/>
            <w:vMerge w:val="restart"/>
            <w:shd w:val="clear" w:color="auto" w:fill="auto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 xml:space="preserve">Apoyo logístico y operativo, materiales e implementos, alimentación, entre otros. </w:t>
            </w:r>
          </w:p>
        </w:tc>
        <w:tc>
          <w:tcPr>
            <w:tcW w:w="286" w:type="pct"/>
            <w:vMerge w:val="restar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Global</w:t>
            </w:r>
          </w:p>
        </w:tc>
        <w:tc>
          <w:tcPr>
            <w:tcW w:w="267" w:type="pct"/>
            <w:vMerge w:val="restart"/>
            <w:shd w:val="clear" w:color="auto" w:fill="auto"/>
            <w:noWrap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color w:val="000000"/>
                <w:sz w:val="14"/>
                <w:szCs w:val="16"/>
              </w:rPr>
              <w:t>1</w:t>
            </w:r>
          </w:p>
        </w:tc>
        <w:tc>
          <w:tcPr>
            <w:tcW w:w="410" w:type="pct"/>
            <w:vMerge w:val="restar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vMerge w:val="restart"/>
            <w:shd w:val="clear" w:color="auto" w:fill="auto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450"/>
        </w:trPr>
        <w:tc>
          <w:tcPr>
            <w:tcW w:w="52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75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  <w:u w:val="single"/>
              </w:rPr>
            </w:pPr>
          </w:p>
        </w:tc>
        <w:tc>
          <w:tcPr>
            <w:tcW w:w="108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1048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286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267" w:type="pct"/>
            <w:vMerge/>
            <w:vAlign w:val="center"/>
            <w:hideMark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410" w:type="pct"/>
            <w:vMerge/>
            <w:vAlign w:val="center"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  <w:tc>
          <w:tcPr>
            <w:tcW w:w="599" w:type="pct"/>
            <w:vMerge/>
            <w:vAlign w:val="center"/>
          </w:tcPr>
          <w:p w:rsidR="00AC23A9" w:rsidRPr="00AC23A9" w:rsidRDefault="00AC23A9" w:rsidP="00AC23A9">
            <w:pPr>
              <w:rPr>
                <w:rFonts w:ascii="Arial" w:eastAsia="Times New Roman" w:hAnsi="Arial" w:cs="Arial"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315"/>
        </w:trPr>
        <w:tc>
          <w:tcPr>
            <w:tcW w:w="4401" w:type="pct"/>
            <w:gridSpan w:val="7"/>
            <w:shd w:val="clear" w:color="000000" w:fill="E2EFDA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 xml:space="preserve">Total COMPONENTE 4: INTERMEDIACIÓN Y VINCULACIÓN LABORAL </w:t>
            </w:r>
          </w:p>
        </w:tc>
        <w:tc>
          <w:tcPr>
            <w:tcW w:w="599" w:type="pct"/>
            <w:shd w:val="clear" w:color="000000" w:fill="E2EFDA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</w:tr>
      <w:tr w:rsidR="00AC23A9" w:rsidRPr="00AC23A9" w:rsidTr="00AC23A9">
        <w:trPr>
          <w:trHeight w:val="600"/>
        </w:trPr>
        <w:tc>
          <w:tcPr>
            <w:tcW w:w="4401" w:type="pct"/>
            <w:gridSpan w:val="7"/>
            <w:shd w:val="clear" w:color="000000" w:fill="D9D9D9"/>
            <w:vAlign w:val="center"/>
            <w:hideMark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TOTAL GENERAL Presupuestos</w:t>
            </w:r>
            <w:r w:rsidRPr="00AC23A9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br/>
              <w:t>Lote 16: Desarrolladores, programadores y sistemas de información.  (software, BI, bases de datos y/o lengu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  <w:t>ajes de programación) - Grupo 1</w:t>
            </w:r>
          </w:p>
        </w:tc>
        <w:tc>
          <w:tcPr>
            <w:tcW w:w="599" w:type="pct"/>
            <w:shd w:val="clear" w:color="000000" w:fill="D9D9D9"/>
            <w:noWrap/>
            <w:vAlign w:val="center"/>
          </w:tcPr>
          <w:p w:rsidR="00AC23A9" w:rsidRPr="00AC23A9" w:rsidRDefault="00AC23A9" w:rsidP="00AC23A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6"/>
              </w:rPr>
            </w:pPr>
          </w:p>
        </w:tc>
      </w:tr>
    </w:tbl>
    <w:p w:rsidR="005B1A6A" w:rsidRDefault="005B1A6A" w:rsidP="00B15E97">
      <w:pPr>
        <w:jc w:val="center"/>
        <w:rPr>
          <w:rFonts w:ascii="Arial" w:hAnsi="Arial" w:cs="Arial"/>
          <w:b/>
          <w:sz w:val="24"/>
        </w:rPr>
      </w:pPr>
    </w:p>
    <w:p w:rsidR="00B15E97" w:rsidRPr="00B15E97" w:rsidRDefault="00B15E97" w:rsidP="00B15E97">
      <w:pPr>
        <w:rPr>
          <w:rFonts w:eastAsia="Times New Roman"/>
          <w:b/>
          <w:bCs/>
          <w:color w:val="000000"/>
        </w:rPr>
      </w:pPr>
      <w:r w:rsidRPr="00B15E97">
        <w:rPr>
          <w:rFonts w:eastAsia="Times New Roman"/>
          <w:b/>
          <w:bCs/>
          <w:color w:val="FF0000"/>
        </w:rPr>
        <w:t>*</w:t>
      </w:r>
      <w:r w:rsidRPr="00B15E97">
        <w:rPr>
          <w:rFonts w:eastAsia="Times New Roman"/>
          <w:color w:val="FF0000"/>
        </w:rPr>
        <w:t xml:space="preserve"> </w:t>
      </w:r>
      <w:r w:rsidRPr="00B15E97">
        <w:rPr>
          <w:rFonts w:eastAsia="Times New Roman"/>
          <w:color w:val="000000"/>
        </w:rPr>
        <w:t xml:space="preserve">Estos valores son costos fijos, por lo tanto no pueden ser modificados. </w:t>
      </w:r>
      <w:bookmarkStart w:id="0" w:name="_GoBack"/>
      <w:bookmarkEnd w:id="0"/>
    </w:p>
    <w:p w:rsidR="00B15E97" w:rsidRDefault="00B15E97" w:rsidP="00B15E97">
      <w:pPr>
        <w:jc w:val="center"/>
        <w:rPr>
          <w:rFonts w:ascii="Arial" w:hAnsi="Arial" w:cs="Arial"/>
          <w:b/>
          <w:sz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Firma del Representante legal</w:t>
      </w:r>
    </w:p>
    <w:p w:rsidR="005868BC" w:rsidRPr="00D06AB2" w:rsidRDefault="005868BC" w:rsidP="005868BC">
      <w:pPr>
        <w:jc w:val="both"/>
        <w:rPr>
          <w:rFonts w:ascii="Arial" w:eastAsia="Arial" w:hAnsi="Arial" w:cs="Arial"/>
          <w:spacing w:val="-1"/>
          <w:sz w:val="24"/>
          <w:szCs w:val="24"/>
        </w:rPr>
      </w:pPr>
      <w:r w:rsidRPr="00D06AB2">
        <w:rPr>
          <w:rFonts w:ascii="Arial" w:eastAsia="Arial" w:hAnsi="Arial" w:cs="Arial"/>
          <w:spacing w:val="-1"/>
          <w:sz w:val="24"/>
          <w:szCs w:val="24"/>
        </w:rPr>
        <w:t>Nombre del proponente    </w:t>
      </w:r>
    </w:p>
    <w:p w:rsidR="00E75365" w:rsidRPr="00B15E97" w:rsidRDefault="005868BC" w:rsidP="00D9210E">
      <w:pPr>
        <w:jc w:val="both"/>
        <w:rPr>
          <w:rFonts w:ascii="Arial" w:hAnsi="Arial" w:cs="Arial"/>
          <w:b/>
          <w:sz w:val="24"/>
        </w:rPr>
      </w:pPr>
      <w:proofErr w:type="spellStart"/>
      <w:r w:rsidRPr="00D06AB2">
        <w:rPr>
          <w:rFonts w:ascii="Arial" w:eastAsia="Arial" w:hAnsi="Arial" w:cs="Arial"/>
          <w:spacing w:val="-1"/>
          <w:sz w:val="24"/>
          <w:szCs w:val="24"/>
        </w:rPr>
        <w:t>Nit</w:t>
      </w:r>
      <w:proofErr w:type="spellEnd"/>
    </w:p>
    <w:sectPr w:rsidR="00E75365" w:rsidRPr="00B15E97" w:rsidSect="00B15E97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720" w:right="720" w:bottom="720" w:left="720" w:header="1531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7AD4" w:rsidRDefault="00607AD4" w:rsidP="005838D1">
      <w:r>
        <w:separator/>
      </w:r>
    </w:p>
  </w:endnote>
  <w:endnote w:type="continuationSeparator" w:id="0">
    <w:p w:rsidR="00607AD4" w:rsidRDefault="00607AD4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051092F6" wp14:editId="67E2A255">
          <wp:extent cx="45719" cy="914375"/>
          <wp:effectExtent l="0" t="0" r="0" b="0"/>
          <wp:docPr id="2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7AD4" w:rsidRDefault="00607AD4" w:rsidP="005838D1">
      <w:r>
        <w:separator/>
      </w:r>
    </w:p>
  </w:footnote>
  <w:footnote w:type="continuationSeparator" w:id="0">
    <w:p w:rsidR="00607AD4" w:rsidRDefault="00607AD4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607AD4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56" type="#_x0000_t75" style="position:absolute;margin-left:0;margin-top:0;width:612.95pt;height:793.45pt;z-index:-251655168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68C5" w:rsidRDefault="004468C5" w:rsidP="00DD540A">
    <w:pPr>
      <w:pStyle w:val="Encabezado"/>
      <w:tabs>
        <w:tab w:val="left" w:pos="4111"/>
      </w:tabs>
      <w:ind w:firstLine="7110"/>
    </w:pPr>
  </w:p>
  <w:p w:rsidR="005838D1" w:rsidRDefault="005838D1" w:rsidP="00DD540A">
    <w:pPr>
      <w:pStyle w:val="Encabezado"/>
      <w:tabs>
        <w:tab w:val="left" w:pos="4111"/>
      </w:tabs>
      <w:ind w:firstLine="71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40A" w:rsidRDefault="00607AD4">
    <w:pPr>
      <w:pStyle w:val="Encabezado"/>
    </w:pPr>
    <w:r>
      <w:rPr>
        <w:noProof/>
        <w:lang w:eastAsia="es-C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2055" type="#_x0000_t75" style="position:absolute;margin-left:0;margin-top:0;width:612.95pt;height:793.45pt;z-index:-251656192;mso-position-horizontal:center;mso-position-horizontal-relative:margin;mso-position-vertical:center;mso-position-vertical-relative:margin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E97"/>
    <w:rsid w:val="000071CC"/>
    <w:rsid w:val="0004640A"/>
    <w:rsid w:val="0006758E"/>
    <w:rsid w:val="000805CA"/>
    <w:rsid w:val="000B73B3"/>
    <w:rsid w:val="00120D1F"/>
    <w:rsid w:val="00152CB4"/>
    <w:rsid w:val="001B2A34"/>
    <w:rsid w:val="001D01AE"/>
    <w:rsid w:val="001E0403"/>
    <w:rsid w:val="0021278E"/>
    <w:rsid w:val="00227DFD"/>
    <w:rsid w:val="00231D8B"/>
    <w:rsid w:val="00272850"/>
    <w:rsid w:val="00285E5C"/>
    <w:rsid w:val="002F506E"/>
    <w:rsid w:val="00304A28"/>
    <w:rsid w:val="00340C9F"/>
    <w:rsid w:val="00385A20"/>
    <w:rsid w:val="003A40E6"/>
    <w:rsid w:val="003A4FCA"/>
    <w:rsid w:val="003A749B"/>
    <w:rsid w:val="003B0AB6"/>
    <w:rsid w:val="003B27C5"/>
    <w:rsid w:val="003B39D6"/>
    <w:rsid w:val="003D0AE1"/>
    <w:rsid w:val="00407D32"/>
    <w:rsid w:val="00440CE0"/>
    <w:rsid w:val="004468C5"/>
    <w:rsid w:val="00485488"/>
    <w:rsid w:val="004D0702"/>
    <w:rsid w:val="00507D7D"/>
    <w:rsid w:val="00520291"/>
    <w:rsid w:val="00540BDE"/>
    <w:rsid w:val="005838D1"/>
    <w:rsid w:val="005868BC"/>
    <w:rsid w:val="005B1A6A"/>
    <w:rsid w:val="005C255B"/>
    <w:rsid w:val="006043A7"/>
    <w:rsid w:val="00607AD4"/>
    <w:rsid w:val="00657B5D"/>
    <w:rsid w:val="00661494"/>
    <w:rsid w:val="00667AD2"/>
    <w:rsid w:val="006C2148"/>
    <w:rsid w:val="006D1EBA"/>
    <w:rsid w:val="006F46C4"/>
    <w:rsid w:val="00700D10"/>
    <w:rsid w:val="00764C75"/>
    <w:rsid w:val="00775430"/>
    <w:rsid w:val="00777335"/>
    <w:rsid w:val="007F1FBC"/>
    <w:rsid w:val="00806C38"/>
    <w:rsid w:val="008256F9"/>
    <w:rsid w:val="008621C6"/>
    <w:rsid w:val="00877BAB"/>
    <w:rsid w:val="0089701C"/>
    <w:rsid w:val="008B1778"/>
    <w:rsid w:val="009045D0"/>
    <w:rsid w:val="00932AA0"/>
    <w:rsid w:val="0096725A"/>
    <w:rsid w:val="009E2B58"/>
    <w:rsid w:val="00A029D3"/>
    <w:rsid w:val="00A651BE"/>
    <w:rsid w:val="00A96208"/>
    <w:rsid w:val="00AC23A9"/>
    <w:rsid w:val="00B15E97"/>
    <w:rsid w:val="00BC1EB8"/>
    <w:rsid w:val="00BD3083"/>
    <w:rsid w:val="00BE09E7"/>
    <w:rsid w:val="00C03F12"/>
    <w:rsid w:val="00C450BE"/>
    <w:rsid w:val="00C5269E"/>
    <w:rsid w:val="00C871E0"/>
    <w:rsid w:val="00C97BA4"/>
    <w:rsid w:val="00CF1DF2"/>
    <w:rsid w:val="00D02DF1"/>
    <w:rsid w:val="00D76DA9"/>
    <w:rsid w:val="00D9210E"/>
    <w:rsid w:val="00DA2BAA"/>
    <w:rsid w:val="00DD540A"/>
    <w:rsid w:val="00DE1B1D"/>
    <w:rsid w:val="00DE45E4"/>
    <w:rsid w:val="00DF2B8F"/>
    <w:rsid w:val="00E75365"/>
    <w:rsid w:val="00E8389B"/>
    <w:rsid w:val="00E9021F"/>
    <w:rsid w:val="00E90EFB"/>
    <w:rsid w:val="00F95C79"/>
    <w:rsid w:val="00FF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414EBE24-2EB7-4174-9C8C-21211EB5F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40A"/>
    <w:rPr>
      <w:rFonts w:ascii="Calibri" w:hAnsi="Calibri" w:cs="Calibri"/>
      <w:sz w:val="22"/>
      <w:szCs w:val="22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tabs>
        <w:tab w:val="center" w:pos="4320"/>
        <w:tab w:val="right" w:pos="8640"/>
      </w:tabs>
    </w:pPr>
    <w:rPr>
      <w:rFonts w:asciiTheme="minorHAnsi" w:hAnsiTheme="minorHAnsi" w:cstheme="minorBidi"/>
      <w:sz w:val="24"/>
      <w:szCs w:val="24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4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3D501A-7051-4552-A026-890A5A1A6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785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Alejandra Lopez Calle</dc:creator>
  <cp:keywords/>
  <dc:description/>
  <cp:lastModifiedBy>Lina Alejandra Lopez Calle</cp:lastModifiedBy>
  <cp:revision>4</cp:revision>
  <cp:lastPrinted>2018-02-27T13:25:00Z</cp:lastPrinted>
  <dcterms:created xsi:type="dcterms:W3CDTF">2019-02-01T13:37:00Z</dcterms:created>
  <dcterms:modified xsi:type="dcterms:W3CDTF">2019-02-01T13:42:00Z</dcterms:modified>
</cp:coreProperties>
</file>