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AD2" w:rsidRDefault="00177F28" w:rsidP="00B15E97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Presupuesto </w:t>
      </w:r>
      <w:r w:rsidR="00217D96" w:rsidRPr="00217D96">
        <w:rPr>
          <w:rFonts w:ascii="Arial" w:hAnsi="Arial" w:cs="Arial"/>
          <w:b/>
          <w:sz w:val="24"/>
        </w:rPr>
        <w:t>Lote 22: Diseño web, gráfico, animación y/o audiovisuales - Grupo 3</w:t>
      </w:r>
    </w:p>
    <w:p w:rsidR="00217D96" w:rsidRDefault="00217D96" w:rsidP="00B15E97">
      <w:pPr>
        <w:jc w:val="center"/>
        <w:rPr>
          <w:rFonts w:ascii="Arial" w:hAnsi="Arial" w:cs="Arial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7"/>
        <w:gridCol w:w="1349"/>
        <w:gridCol w:w="2023"/>
        <w:gridCol w:w="1939"/>
        <w:gridCol w:w="631"/>
        <w:gridCol w:w="739"/>
        <w:gridCol w:w="1113"/>
        <w:gridCol w:w="1619"/>
      </w:tblGrid>
      <w:tr w:rsidR="001268E8" w:rsidRPr="001268E8" w:rsidTr="001268E8">
        <w:trPr>
          <w:trHeight w:val="478"/>
          <w:tblHeader/>
        </w:trPr>
        <w:tc>
          <w:tcPr>
            <w:tcW w:w="527" w:type="pct"/>
            <w:shd w:val="clear" w:color="000000" w:fill="D9D9D9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Componente </w:t>
            </w:r>
          </w:p>
        </w:tc>
        <w:tc>
          <w:tcPr>
            <w:tcW w:w="775" w:type="pct"/>
            <w:shd w:val="clear" w:color="000000" w:fill="D9D9D9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Actividad </w:t>
            </w:r>
          </w:p>
        </w:tc>
        <w:tc>
          <w:tcPr>
            <w:tcW w:w="1087" w:type="pct"/>
            <w:shd w:val="clear" w:color="000000" w:fill="D9D9D9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Producto </w:t>
            </w:r>
          </w:p>
        </w:tc>
        <w:tc>
          <w:tcPr>
            <w:tcW w:w="1048" w:type="pct"/>
            <w:shd w:val="clear" w:color="000000" w:fill="D9D9D9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Detalle </w:t>
            </w:r>
          </w:p>
        </w:tc>
        <w:tc>
          <w:tcPr>
            <w:tcW w:w="286" w:type="pct"/>
            <w:shd w:val="clear" w:color="000000" w:fill="D9D9D9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Unidad de medida </w:t>
            </w:r>
          </w:p>
        </w:tc>
        <w:tc>
          <w:tcPr>
            <w:tcW w:w="267" w:type="pct"/>
            <w:shd w:val="clear" w:color="000000" w:fill="D9D9D9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Cantidad</w:t>
            </w:r>
          </w:p>
        </w:tc>
        <w:tc>
          <w:tcPr>
            <w:tcW w:w="410" w:type="pct"/>
            <w:shd w:val="clear" w:color="000000" w:fill="D9D9D9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 Valor Unitario </w:t>
            </w:r>
          </w:p>
        </w:tc>
        <w:tc>
          <w:tcPr>
            <w:tcW w:w="599" w:type="pct"/>
            <w:shd w:val="clear" w:color="000000" w:fill="D9D9D9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 Valor Total  </w:t>
            </w:r>
          </w:p>
        </w:tc>
      </w:tr>
      <w:tr w:rsidR="001268E8" w:rsidRPr="001268E8" w:rsidTr="001268E8">
        <w:trPr>
          <w:trHeight w:val="1185"/>
        </w:trPr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COMPONENTE 1: Identificación y selección de talentos </w:t>
            </w: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sz w:val="14"/>
                <w:szCs w:val="16"/>
                <w:u w:val="single"/>
              </w:rPr>
              <w:t>1.1. Co</w:t>
            </w:r>
            <w:bookmarkStart w:id="0" w:name="_GoBack"/>
            <w:bookmarkEnd w:id="0"/>
            <w:r w:rsidRPr="001268E8">
              <w:rPr>
                <w:rFonts w:ascii="Arial" w:eastAsia="Times New Roman" w:hAnsi="Arial" w:cs="Arial"/>
                <w:sz w:val="14"/>
                <w:szCs w:val="16"/>
                <w:u w:val="single"/>
              </w:rPr>
              <w:t xml:space="preserve">nvocatoria de talentos.  </w:t>
            </w:r>
            <w:r w:rsidRPr="001268E8">
              <w:rPr>
                <w:rFonts w:ascii="Arial" w:eastAsia="Times New Roman" w:hAnsi="Arial" w:cs="Arial"/>
                <w:sz w:val="14"/>
                <w:szCs w:val="16"/>
                <w:u w:val="single"/>
              </w:rPr>
              <w:br/>
              <w:t>1.2. Inscripción de talentos.</w:t>
            </w:r>
            <w:r w:rsidRPr="001268E8">
              <w:rPr>
                <w:rFonts w:ascii="Arial" w:eastAsia="Times New Roman" w:hAnsi="Arial" w:cs="Arial"/>
                <w:sz w:val="14"/>
                <w:szCs w:val="16"/>
              </w:rPr>
              <w:t xml:space="preserve">  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a) Informe general del proceso de convocatoria e inscripción que contenga las estrategias implementadas y resultados obtenidos. 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Campañas publicitarias en diferentes medios: radiales y/o en redes sociales (Twitter, Facebook, Instagram, entre otros), emisión de boletines, volanteo entre otros. 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72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sz w:val="14"/>
                <w:szCs w:val="16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Apoyo logístico y operativo, materiales e implementos, alimentación y transporte  para la inscripción presencial. 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675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1.3. Selección de talentos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b) Base de datos de los aspirantes que presentaron las pruebas de selección con los resultados. 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Apoyo logístico y operativo, materiales e implementos para la selección 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300"/>
        </w:trPr>
        <w:tc>
          <w:tcPr>
            <w:tcW w:w="4401" w:type="pct"/>
            <w:gridSpan w:val="7"/>
            <w:shd w:val="clear" w:color="000000" w:fill="E2EFDA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Total COMPONENTE 1: Identificación y selección de talentos </w:t>
            </w:r>
          </w:p>
        </w:tc>
        <w:tc>
          <w:tcPr>
            <w:tcW w:w="599" w:type="pct"/>
            <w:shd w:val="clear" w:color="000000" w:fill="E2EFDA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510"/>
        </w:trPr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COMPONENTE 2: CUALIFICACIÓN DE TALENTOS</w:t>
            </w: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2.1. Evento de ingreso y contextualización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a) Informe de los resultados del evento de ingreso y contextualización. 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Materiales e implementos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45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Actividad dirigida para el evento de ingreso en la institución formadora 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Unidad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1155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 xml:space="preserve">2.2. Matrícula de Talentos y Administrar la información del programa 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a) Acta de cierre de estudiantes matriculados.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 xml:space="preserve">Auxiliar administrativo: 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gestión de Matricula, Sistematización, Seguimiento y control de refrigerios y transporte, seguimiento a la inasistencia y deserciones. 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20"/>
              </w:rPr>
              <w:t xml:space="preserve"> </w:t>
            </w:r>
            <w:r w:rsidRPr="001268E8">
              <w:rPr>
                <w:rFonts w:ascii="Arial" w:eastAsia="Times New Roman" w:hAnsi="Arial" w:cs="Arial"/>
                <w:color w:val="FF0000"/>
                <w:sz w:val="14"/>
                <w:szCs w:val="20"/>
              </w:rPr>
              <w:t>*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Mes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9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1.465.900 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        13.193.100 </w:t>
            </w:r>
          </w:p>
        </w:tc>
      </w:tr>
      <w:tr w:rsidR="001268E8" w:rsidRPr="001268E8" w:rsidTr="001268E8">
        <w:trPr>
          <w:trHeight w:val="45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b) Informes mensuales de Seguimiento al proyecto.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Coordinación, seguimiento y gestión del proyecto. 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75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2.3. Formación de talentos: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(técnico Laboral hasta 1200 horas). Nivelación, Cupos Educativo fase lectiva y fase práctica. 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br/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 xml:space="preserve">2.4. Orientación para la Educación Superior 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br/>
              <w:t xml:space="preserve">2.5. Evento de Cierre y Certificación 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a) Informe de seguimiento académico.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br/>
              <w:t>b) Informes mensuales de avance del proyecto.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br/>
              <w:t>c) Informe de la Orientación a los estudiantes para la educación superior que contenga las estrategias utilizadas y los resultados obtenidos.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br/>
              <w:t>a) Actas generales y/o firma en libros de certificación</w:t>
            </w:r>
          </w:p>
        </w:tc>
        <w:tc>
          <w:tcPr>
            <w:tcW w:w="1048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Cupo Educativo </w:t>
            </w: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mínimo 600 y máximo en 1.200 horas 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(Fase lectiva y Fase práctica), Orientación ES</w:t>
            </w:r>
            <w:r w:rsidRPr="001268E8">
              <w:rPr>
                <w:rFonts w:ascii="Arial" w:eastAsia="Times New Roman" w:hAnsi="Arial" w:cs="Arial"/>
                <w:sz w:val="14"/>
                <w:szCs w:val="16"/>
              </w:rPr>
              <w:t xml:space="preserve"> y Certificación. </w:t>
            </w:r>
          </w:p>
        </w:tc>
        <w:tc>
          <w:tcPr>
            <w:tcW w:w="286" w:type="pct"/>
            <w:vMerge w:val="restar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Unidad </w:t>
            </w:r>
          </w:p>
        </w:tc>
        <w:tc>
          <w:tcPr>
            <w:tcW w:w="267" w:type="pct"/>
            <w:vMerge w:val="restar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410" w:type="pct"/>
            <w:vMerge w:val="restar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vMerge w:val="restar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75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286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26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410" w:type="pct"/>
            <w:vMerge/>
            <w:vAlign w:val="center"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vMerge/>
            <w:vAlign w:val="center"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75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286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26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410" w:type="pct"/>
            <w:vMerge/>
            <w:vAlign w:val="center"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vMerge/>
            <w:vAlign w:val="center"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300"/>
        </w:trPr>
        <w:tc>
          <w:tcPr>
            <w:tcW w:w="3724" w:type="pct"/>
            <w:gridSpan w:val="5"/>
            <w:shd w:val="clear" w:color="000000" w:fill="E2EFDA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Total COMPONENTE 2: CUALIFICACIÓN DE TALENTOS</w:t>
            </w:r>
          </w:p>
        </w:tc>
        <w:tc>
          <w:tcPr>
            <w:tcW w:w="267" w:type="pct"/>
            <w:shd w:val="clear" w:color="000000" w:fill="E2EFDA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410" w:type="pct"/>
            <w:shd w:val="clear" w:color="000000" w:fill="E2EFDA"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599" w:type="pct"/>
            <w:shd w:val="clear" w:color="000000" w:fill="E2EFDA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1440"/>
        </w:trPr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COMPONENTE 3: ESTRATÉGIAS TRANSVERSALES </w:t>
            </w: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 xml:space="preserve">3.1. Acompañamiento Psicosocial 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a) Informe de estrategias de Acompañamiento Psicosocial.  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br/>
              <w:t xml:space="preserve">b) Informe de los resultados de estrategias utilizadas para la motivación a la asistencia y prevención a la deserción.  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Profesional Psicosocial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: Responsable del desarrollo del componente psicosocial y dinamizador de la contención a la deserción.</w:t>
            </w: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 (desde el inicio del proceso formativo hasta la certificación de los estudiantes)</w:t>
            </w:r>
            <w:r w:rsidRPr="001268E8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20"/>
              </w:rPr>
              <w:t>*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Mes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9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3.032.000 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        27.288.000 </w:t>
            </w:r>
          </w:p>
        </w:tc>
      </w:tr>
      <w:tr w:rsidR="001268E8" w:rsidRPr="001268E8" w:rsidTr="001268E8">
        <w:trPr>
          <w:trHeight w:val="45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Transferencia de conocimiento modelo de formación </w:t>
            </w:r>
            <w:r w:rsidRPr="001268E8">
              <w:rPr>
                <w:rFonts w:ascii="Arial" w:eastAsia="Times New Roman" w:hAnsi="Arial" w:cs="Arial"/>
                <w:color w:val="FF0000"/>
                <w:sz w:val="14"/>
                <w:szCs w:val="16"/>
              </w:rPr>
              <w:t>*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250.000 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             250.000 </w:t>
            </w:r>
          </w:p>
        </w:tc>
      </w:tr>
      <w:tr w:rsidR="001268E8" w:rsidRPr="001268E8" w:rsidTr="001268E8">
        <w:trPr>
          <w:trHeight w:val="30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Encuentro intergeneracional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30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3.2. Motivación a la asistencia y prevención a la deserción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a) Entrega de apoyos de bienestar a los estudiantes matriculados.  (Transporte fase lectiva y práctica, Refrigerio fase lectiva, póliza estudiantil, insumos básicos) 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Transporte</w:t>
            </w:r>
            <w:r w:rsidRPr="001268E8">
              <w:rPr>
                <w:rFonts w:ascii="Arial" w:eastAsia="Times New Roman" w:hAnsi="Arial" w:cs="Arial"/>
                <w:color w:val="FF0000"/>
                <w:sz w:val="14"/>
                <w:szCs w:val="20"/>
              </w:rPr>
              <w:t>*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Unidad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19200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    5.076 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        97.459.200 </w:t>
            </w:r>
          </w:p>
        </w:tc>
      </w:tr>
      <w:tr w:rsidR="001268E8" w:rsidRPr="001268E8" w:rsidTr="001268E8">
        <w:trPr>
          <w:trHeight w:val="30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Refrigerio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Unidad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10200</w:t>
            </w:r>
          </w:p>
        </w:tc>
        <w:tc>
          <w:tcPr>
            <w:tcW w:w="410" w:type="pct"/>
            <w:shd w:val="clear" w:color="auto" w:fill="auto"/>
            <w:noWrap/>
            <w:vAlign w:val="bottom"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30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Implementos básicos para la formación</w:t>
            </w:r>
            <w:r w:rsidRPr="001268E8">
              <w:rPr>
                <w:rFonts w:ascii="Arial" w:eastAsia="Times New Roman" w:hAnsi="Arial" w:cs="Arial"/>
                <w:color w:val="FF0000"/>
                <w:sz w:val="14"/>
                <w:szCs w:val="16"/>
              </w:rPr>
              <w:t xml:space="preserve"> 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sz w:val="14"/>
                <w:szCs w:val="16"/>
              </w:rPr>
              <w:t xml:space="preserve">Unidad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sz w:val="14"/>
                <w:szCs w:val="16"/>
              </w:rPr>
              <w:t>120</w:t>
            </w:r>
          </w:p>
        </w:tc>
        <w:tc>
          <w:tcPr>
            <w:tcW w:w="410" w:type="pct"/>
            <w:shd w:val="clear" w:color="auto" w:fill="auto"/>
            <w:noWrap/>
            <w:vAlign w:val="bottom"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30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Póliza Estudiantil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Unidad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410" w:type="pct"/>
            <w:shd w:val="clear" w:color="auto" w:fill="auto"/>
            <w:noWrap/>
            <w:vAlign w:val="bottom"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300"/>
        </w:trPr>
        <w:tc>
          <w:tcPr>
            <w:tcW w:w="3724" w:type="pct"/>
            <w:gridSpan w:val="5"/>
            <w:shd w:val="clear" w:color="000000" w:fill="E2EFDA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Total COMPONENTE 3: ESTRATÉGIAS TRANSVERSALES </w:t>
            </w:r>
          </w:p>
        </w:tc>
        <w:tc>
          <w:tcPr>
            <w:tcW w:w="267" w:type="pct"/>
            <w:shd w:val="clear" w:color="000000" w:fill="E2EFDA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410" w:type="pct"/>
            <w:shd w:val="clear" w:color="000000" w:fill="E2EFDA"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599" w:type="pct"/>
            <w:shd w:val="clear" w:color="000000" w:fill="E2EFDA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1935"/>
        </w:trPr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COMPONENTE 4: INTERMEDIACIÓN Y VINCULACIÓN LABORAL </w:t>
            </w: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4.1.  Orientación Vocacional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br w:type="page"/>
              <w:t>4.2.  Orientación Ocupacional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br w:type="page"/>
              <w:t>4.6. Vinculación Laboral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a) Inserción laboral para Técnicos laborales: Área de Fortalecimiento y Especialización un 30% y Área de Oportunidad 20% sobre el total de estudiantes certificados y Académicos: 20% Inglés sobre el total de estudiantes certificados.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Profesional para el componente de intermediación e inserción laboral: Responsable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del desarrollo del componente de intermediación e inserción laboral y de velar por el cumplimiento de la meta de inserción laboral.</w:t>
            </w: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 (Iniciando después del proceso de matrícula hasta finalización del contrato).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</w:t>
            </w:r>
            <w:r w:rsidRPr="001268E8">
              <w:rPr>
                <w:rFonts w:ascii="Arial" w:eastAsia="Times New Roman" w:hAnsi="Arial" w:cs="Arial"/>
                <w:color w:val="000000"/>
                <w:sz w:val="14"/>
                <w:szCs w:val="20"/>
              </w:rPr>
              <w:t xml:space="preserve"> </w:t>
            </w:r>
            <w:r w:rsidRPr="001268E8">
              <w:rPr>
                <w:rFonts w:ascii="Arial" w:eastAsia="Times New Roman" w:hAnsi="Arial" w:cs="Arial"/>
                <w:color w:val="FF0000"/>
                <w:sz w:val="14"/>
                <w:szCs w:val="20"/>
              </w:rPr>
              <w:t>*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Mes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7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3.032.000 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        21.224.000 </w:t>
            </w:r>
          </w:p>
        </w:tc>
      </w:tr>
      <w:tr w:rsidR="001268E8" w:rsidRPr="001268E8" w:rsidTr="001268E8">
        <w:trPr>
          <w:trHeight w:val="525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sz w:val="14"/>
                <w:szCs w:val="16"/>
              </w:rPr>
              <w:t>Materiales e Insumos orientación ocupacional (hoja de vida y fotos)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45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4.5. Conexión empresarial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a) Informe con los resultados del evento conexión empresarial que incluya listados de asistencia y registros fotográficos. </w:t>
            </w:r>
          </w:p>
        </w:tc>
        <w:tc>
          <w:tcPr>
            <w:tcW w:w="1048" w:type="pct"/>
            <w:vMerge w:val="restart"/>
            <w:shd w:val="clear" w:color="auto" w:fill="auto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Apoyo logístico y operativo, materiales e implementos, alimentación, entre otros. </w:t>
            </w:r>
          </w:p>
        </w:tc>
        <w:tc>
          <w:tcPr>
            <w:tcW w:w="286" w:type="pct"/>
            <w:vMerge w:val="restar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vMerge w:val="restart"/>
            <w:shd w:val="clear" w:color="auto" w:fill="auto"/>
            <w:noWrap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vMerge w:val="restar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vMerge w:val="restart"/>
            <w:shd w:val="clear" w:color="auto" w:fill="auto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450"/>
        </w:trPr>
        <w:tc>
          <w:tcPr>
            <w:tcW w:w="52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286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267" w:type="pct"/>
            <w:vMerge/>
            <w:vAlign w:val="center"/>
            <w:hideMark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410" w:type="pct"/>
            <w:vMerge/>
            <w:vAlign w:val="center"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vMerge/>
            <w:vAlign w:val="center"/>
          </w:tcPr>
          <w:p w:rsidR="001268E8" w:rsidRPr="001268E8" w:rsidRDefault="001268E8" w:rsidP="001268E8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315"/>
        </w:trPr>
        <w:tc>
          <w:tcPr>
            <w:tcW w:w="4401" w:type="pct"/>
            <w:gridSpan w:val="7"/>
            <w:shd w:val="clear" w:color="000000" w:fill="E2EFDA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Total COMPONENTE 4: INTERMEDIACIÓN Y VINCULACIÓN LABORAL </w:t>
            </w:r>
          </w:p>
        </w:tc>
        <w:tc>
          <w:tcPr>
            <w:tcW w:w="599" w:type="pct"/>
            <w:shd w:val="clear" w:color="000000" w:fill="E2EFDA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</w:tr>
      <w:tr w:rsidR="001268E8" w:rsidRPr="001268E8" w:rsidTr="001268E8">
        <w:trPr>
          <w:trHeight w:val="109"/>
        </w:trPr>
        <w:tc>
          <w:tcPr>
            <w:tcW w:w="4401" w:type="pct"/>
            <w:gridSpan w:val="7"/>
            <w:shd w:val="clear" w:color="000000" w:fill="D9D9D9"/>
            <w:vAlign w:val="center"/>
            <w:hideMark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TOTAL GENERAL Presupuesto </w:t>
            </w:r>
            <w:r w:rsidRPr="001268E8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br/>
            </w:r>
            <w:r w:rsidR="00217D96" w:rsidRPr="00217D9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Lote 22: Diseño web, gráfico, animación y/o audiovisuales - Grupo 3</w:t>
            </w:r>
          </w:p>
        </w:tc>
        <w:tc>
          <w:tcPr>
            <w:tcW w:w="599" w:type="pct"/>
            <w:shd w:val="clear" w:color="000000" w:fill="D9D9D9"/>
            <w:noWrap/>
            <w:vAlign w:val="center"/>
          </w:tcPr>
          <w:p w:rsidR="001268E8" w:rsidRPr="001268E8" w:rsidRDefault="001268E8" w:rsidP="001268E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</w:tr>
    </w:tbl>
    <w:p w:rsidR="005B1A6A" w:rsidRDefault="005B1A6A" w:rsidP="00B15E97">
      <w:pPr>
        <w:jc w:val="center"/>
        <w:rPr>
          <w:rFonts w:ascii="Arial" w:hAnsi="Arial" w:cs="Arial"/>
          <w:b/>
          <w:sz w:val="24"/>
        </w:rPr>
      </w:pPr>
    </w:p>
    <w:p w:rsidR="00B15E97" w:rsidRPr="00B15E97" w:rsidRDefault="00B15E97" w:rsidP="00B15E97">
      <w:pPr>
        <w:rPr>
          <w:rFonts w:eastAsia="Times New Roman"/>
          <w:b/>
          <w:bCs/>
          <w:color w:val="000000"/>
        </w:rPr>
      </w:pPr>
      <w:r w:rsidRPr="00B15E97">
        <w:rPr>
          <w:rFonts w:eastAsia="Times New Roman"/>
          <w:b/>
          <w:bCs/>
          <w:color w:val="FF0000"/>
        </w:rPr>
        <w:t>*</w:t>
      </w:r>
      <w:r w:rsidRPr="00B15E97">
        <w:rPr>
          <w:rFonts w:eastAsia="Times New Roman"/>
          <w:color w:val="FF0000"/>
        </w:rPr>
        <w:t xml:space="preserve"> </w:t>
      </w:r>
      <w:r w:rsidRPr="00B15E97">
        <w:rPr>
          <w:rFonts w:eastAsia="Times New Roman"/>
          <w:color w:val="000000"/>
        </w:rPr>
        <w:t xml:space="preserve">Estos valores son costos fijos, por lo tanto no pueden ser modificados. </w:t>
      </w:r>
    </w:p>
    <w:p w:rsidR="00B15E97" w:rsidRDefault="00B15E97" w:rsidP="00B15E97">
      <w:pPr>
        <w:jc w:val="center"/>
        <w:rPr>
          <w:rFonts w:ascii="Arial" w:hAnsi="Arial" w:cs="Arial"/>
          <w:b/>
          <w:sz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Firma del Representante legal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Nombre del proponente    </w:t>
      </w:r>
    </w:p>
    <w:p w:rsidR="00E75365" w:rsidRPr="00B15E97" w:rsidRDefault="005868BC" w:rsidP="00D9210E">
      <w:pPr>
        <w:jc w:val="both"/>
        <w:rPr>
          <w:rFonts w:ascii="Arial" w:hAnsi="Arial" w:cs="Arial"/>
          <w:b/>
          <w:sz w:val="24"/>
        </w:rPr>
      </w:pPr>
      <w:proofErr w:type="spellStart"/>
      <w:r w:rsidRPr="00D06AB2">
        <w:rPr>
          <w:rFonts w:ascii="Arial" w:eastAsia="Arial" w:hAnsi="Arial" w:cs="Arial"/>
          <w:spacing w:val="-1"/>
          <w:sz w:val="24"/>
          <w:szCs w:val="24"/>
        </w:rPr>
        <w:t>Nit</w:t>
      </w:r>
      <w:proofErr w:type="spellEnd"/>
    </w:p>
    <w:sectPr w:rsidR="00E75365" w:rsidRPr="00B15E97" w:rsidSect="00B15E97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720" w:right="720" w:bottom="720" w:left="720" w:header="1531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97B" w:rsidRDefault="004B697B" w:rsidP="005838D1">
      <w:r>
        <w:separator/>
      </w:r>
    </w:p>
  </w:endnote>
  <w:endnote w:type="continuationSeparator" w:id="0">
    <w:p w:rsidR="004B697B" w:rsidRDefault="004B697B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051092F6" wp14:editId="67E2A255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97B" w:rsidRDefault="004B697B" w:rsidP="005838D1">
      <w:r>
        <w:separator/>
      </w:r>
    </w:p>
  </w:footnote>
  <w:footnote w:type="continuationSeparator" w:id="0">
    <w:p w:rsidR="004B697B" w:rsidRDefault="004B697B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4B697B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8C5" w:rsidRDefault="004468C5" w:rsidP="00DD540A">
    <w:pPr>
      <w:pStyle w:val="Encabezado"/>
      <w:tabs>
        <w:tab w:val="left" w:pos="4111"/>
      </w:tabs>
      <w:ind w:firstLine="7110"/>
    </w:pPr>
  </w:p>
  <w:p w:rsidR="005838D1" w:rsidRDefault="005838D1" w:rsidP="00DD540A">
    <w:pPr>
      <w:pStyle w:val="Encabezado"/>
      <w:tabs>
        <w:tab w:val="left" w:pos="4111"/>
      </w:tabs>
      <w:ind w:firstLine="71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4B697B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E97"/>
    <w:rsid w:val="000071CC"/>
    <w:rsid w:val="0004640A"/>
    <w:rsid w:val="0006758E"/>
    <w:rsid w:val="000805CA"/>
    <w:rsid w:val="000B73B3"/>
    <w:rsid w:val="00120D1F"/>
    <w:rsid w:val="001268E8"/>
    <w:rsid w:val="00152CB4"/>
    <w:rsid w:val="00177F28"/>
    <w:rsid w:val="001A5DA8"/>
    <w:rsid w:val="001B2A34"/>
    <w:rsid w:val="001D01AE"/>
    <w:rsid w:val="001E0403"/>
    <w:rsid w:val="0021278E"/>
    <w:rsid w:val="00217D96"/>
    <w:rsid w:val="00227DFD"/>
    <w:rsid w:val="00231D8B"/>
    <w:rsid w:val="00272850"/>
    <w:rsid w:val="00285E5C"/>
    <w:rsid w:val="002937AC"/>
    <w:rsid w:val="002F506E"/>
    <w:rsid w:val="00304A28"/>
    <w:rsid w:val="00340C9F"/>
    <w:rsid w:val="00385A20"/>
    <w:rsid w:val="003A40E6"/>
    <w:rsid w:val="003A4FCA"/>
    <w:rsid w:val="003A749B"/>
    <w:rsid w:val="003B0AB6"/>
    <w:rsid w:val="003B27C5"/>
    <w:rsid w:val="003B39D6"/>
    <w:rsid w:val="003D0AE1"/>
    <w:rsid w:val="00407D32"/>
    <w:rsid w:val="004406FD"/>
    <w:rsid w:val="00440CE0"/>
    <w:rsid w:val="004468C5"/>
    <w:rsid w:val="00485488"/>
    <w:rsid w:val="004B697B"/>
    <w:rsid w:val="004C193E"/>
    <w:rsid w:val="004D0702"/>
    <w:rsid w:val="00507D7D"/>
    <w:rsid w:val="00520291"/>
    <w:rsid w:val="00540BDE"/>
    <w:rsid w:val="005838D1"/>
    <w:rsid w:val="005868BC"/>
    <w:rsid w:val="005B1A6A"/>
    <w:rsid w:val="005C255B"/>
    <w:rsid w:val="006043A7"/>
    <w:rsid w:val="00657B5D"/>
    <w:rsid w:val="00661494"/>
    <w:rsid w:val="00667AD2"/>
    <w:rsid w:val="006B34D5"/>
    <w:rsid w:val="006C2148"/>
    <w:rsid w:val="006D1EBA"/>
    <w:rsid w:val="006F46C4"/>
    <w:rsid w:val="00700D10"/>
    <w:rsid w:val="00764C75"/>
    <w:rsid w:val="00775430"/>
    <w:rsid w:val="00777335"/>
    <w:rsid w:val="00780B2A"/>
    <w:rsid w:val="0078791B"/>
    <w:rsid w:val="007A0D56"/>
    <w:rsid w:val="007F1FBC"/>
    <w:rsid w:val="00806C38"/>
    <w:rsid w:val="008252CE"/>
    <w:rsid w:val="008256F9"/>
    <w:rsid w:val="008621C6"/>
    <w:rsid w:val="00877BAB"/>
    <w:rsid w:val="0089701C"/>
    <w:rsid w:val="008B1778"/>
    <w:rsid w:val="009045D0"/>
    <w:rsid w:val="00932AA0"/>
    <w:rsid w:val="0096725A"/>
    <w:rsid w:val="009E2B58"/>
    <w:rsid w:val="00A029D3"/>
    <w:rsid w:val="00A651BE"/>
    <w:rsid w:val="00A93A13"/>
    <w:rsid w:val="00A96208"/>
    <w:rsid w:val="00AA18CD"/>
    <w:rsid w:val="00AC23A9"/>
    <w:rsid w:val="00B15E97"/>
    <w:rsid w:val="00BC1EB8"/>
    <w:rsid w:val="00BD3083"/>
    <w:rsid w:val="00BE09E7"/>
    <w:rsid w:val="00BE76F8"/>
    <w:rsid w:val="00C03F12"/>
    <w:rsid w:val="00C450BE"/>
    <w:rsid w:val="00C5269E"/>
    <w:rsid w:val="00C871E0"/>
    <w:rsid w:val="00C97BA4"/>
    <w:rsid w:val="00CF1DF2"/>
    <w:rsid w:val="00D02DF1"/>
    <w:rsid w:val="00D3799F"/>
    <w:rsid w:val="00D76DA9"/>
    <w:rsid w:val="00D9210E"/>
    <w:rsid w:val="00DA2BAA"/>
    <w:rsid w:val="00DD540A"/>
    <w:rsid w:val="00DE1B1D"/>
    <w:rsid w:val="00DE45E4"/>
    <w:rsid w:val="00DF2B8F"/>
    <w:rsid w:val="00E75365"/>
    <w:rsid w:val="00E8389B"/>
    <w:rsid w:val="00E9021F"/>
    <w:rsid w:val="00E90EFB"/>
    <w:rsid w:val="00F95C79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414EBE24-2EB7-4174-9C8C-21211EB5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40A"/>
    <w:rPr>
      <w:rFonts w:ascii="Calibri" w:hAnsi="Calibri" w:cs="Calibri"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1DE9B-24E1-47C8-872A-C7B030D29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Alejandra Lopez Calle</dc:creator>
  <cp:keywords/>
  <dc:description/>
  <cp:lastModifiedBy>Lina Alejandra Lopez Calle</cp:lastModifiedBy>
  <cp:revision>4</cp:revision>
  <cp:lastPrinted>2018-02-27T13:25:00Z</cp:lastPrinted>
  <dcterms:created xsi:type="dcterms:W3CDTF">2019-02-01T13:54:00Z</dcterms:created>
  <dcterms:modified xsi:type="dcterms:W3CDTF">2019-02-01T14:04:00Z</dcterms:modified>
</cp:coreProperties>
</file>