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10A" w:rsidRPr="00AA2186" w:rsidRDefault="00051E14" w:rsidP="00AD610A">
      <w:pPr>
        <w:keepNext/>
        <w:pBdr>
          <w:bottom w:val="single" w:sz="12" w:space="1" w:color="auto"/>
        </w:pBdr>
        <w:spacing w:after="0" w:line="240" w:lineRule="auto"/>
        <w:jc w:val="center"/>
        <w:outlineLvl w:val="2"/>
        <w:rPr>
          <w:rFonts w:ascii="Arial Narrow" w:eastAsia="Times New Roman" w:hAnsi="Arial Narrow" w:cs="Arial"/>
          <w:b/>
          <w:bCs/>
          <w:sz w:val="18"/>
          <w:szCs w:val="18"/>
          <w:lang w:eastAsia="es-CO"/>
        </w:rPr>
      </w:pPr>
      <w:bookmarkStart w:id="0" w:name="ANEXO_ESP_TECNICAS"/>
      <w:bookmarkStart w:id="1" w:name="_Toc474143670"/>
      <w:bookmarkStart w:id="2" w:name="_Toc474417451"/>
      <w:bookmarkStart w:id="3" w:name="_Toc474417533"/>
      <w:bookmarkStart w:id="4" w:name="_Toc481584462"/>
      <w:r w:rsidRPr="00D3793D">
        <w:rPr>
          <w:rFonts w:ascii="Arial Narrow" w:eastAsia="Times New Roman" w:hAnsi="Arial Narrow" w:cs="Arial"/>
          <w:b/>
          <w:bCs/>
          <w:sz w:val="18"/>
          <w:szCs w:val="18"/>
          <w:lang w:eastAsia="es-CO"/>
        </w:rPr>
        <w:t>ANEXO</w:t>
      </w:r>
      <w:r w:rsidR="00AD610A" w:rsidRPr="00D3793D">
        <w:rPr>
          <w:rFonts w:ascii="Arial Narrow" w:eastAsia="Times New Roman" w:hAnsi="Arial Narrow" w:cs="Arial"/>
          <w:b/>
          <w:bCs/>
          <w:sz w:val="18"/>
          <w:szCs w:val="18"/>
          <w:lang w:eastAsia="es-CO"/>
        </w:rPr>
        <w:t xml:space="preserve"> </w:t>
      </w:r>
      <w:bookmarkEnd w:id="0"/>
      <w:r w:rsidR="00D3793D" w:rsidRPr="00D3793D">
        <w:rPr>
          <w:rFonts w:ascii="Arial Narrow" w:eastAsia="Times New Roman" w:hAnsi="Arial Narrow" w:cs="Arial"/>
          <w:b/>
          <w:bCs/>
          <w:sz w:val="18"/>
          <w:szCs w:val="18"/>
          <w:lang w:eastAsia="es-CO"/>
        </w:rPr>
        <w:t>I</w:t>
      </w:r>
      <w:r w:rsidR="002C7D0D" w:rsidRPr="00D3793D">
        <w:rPr>
          <w:rFonts w:ascii="Arial Narrow" w:eastAsia="Times New Roman" w:hAnsi="Arial Narrow" w:cs="Arial"/>
          <w:b/>
          <w:bCs/>
          <w:sz w:val="18"/>
          <w:szCs w:val="18"/>
          <w:lang w:eastAsia="es-CO"/>
        </w:rPr>
        <w:t xml:space="preserve">X </w:t>
      </w:r>
      <w:r w:rsidR="00AD610A" w:rsidRPr="00D3793D">
        <w:rPr>
          <w:rFonts w:ascii="Arial Narrow" w:eastAsia="Times New Roman" w:hAnsi="Arial Narrow" w:cs="Arial"/>
          <w:b/>
          <w:bCs/>
          <w:sz w:val="18"/>
          <w:szCs w:val="18"/>
          <w:lang w:eastAsia="es-CO"/>
        </w:rPr>
        <w:t xml:space="preserve">- </w:t>
      </w:r>
      <w:bookmarkEnd w:id="1"/>
      <w:bookmarkEnd w:id="2"/>
      <w:bookmarkEnd w:id="3"/>
      <w:bookmarkEnd w:id="4"/>
      <w:r w:rsidRPr="00D3793D">
        <w:rPr>
          <w:rFonts w:ascii="Arial Narrow" w:eastAsia="Times New Roman" w:hAnsi="Arial Narrow" w:cs="Arial"/>
          <w:b/>
          <w:bCs/>
          <w:sz w:val="18"/>
          <w:szCs w:val="18"/>
          <w:lang w:eastAsia="es-CO"/>
        </w:rPr>
        <w:t xml:space="preserve">LINEAMIENTOS </w:t>
      </w:r>
      <w:r w:rsidRPr="005B5AD9">
        <w:rPr>
          <w:rFonts w:ascii="Arial Narrow" w:eastAsia="Times New Roman" w:hAnsi="Arial Narrow" w:cs="Arial"/>
          <w:b/>
          <w:bCs/>
          <w:sz w:val="18"/>
          <w:szCs w:val="18"/>
          <w:lang w:eastAsia="es-CO"/>
        </w:rPr>
        <w:t>CONTRACTUALES  PARA LOS OFERENTES EN CUMPLIMIENTO DE LA IMPLEMENTACIÓN DEL SISTEMA DE GESTIÓN DE SEGURIDAD Y SALUD EN EL TRABAJO (SG-SST)</w:t>
      </w:r>
    </w:p>
    <w:p w:rsidR="00084C60" w:rsidRPr="00057D79" w:rsidRDefault="00084C60" w:rsidP="00084C60">
      <w:pPr>
        <w:spacing w:after="0" w:line="240" w:lineRule="auto"/>
        <w:jc w:val="both"/>
        <w:rPr>
          <w:rFonts w:ascii="Arial" w:eastAsiaTheme="minorEastAsia" w:hAnsi="Arial" w:cs="Arial"/>
          <w:sz w:val="16"/>
          <w:szCs w:val="16"/>
          <w:lang w:eastAsia="es-CO"/>
        </w:rPr>
      </w:pPr>
      <w:bookmarkStart w:id="5" w:name="PROCESO_CONTENIDO_ANEXO_TECNICO"/>
    </w:p>
    <w:p w:rsidR="006D11EE" w:rsidRPr="00057D79" w:rsidRDefault="006D11EE" w:rsidP="00AD610A">
      <w:pPr>
        <w:spacing w:after="0" w:line="240" w:lineRule="auto"/>
        <w:rPr>
          <w:rFonts w:ascii="Arial" w:eastAsia="Times New Roman" w:hAnsi="Arial" w:cs="Arial"/>
          <w:sz w:val="16"/>
          <w:szCs w:val="16"/>
          <w:lang w:eastAsia="es-CO"/>
        </w:rPr>
      </w:pPr>
    </w:p>
    <w:p w:rsidR="00945711" w:rsidRPr="005E5C90" w:rsidRDefault="00945711" w:rsidP="00945711">
      <w:pPr>
        <w:pStyle w:val="Prrafodelista"/>
        <w:numPr>
          <w:ilvl w:val="0"/>
          <w:numId w:val="38"/>
        </w:numPr>
        <w:ind w:hanging="1080"/>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El contratista de obra debe realizar las siguientes acciones en cuanto a seguridad y salud en el trabajo:</w:t>
      </w:r>
    </w:p>
    <w:p w:rsidR="00945711" w:rsidRPr="005E5C90" w:rsidRDefault="00945711" w:rsidP="00945711">
      <w:pPr>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Antes de iniciar las actividades, el contratista debe presentar un sistema de gestión de seguridad y salud en el trabajo de sus trabajadores.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Asignar una persona responsable de coordinar y orientar continuamente la aplicación eficiente del sistema de gestión de seguridad y salud a sus trabajadores.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Afiliar a su personal al Sistema de Seguridad Social Integral y pagar los aportes correspondientes.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Realizar los exámenes médicos de pre-empleo y control periódico, por su cuenta, de acuerdo con lo establecido por las leyes y reglamentos.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Conformar y poner en funcionamiento el Comité Paritario de seguridad y salud en el trabajo (COPASST), de acuerdo con la resolución 1016 de 1989 y decreto 1072 de 2015.</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Realizar investigaciones de accidentes o incidentes laborales que se presentan de forma conjunta con el área de seguridad y salud en el trabajo de la Unidad, para tomar las acciones correctivas pertinentes de acuerdo con la resolución 1401 del 2007.</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Cada vez que se presente un accidente de trabajo, el contratista está obligado a garantizar el traslado y la atención inmediata del accidentado.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El contratista realizará y mantendrá actualizadas las estadísticas de accidentes que se produzcan en el desarrollo de actividades en la Unidad. Dichas estadísticas contemplarán como mínimo: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rsidR="00945711" w:rsidRPr="005E5C90" w:rsidRDefault="00945711" w:rsidP="00945711">
      <w:pPr>
        <w:spacing w:after="0" w:line="240" w:lineRule="auto"/>
        <w:ind w:firstLine="709"/>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1.</w:t>
      </w:r>
      <w:r w:rsidRPr="005E5C90">
        <w:rPr>
          <w:rFonts w:ascii="Arial" w:eastAsiaTheme="minorEastAsia" w:hAnsi="Arial" w:cs="Arial"/>
          <w:sz w:val="16"/>
          <w:szCs w:val="16"/>
          <w:lang w:eastAsia="es-CO"/>
        </w:rPr>
        <w:tab/>
        <w:t>Número de accidentes ocurridos en el mes, con o sin incapacidad.</w:t>
      </w:r>
    </w:p>
    <w:p w:rsidR="00945711" w:rsidRPr="005E5C90" w:rsidRDefault="00945711" w:rsidP="00945711">
      <w:pPr>
        <w:spacing w:after="0" w:line="240" w:lineRule="auto"/>
        <w:ind w:firstLine="709"/>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2.</w:t>
      </w:r>
      <w:r w:rsidRPr="005E5C90">
        <w:rPr>
          <w:rFonts w:ascii="Arial" w:eastAsiaTheme="minorEastAsia" w:hAnsi="Arial" w:cs="Arial"/>
          <w:sz w:val="16"/>
          <w:szCs w:val="16"/>
          <w:lang w:eastAsia="es-CO"/>
        </w:rPr>
        <w:tab/>
        <w:t>Días de incapacidad por accidente en el mes.</w:t>
      </w:r>
    </w:p>
    <w:p w:rsidR="00945711" w:rsidRPr="005E5C90" w:rsidRDefault="00945711" w:rsidP="00945711">
      <w:pPr>
        <w:spacing w:after="0" w:line="240" w:lineRule="auto"/>
        <w:ind w:firstLine="709"/>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3.</w:t>
      </w:r>
      <w:r w:rsidRPr="005E5C90">
        <w:rPr>
          <w:rFonts w:ascii="Arial" w:eastAsiaTheme="minorEastAsia" w:hAnsi="Arial" w:cs="Arial"/>
          <w:sz w:val="16"/>
          <w:szCs w:val="16"/>
          <w:lang w:eastAsia="es-CO"/>
        </w:rPr>
        <w:tab/>
        <w:t>Tipo de accidente (caídas, golpes, etc.).</w:t>
      </w:r>
    </w:p>
    <w:p w:rsidR="00945711" w:rsidRPr="005E5C90" w:rsidRDefault="00945711" w:rsidP="00945711">
      <w:pPr>
        <w:spacing w:after="0" w:line="240" w:lineRule="auto"/>
        <w:ind w:firstLine="709"/>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4.</w:t>
      </w:r>
      <w:r w:rsidRPr="005E5C90">
        <w:rPr>
          <w:rFonts w:ascii="Arial" w:eastAsiaTheme="minorEastAsia" w:hAnsi="Arial" w:cs="Arial"/>
          <w:sz w:val="16"/>
          <w:szCs w:val="16"/>
          <w:lang w:eastAsia="es-CO"/>
        </w:rPr>
        <w:tab/>
        <w:t>Causas básicas e inmediatas de los accidentes.</w:t>
      </w:r>
    </w:p>
    <w:p w:rsidR="00945711" w:rsidRPr="005E5C90" w:rsidRDefault="00945711" w:rsidP="00945711">
      <w:pPr>
        <w:spacing w:after="0" w:line="240" w:lineRule="auto"/>
        <w:ind w:firstLine="709"/>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5.</w:t>
      </w:r>
      <w:r w:rsidRPr="005E5C90">
        <w:rPr>
          <w:rFonts w:ascii="Arial" w:eastAsiaTheme="minorEastAsia" w:hAnsi="Arial" w:cs="Arial"/>
          <w:sz w:val="16"/>
          <w:szCs w:val="16"/>
          <w:lang w:eastAsia="es-CO"/>
        </w:rPr>
        <w:tab/>
        <w:t>Medidas correctivas tomadas.</w:t>
      </w:r>
    </w:p>
    <w:p w:rsidR="00945711" w:rsidRPr="005E5C90"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El contratista deberá realizar la investigación del accidente y generar acciones para atacar las causas básicas y evitar que el evento se repita. Deberá mantener en archivo el registro del resultado de la investigación y del plan de acción.</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En ningún caso debe obstruir equipos para atención de emergencias como extintores, gabinetes contra incendio, entre otros.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Si durante las actividades que realice el contratista en la Unidad, se presenta una emergencia, el personal contratista deberá acatar las orientaciones dadas por el funcionario de la Unidad encargado de la emergencia y acatar la señalización de la Unidad.</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Tener en su campamento elementos de botiquín que se requieran para sortear emergencias de personal a su cargo.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Seguir las instrucciones de los proveedores y fabricantes de materias y productos acerca de su manipulación y almacenamiento.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Tener las fichas de seguridad de los productos y familiarizarse con sus incompatibilidades y su manejo en caso de emergencias.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o.</w:t>
      </w:r>
      <w:r w:rsidRPr="005E5C90">
        <w:rPr>
          <w:rFonts w:ascii="Arial" w:eastAsiaTheme="minorEastAsia" w:hAnsi="Arial" w:cs="Arial"/>
          <w:sz w:val="16"/>
          <w:szCs w:val="16"/>
          <w:lang w:eastAsia="es-CO"/>
        </w:rPr>
        <w:tab/>
        <w:t>Cerciorarse de que los envases, recipientes y contenedores se encuentren debidamente cerrados para evitar posibles derrames.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p.</w:t>
      </w:r>
      <w:r w:rsidRPr="005E5C90">
        <w:rPr>
          <w:rFonts w:ascii="Arial" w:eastAsiaTheme="minorEastAsia" w:hAnsi="Arial" w:cs="Arial"/>
          <w:sz w:val="16"/>
          <w:szCs w:val="16"/>
          <w:lang w:eastAsia="es-CO"/>
        </w:rPr>
        <w:tab/>
        <w:t>El contratista garantiza que sus empleados y subcontratistas no realizarán ninguna labor relacionada con la ejecución del servicio, estando bajo la influencia de alcohol o de cualquier otra sustancia psicoactiva u alcohólica. Así mismo no podrán usar, poseer, distribuir o vender bebidas alcohólicas, drogas ilícitas o drogas controladas no prescritas o accesorios de drogas, o hacer mal uso de drogas de prescripción legítima, cuando estén realizando trabajos para la FAC.</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q.</w:t>
      </w:r>
      <w:r w:rsidRPr="005E5C90">
        <w:rPr>
          <w:rFonts w:ascii="Arial" w:eastAsiaTheme="minorEastAsia" w:hAnsi="Arial" w:cs="Arial"/>
          <w:sz w:val="16"/>
          <w:szCs w:val="16"/>
          <w:lang w:eastAsia="es-CO"/>
        </w:rPr>
        <w:tab/>
        <w:t>El contratista, tiene la obligación de proporcionar a todo su personal equipos de protección y dotación de trabajo adecuada para resguardarlo de daños por efectos mecánicos, contaminantes, ambientales y climáticos relacionados con la actividad. Además, deberá controlar el uso correcto y la calidad; así mismo efectuar la reposición oportuna de estos.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r.</w:t>
      </w:r>
      <w:r w:rsidRPr="005E5C90">
        <w:rPr>
          <w:rFonts w:ascii="Arial" w:eastAsiaTheme="minorEastAsia" w:hAnsi="Arial" w:cs="Arial"/>
          <w:sz w:val="16"/>
          <w:szCs w:val="16"/>
          <w:lang w:eastAsia="es-CO"/>
        </w:rPr>
        <w:tab/>
        <w:t>Localizar y señalizar las zonas específicas para el almacenamiento de materias primas, auxiliares, residuos y mantenimiento de vehículos y equipos. Imponer una velocidad máxima de circulación de 20 km/h dentro de la obra.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s.</w:t>
      </w:r>
      <w:r w:rsidRPr="005E5C90">
        <w:rPr>
          <w:rFonts w:ascii="Arial" w:eastAsiaTheme="minorEastAsia" w:hAnsi="Arial" w:cs="Arial"/>
          <w:sz w:val="16"/>
          <w:szCs w:val="16"/>
          <w:lang w:eastAsia="es-CO"/>
        </w:rPr>
        <w:tab/>
        <w:t>Demarcación y control de áreas donde se desarrolle la actividad, para evitar el ingreso de personas y que brinden una separación segura contra la caída de materiales, esquirlas, etc.</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t.</w:t>
      </w:r>
      <w:r w:rsidRPr="005E5C90">
        <w:rPr>
          <w:rFonts w:ascii="Arial" w:eastAsiaTheme="minorEastAsia" w:hAnsi="Arial" w:cs="Arial"/>
          <w:sz w:val="16"/>
          <w:szCs w:val="16"/>
          <w:lang w:eastAsia="es-CO"/>
        </w:rPr>
        <w:tab/>
        <w:t>Acciones necesarias para el control de líquidos, gases y/o vapores generados por el almacenamiento, transporte y uso de productos químicos.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u.</w:t>
      </w:r>
      <w:r w:rsidRPr="005E5C90">
        <w:rPr>
          <w:rFonts w:ascii="Arial" w:eastAsiaTheme="minorEastAsia" w:hAnsi="Arial" w:cs="Arial"/>
          <w:sz w:val="16"/>
          <w:szCs w:val="16"/>
          <w:lang w:eastAsia="es-CO"/>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v.</w:t>
      </w:r>
      <w:r w:rsidRPr="005E5C90">
        <w:rPr>
          <w:rFonts w:ascii="Arial" w:eastAsiaTheme="minorEastAsia" w:hAnsi="Arial" w:cs="Arial"/>
          <w:sz w:val="16"/>
          <w:szCs w:val="16"/>
          <w:lang w:eastAsia="es-CO"/>
        </w:rPr>
        <w:tab/>
        <w:t>El contratista está obligado a inspeccionar y mantener el inventario suficiente de EPP para remplazarlos en caso de deterioro o pérdida. Los EPP utilizados deben cumplir con las normas técnicas NTC, NIOSH (para equipo de protección respiratoria) y ANSI (para los demás equipos de protección personal). (Ley 9 de 1979).</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w.</w:t>
      </w:r>
      <w:r w:rsidRPr="005E5C90">
        <w:rPr>
          <w:rFonts w:ascii="Arial" w:eastAsiaTheme="minorEastAsia" w:hAnsi="Arial" w:cs="Arial"/>
          <w:sz w:val="16"/>
          <w:szCs w:val="16"/>
          <w:lang w:eastAsia="es-CO"/>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x.</w:t>
      </w:r>
      <w:r w:rsidRPr="005E5C90">
        <w:rPr>
          <w:rFonts w:ascii="Arial" w:eastAsiaTheme="minorEastAsia" w:hAnsi="Arial" w:cs="Arial"/>
          <w:sz w:val="16"/>
          <w:szCs w:val="16"/>
          <w:lang w:eastAsia="es-CO"/>
        </w:rPr>
        <w:tab/>
        <w:t>El contratista, persona natural o jurídica, deberá suministrar o exigir el equipo de protección necesario, de acuerdo con la identificación de peligros, para el ingreso de visitantes a las áreas.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y.</w:t>
      </w:r>
      <w:r w:rsidRPr="005E5C90">
        <w:rPr>
          <w:rFonts w:ascii="Arial" w:eastAsiaTheme="minorEastAsia" w:hAnsi="Arial" w:cs="Arial"/>
          <w:sz w:val="16"/>
          <w:szCs w:val="16"/>
          <w:lang w:eastAsia="es-CO"/>
        </w:rPr>
        <w:tab/>
        <w:t>El contratista, persona natural o jurídica, debe entregar al supervisor del contrato u orden contractual copia de los formularios de pago a EPS, ARP y AFP, según normatividad vigente (interna y externa).</w:t>
      </w:r>
    </w:p>
    <w:p w:rsidR="00945711"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z.</w:t>
      </w:r>
      <w:r w:rsidRPr="005E5C90">
        <w:rPr>
          <w:rFonts w:ascii="Arial" w:eastAsiaTheme="minorEastAsia" w:hAnsi="Arial" w:cs="Arial"/>
          <w:sz w:val="16"/>
          <w:szCs w:val="16"/>
          <w:lang w:eastAsia="es-CO"/>
        </w:rPr>
        <w:tab/>
        <w:t>El contratista que no desee afiliarse al Sistema General de Riesgos Profesionales, debe manifestarlo por escrito y anexar dicha comunicación a la documentación requerida por el área de contratación.</w:t>
      </w:r>
    </w:p>
    <w:p w:rsidR="00945711" w:rsidRDefault="00945711" w:rsidP="00945711">
      <w:pPr>
        <w:spacing w:after="0" w:line="240" w:lineRule="auto"/>
        <w:ind w:left="709" w:hanging="425"/>
        <w:jc w:val="both"/>
        <w:rPr>
          <w:rFonts w:ascii="Arial" w:eastAsiaTheme="minorEastAsia" w:hAnsi="Arial" w:cs="Arial"/>
          <w:sz w:val="16"/>
          <w:szCs w:val="16"/>
          <w:lang w:eastAsia="es-CO"/>
        </w:rPr>
      </w:pPr>
    </w:p>
    <w:p w:rsidR="00945711" w:rsidRDefault="00945711" w:rsidP="00945711">
      <w:pPr>
        <w:spacing w:after="0" w:line="240" w:lineRule="auto"/>
        <w:ind w:left="709" w:hanging="425"/>
        <w:jc w:val="both"/>
        <w:rPr>
          <w:rFonts w:ascii="Arial" w:eastAsiaTheme="minorEastAsia" w:hAnsi="Arial" w:cs="Arial"/>
          <w:sz w:val="16"/>
          <w:szCs w:val="16"/>
          <w:lang w:eastAsia="es-CO"/>
        </w:rPr>
      </w:pPr>
    </w:p>
    <w:p w:rsidR="00945711" w:rsidRDefault="00945711" w:rsidP="00945711">
      <w:pPr>
        <w:spacing w:after="0" w:line="240" w:lineRule="auto"/>
        <w:ind w:left="709" w:hanging="425"/>
        <w:jc w:val="both"/>
        <w:rPr>
          <w:rFonts w:ascii="Arial" w:eastAsiaTheme="minorEastAsia" w:hAnsi="Arial" w:cs="Arial"/>
          <w:sz w:val="16"/>
          <w:szCs w:val="16"/>
          <w:lang w:eastAsia="es-CO"/>
        </w:rPr>
      </w:pPr>
    </w:p>
    <w:p w:rsidR="00945711" w:rsidRDefault="00945711" w:rsidP="00945711">
      <w:pPr>
        <w:spacing w:after="0" w:line="240" w:lineRule="auto"/>
        <w:ind w:left="709" w:hanging="425"/>
        <w:jc w:val="both"/>
        <w:rPr>
          <w:rFonts w:ascii="Arial" w:eastAsiaTheme="minorEastAsia" w:hAnsi="Arial" w:cs="Arial"/>
          <w:sz w:val="16"/>
          <w:szCs w:val="16"/>
          <w:lang w:eastAsia="es-CO"/>
        </w:rPr>
      </w:pPr>
    </w:p>
    <w:p w:rsidR="00945711" w:rsidRDefault="00945711" w:rsidP="00945711">
      <w:pPr>
        <w:spacing w:after="0" w:line="240" w:lineRule="auto"/>
        <w:ind w:left="709" w:hanging="425"/>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rsidR="00945711"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lastRenderedPageBreak/>
        <w:t>A  Portar el carné de afiliación a EPS, ARP y AFP, además de la Cédula de Ciudadanía.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 El contratista debe presentar listado de nombres y números de cédula de sus trabajadores y subcontratistas. Cada vez que se presenten cambios debe notificarlos al interventor o supervisor del contrato.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 El contratista está obligado a realizar las capacitaciones y entrenamientos necesarios para evitar accidentes y enfermedades profesionales para sus trabajadores y subcontratistas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 No se debe fumar ni prender fuego (encendedores, cerillas), en las áreas de trabajo y en las áreas prohibidas.</w:t>
      </w:r>
    </w:p>
    <w:p w:rsidR="00945711" w:rsidRDefault="00945711" w:rsidP="00945711">
      <w:pPr>
        <w:spacing w:after="0" w:line="240" w:lineRule="auto"/>
        <w:jc w:val="both"/>
        <w:rPr>
          <w:rFonts w:ascii="Arial" w:eastAsiaTheme="minorEastAsia" w:hAnsi="Arial" w:cs="Arial"/>
          <w:sz w:val="16"/>
          <w:szCs w:val="16"/>
          <w:lang w:eastAsia="es-CO"/>
        </w:rPr>
      </w:pPr>
    </w:p>
    <w:p w:rsidR="00945711" w:rsidRDefault="00945711" w:rsidP="00945711">
      <w:pPr>
        <w:spacing w:after="0" w:line="240" w:lineRule="auto"/>
        <w:jc w:val="both"/>
        <w:rPr>
          <w:rFonts w:ascii="Arial" w:eastAsiaTheme="minorEastAsia" w:hAnsi="Arial" w:cs="Arial"/>
          <w:sz w:val="16"/>
          <w:szCs w:val="16"/>
          <w:lang w:eastAsia="es-CO"/>
        </w:rPr>
      </w:pPr>
    </w:p>
    <w:p w:rsidR="00945711"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II.</w:t>
      </w:r>
      <w:r w:rsidRPr="005E5C90">
        <w:rPr>
          <w:rFonts w:ascii="Arial" w:eastAsiaTheme="minorEastAsia" w:hAnsi="Arial" w:cs="Arial"/>
          <w:sz w:val="16"/>
          <w:szCs w:val="16"/>
          <w:lang w:eastAsia="es-CO"/>
        </w:rPr>
        <w:tab/>
        <w:t>Para dar cumplimiento a la legislación ambiental vigente, los contratistas de obra deben:</w:t>
      </w:r>
    </w:p>
    <w:p w:rsidR="00945711" w:rsidRPr="005E5C90"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Presentar un plan de manejo ambiental para controlar, mitigación y prevención de impactos ambientales causados por actividades que impliquen la generación de ruido, material particulado, gases y/o vapores, vertimientos, generación de residuos.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Dependiendo del tiempo de obra se debe entregar al supervisor de la obra mensualmente un reporte donde se evidencie el cumplimento del plan de manejo ambiental</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Realizar una señalización específica para las zonas con vegetación de interés, para evitar que resulten dañadas durante las actividades de obra.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Vigilar por el mantenimiento de la limpieza y el orden en la zona de obras y vías de acceso. Emplear lonas en camiones de transporte de tierras, dentro y fuera de la obra.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No verter nunca a la red de alcantarillado productos o residuos potencialmente contaminantes. Ni lavar la maquinaria y los equipos de obra en la zona.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Aplicar las medidas necesarias para que los vehículos encargados del transporte de tierras y escombros no provoquen vertidos accidentales de su contenido y ensucien las vías.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El lugar en el que se encuentren los escombros debe encontrarse debidamente señalizado; en ningún caso, los escombros deben permanecer en zonas verdes o áreas de circulación. El contratista debe garantizar que todos los espacios utilizados para el almacenamiento de escombros que- den libres de ellos. Es responsabilidad del contratista la disposición final en escombreras autorizadas, para lo cual debe entregar al supervisor una certificación de la escombrera.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Optimizar el rendimiento de los vehículos y maquinaria, para reducir las emisiones atmosféricas, el ruido generado y optimizar el consumo de combustible.</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Recoger frecuentemente los residuos generados en la obra y trasladarlos a las zonas previstas para su almacenamiento temporal. Disponiendo de contenedores para cada tipo de residuo. Evitar la proximidad entre residuos cuyas características puedan suponer un aumento de la peligrosidad.</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Gestionar los residuos de forma adecuada, según la normatividad ambiental vigente. No realizar quemas de los residuos ni depositar estos en vertederos que no sean autorizados.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Hacer uso eficiente de energía en las zonas de servicios y vestuarios de los trabajadores. Elegir maquinaria de obras y equipos de alta eficiencia energética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Utilizar pinturas con bajo contenido en compuestos orgánico volátiles (COV) o base acuosa.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La FAC podrá exigir a la empresa contratista los registros que soporten la formación ambiental requerida o instrucciones específicas para el correcto control de los aspectos e impactos ambientales generados en el desarrollo de la obra.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Acciones para controlar ruidos que intervengan con la actividad normal de la Universidad. Los controles incluirán la realización de la actividad en horas y días no hábiles, métodos alternativos para realizar las actividades y/o barreras físicas.</w:t>
      </w:r>
    </w:p>
    <w:p w:rsidR="00945711"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III.</w:t>
      </w:r>
      <w:r w:rsidRPr="005E5C90">
        <w:rPr>
          <w:rFonts w:ascii="Arial" w:eastAsiaTheme="minorEastAsia" w:hAnsi="Arial" w:cs="Arial"/>
          <w:sz w:val="16"/>
          <w:szCs w:val="16"/>
          <w:lang w:eastAsia="es-CO"/>
        </w:rPr>
        <w:tab/>
        <w:t>Para los proveedores o prestadores de servicios en la FAC es importante que se tengan en la cuenta los siguientes aspectos para la Seguridad y Salud ocupacional:</w:t>
      </w:r>
    </w:p>
    <w:p w:rsidR="00945711"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Los materiales y sustancias peligrosas, en lo posible, sustituirlas por otras de menor peligrosidad.</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Seguir las instrucciones de los proveedores y fabricantes de materias y productos acerca de su manipulación y almacenamiento.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Tener las fichas de seguridad de los productos y familiarizarse con sus incompatibilidades y su manejo en caso de emergencias.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Ubique los envases y contenedores que contengan materias liquidas y semisólidas sobre bandejas o sistemas específicos que posibiliten la retención de fugas o derrames accidentales.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Para el proveedor de sustancias químicas se solicita el cumplimiento de los requisitos legales de envasado, etiquetado y facilitar la ficha de seguridad de los materiales o sustancias que formen parte del suministro.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Los proveedores y suministradores de combustibles líquidos y productos químicos, en general, debe cumplir con los requisitos legales de envasado, etiquetado y facilitar ficha de seguridad de los materiales o sustancias que formen parte del suministro.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Garantizar el estricto cumplimiento de la normativa legal vigente durante el transporte y entrega de los productos químicos. Las operaciones de carga y descarga serán responsabilidad de la empresa transportista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Disponer de la formación y competencia del transportista de productos químicos sobre las condiciones de manejo y riesgos potenciales de contaminación asociados a su actividad.</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Para el servicio de corte de prado, podas y talas, se deben utilizar los elementos de protección como mallas para el área de poda, guantes, petos y caretas.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El contratista, persona natural o jurídica, debe mantener actualizadas las actas de entrega y reposición de elementos de protección personal (EPP), de acuerdo con las actividades a desempeñar en la FAC, estas deben estar firmadas por sus trabajadores y/o subcontratistas que requieran de EPP.</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El contratista, persona natural o jurídica, debe expedir a sus trabajadores y/o subcontratistas el permiso de trabajo correspondiente para realizar actividades con alto potencial de riesgo, si el contratista persona natural no tiene personas a cargo debe aplicar una lista de chequeo que garantice que cumple con las normas de seguridad para realizar la actividad de alto riesgo.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El contratista, persona natural o jurídica, deberá suministrar o exigir el equipo de protección necesario, de acuerdo con la identificación de peligros, para el ingreso de visitantes a las áreas.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El contratista, persona natural o jurídica, debe entregar al supervisor del contrato u orden contractual copia de los formularios de pago a EPS, ARP y AFP, según normatividad vigente (interna y externa).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n.</w:t>
      </w:r>
      <w:r w:rsidRPr="005E5C90">
        <w:rPr>
          <w:rFonts w:ascii="Arial" w:eastAsiaTheme="minorEastAsia" w:hAnsi="Arial" w:cs="Arial"/>
          <w:sz w:val="16"/>
          <w:szCs w:val="16"/>
          <w:lang w:eastAsia="es-CO"/>
        </w:rPr>
        <w:tab/>
        <w:t>No se debe fumar ni prender fuego (encendedores, cerillas), en las áreas de trabajo y en las áreas prohibidas.</w:t>
      </w:r>
    </w:p>
    <w:p w:rsidR="00945711"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jc w:val="both"/>
        <w:rPr>
          <w:rFonts w:ascii="Arial" w:eastAsiaTheme="minorEastAsia" w:hAnsi="Arial" w:cs="Arial"/>
          <w:sz w:val="16"/>
          <w:szCs w:val="16"/>
          <w:lang w:eastAsia="es-CO"/>
        </w:rPr>
      </w:pPr>
      <w:r w:rsidRPr="005E5C90">
        <w:rPr>
          <w:rFonts w:ascii="Arial" w:eastAsiaTheme="minorEastAsia" w:hAnsi="Arial" w:cs="Arial"/>
          <w:b/>
          <w:sz w:val="16"/>
          <w:szCs w:val="16"/>
          <w:lang w:eastAsia="es-CO"/>
        </w:rPr>
        <w:t>IV.</w:t>
      </w:r>
      <w:r w:rsidRPr="005E5C90">
        <w:rPr>
          <w:rFonts w:ascii="Arial" w:eastAsiaTheme="minorEastAsia" w:hAnsi="Arial" w:cs="Arial"/>
          <w:sz w:val="16"/>
          <w:szCs w:val="16"/>
          <w:lang w:eastAsia="es-CO"/>
        </w:rPr>
        <w:tab/>
        <w:t>Para los proveedores o prestadores de servicios en la FAC es importante que se tengan en cuenta los siguientes aspectos para proteger el medio ambiente:</w:t>
      </w:r>
    </w:p>
    <w:p w:rsidR="00945711" w:rsidRDefault="00945711" w:rsidP="00945711">
      <w:pPr>
        <w:spacing w:after="0" w:line="240" w:lineRule="auto"/>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a.</w:t>
      </w:r>
      <w:r w:rsidRPr="005E5C90">
        <w:rPr>
          <w:rFonts w:ascii="Arial" w:eastAsiaTheme="minorEastAsia" w:hAnsi="Arial" w:cs="Arial"/>
          <w:sz w:val="16"/>
          <w:szCs w:val="16"/>
          <w:lang w:eastAsia="es-CO"/>
        </w:rPr>
        <w:tab/>
        <w:t>Entre los productos de aplicaciones similares, utilizar los que sean más respetuosos con el medio ambiente.</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b.</w:t>
      </w:r>
      <w:r w:rsidRPr="005E5C90">
        <w:rPr>
          <w:rFonts w:ascii="Arial" w:eastAsiaTheme="minorEastAsia" w:hAnsi="Arial" w:cs="Arial"/>
          <w:sz w:val="16"/>
          <w:szCs w:val="16"/>
          <w:lang w:eastAsia="es-CO"/>
        </w:rPr>
        <w:tab/>
        <w:t>No vierta residuos líquidos peligrosos a la red de alcantarillado. No mezcle los residuos peligrosos con otro tipo de residuos. Separe los residuos peligrosos y deposítelos en los lugares específicos destinados. Recuerde que los envases y empaques que han contenido sustancias peligrosas son también peligrosos y deben ser dispuestos como tal.</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c.</w:t>
      </w:r>
      <w:r w:rsidRPr="005E5C90">
        <w:rPr>
          <w:rFonts w:ascii="Arial" w:eastAsiaTheme="minorEastAsia" w:hAnsi="Arial" w:cs="Arial"/>
          <w:sz w:val="16"/>
          <w:szCs w:val="16"/>
          <w:lang w:eastAsia="es-CO"/>
        </w:rPr>
        <w:tab/>
        <w:t>Reduzca la variedad de disolventes recurriendo a sustancias multipropósito. La estandarización de los disolventes reduce el número y la cantidad de residuos generados y aumentan la posibilidad de reciclarlos.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d.</w:t>
      </w:r>
      <w:r w:rsidRPr="005E5C90">
        <w:rPr>
          <w:rFonts w:ascii="Arial" w:eastAsiaTheme="minorEastAsia" w:hAnsi="Arial" w:cs="Arial"/>
          <w:sz w:val="16"/>
          <w:szCs w:val="16"/>
          <w:lang w:eastAsia="es-CO"/>
        </w:rPr>
        <w:tab/>
        <w:t>Dé prioridad a los líquidos de limpieza solubles en agua, en lugar de líquidos con base aceite.</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e.</w:t>
      </w:r>
      <w:r w:rsidRPr="005E5C90">
        <w:rPr>
          <w:rFonts w:ascii="Arial" w:eastAsiaTheme="minorEastAsia" w:hAnsi="Arial" w:cs="Arial"/>
          <w:sz w:val="16"/>
          <w:szCs w:val="16"/>
          <w:lang w:eastAsia="es-CO"/>
        </w:rPr>
        <w:tab/>
        <w:t>Utilice, si es posible, productos elaborados con materiales reciclados y que hayan sido diseñados para su reutilización.</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f.</w:t>
      </w:r>
      <w:r w:rsidRPr="005E5C90">
        <w:rPr>
          <w:rFonts w:ascii="Arial" w:eastAsiaTheme="minorEastAsia" w:hAnsi="Arial" w:cs="Arial"/>
          <w:sz w:val="16"/>
          <w:szCs w:val="16"/>
          <w:lang w:eastAsia="es-CO"/>
        </w:rPr>
        <w:tab/>
        <w:t>Realice buen uso del agua y apague las luces cuando abandone el área que ya no esté usando.</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g.</w:t>
      </w:r>
      <w:r w:rsidRPr="005E5C90">
        <w:rPr>
          <w:rFonts w:ascii="Arial" w:eastAsiaTheme="minorEastAsia" w:hAnsi="Arial" w:cs="Arial"/>
          <w:sz w:val="16"/>
          <w:szCs w:val="16"/>
          <w:lang w:eastAsia="es-CO"/>
        </w:rPr>
        <w:tab/>
        <w:t>Disponga de instrucciones de uso y manipulación de sustancias, pautas para su transporte y gestión de residuos, en especial, para el servicio de mantenimiento de aires acondicionados y refrigerantes.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h.</w:t>
      </w:r>
      <w:r w:rsidRPr="005E5C90">
        <w:rPr>
          <w:rFonts w:ascii="Arial" w:eastAsiaTheme="minorEastAsia" w:hAnsi="Arial" w:cs="Arial"/>
          <w:sz w:val="16"/>
          <w:szCs w:val="16"/>
          <w:lang w:eastAsia="es-CO"/>
        </w:rPr>
        <w:tab/>
        <w:t>Recoja cuidadosamente los restos de vegetación resultado de las actividades de mantenimiento o limpieza y evite que llegue a cualquier sistema de agua de las instalaciones. En lo posible, que no contengan las siguientes sustancias: paraclorodifenoles, clorobenzoles, hidrocarburos policíclicos y sustancias incluidas en la lista de sustancias peligrosas del decreto 4741 de 2005.</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i.</w:t>
      </w:r>
      <w:r w:rsidRPr="005E5C90">
        <w:rPr>
          <w:rFonts w:ascii="Arial" w:eastAsiaTheme="minorEastAsia" w:hAnsi="Arial" w:cs="Arial"/>
          <w:sz w:val="16"/>
          <w:szCs w:val="16"/>
          <w:lang w:eastAsia="es-CO"/>
        </w:rPr>
        <w:tab/>
        <w:t>El servicio de corte de prado, podas y talas debe contar con el procedimiento específico para este manejo, teniendo en la cuenta las podas de vegetación protegida. Se prohíbe quemar los desechos vegetales o depositarlos en las corrientes de agua.</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j.</w:t>
      </w:r>
      <w:r w:rsidRPr="005E5C90">
        <w:rPr>
          <w:rFonts w:ascii="Arial" w:eastAsiaTheme="minorEastAsia" w:hAnsi="Arial" w:cs="Arial"/>
          <w:sz w:val="16"/>
          <w:szCs w:val="16"/>
          <w:lang w:eastAsia="es-CO"/>
        </w:rPr>
        <w:tab/>
        <w:t>Los encargados de la instalación y los mantenimientos de aires acondicionados deben ser responsables de la disposición final de los residuos generados.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k.</w:t>
      </w:r>
      <w:r w:rsidRPr="005E5C90">
        <w:rPr>
          <w:rFonts w:ascii="Arial" w:eastAsiaTheme="minorEastAsia" w:hAnsi="Arial" w:cs="Arial"/>
          <w:sz w:val="16"/>
          <w:szCs w:val="16"/>
          <w:lang w:eastAsia="es-CO"/>
        </w:rPr>
        <w:tab/>
        <w:t>Para quienes prestan servicios de cafetería y restaurantes, el contratista debe tramitar el registro sanitario ante las autoridades competentes, el cual debe ser presentado al supervisor.</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l.</w:t>
      </w:r>
      <w:r w:rsidRPr="005E5C90">
        <w:rPr>
          <w:rFonts w:ascii="Arial" w:eastAsiaTheme="minorEastAsia" w:hAnsi="Arial" w:cs="Arial"/>
          <w:sz w:val="16"/>
          <w:szCs w:val="16"/>
          <w:lang w:eastAsia="es-CO"/>
        </w:rPr>
        <w:tab/>
        <w:t>Cumplir con las normas para almacenamiento, conservación y manipulación de alimentos, de acuerdo con la reglamentación vigente. Tramitar el carné de manipulación de alimentos de cada uno de las personas que lo requieran para la realización de sus actividades.</w:t>
      </w:r>
    </w:p>
    <w:p w:rsidR="00945711" w:rsidRPr="005E5C90" w:rsidRDefault="00945711" w:rsidP="00945711">
      <w:pPr>
        <w:spacing w:after="0" w:line="240" w:lineRule="auto"/>
        <w:ind w:left="709" w:hanging="425"/>
        <w:jc w:val="both"/>
        <w:rPr>
          <w:rFonts w:ascii="Arial" w:eastAsiaTheme="minorEastAsia" w:hAnsi="Arial" w:cs="Arial"/>
          <w:sz w:val="16"/>
          <w:szCs w:val="16"/>
          <w:lang w:eastAsia="es-CO"/>
        </w:rPr>
      </w:pPr>
      <w:r w:rsidRPr="005E5C90">
        <w:rPr>
          <w:rFonts w:ascii="Arial" w:eastAsiaTheme="minorEastAsia" w:hAnsi="Arial" w:cs="Arial"/>
          <w:sz w:val="16"/>
          <w:szCs w:val="16"/>
          <w:lang w:eastAsia="es-CO"/>
        </w:rPr>
        <w:t>m.</w:t>
      </w:r>
      <w:r w:rsidRPr="005E5C90">
        <w:rPr>
          <w:rFonts w:ascii="Arial" w:eastAsiaTheme="minorEastAsia" w:hAnsi="Arial" w:cs="Arial"/>
          <w:sz w:val="16"/>
          <w:szCs w:val="16"/>
          <w:lang w:eastAsia="es-CO"/>
        </w:rPr>
        <w:tab/>
        <w:t>Cumplir con las normas legales y técnicas colombianas aplicables al manejo de desechos.</w:t>
      </w:r>
    </w:p>
    <w:p w:rsidR="005B5AD9" w:rsidRPr="00057D79" w:rsidRDefault="005B5AD9" w:rsidP="00AD610A">
      <w:pPr>
        <w:spacing w:after="0" w:line="240" w:lineRule="auto"/>
        <w:rPr>
          <w:rFonts w:ascii="Arial" w:eastAsia="Times New Roman" w:hAnsi="Arial" w:cs="Arial"/>
          <w:sz w:val="16"/>
          <w:szCs w:val="16"/>
          <w:lang w:eastAsia="es-CO"/>
        </w:rPr>
      </w:pPr>
    </w:p>
    <w:p w:rsidR="005B5AD9" w:rsidRDefault="005B5AD9" w:rsidP="00AD610A">
      <w:pPr>
        <w:spacing w:after="0" w:line="240" w:lineRule="auto"/>
        <w:rPr>
          <w:rFonts w:ascii="Arial" w:eastAsia="Times New Roman" w:hAnsi="Arial" w:cs="Arial"/>
          <w:sz w:val="16"/>
          <w:szCs w:val="16"/>
          <w:lang w:eastAsia="es-CO"/>
        </w:rPr>
      </w:pPr>
    </w:p>
    <w:p w:rsidR="00945711" w:rsidRDefault="00945711" w:rsidP="00AD610A">
      <w:pPr>
        <w:spacing w:after="0" w:line="240" w:lineRule="auto"/>
        <w:rPr>
          <w:rFonts w:ascii="Arial" w:eastAsia="Times New Roman" w:hAnsi="Arial" w:cs="Arial"/>
          <w:sz w:val="16"/>
          <w:szCs w:val="16"/>
          <w:lang w:eastAsia="es-CO"/>
        </w:rPr>
      </w:pPr>
    </w:p>
    <w:p w:rsidR="00945711" w:rsidRPr="00057D79" w:rsidRDefault="00945711" w:rsidP="00AD610A">
      <w:pPr>
        <w:spacing w:after="0" w:line="240" w:lineRule="auto"/>
        <w:rPr>
          <w:rFonts w:ascii="Arial" w:eastAsia="Times New Roman" w:hAnsi="Arial" w:cs="Arial"/>
          <w:sz w:val="16"/>
          <w:szCs w:val="16"/>
          <w:lang w:eastAsia="es-CO"/>
        </w:rPr>
      </w:pPr>
      <w:bookmarkStart w:id="6" w:name="_GoBack"/>
      <w:bookmarkEnd w:id="6"/>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_____________________________________________________________</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w:t>
      </w:r>
      <w:r w:rsidRPr="00051E14">
        <w:rPr>
          <w:rFonts w:ascii="Arial" w:eastAsia="Arial" w:hAnsi="Arial" w:cs="Arial"/>
          <w:color w:val="FF0000"/>
          <w:sz w:val="16"/>
          <w:szCs w:val="16"/>
        </w:rPr>
        <w:t>Firma representante legal del Proponente o del Proponente persona natural</w:t>
      </w:r>
      <w:r w:rsidRPr="00057D79">
        <w:rPr>
          <w:rFonts w:ascii="Arial" w:eastAsia="Calibri" w:hAnsi="Arial" w:cs="Arial"/>
          <w:sz w:val="16"/>
          <w:szCs w:val="16"/>
        </w:rPr>
        <w:t xml:space="preserve">] </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No</w:t>
      </w:r>
      <w:r w:rsidRPr="00057D79">
        <w:rPr>
          <w:rFonts w:ascii="Arial" w:eastAsia="Calibri" w:hAnsi="Arial" w:cs="Arial"/>
          <w:spacing w:val="4"/>
          <w:sz w:val="16"/>
          <w:szCs w:val="16"/>
        </w:rPr>
        <w:t>m</w:t>
      </w:r>
      <w:r w:rsidRPr="00057D79">
        <w:rPr>
          <w:rFonts w:ascii="Arial" w:eastAsia="Calibri" w:hAnsi="Arial" w:cs="Arial"/>
          <w:sz w:val="16"/>
          <w:szCs w:val="16"/>
        </w:rPr>
        <w:t>bre:</w:t>
      </w:r>
      <w:r w:rsidRPr="00057D79">
        <w:rPr>
          <w:rFonts w:ascii="Arial" w:eastAsia="Calibri" w:hAnsi="Arial" w:cs="Arial"/>
          <w:spacing w:val="-8"/>
          <w:sz w:val="16"/>
          <w:szCs w:val="16"/>
        </w:rPr>
        <w:t xml:space="preserve"> </w:t>
      </w:r>
      <w:r w:rsidRPr="00057D79">
        <w:rPr>
          <w:rFonts w:ascii="Arial" w:eastAsia="Calibri" w:hAnsi="Arial" w:cs="Arial"/>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p>
    <w:p w:rsidR="005B5AD9" w:rsidRPr="00057D79" w:rsidRDefault="005B5AD9" w:rsidP="005B5AD9">
      <w:pPr>
        <w:widowControl w:val="0"/>
        <w:autoSpaceDE w:val="0"/>
        <w:autoSpaceDN w:val="0"/>
        <w:adjustRightInd w:val="0"/>
        <w:spacing w:after="0" w:line="240" w:lineRule="auto"/>
        <w:rPr>
          <w:rFonts w:ascii="Arial" w:eastAsia="Calibri" w:hAnsi="Arial" w:cs="Arial"/>
          <w:sz w:val="16"/>
          <w:szCs w:val="16"/>
        </w:rPr>
      </w:pPr>
      <w:r w:rsidRPr="00057D79">
        <w:rPr>
          <w:rFonts w:ascii="Arial" w:eastAsia="Calibri" w:hAnsi="Arial" w:cs="Arial"/>
          <w:sz w:val="16"/>
          <w:szCs w:val="16"/>
        </w:rPr>
        <w:t>Carg</w:t>
      </w:r>
      <w:r w:rsidRPr="00057D79">
        <w:rPr>
          <w:rFonts w:ascii="Arial" w:eastAsia="Calibri" w:hAnsi="Arial" w:cs="Arial"/>
          <w:spacing w:val="-1"/>
          <w:sz w:val="16"/>
          <w:szCs w:val="16"/>
        </w:rPr>
        <w:t>o</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pacing w:val="2"/>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p>
    <w:p w:rsidR="005D254D" w:rsidRPr="00057D79" w:rsidRDefault="005B5AD9" w:rsidP="00057D79">
      <w:pPr>
        <w:widowControl w:val="0"/>
        <w:autoSpaceDE w:val="0"/>
        <w:autoSpaceDN w:val="0"/>
        <w:adjustRightInd w:val="0"/>
        <w:spacing w:after="0" w:line="240" w:lineRule="auto"/>
        <w:rPr>
          <w:rFonts w:ascii="Arial" w:eastAsia="Times New Roman" w:hAnsi="Arial" w:cs="Arial"/>
          <w:sz w:val="16"/>
          <w:szCs w:val="16"/>
          <w:lang w:eastAsia="es-CO"/>
        </w:rPr>
      </w:pPr>
      <w:r w:rsidRPr="00057D79">
        <w:rPr>
          <w:rFonts w:ascii="Arial" w:eastAsia="Calibri" w:hAnsi="Arial" w:cs="Arial"/>
          <w:sz w:val="16"/>
          <w:szCs w:val="16"/>
        </w:rPr>
        <w:t>Do</w:t>
      </w:r>
      <w:r w:rsidRPr="00057D79">
        <w:rPr>
          <w:rFonts w:ascii="Arial" w:eastAsia="Calibri" w:hAnsi="Arial" w:cs="Arial"/>
          <w:spacing w:val="1"/>
          <w:sz w:val="16"/>
          <w:szCs w:val="16"/>
        </w:rPr>
        <w:t>c</w:t>
      </w:r>
      <w:r w:rsidRPr="00057D79">
        <w:rPr>
          <w:rFonts w:ascii="Arial" w:eastAsia="Calibri" w:hAnsi="Arial" w:cs="Arial"/>
          <w:sz w:val="16"/>
          <w:szCs w:val="16"/>
        </w:rPr>
        <w:t>u</w:t>
      </w:r>
      <w:r w:rsidRPr="00057D79">
        <w:rPr>
          <w:rFonts w:ascii="Arial" w:eastAsia="Calibri" w:hAnsi="Arial" w:cs="Arial"/>
          <w:spacing w:val="4"/>
          <w:sz w:val="16"/>
          <w:szCs w:val="16"/>
        </w:rPr>
        <w:t>m</w:t>
      </w:r>
      <w:r w:rsidRPr="00057D79">
        <w:rPr>
          <w:rFonts w:ascii="Arial" w:eastAsia="Calibri" w:hAnsi="Arial" w:cs="Arial"/>
          <w:sz w:val="16"/>
          <w:szCs w:val="16"/>
        </w:rPr>
        <w:t>e</w:t>
      </w:r>
      <w:r w:rsidRPr="00057D79">
        <w:rPr>
          <w:rFonts w:ascii="Arial" w:eastAsia="Calibri" w:hAnsi="Arial" w:cs="Arial"/>
          <w:spacing w:val="-1"/>
          <w:sz w:val="16"/>
          <w:szCs w:val="16"/>
        </w:rPr>
        <w:t>n</w:t>
      </w:r>
      <w:r w:rsidRPr="00057D79">
        <w:rPr>
          <w:rFonts w:ascii="Arial" w:eastAsia="Calibri" w:hAnsi="Arial" w:cs="Arial"/>
          <w:sz w:val="16"/>
          <w:szCs w:val="16"/>
        </w:rPr>
        <w:t>to</w:t>
      </w:r>
      <w:r w:rsidRPr="00057D79">
        <w:rPr>
          <w:rFonts w:ascii="Arial" w:eastAsia="Calibri" w:hAnsi="Arial" w:cs="Arial"/>
          <w:spacing w:val="-11"/>
          <w:sz w:val="16"/>
          <w:szCs w:val="16"/>
        </w:rPr>
        <w:t xml:space="preserve"> </w:t>
      </w:r>
      <w:r w:rsidRPr="00057D79">
        <w:rPr>
          <w:rFonts w:ascii="Arial" w:eastAsia="Calibri" w:hAnsi="Arial" w:cs="Arial"/>
          <w:sz w:val="16"/>
          <w:szCs w:val="16"/>
        </w:rPr>
        <w:t>de</w:t>
      </w:r>
      <w:r w:rsidRPr="00057D79">
        <w:rPr>
          <w:rFonts w:ascii="Arial" w:eastAsia="Calibri" w:hAnsi="Arial" w:cs="Arial"/>
          <w:spacing w:val="-3"/>
          <w:sz w:val="16"/>
          <w:szCs w:val="16"/>
        </w:rPr>
        <w:t xml:space="preserve"> </w:t>
      </w:r>
      <w:r w:rsidRPr="00057D79">
        <w:rPr>
          <w:rFonts w:ascii="Arial" w:eastAsia="Calibri" w:hAnsi="Arial" w:cs="Arial"/>
          <w:spacing w:val="2"/>
          <w:sz w:val="16"/>
          <w:szCs w:val="16"/>
        </w:rPr>
        <w:t>I</w:t>
      </w:r>
      <w:r w:rsidRPr="00057D79">
        <w:rPr>
          <w:rFonts w:ascii="Arial" w:eastAsia="Calibri" w:hAnsi="Arial" w:cs="Arial"/>
          <w:sz w:val="16"/>
          <w:szCs w:val="16"/>
        </w:rPr>
        <w:t>d</w:t>
      </w:r>
      <w:r w:rsidRPr="00057D79">
        <w:rPr>
          <w:rFonts w:ascii="Arial" w:eastAsia="Calibri" w:hAnsi="Arial" w:cs="Arial"/>
          <w:spacing w:val="-1"/>
          <w:sz w:val="16"/>
          <w:szCs w:val="16"/>
        </w:rPr>
        <w:t>e</w:t>
      </w:r>
      <w:r w:rsidRPr="00057D79">
        <w:rPr>
          <w:rFonts w:ascii="Arial" w:eastAsia="Calibri" w:hAnsi="Arial" w:cs="Arial"/>
          <w:spacing w:val="2"/>
          <w:sz w:val="16"/>
          <w:szCs w:val="16"/>
        </w:rPr>
        <w:t>n</w:t>
      </w:r>
      <w:r w:rsidRPr="00057D79">
        <w:rPr>
          <w:rFonts w:ascii="Arial" w:eastAsia="Calibri" w:hAnsi="Arial" w:cs="Arial"/>
          <w:sz w:val="16"/>
          <w:szCs w:val="16"/>
        </w:rPr>
        <w:t>t</w:t>
      </w:r>
      <w:r w:rsidRPr="00057D79">
        <w:rPr>
          <w:rFonts w:ascii="Arial" w:eastAsia="Calibri" w:hAnsi="Arial" w:cs="Arial"/>
          <w:spacing w:val="-1"/>
          <w:sz w:val="16"/>
          <w:szCs w:val="16"/>
        </w:rPr>
        <w:t>i</w:t>
      </w:r>
      <w:r w:rsidRPr="00057D79">
        <w:rPr>
          <w:rFonts w:ascii="Arial" w:eastAsia="Calibri" w:hAnsi="Arial" w:cs="Arial"/>
          <w:spacing w:val="2"/>
          <w:sz w:val="16"/>
          <w:szCs w:val="16"/>
        </w:rPr>
        <w:t>d</w:t>
      </w:r>
      <w:r w:rsidRPr="00057D79">
        <w:rPr>
          <w:rFonts w:ascii="Arial" w:eastAsia="Calibri" w:hAnsi="Arial" w:cs="Arial"/>
          <w:sz w:val="16"/>
          <w:szCs w:val="16"/>
        </w:rPr>
        <w:t>a</w:t>
      </w:r>
      <w:r w:rsidRPr="00057D79">
        <w:rPr>
          <w:rFonts w:ascii="Arial" w:eastAsia="Calibri" w:hAnsi="Arial" w:cs="Arial"/>
          <w:spacing w:val="-1"/>
          <w:sz w:val="16"/>
          <w:szCs w:val="16"/>
        </w:rPr>
        <w:t>d</w:t>
      </w:r>
      <w:r w:rsidRPr="00057D79">
        <w:rPr>
          <w:rFonts w:ascii="Arial" w:eastAsia="Calibri" w:hAnsi="Arial" w:cs="Arial"/>
          <w:sz w:val="16"/>
          <w:szCs w:val="16"/>
        </w:rPr>
        <w:t>:</w:t>
      </w:r>
      <w:r w:rsidRPr="00057D79">
        <w:rPr>
          <w:rFonts w:ascii="Arial" w:eastAsia="Calibri" w:hAnsi="Arial" w:cs="Arial"/>
          <w:spacing w:val="-6"/>
          <w:sz w:val="16"/>
          <w:szCs w:val="16"/>
        </w:rPr>
        <w:t xml:space="preserve"> </w:t>
      </w:r>
      <w:r w:rsidRPr="00057D79">
        <w:rPr>
          <w:rFonts w:ascii="Arial" w:eastAsia="Calibri" w:hAnsi="Arial" w:cs="Arial"/>
          <w:sz w:val="16"/>
          <w:szCs w:val="16"/>
        </w:rPr>
        <w:t>[</w:t>
      </w:r>
      <w:r w:rsidRPr="00051E14">
        <w:rPr>
          <w:rFonts w:ascii="Arial" w:eastAsia="Arial" w:hAnsi="Arial" w:cs="Arial"/>
          <w:color w:val="FF0000"/>
          <w:sz w:val="16"/>
          <w:szCs w:val="16"/>
        </w:rPr>
        <w:t>Insertar información</w:t>
      </w:r>
      <w:r w:rsidRPr="00057D79">
        <w:rPr>
          <w:rFonts w:ascii="Arial" w:eastAsia="Calibri" w:hAnsi="Arial" w:cs="Arial"/>
          <w:sz w:val="16"/>
          <w:szCs w:val="16"/>
        </w:rPr>
        <w:t>]</w:t>
      </w:r>
      <w:bookmarkEnd w:id="5"/>
    </w:p>
    <w:sectPr w:rsidR="005D254D" w:rsidRPr="00057D79" w:rsidSect="00945711">
      <w:pgSz w:w="12247" w:h="18711" w:code="261"/>
      <w:pgMar w:top="1418" w:right="1701"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7321"/>
    <w:multiLevelType w:val="hybridMultilevel"/>
    <w:tmpl w:val="C71AD7B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851DBF"/>
    <w:multiLevelType w:val="hybridMultilevel"/>
    <w:tmpl w:val="C00C397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6534A5B"/>
    <w:multiLevelType w:val="hybridMultilevel"/>
    <w:tmpl w:val="20302DA6"/>
    <w:lvl w:ilvl="0" w:tplc="F19464BC">
      <w:start w:val="4"/>
      <w:numFmt w:val="bullet"/>
      <w:lvlText w:val=""/>
      <w:lvlJc w:val="left"/>
      <w:pPr>
        <w:ind w:left="600" w:hanging="360"/>
      </w:pPr>
      <w:rPr>
        <w:rFonts w:ascii="Symbol" w:eastAsia="Calibri" w:hAnsi="Symbol" w:cs="Aria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3">
    <w:nsid w:val="073F2870"/>
    <w:multiLevelType w:val="multilevel"/>
    <w:tmpl w:val="87B6F504"/>
    <w:lvl w:ilvl="0">
      <w:start w:val="1"/>
      <w:numFmt w:val="decimal"/>
      <w:lvlText w:val="%1."/>
      <w:lvlJc w:val="left"/>
      <w:pPr>
        <w:ind w:left="1800" w:hanging="360"/>
      </w:p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082A6499"/>
    <w:multiLevelType w:val="hybridMultilevel"/>
    <w:tmpl w:val="BE8C9F3A"/>
    <w:lvl w:ilvl="0" w:tplc="543E282E">
      <w:start w:val="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C0006A6"/>
    <w:multiLevelType w:val="hybridMultilevel"/>
    <w:tmpl w:val="62025F8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0D911A17"/>
    <w:multiLevelType w:val="hybridMultilevel"/>
    <w:tmpl w:val="ED043A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2377706"/>
    <w:multiLevelType w:val="hybridMultilevel"/>
    <w:tmpl w:val="98AA2C1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2D602C"/>
    <w:multiLevelType w:val="hybridMultilevel"/>
    <w:tmpl w:val="A26457AA"/>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A4F6C81"/>
    <w:multiLevelType w:val="hybridMultilevel"/>
    <w:tmpl w:val="AB30CC2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1D376CA8"/>
    <w:multiLevelType w:val="hybridMultilevel"/>
    <w:tmpl w:val="BE54146A"/>
    <w:lvl w:ilvl="0" w:tplc="4E80FE10">
      <w:start w:val="1"/>
      <w:numFmt w:val="lowerRoman"/>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F414A75"/>
    <w:multiLevelType w:val="hybridMultilevel"/>
    <w:tmpl w:val="45F88B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1FCE5DA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20871E94"/>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22217717"/>
    <w:multiLevelType w:val="hybridMultilevel"/>
    <w:tmpl w:val="ED02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BD84147"/>
    <w:multiLevelType w:val="hybridMultilevel"/>
    <w:tmpl w:val="CF46445A"/>
    <w:lvl w:ilvl="0" w:tplc="95241996">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3EB07EC"/>
    <w:multiLevelType w:val="hybridMultilevel"/>
    <w:tmpl w:val="3BAA7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37C13062"/>
    <w:multiLevelType w:val="hybridMultilevel"/>
    <w:tmpl w:val="DE86738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A004511"/>
    <w:multiLevelType w:val="hybridMultilevel"/>
    <w:tmpl w:val="6A9448DC"/>
    <w:lvl w:ilvl="0" w:tplc="0B46DDCC">
      <w:start w:val="7"/>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3B28316F"/>
    <w:multiLevelType w:val="singleLevel"/>
    <w:tmpl w:val="B7A82F2C"/>
    <w:lvl w:ilvl="0">
      <w:start w:val="6"/>
      <w:numFmt w:val="bullet"/>
      <w:lvlText w:val="-"/>
      <w:lvlJc w:val="left"/>
      <w:pPr>
        <w:tabs>
          <w:tab w:val="num" w:pos="360"/>
        </w:tabs>
        <w:ind w:left="360" w:hanging="360"/>
      </w:pPr>
      <w:rPr>
        <w:rFonts w:ascii="Times New Roman" w:hAnsi="Times New Roman" w:cs="Times New Roman" w:hint="default"/>
      </w:rPr>
    </w:lvl>
  </w:abstractNum>
  <w:abstractNum w:abstractNumId="22">
    <w:nsid w:val="3F254289"/>
    <w:multiLevelType w:val="hybridMultilevel"/>
    <w:tmpl w:val="18DC23FA"/>
    <w:lvl w:ilvl="0" w:tplc="A998C45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4C57693"/>
    <w:multiLevelType w:val="hybridMultilevel"/>
    <w:tmpl w:val="86C83E7C"/>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49B151B4"/>
    <w:multiLevelType w:val="hybridMultilevel"/>
    <w:tmpl w:val="6CFC8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A6D04D2"/>
    <w:multiLevelType w:val="hybridMultilevel"/>
    <w:tmpl w:val="0136C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32B6F70"/>
    <w:multiLevelType w:val="hybridMultilevel"/>
    <w:tmpl w:val="C40C9186"/>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93B04F4"/>
    <w:multiLevelType w:val="hybridMultilevel"/>
    <w:tmpl w:val="E96A415E"/>
    <w:lvl w:ilvl="0" w:tplc="1C8EBA0C">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EA95296"/>
    <w:multiLevelType w:val="hybridMultilevel"/>
    <w:tmpl w:val="0EF06560"/>
    <w:lvl w:ilvl="0" w:tplc="240A0011">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5D44235"/>
    <w:multiLevelType w:val="hybridMultilevel"/>
    <w:tmpl w:val="B3FA00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B2E0A4E"/>
    <w:multiLevelType w:val="hybridMultilevel"/>
    <w:tmpl w:val="E31C360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DB50640"/>
    <w:multiLevelType w:val="hybridMultilevel"/>
    <w:tmpl w:val="ED6E4F82"/>
    <w:lvl w:ilvl="0" w:tplc="240A000F">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31966BB"/>
    <w:multiLevelType w:val="hybridMultilevel"/>
    <w:tmpl w:val="2586D5D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5615D65"/>
    <w:multiLevelType w:val="hybridMultilevel"/>
    <w:tmpl w:val="39E8E096"/>
    <w:lvl w:ilvl="0" w:tplc="76EA7AD8">
      <w:start w:val="1"/>
      <w:numFmt w:val="upperRoman"/>
      <w:lvlText w:val="%1."/>
      <w:lvlJc w:val="left"/>
      <w:pPr>
        <w:ind w:left="1080" w:hanging="720"/>
      </w:pPr>
      <w:rPr>
        <w:rFonts w:hint="default"/>
        <w:b/>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7764077"/>
    <w:multiLevelType w:val="multilevel"/>
    <w:tmpl w:val="B56EBD8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7A6C5442"/>
    <w:multiLevelType w:val="hybridMultilevel"/>
    <w:tmpl w:val="0D0AA3B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C023AC5"/>
    <w:multiLevelType w:val="hybridMultilevel"/>
    <w:tmpl w:val="D7D24A02"/>
    <w:lvl w:ilvl="0" w:tplc="B8F2B490">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DA73A71"/>
    <w:multiLevelType w:val="hybridMultilevel"/>
    <w:tmpl w:val="BF362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7"/>
  </w:num>
  <w:num w:numId="3">
    <w:abstractNumId w:val="10"/>
  </w:num>
  <w:num w:numId="4">
    <w:abstractNumId w:val="31"/>
  </w:num>
  <w:num w:numId="5">
    <w:abstractNumId w:val="12"/>
  </w:num>
  <w:num w:numId="6">
    <w:abstractNumId w:val="3"/>
  </w:num>
  <w:num w:numId="7">
    <w:abstractNumId w:val="7"/>
  </w:num>
  <w:num w:numId="8">
    <w:abstractNumId w:val="27"/>
  </w:num>
  <w:num w:numId="9">
    <w:abstractNumId w:val="20"/>
  </w:num>
  <w:num w:numId="10">
    <w:abstractNumId w:val="2"/>
  </w:num>
  <w:num w:numId="11">
    <w:abstractNumId w:val="4"/>
  </w:num>
  <w:num w:numId="12">
    <w:abstractNumId w:val="22"/>
  </w:num>
  <w:num w:numId="13">
    <w:abstractNumId w:val="29"/>
  </w:num>
  <w:num w:numId="14">
    <w:abstractNumId w:val="32"/>
  </w:num>
  <w:num w:numId="15">
    <w:abstractNumId w:val="19"/>
  </w:num>
  <w:num w:numId="16">
    <w:abstractNumId w:val="28"/>
  </w:num>
  <w:num w:numId="17">
    <w:abstractNumId w:val="36"/>
  </w:num>
  <w:num w:numId="18">
    <w:abstractNumId w:val="24"/>
  </w:num>
  <w:num w:numId="19">
    <w:abstractNumId w:val="25"/>
  </w:num>
  <w:num w:numId="20">
    <w:abstractNumId w:val="16"/>
  </w:num>
  <w:num w:numId="21">
    <w:abstractNumId w:val="18"/>
  </w:num>
  <w:num w:numId="22">
    <w:abstractNumId w:val="14"/>
  </w:num>
  <w:num w:numId="23">
    <w:abstractNumId w:val="0"/>
  </w:num>
  <w:num w:numId="24">
    <w:abstractNumId w:val="11"/>
  </w:num>
  <w:num w:numId="25">
    <w:abstractNumId w:val="23"/>
  </w:num>
  <w:num w:numId="26">
    <w:abstractNumId w:val="5"/>
  </w:num>
  <w:num w:numId="27">
    <w:abstractNumId w:val="17"/>
  </w:num>
  <w:num w:numId="28">
    <w:abstractNumId w:val="15"/>
  </w:num>
  <w:num w:numId="29">
    <w:abstractNumId w:val="13"/>
  </w:num>
  <w:num w:numId="30">
    <w:abstractNumId w:val="34"/>
  </w:num>
  <w:num w:numId="31">
    <w:abstractNumId w:val="21"/>
  </w:num>
  <w:num w:numId="32">
    <w:abstractNumId w:val="26"/>
  </w:num>
  <w:num w:numId="33">
    <w:abstractNumId w:val="9"/>
  </w:num>
  <w:num w:numId="34">
    <w:abstractNumId w:val="8"/>
  </w:num>
  <w:num w:numId="35">
    <w:abstractNumId w:val="30"/>
  </w:num>
  <w:num w:numId="36">
    <w:abstractNumId w:val="1"/>
  </w:num>
  <w:num w:numId="37">
    <w:abstractNumId w:val="35"/>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10A"/>
    <w:rsid w:val="00051E14"/>
    <w:rsid w:val="00057D79"/>
    <w:rsid w:val="00080F37"/>
    <w:rsid w:val="00084C60"/>
    <w:rsid w:val="000B64E3"/>
    <w:rsid w:val="000D0250"/>
    <w:rsid w:val="001F3FB7"/>
    <w:rsid w:val="00203DAC"/>
    <w:rsid w:val="0025586B"/>
    <w:rsid w:val="00296EDC"/>
    <w:rsid w:val="002B20DC"/>
    <w:rsid w:val="002C7D0D"/>
    <w:rsid w:val="004C2077"/>
    <w:rsid w:val="005B5AD9"/>
    <w:rsid w:val="005D254D"/>
    <w:rsid w:val="006425A1"/>
    <w:rsid w:val="006B35C5"/>
    <w:rsid w:val="006B6BDB"/>
    <w:rsid w:val="006D11EE"/>
    <w:rsid w:val="00867D55"/>
    <w:rsid w:val="008B5963"/>
    <w:rsid w:val="008C6074"/>
    <w:rsid w:val="00945711"/>
    <w:rsid w:val="009A1359"/>
    <w:rsid w:val="00A66D0C"/>
    <w:rsid w:val="00AA2186"/>
    <w:rsid w:val="00AD5BC8"/>
    <w:rsid w:val="00AD610A"/>
    <w:rsid w:val="00AF7D3C"/>
    <w:rsid w:val="00B66C8B"/>
    <w:rsid w:val="00B81A75"/>
    <w:rsid w:val="00BB0337"/>
    <w:rsid w:val="00C564FB"/>
    <w:rsid w:val="00C85D47"/>
    <w:rsid w:val="00CC7A09"/>
    <w:rsid w:val="00D07910"/>
    <w:rsid w:val="00D17F28"/>
    <w:rsid w:val="00D3793D"/>
    <w:rsid w:val="00DD2B5D"/>
    <w:rsid w:val="00DE3BCA"/>
    <w:rsid w:val="00E127FB"/>
    <w:rsid w:val="00F216F8"/>
    <w:rsid w:val="00F61A68"/>
    <w:rsid w:val="00FB7D50"/>
    <w:rsid w:val="00FE5B09"/>
    <w:rsid w:val="00FF70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E5B09"/>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867D55"/>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867D55"/>
    <w:rPr>
      <w:rFonts w:ascii="Times New Roman" w:eastAsia="Calibri" w:hAnsi="Times New Roman" w:cs="Times New Roman"/>
      <w:sz w:val="24"/>
      <w:szCs w:val="24"/>
      <w:lang w:val="es-ES" w:eastAsia="es-ES"/>
    </w:rPr>
  </w:style>
  <w:style w:type="paragraph" w:customStyle="1" w:styleId="Default">
    <w:name w:val="Default"/>
    <w:rsid w:val="00867D55"/>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67D55"/>
    <w:pPr>
      <w:spacing w:after="0" w:line="240" w:lineRule="auto"/>
    </w:pPr>
    <w:rPr>
      <w:rFonts w:ascii="Calibri" w:eastAsia="Times New Roman" w:hAnsi="Calibri" w:cs="Times New Roman"/>
      <w:lang w:eastAsia="es-CO"/>
    </w:rPr>
  </w:style>
  <w:style w:type="paragraph" w:styleId="Textosinformato">
    <w:name w:val="Plain Text"/>
    <w:basedOn w:val="Normal"/>
    <w:link w:val="TextosinformatoCar"/>
    <w:rsid w:val="00E127F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127FB"/>
    <w:rPr>
      <w:rFonts w:ascii="Courier New" w:eastAsia="Times New Roman" w:hAnsi="Courier New" w:cs="Times New Roman"/>
      <w:sz w:val="20"/>
      <w:szCs w:val="20"/>
      <w:lang w:val="es-ES" w:eastAsia="es-ES"/>
    </w:rPr>
  </w:style>
  <w:style w:type="table" w:customStyle="1" w:styleId="Tablaconcuadrcula1">
    <w:name w:val="Tabla con cuadrícula1"/>
    <w:basedOn w:val="Tablanormal"/>
    <w:next w:val="Tablaconcuadrcula"/>
    <w:uiPriority w:val="59"/>
    <w:rsid w:val="00D17F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C2077"/>
  </w:style>
  <w:style w:type="table" w:customStyle="1" w:styleId="Tablaconcuadrcula2">
    <w:name w:val="Tabla con cuadrícula2"/>
    <w:basedOn w:val="Tablanormal"/>
    <w:next w:val="Tablaconcuadrcula"/>
    <w:uiPriority w:val="59"/>
    <w:rsid w:val="004C20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C2077"/>
    <w:pPr>
      <w:spacing w:after="0" w:line="240" w:lineRule="auto"/>
    </w:pPr>
    <w:rPr>
      <w:rFonts w:ascii="Tahoma" w:eastAsiaTheme="minorEastAsia" w:hAnsi="Tahoma" w:cs="Tahoma"/>
      <w:sz w:val="16"/>
      <w:szCs w:val="16"/>
      <w:lang w:eastAsia="es-CO"/>
    </w:rPr>
  </w:style>
  <w:style w:type="character" w:customStyle="1" w:styleId="TextodegloboCar">
    <w:name w:val="Texto de globo Car"/>
    <w:basedOn w:val="Fuentedeprrafopredeter"/>
    <w:link w:val="Textodeglobo"/>
    <w:uiPriority w:val="99"/>
    <w:semiHidden/>
    <w:rsid w:val="004C2077"/>
    <w:rPr>
      <w:rFonts w:ascii="Tahoma" w:eastAsiaTheme="minorEastAsia" w:hAnsi="Tahoma" w:cs="Tahoma"/>
      <w:sz w:val="16"/>
      <w:szCs w:val="16"/>
      <w:lang w:eastAsia="es-CO"/>
    </w:rPr>
  </w:style>
  <w:style w:type="table" w:customStyle="1" w:styleId="Tablaconcuadrcula3">
    <w:name w:val="Tabla con cuadrícula3"/>
    <w:basedOn w:val="Tablanormal"/>
    <w:next w:val="Tablaconcuadrcula"/>
    <w:uiPriority w:val="59"/>
    <w:rsid w:val="00296ED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7D3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1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45CD4-D213-46B9-A349-5FB431D3A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2374</Words>
  <Characters>13060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PD4. FLOR ZULAY JIMENEZ REINA</cp:lastModifiedBy>
  <cp:revision>9</cp:revision>
  <dcterms:created xsi:type="dcterms:W3CDTF">2018-10-22T13:59:00Z</dcterms:created>
  <dcterms:modified xsi:type="dcterms:W3CDTF">2022-05-06T20:01:00Z</dcterms:modified>
</cp:coreProperties>
</file>