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68733C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68733C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425729E5" w:rsidR="00B9079B" w:rsidRPr="0068733C" w:rsidRDefault="0067012F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CONSULTORÍA DE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 </w:t>
      </w:r>
      <w:r w:rsidR="00E317B3">
        <w:rPr>
          <w:rFonts w:ascii="Arial" w:hAnsi="Arial" w:cs="Arial"/>
          <w:b/>
          <w:sz w:val="20"/>
          <w:szCs w:val="20"/>
          <w:lang w:val="es-419"/>
        </w:rPr>
        <w:t xml:space="preserve">ESTUDIOS DE INGENIERÍA DE </w:t>
      </w:r>
      <w:r w:rsidR="00B9079B" w:rsidRPr="0068733C">
        <w:rPr>
          <w:rFonts w:ascii="Arial" w:hAnsi="Arial" w:cs="Arial"/>
          <w:b/>
          <w:sz w:val="20"/>
          <w:szCs w:val="20"/>
          <w:lang w:val="es-419"/>
        </w:rPr>
        <w:t xml:space="preserve">INFRAESTRUCTURA DE TRANSPORTE </w:t>
      </w:r>
    </w:p>
    <w:p w14:paraId="40577A12" w14:textId="77777777" w:rsidR="00B9079B" w:rsidRPr="00277283" w:rsidRDefault="00B9079B" w:rsidP="00B9079B">
      <w:pPr>
        <w:jc w:val="center"/>
        <w:rPr>
          <w:rFonts w:ascii="Arial" w:hAnsi="Arial" w:cs="Arial"/>
          <w:b/>
          <w:color w:val="3A3939" w:themeColor="background2" w:themeShade="BF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03"/>
        <w:gridCol w:w="2268"/>
      </w:tblGrid>
      <w:tr w:rsidR="00277283" w:rsidRPr="007F6477" w14:paraId="388B7D20" w14:textId="77777777" w:rsidTr="005A0C4F">
        <w:trPr>
          <w:trHeight w:val="20"/>
          <w:jc w:val="center"/>
        </w:trPr>
        <w:tc>
          <w:tcPr>
            <w:tcW w:w="3403" w:type="dxa"/>
            <w:shd w:val="clear" w:color="auto" w:fill="3A3939" w:themeFill="accent2" w:themeFillShade="BF"/>
            <w:vAlign w:val="center"/>
          </w:tcPr>
          <w:p w14:paraId="76F2DF0D" w14:textId="77777777" w:rsidR="00D46BA6" w:rsidRPr="00A145F8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2"/>
              </w:rPr>
            </w:pPr>
            <w:r w:rsidRPr="00A145F8">
              <w:rPr>
                <w:rFonts w:ascii="Arial" w:hAnsi="Arial" w:cs="Arial"/>
                <w:b/>
                <w:color w:val="FFFFFF" w:themeColor="background1"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A145F8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2"/>
              </w:rPr>
            </w:pPr>
            <w:r w:rsidRPr="00A145F8">
              <w:rPr>
                <w:rFonts w:ascii="Arial" w:hAnsi="Arial" w:cs="Arial"/>
                <w:b/>
                <w:color w:val="FFFFFF" w:themeColor="background1"/>
                <w:sz w:val="22"/>
              </w:rPr>
              <w:t>Valor concertado</w:t>
            </w:r>
          </w:p>
        </w:tc>
      </w:tr>
      <w:tr w:rsidR="0019592E" w:rsidRPr="007F6477" w14:paraId="33EFB194" w14:textId="77777777" w:rsidTr="005A0C4F">
        <w:trPr>
          <w:trHeight w:val="20"/>
          <w:jc w:val="center"/>
        </w:trPr>
        <w:tc>
          <w:tcPr>
            <w:tcW w:w="3403" w:type="dxa"/>
            <w:vAlign w:val="center"/>
          </w:tcPr>
          <w:p w14:paraId="32A2DF1A" w14:textId="625BD844" w:rsidR="00D46BA6" w:rsidRPr="00A145F8" w:rsidRDefault="00D46BA6" w:rsidP="005A0C4F">
            <w:pPr>
              <w:jc w:val="both"/>
              <w:rPr>
                <w:rFonts w:ascii="Arial" w:hAnsi="Arial" w:cs="Arial"/>
                <w:sz w:val="22"/>
              </w:rPr>
            </w:pPr>
            <w:r w:rsidRPr="00A145F8">
              <w:rPr>
                <w:rFonts w:ascii="Arial" w:hAnsi="Arial" w:cs="Arial"/>
                <w:sz w:val="22"/>
              </w:rPr>
              <w:t xml:space="preserve">Índice de </w:t>
            </w:r>
            <w:r w:rsidR="00FE170D" w:rsidRPr="00A145F8">
              <w:rPr>
                <w:rFonts w:ascii="Arial" w:hAnsi="Arial" w:cs="Arial"/>
                <w:sz w:val="22"/>
              </w:rPr>
              <w:t>l</w:t>
            </w:r>
            <w:r w:rsidRPr="00A145F8">
              <w:rPr>
                <w:rFonts w:ascii="Arial" w:hAnsi="Arial" w:cs="Arial"/>
                <w:sz w:val="22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3F50AF75" w:rsidR="00D46BA6" w:rsidRPr="00A145F8" w:rsidRDefault="00B57C9B" w:rsidP="348A32FD">
            <w:pPr>
              <w:spacing w:before="240"/>
              <w:jc w:val="center"/>
              <w:rPr>
                <w:rFonts w:ascii="Arial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22"/>
                  </w:rPr>
                  <m:t>1,0</m:t>
                </m:r>
              </m:oMath>
            </m:oMathPara>
          </w:p>
          <w:p w14:paraId="4CFA287A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19592E" w:rsidRPr="007F6477" w14:paraId="1315AF6F" w14:textId="77777777" w:rsidTr="005A0C4F">
        <w:trPr>
          <w:trHeight w:val="20"/>
          <w:jc w:val="center"/>
        </w:trPr>
        <w:tc>
          <w:tcPr>
            <w:tcW w:w="3403" w:type="dxa"/>
            <w:vAlign w:val="center"/>
          </w:tcPr>
          <w:p w14:paraId="74735F3D" w14:textId="78849426" w:rsidR="00D46BA6" w:rsidRPr="00A145F8" w:rsidRDefault="00D46BA6" w:rsidP="005A0C4F">
            <w:pPr>
              <w:jc w:val="both"/>
              <w:rPr>
                <w:rFonts w:ascii="Arial" w:hAnsi="Arial" w:cs="Arial"/>
                <w:sz w:val="22"/>
              </w:rPr>
            </w:pPr>
            <w:r w:rsidRPr="00A145F8">
              <w:rPr>
                <w:rFonts w:ascii="Arial" w:hAnsi="Arial" w:cs="Arial"/>
                <w:sz w:val="22"/>
              </w:rPr>
              <w:t xml:space="preserve">Índice de </w:t>
            </w:r>
            <w:r w:rsidR="00FE170D" w:rsidRPr="00A145F8">
              <w:rPr>
                <w:rFonts w:ascii="Arial" w:hAnsi="Arial" w:cs="Arial"/>
                <w:sz w:val="22"/>
              </w:rPr>
              <w:t>e</w:t>
            </w:r>
            <w:r w:rsidRPr="00A145F8">
              <w:rPr>
                <w:rFonts w:ascii="Arial" w:hAnsi="Arial" w:cs="Arial"/>
                <w:sz w:val="22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A145F8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</w:p>
          <w:p w14:paraId="364802C7" w14:textId="1FA46BCD" w:rsidR="00D46BA6" w:rsidRPr="00A145F8" w:rsidRDefault="00B57C9B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 xml:space="preserve">≤70% </m:t>
                </m:r>
              </m:oMath>
            </m:oMathPara>
          </w:p>
          <w:p w14:paraId="039F5893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19592E" w:rsidRPr="007F6477" w14:paraId="4772C91D" w14:textId="77777777" w:rsidTr="005A0C4F">
        <w:trPr>
          <w:trHeight w:val="20"/>
          <w:jc w:val="center"/>
        </w:trPr>
        <w:tc>
          <w:tcPr>
            <w:tcW w:w="3403" w:type="dxa"/>
            <w:vAlign w:val="center"/>
          </w:tcPr>
          <w:p w14:paraId="61261590" w14:textId="113461C8" w:rsidR="00D46BA6" w:rsidRPr="00A145F8" w:rsidRDefault="00D46BA6" w:rsidP="005A0C4F">
            <w:pPr>
              <w:jc w:val="both"/>
              <w:rPr>
                <w:rFonts w:ascii="Arial" w:hAnsi="Arial" w:cs="Arial"/>
                <w:sz w:val="22"/>
              </w:rPr>
            </w:pPr>
            <w:r w:rsidRPr="00A145F8">
              <w:rPr>
                <w:rFonts w:ascii="Arial" w:hAnsi="Arial" w:cs="Arial"/>
                <w:sz w:val="22"/>
              </w:rPr>
              <w:t xml:space="preserve">Razón de </w:t>
            </w:r>
            <w:r w:rsidR="00FE170D" w:rsidRPr="00A145F8">
              <w:rPr>
                <w:rFonts w:ascii="Arial" w:hAnsi="Arial" w:cs="Arial"/>
                <w:sz w:val="22"/>
              </w:rPr>
              <w:t>c</w:t>
            </w:r>
            <w:r w:rsidRPr="00A145F8">
              <w:rPr>
                <w:rFonts w:ascii="Arial" w:hAnsi="Arial" w:cs="Arial"/>
                <w:sz w:val="22"/>
              </w:rPr>
              <w:t>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A145F8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</w:p>
          <w:p w14:paraId="23BD2C6B" w14:textId="01CBEC3C" w:rsidR="00D46BA6" w:rsidRPr="00A145F8" w:rsidRDefault="00B57C9B" w:rsidP="348A32FD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2"/>
                </w:rPr>
                <m:t>≥1,0</m:t>
              </m:r>
            </m:oMath>
            <w:r w:rsidR="002E60A2" w:rsidRPr="00A145F8">
              <w:rPr>
                <w:rFonts w:ascii="Arial" w:eastAsiaTheme="minorEastAsia" w:hAnsi="Arial" w:cs="Arial"/>
                <w:bCs/>
                <w:sz w:val="22"/>
              </w:rPr>
              <w:t xml:space="preserve"> </w:t>
            </w:r>
            <w:r w:rsidR="00B84A90" w:rsidRPr="00A145F8">
              <w:rPr>
                <w:rFonts w:ascii="Arial" w:eastAsiaTheme="minorEastAsia" w:hAnsi="Arial" w:cs="Arial"/>
                <w:bCs/>
                <w:sz w:val="22"/>
              </w:rPr>
              <w:t xml:space="preserve"> </w:t>
            </w:r>
            <w:r w:rsidR="002E60A2" w:rsidRPr="00A145F8">
              <w:rPr>
                <w:rFonts w:ascii="Arial" w:eastAsiaTheme="minorEastAsia" w:hAnsi="Arial" w:cs="Arial"/>
                <w:bCs/>
                <w:sz w:val="22"/>
              </w:rPr>
              <w:t>o indeterminado</w:t>
            </w:r>
          </w:p>
          <w:p w14:paraId="2B5DC59C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19592E" w:rsidRPr="007F6477" w14:paraId="27DA5319" w14:textId="77777777" w:rsidTr="005A0C4F">
        <w:trPr>
          <w:trHeight w:val="20"/>
          <w:jc w:val="center"/>
        </w:trPr>
        <w:tc>
          <w:tcPr>
            <w:tcW w:w="3403" w:type="dxa"/>
            <w:vAlign w:val="center"/>
          </w:tcPr>
          <w:p w14:paraId="4C25D13A" w14:textId="2197DF65" w:rsidR="00D46BA6" w:rsidRPr="00A145F8" w:rsidRDefault="00D46BA6" w:rsidP="005A0C4F">
            <w:pPr>
              <w:jc w:val="both"/>
              <w:rPr>
                <w:rFonts w:ascii="Arial" w:hAnsi="Arial" w:cs="Arial"/>
                <w:sz w:val="22"/>
              </w:rPr>
            </w:pPr>
            <w:r w:rsidRPr="00A145F8">
              <w:rPr>
                <w:rFonts w:ascii="Arial" w:hAnsi="Arial" w:cs="Arial"/>
                <w:sz w:val="22"/>
              </w:rPr>
              <w:t xml:space="preserve">Capital de </w:t>
            </w:r>
            <w:r w:rsidR="00FE170D" w:rsidRPr="00A145F8">
              <w:rPr>
                <w:rFonts w:ascii="Arial" w:hAnsi="Arial" w:cs="Arial"/>
                <w:sz w:val="22"/>
              </w:rPr>
              <w:t>t</w:t>
            </w:r>
            <w:r w:rsidRPr="00A145F8">
              <w:rPr>
                <w:rFonts w:ascii="Arial" w:hAnsi="Arial" w:cs="Arial"/>
                <w:sz w:val="22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  <w:p w14:paraId="4AB33DD7" w14:textId="41F3A472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  <w:r w:rsidRPr="00A145F8">
              <w:rPr>
                <w:rFonts w:ascii="Arial" w:hAnsi="Arial" w:cs="Arial"/>
                <w:bCs/>
                <w:sz w:val="22"/>
              </w:rPr>
              <w:t xml:space="preserve">Definido en </w:t>
            </w:r>
            <w:r w:rsidR="00690CBF">
              <w:rPr>
                <w:rFonts w:ascii="Arial" w:hAnsi="Arial" w:cs="Arial"/>
                <w:bCs/>
                <w:sz w:val="22"/>
              </w:rPr>
              <w:t>el Documento Base</w:t>
            </w:r>
          </w:p>
          <w:p w14:paraId="59583446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19592E" w:rsidRPr="007F6477" w14:paraId="0E36E34F" w14:textId="77777777" w:rsidTr="005A0C4F">
        <w:trPr>
          <w:trHeight w:val="20"/>
          <w:jc w:val="center"/>
        </w:trPr>
        <w:tc>
          <w:tcPr>
            <w:tcW w:w="3403" w:type="dxa"/>
            <w:vAlign w:val="center"/>
          </w:tcPr>
          <w:p w14:paraId="4AE19048" w14:textId="3E8C9EE8" w:rsidR="00D46BA6" w:rsidRPr="00A145F8" w:rsidRDefault="00D46BA6" w:rsidP="005A0C4F">
            <w:pPr>
              <w:jc w:val="both"/>
              <w:rPr>
                <w:rFonts w:ascii="Arial" w:hAnsi="Arial" w:cs="Arial"/>
                <w:sz w:val="22"/>
              </w:rPr>
            </w:pPr>
            <w:r w:rsidRPr="00A145F8">
              <w:rPr>
                <w:rFonts w:ascii="Arial" w:hAnsi="Arial" w:cs="Arial"/>
                <w:sz w:val="22"/>
              </w:rPr>
              <w:t xml:space="preserve">Rentabilidad del </w:t>
            </w:r>
            <w:r w:rsidR="00FE170D" w:rsidRPr="00A145F8">
              <w:rPr>
                <w:rFonts w:ascii="Arial" w:hAnsi="Arial" w:cs="Arial"/>
                <w:sz w:val="22"/>
              </w:rPr>
              <w:t>p</w:t>
            </w:r>
            <w:r w:rsidRPr="00A145F8">
              <w:rPr>
                <w:rFonts w:ascii="Arial" w:hAnsi="Arial" w:cs="Arial"/>
                <w:sz w:val="22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A145F8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</w:p>
          <w:p w14:paraId="3645DC3E" w14:textId="78008758" w:rsidR="00D46BA6" w:rsidRPr="00A145F8" w:rsidRDefault="00B57C9B" w:rsidP="0072613C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≥0,0</m:t>
                </m:r>
              </m:oMath>
            </m:oMathPara>
          </w:p>
          <w:p w14:paraId="311F0606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  <w:tr w:rsidR="00D46BA6" w:rsidRPr="007F6477" w14:paraId="149600A6" w14:textId="77777777" w:rsidTr="005A0C4F">
        <w:trPr>
          <w:trHeight w:val="20"/>
          <w:jc w:val="center"/>
        </w:trPr>
        <w:tc>
          <w:tcPr>
            <w:tcW w:w="3403" w:type="dxa"/>
            <w:vAlign w:val="center"/>
          </w:tcPr>
          <w:p w14:paraId="2214F970" w14:textId="33B8F3A3" w:rsidR="00D46BA6" w:rsidRPr="00A145F8" w:rsidRDefault="00D46BA6" w:rsidP="005A0C4F">
            <w:pPr>
              <w:jc w:val="both"/>
              <w:rPr>
                <w:rFonts w:ascii="Arial" w:hAnsi="Arial" w:cs="Arial"/>
                <w:sz w:val="22"/>
              </w:rPr>
            </w:pPr>
            <w:r w:rsidRPr="00A145F8">
              <w:rPr>
                <w:rFonts w:ascii="Arial" w:hAnsi="Arial" w:cs="Arial"/>
                <w:sz w:val="22"/>
              </w:rPr>
              <w:t xml:space="preserve">Rentabilidad del </w:t>
            </w:r>
            <w:r w:rsidR="00FE170D" w:rsidRPr="00A145F8">
              <w:rPr>
                <w:rFonts w:ascii="Arial" w:hAnsi="Arial" w:cs="Arial"/>
                <w:sz w:val="22"/>
              </w:rPr>
              <w:t>a</w:t>
            </w:r>
            <w:r w:rsidRPr="00A145F8">
              <w:rPr>
                <w:rFonts w:ascii="Arial" w:hAnsi="Arial" w:cs="Arial"/>
                <w:sz w:val="22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A145F8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</w:p>
          <w:p w14:paraId="5C385603" w14:textId="4CE7E089" w:rsidR="00D46BA6" w:rsidRPr="00A145F8" w:rsidRDefault="00B57C9B" w:rsidP="0072613C">
            <w:pPr>
              <w:jc w:val="center"/>
              <w:rPr>
                <w:rFonts w:ascii="Arial" w:eastAsiaTheme="minorEastAsia" w:hAnsi="Arial" w:cs="Arial"/>
                <w:bCs/>
                <w:sz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</w:rPr>
                  <m:t>≥0,0</m:t>
                </m:r>
              </m:oMath>
            </m:oMathPara>
          </w:p>
          <w:p w14:paraId="78489C02" w14:textId="77777777" w:rsidR="00D46BA6" w:rsidRPr="00A145F8" w:rsidRDefault="00D46BA6" w:rsidP="0072613C">
            <w:pPr>
              <w:jc w:val="center"/>
              <w:rPr>
                <w:rFonts w:ascii="Arial" w:hAnsi="Arial" w:cs="Arial"/>
                <w:bCs/>
                <w:sz w:val="22"/>
              </w:rPr>
            </w:pPr>
          </w:p>
        </w:tc>
      </w:tr>
    </w:tbl>
    <w:p w14:paraId="59A3A6F6" w14:textId="77777777" w:rsidR="00B9079B" w:rsidRPr="0068733C" w:rsidRDefault="00B9079B" w:rsidP="00B9079B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76491038" w14:textId="77777777" w:rsidR="0072613C" w:rsidRPr="00A145F8" w:rsidRDefault="0072613C" w:rsidP="00B9079B">
      <w:pPr>
        <w:jc w:val="both"/>
        <w:rPr>
          <w:rFonts w:cstheme="minorHAnsi"/>
          <w:sz w:val="20"/>
          <w:szCs w:val="20"/>
          <w:lang w:val="es-419"/>
        </w:rPr>
      </w:pPr>
    </w:p>
    <w:p w14:paraId="5BFB927D" w14:textId="12DC97DC" w:rsidR="0034024E" w:rsidRPr="00A145F8" w:rsidRDefault="0072613C" w:rsidP="00470102">
      <w:pPr>
        <w:jc w:val="both"/>
        <w:rPr>
          <w:rFonts w:cstheme="minorHAnsi"/>
        </w:rPr>
      </w:pPr>
      <w:r w:rsidRPr="00A145F8">
        <w:rPr>
          <w:rFonts w:cstheme="minorHAnsi"/>
          <w:sz w:val="20"/>
          <w:szCs w:val="20"/>
          <w:lang w:val="es-419"/>
        </w:rPr>
        <w:t xml:space="preserve">Los indicadores definidos en la presente </w:t>
      </w:r>
      <w:r w:rsidR="00C757C2" w:rsidRPr="00A145F8">
        <w:rPr>
          <w:rFonts w:cstheme="minorHAnsi"/>
          <w:sz w:val="20"/>
          <w:szCs w:val="20"/>
          <w:lang w:val="es-419"/>
        </w:rPr>
        <w:t>M</w:t>
      </w:r>
      <w:r w:rsidRPr="00A145F8">
        <w:rPr>
          <w:rFonts w:cstheme="minorHAnsi"/>
          <w:sz w:val="20"/>
          <w:szCs w:val="20"/>
          <w:lang w:val="es-419"/>
        </w:rPr>
        <w:t>atriz deben ser usados</w:t>
      </w:r>
      <w:r w:rsidR="00485984" w:rsidRPr="00A145F8">
        <w:rPr>
          <w:rFonts w:cstheme="minorHAnsi"/>
          <w:sz w:val="20"/>
          <w:szCs w:val="20"/>
          <w:lang w:val="es-419"/>
        </w:rPr>
        <w:t xml:space="preserve"> de manera obligatoria</w:t>
      </w:r>
      <w:r w:rsidRPr="00A145F8">
        <w:rPr>
          <w:rFonts w:cstheme="minorHAnsi"/>
          <w:sz w:val="20"/>
          <w:szCs w:val="20"/>
          <w:lang w:val="es-419"/>
        </w:rPr>
        <w:t xml:space="preserve"> por las </w:t>
      </w:r>
      <w:r w:rsidR="00BB79D7" w:rsidRPr="00A145F8">
        <w:rPr>
          <w:rFonts w:cstheme="minorHAnsi"/>
          <w:sz w:val="20"/>
          <w:szCs w:val="20"/>
          <w:lang w:val="es-419"/>
        </w:rPr>
        <w:t>E</w:t>
      </w:r>
      <w:r w:rsidRPr="00A145F8">
        <w:rPr>
          <w:rFonts w:cstheme="minorHAnsi"/>
          <w:sz w:val="20"/>
          <w:szCs w:val="20"/>
          <w:lang w:val="es-419"/>
        </w:rPr>
        <w:t>ntidades</w:t>
      </w:r>
      <w:r w:rsidR="00BB79D7" w:rsidRPr="00A145F8">
        <w:rPr>
          <w:rFonts w:cstheme="minorHAnsi"/>
          <w:sz w:val="20"/>
          <w:szCs w:val="20"/>
          <w:lang w:val="es-419"/>
        </w:rPr>
        <w:t xml:space="preserve"> Estatales</w:t>
      </w:r>
      <w:r w:rsidRPr="00A145F8">
        <w:rPr>
          <w:rFonts w:cstheme="minorHAnsi"/>
          <w:sz w:val="20"/>
          <w:szCs w:val="20"/>
          <w:lang w:val="es-419"/>
        </w:rPr>
        <w:t xml:space="preserve"> en la estructuración de los </w:t>
      </w:r>
      <w:r w:rsidR="00FE170D" w:rsidRPr="00A145F8">
        <w:rPr>
          <w:rFonts w:cstheme="minorHAnsi"/>
          <w:sz w:val="20"/>
          <w:szCs w:val="20"/>
          <w:lang w:val="es-419"/>
        </w:rPr>
        <w:t>d</w:t>
      </w:r>
      <w:r w:rsidRPr="00A145F8">
        <w:rPr>
          <w:rFonts w:cstheme="minorHAnsi"/>
          <w:sz w:val="20"/>
          <w:szCs w:val="20"/>
          <w:lang w:val="es-419"/>
        </w:rPr>
        <w:t xml:space="preserve">ocumentos del </w:t>
      </w:r>
      <w:r w:rsidR="00F86992">
        <w:rPr>
          <w:rFonts w:cstheme="minorHAnsi"/>
          <w:sz w:val="20"/>
          <w:szCs w:val="20"/>
          <w:lang w:val="es-419"/>
        </w:rPr>
        <w:t>P</w:t>
      </w:r>
      <w:r w:rsidRPr="00A145F8">
        <w:rPr>
          <w:rFonts w:cstheme="minorHAnsi"/>
          <w:sz w:val="20"/>
          <w:szCs w:val="20"/>
          <w:lang w:val="es-419"/>
        </w:rPr>
        <w:t xml:space="preserve">roceso de </w:t>
      </w:r>
      <w:r w:rsidR="00F86992">
        <w:rPr>
          <w:rFonts w:cstheme="minorHAnsi"/>
          <w:sz w:val="20"/>
          <w:szCs w:val="20"/>
          <w:lang w:val="es-419"/>
        </w:rPr>
        <w:t>C</w:t>
      </w:r>
      <w:r w:rsidRPr="00A145F8">
        <w:rPr>
          <w:rFonts w:cstheme="minorHAnsi"/>
          <w:sz w:val="20"/>
          <w:szCs w:val="20"/>
          <w:lang w:val="es-419"/>
        </w:rPr>
        <w:t xml:space="preserve">ontratación de </w:t>
      </w:r>
      <w:r w:rsidR="001A1A3C" w:rsidRPr="00A145F8">
        <w:rPr>
          <w:rFonts w:cstheme="minorHAnsi"/>
          <w:sz w:val="20"/>
          <w:szCs w:val="20"/>
          <w:lang w:val="es-419"/>
        </w:rPr>
        <w:t>c</w:t>
      </w:r>
      <w:r w:rsidR="00485623" w:rsidRPr="00A145F8">
        <w:rPr>
          <w:rFonts w:cstheme="minorHAnsi"/>
          <w:sz w:val="20"/>
          <w:szCs w:val="20"/>
          <w:lang w:val="es-419"/>
        </w:rPr>
        <w:t xml:space="preserve">onsultoría </w:t>
      </w:r>
      <w:r w:rsidR="00F731C8" w:rsidRPr="00A145F8">
        <w:rPr>
          <w:rFonts w:cstheme="minorHAnsi"/>
          <w:sz w:val="20"/>
          <w:szCs w:val="20"/>
          <w:lang w:val="es-419"/>
        </w:rPr>
        <w:t>de</w:t>
      </w:r>
      <w:r w:rsidR="00E317B3" w:rsidRPr="00A145F8">
        <w:rPr>
          <w:rFonts w:cstheme="minorHAnsi"/>
          <w:sz w:val="20"/>
          <w:szCs w:val="20"/>
          <w:lang w:val="es-419"/>
        </w:rPr>
        <w:t xml:space="preserve"> estudios de ingeniería de</w:t>
      </w:r>
      <w:r w:rsidR="00F731C8" w:rsidRPr="00A145F8">
        <w:rPr>
          <w:rFonts w:cstheme="minorHAnsi"/>
          <w:sz w:val="20"/>
          <w:szCs w:val="20"/>
          <w:lang w:val="es-419"/>
        </w:rPr>
        <w:t xml:space="preserve"> </w:t>
      </w:r>
      <w:r w:rsidRPr="00A145F8">
        <w:rPr>
          <w:rFonts w:cstheme="minorHAnsi"/>
          <w:sz w:val="20"/>
          <w:szCs w:val="20"/>
          <w:lang w:val="es-419"/>
        </w:rPr>
        <w:t>infraestructura de transporte</w:t>
      </w:r>
      <w:r w:rsidR="00470102" w:rsidRPr="00A145F8">
        <w:rPr>
          <w:rFonts w:cstheme="minorHAnsi"/>
          <w:sz w:val="20"/>
          <w:szCs w:val="20"/>
          <w:lang w:val="es-419"/>
        </w:rPr>
        <w:t xml:space="preserve">. </w:t>
      </w:r>
    </w:p>
    <w:p w14:paraId="5D2FAB63" w14:textId="77777777" w:rsidR="00B9079B" w:rsidRPr="0019592E" w:rsidRDefault="00B9079B" w:rsidP="00B9079B"/>
    <w:sectPr w:rsidR="00B9079B" w:rsidRPr="0019592E" w:rsidSect="004D70F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BDFA6" w14:textId="77777777" w:rsidR="00097230" w:rsidRDefault="00097230" w:rsidP="004F2C35">
      <w:r>
        <w:separator/>
      </w:r>
    </w:p>
  </w:endnote>
  <w:endnote w:type="continuationSeparator" w:id="0">
    <w:p w14:paraId="3B7E931A" w14:textId="77777777" w:rsidR="00097230" w:rsidRDefault="00097230" w:rsidP="004F2C35">
      <w:r>
        <w:continuationSeparator/>
      </w:r>
    </w:p>
  </w:endnote>
  <w:endnote w:type="continuationNotice" w:id="1">
    <w:p w14:paraId="4391E321" w14:textId="77777777" w:rsidR="00097230" w:rsidRDefault="000972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Pr="00A145F8" w:rsidRDefault="00C50D27">
    <w:pPr>
      <w:pStyle w:val="Piedepgina"/>
      <w:jc w:val="right"/>
      <w:rPr>
        <w:sz w:val="16"/>
        <w:szCs w:val="16"/>
      </w:rPr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10537" w:rsidRPr="00740BB7" w14:paraId="5072B365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8B5D6" w14:textId="77777777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A4865E" w14:textId="24C2346F" w:rsidR="00A10537" w:rsidRPr="00740BB7" w:rsidRDefault="008F718F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145F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C3A3C2" w14:textId="77777777" w:rsidR="00A10537" w:rsidRPr="00740BB7" w:rsidRDefault="00A10537" w:rsidP="00A1053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40BB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A6E31A0" w14:textId="77777777" w:rsidR="00A10537" w:rsidRPr="00740BB7" w:rsidRDefault="00A10537" w:rsidP="00A10537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40BB7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348A32F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3850ABD7">
          <wp:extent cx="1562642" cy="365821"/>
          <wp:effectExtent l="0" t="0" r="0" b="0"/>
          <wp:docPr id="53010036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348A32FD" w:rsidP="009A67BC">
    <w:pPr>
      <w:pStyle w:val="Piedepgina"/>
    </w:pPr>
    <w:r>
      <w:rPr>
        <w:noProof/>
      </w:rPr>
      <w:drawing>
        <wp:inline distT="0" distB="0" distL="0" distR="0" wp14:anchorId="79301979" wp14:editId="68437DC5">
          <wp:extent cx="5607050" cy="362585"/>
          <wp:effectExtent l="0" t="0" r="6350" b="0"/>
          <wp:docPr id="187575269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6B23C" w14:textId="77777777" w:rsidR="00097230" w:rsidRDefault="00097230" w:rsidP="004F2C35">
      <w:r>
        <w:separator/>
      </w:r>
    </w:p>
  </w:footnote>
  <w:footnote w:type="continuationSeparator" w:id="0">
    <w:p w14:paraId="6200C828" w14:textId="77777777" w:rsidR="00097230" w:rsidRDefault="00097230" w:rsidP="004F2C35">
      <w:r>
        <w:continuationSeparator/>
      </w:r>
    </w:p>
  </w:footnote>
  <w:footnote w:type="continuationNotice" w:id="1">
    <w:p w14:paraId="7E818910" w14:textId="77777777" w:rsidR="00097230" w:rsidRDefault="000972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19592E" w:rsidRPr="00292E4D" w14:paraId="7EDF18B7" w14:textId="77777777" w:rsidTr="00D72F9B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F707BD4" w14:textId="77777777" w:rsidR="0019592E" w:rsidRDefault="0019592E" w:rsidP="0019592E">
          <w:pPr>
            <w:ind w:firstLine="708"/>
            <w:jc w:val="center"/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</w:pPr>
          <w:r w:rsidRPr="0068733C"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MATRIZ 2- </w:t>
          </w:r>
          <w:r>
            <w:rPr>
              <w:rFonts w:ascii="Arial" w:hAnsi="Arial" w:cs="Arial"/>
              <w:b/>
              <w:color w:val="1A1818" w:themeColor="text1"/>
              <w:sz w:val="16"/>
              <w:szCs w:val="16"/>
              <w:lang w:val="es-ES"/>
            </w:rPr>
            <w:t xml:space="preserve">INDICADORES FINANCIEROS Y ORGANIZACIONALES </w:t>
          </w:r>
        </w:p>
        <w:p w14:paraId="0831F05F" w14:textId="1A9A41D6" w:rsidR="0019592E" w:rsidRPr="000E0EF2" w:rsidRDefault="0067012F">
          <w:pPr>
            <w:ind w:firstLine="708"/>
            <w:jc w:val="center"/>
            <w:rPr>
              <w:rFonts w:cs="Arial"/>
              <w:color w:val="1A1818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CONSULTORÍA</w:t>
          </w:r>
          <w:r w:rsidR="007A45BD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</w:t>
          </w:r>
          <w:r w:rsidR="0019592E"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>DE</w:t>
          </w:r>
          <w:r w:rsidR="00772E7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ESTUDIOS DE INGENIERÍA DE</w:t>
          </w:r>
          <w:r w:rsidR="0019592E" w:rsidRPr="000E0EF2">
            <w:rPr>
              <w:rFonts w:ascii="Arial" w:eastAsiaTheme="minorHAnsi" w:hAnsi="Arial" w:cs="Arial"/>
              <w:b/>
              <w:color w:val="1A1818" w:themeColor="text1"/>
              <w:sz w:val="16"/>
              <w:szCs w:val="16"/>
            </w:rPr>
            <w:t xml:space="preserve"> INFRAESTRUCTURA DE TRANSPORTE</w:t>
          </w:r>
        </w:p>
      </w:tc>
    </w:tr>
    <w:tr w:rsidR="0019592E" w:rsidRPr="006E64E8" w14:paraId="3CED5481" w14:textId="77777777" w:rsidTr="00D72F9B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4FC42B20" w14:textId="77777777" w:rsidR="0019592E" w:rsidRPr="00A145F8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145F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33B75433" w14:textId="190774DF" w:rsidR="0019592E" w:rsidRPr="00A145F8" w:rsidRDefault="005B4C93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A145F8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CCE-EICP-FM-98</w:t>
          </w:r>
        </w:p>
      </w:tc>
      <w:tc>
        <w:tcPr>
          <w:tcW w:w="540" w:type="pct"/>
          <w:shd w:val="clear" w:color="auto" w:fill="auto"/>
          <w:vAlign w:val="center"/>
        </w:tcPr>
        <w:p w14:paraId="1B25FFBF" w14:textId="77777777" w:rsidR="0019592E" w:rsidRPr="00A145F8" w:rsidRDefault="0019592E" w:rsidP="0019592E">
          <w:pPr>
            <w:ind w:left="10" w:hanging="10"/>
            <w:jc w:val="center"/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A145F8">
            <w:rPr>
              <w:rFonts w:ascii="Arial" w:eastAsia="Arial" w:hAnsi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BD10659" w14:textId="77777777" w:rsidR="0019592E" w:rsidRPr="00A145F8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begin"/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separate"/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19592E" w:rsidRPr="006E64E8" w14:paraId="7D32084D" w14:textId="77777777" w:rsidTr="00D72F9B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77CFC056" w14:textId="77777777" w:rsidR="0019592E" w:rsidRPr="00A145F8" w:rsidRDefault="0019592E" w:rsidP="0019592E">
          <w:pPr>
            <w:spacing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145F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8129D86" w14:textId="77777777" w:rsidR="0019592E" w:rsidRPr="00A145F8" w:rsidRDefault="0019592E" w:rsidP="0019592E">
          <w:pPr>
            <w:ind w:left="10" w:hanging="10"/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</w:pPr>
          <w:r w:rsidRPr="00A145F8">
            <w:rPr>
              <w:rFonts w:ascii="Arial" w:eastAsia="Arial" w:hAnsi="Arial" w:cs="Arial"/>
              <w:color w:val="1A1818" w:themeColor="text1"/>
              <w:sz w:val="16"/>
              <w:szCs w:val="16"/>
              <w:lang w:eastAsia="es-CO"/>
            </w:rPr>
            <w:t>1</w:t>
          </w:r>
        </w:p>
      </w:tc>
    </w:tr>
  </w:tbl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1F02D51A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520842">
    <w:abstractNumId w:val="2"/>
  </w:num>
  <w:num w:numId="2" w16cid:durableId="367799016">
    <w:abstractNumId w:val="0"/>
  </w:num>
  <w:num w:numId="3" w16cid:durableId="1733118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35E8"/>
    <w:rsid w:val="00023FF9"/>
    <w:rsid w:val="000746B7"/>
    <w:rsid w:val="00091E6B"/>
    <w:rsid w:val="00094B44"/>
    <w:rsid w:val="00095309"/>
    <w:rsid w:val="00097230"/>
    <w:rsid w:val="000A791C"/>
    <w:rsid w:val="000D7CD2"/>
    <w:rsid w:val="000F7BC6"/>
    <w:rsid w:val="0014591D"/>
    <w:rsid w:val="00154ECB"/>
    <w:rsid w:val="00181D75"/>
    <w:rsid w:val="0019592E"/>
    <w:rsid w:val="001A1A3C"/>
    <w:rsid w:val="001A1B68"/>
    <w:rsid w:val="001A5E22"/>
    <w:rsid w:val="001C1FCA"/>
    <w:rsid w:val="001C6359"/>
    <w:rsid w:val="001C75B3"/>
    <w:rsid w:val="001D32CE"/>
    <w:rsid w:val="001D7612"/>
    <w:rsid w:val="001F06D2"/>
    <w:rsid w:val="001F7199"/>
    <w:rsid w:val="002535A9"/>
    <w:rsid w:val="00264D94"/>
    <w:rsid w:val="00277283"/>
    <w:rsid w:val="00286733"/>
    <w:rsid w:val="002D02B1"/>
    <w:rsid w:val="002E60A2"/>
    <w:rsid w:val="00305053"/>
    <w:rsid w:val="00305CEF"/>
    <w:rsid w:val="0034024E"/>
    <w:rsid w:val="003847DE"/>
    <w:rsid w:val="003925D8"/>
    <w:rsid w:val="003E173E"/>
    <w:rsid w:val="00463D0B"/>
    <w:rsid w:val="00470102"/>
    <w:rsid w:val="00474EDE"/>
    <w:rsid w:val="00485623"/>
    <w:rsid w:val="00485984"/>
    <w:rsid w:val="004A0BCA"/>
    <w:rsid w:val="004B1B0F"/>
    <w:rsid w:val="004C2595"/>
    <w:rsid w:val="004C7BA4"/>
    <w:rsid w:val="004D70FE"/>
    <w:rsid w:val="004F2C35"/>
    <w:rsid w:val="004F2ED5"/>
    <w:rsid w:val="005145CC"/>
    <w:rsid w:val="005225E0"/>
    <w:rsid w:val="0059060F"/>
    <w:rsid w:val="005A0C4F"/>
    <w:rsid w:val="005B4C93"/>
    <w:rsid w:val="005B7426"/>
    <w:rsid w:val="00613E05"/>
    <w:rsid w:val="006319DF"/>
    <w:rsid w:val="0065617D"/>
    <w:rsid w:val="0067012F"/>
    <w:rsid w:val="0068733C"/>
    <w:rsid w:val="006878EC"/>
    <w:rsid w:val="00690CBF"/>
    <w:rsid w:val="006A63AE"/>
    <w:rsid w:val="006D761F"/>
    <w:rsid w:val="007212F3"/>
    <w:rsid w:val="0072613C"/>
    <w:rsid w:val="00740BB7"/>
    <w:rsid w:val="007423C6"/>
    <w:rsid w:val="00751787"/>
    <w:rsid w:val="00772E72"/>
    <w:rsid w:val="0078734B"/>
    <w:rsid w:val="007A45BD"/>
    <w:rsid w:val="007C1BAD"/>
    <w:rsid w:val="007C30FA"/>
    <w:rsid w:val="007F58E2"/>
    <w:rsid w:val="007F6477"/>
    <w:rsid w:val="008A1A6F"/>
    <w:rsid w:val="008A71EC"/>
    <w:rsid w:val="008B3011"/>
    <w:rsid w:val="008C0493"/>
    <w:rsid w:val="008D1DC2"/>
    <w:rsid w:val="008F718F"/>
    <w:rsid w:val="00981D2D"/>
    <w:rsid w:val="009A130A"/>
    <w:rsid w:val="009A67BC"/>
    <w:rsid w:val="009B26E4"/>
    <w:rsid w:val="00A06874"/>
    <w:rsid w:val="00A10537"/>
    <w:rsid w:val="00A12D59"/>
    <w:rsid w:val="00A145F8"/>
    <w:rsid w:val="00A34836"/>
    <w:rsid w:val="00AC724B"/>
    <w:rsid w:val="00B11CD8"/>
    <w:rsid w:val="00B30435"/>
    <w:rsid w:val="00B34429"/>
    <w:rsid w:val="00B57C9B"/>
    <w:rsid w:val="00B84A90"/>
    <w:rsid w:val="00B9079B"/>
    <w:rsid w:val="00BB79D7"/>
    <w:rsid w:val="00C2579D"/>
    <w:rsid w:val="00C36CB0"/>
    <w:rsid w:val="00C50D27"/>
    <w:rsid w:val="00C757C2"/>
    <w:rsid w:val="00C81483"/>
    <w:rsid w:val="00C8630D"/>
    <w:rsid w:val="00D46BA6"/>
    <w:rsid w:val="00D67F6F"/>
    <w:rsid w:val="00D72F9B"/>
    <w:rsid w:val="00DE4042"/>
    <w:rsid w:val="00E317B3"/>
    <w:rsid w:val="00E36500"/>
    <w:rsid w:val="00E608E6"/>
    <w:rsid w:val="00E61F07"/>
    <w:rsid w:val="00E66CC3"/>
    <w:rsid w:val="00EB47F3"/>
    <w:rsid w:val="00EC4B30"/>
    <w:rsid w:val="00F02A34"/>
    <w:rsid w:val="00F311BA"/>
    <w:rsid w:val="00F4666A"/>
    <w:rsid w:val="00F5053A"/>
    <w:rsid w:val="00F532BF"/>
    <w:rsid w:val="00F53DA5"/>
    <w:rsid w:val="00F56D6D"/>
    <w:rsid w:val="00F60309"/>
    <w:rsid w:val="00F731C8"/>
    <w:rsid w:val="00F86992"/>
    <w:rsid w:val="00F94209"/>
    <w:rsid w:val="00FC3ABB"/>
    <w:rsid w:val="00FE170D"/>
    <w:rsid w:val="348A32FD"/>
    <w:rsid w:val="60E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C89442CD-3135-4B83-88CF-DFA75683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95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9592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7842F92-5186-5545-BB2C-62D866D1D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C357FC-BEAA-4EFC-B7A0-D3D472EF3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552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SOFIA QUINTERO</cp:lastModifiedBy>
  <cp:revision>2</cp:revision>
  <cp:lastPrinted>2021-07-12T17:47:00Z</cp:lastPrinted>
  <dcterms:created xsi:type="dcterms:W3CDTF">2022-06-16T17:55:00Z</dcterms:created>
  <dcterms:modified xsi:type="dcterms:W3CDTF">2022-06-16T17:55:00Z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