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tabs>
          <w:tab w:val="left" w:pos="7780"/>
        </w:tabs>
        <w:spacing w:after="0" w:line="200" w:lineRule="auto"/>
        <w:ind w:right="-20"/>
        <w:rPr>
          <w:rFonts w:ascii="Arial" w:cs="Arial" w:eastAsia="Arial" w:hAnsi="Arial"/>
          <w:b w:val="1"/>
          <w:sz w:val="20"/>
          <w:szCs w:val="20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MP-SE-LP-OP-050-2022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419"/>
          <w:tab w:val="right" w:pos="8838"/>
        </w:tabs>
        <w:spacing w:after="0" w:before="0" w:line="240" w:lineRule="auto"/>
        <w:ind w:left="0" w:right="0" w:firstLine="0"/>
        <w:jc w:val="right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419"/>
          <w:tab w:val="right" w:pos="8838"/>
        </w:tabs>
        <w:spacing w:after="0" w:before="0" w:line="240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firstLine="708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ANEXO 3 — PACTO DE TRANSPARENCIA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Este documento hace parte integral de los Documentos del Proceso y con la carta de presentación de la propuesta el Proponente se compromete a: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-142"/>
        </w:tabs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Cumplir estrictamente la ley aplicable.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Interpretar de buena fe las normas aplicables a los Procesos de Contratación de manera que siempre produzcan los efectos buscados por las mismas.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incurrir en faltas a la verdad o adulteración en los documentos o requisitos exigidos en el Proceso de Contratación.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Aceptar que durante la evaluación de las propuestas del Proceso de Contratación primen los aspectos de fondo por encima de la forma, buscando siempre favorecer la libre competencia.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ejecutar todas las obligaciones contenidas en el Contrato, así como asumir los riesgos asociados a este. 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hacer arreglos previos, concomitantes o posteriores al Proceso de Contratación con los encargados de planear el proceso para tratar de conocer, influenciar o manipular la información del proyecto y presentar la respectiva propuesta. 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hacer arreglos previos, concomitantes o posteriores al Proceso de Contratación, con otros Proponentes para tratar de influenciar o manipular los resultados de la adjudicación. 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Enviar por escrito a la entidad todas las preguntas o inquietudes que surjan durante el Proceso de Contratación y no hacerlo de manera oral por ningún medio, salvo que se efectúe dentro de las audiencias públicas. 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Actuar con lealtad hacia los demás Proponentes y con la Entidad y abstenerme de utilizar herramientas para dilatar o sabotear el Proceso de Contratación. Igualmente, las observaciones al Proceso de Contratación o a las Propuestas de los otros interesados, serán presentadas oportunamente, en los plazos y términos fijados estrictamente en el Pliego de Condiciones. 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Abstenerme de hacer manifestaciones orales o escritas en contra de los demás Proponentes y sus Propuestas sin contar con la evidencia, material probatorio o indicios sólidos, que razonablemente permitan considerar que existe un acto irregular, de competencia desleal o de corrupción por parte de ellos. En caso de tener las pruebas, material probatorio o indicios, estos se dejarán a la inmediata disposición de la Entidad o de las autoridades competentes para corroborar tales afirmaciones.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utilizar en la etapa de verificación y evaluación de las propuestas argumentos carentes de sustento probatorio para efectos de buscar la descalificación de competidores o la dilación del Proceso de Contratación.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 las audiencias guardar compostura, no levantar la voz y hacer uso de la palabra únicamente cuando sea concedida y por el tiempo que sea otorgada y acatar las decisiones de la entidad. En caso de desacuerdo interponer los recursos o acciones que se consideren pertinentes en los términos de la ley aplicable.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 las audiencias, abstenerme de proferir juicios de valor contra personas naturales o jurídicas, ni referirme a asuntos personales de otros proponentes. Por lo tanto, en las audiencias solamente debatir asuntos relacionados con el Proceso de Contratación.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ofrecer trabajo, contratos o algún tipo de beneficio económico o de cualquier otra naturaleza a ningún funcionario público, contratista o estructurador vinculado a la entidad ni a sus familiares en primer grado de consanguinidad, segundo de afinidad o primero civil, a partir de la adjudicación o con ocasión de la misma y hasta dos (2) años siguientes a la suscripción del Contrato, sin perjuicio del régimen de conflictos de intereses y de inhabilidades e incompatibilidades previsto en la Constitución y en la ley.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Contratación, bien sea en su adjudicación, supervisión, ejecución o terminación. 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Manifestar las inquietudes relacionadas con el Proceso de Contratación por los canales definidos en los documentos del proceso.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Contratación. 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spacing w:line="240" w:lineRule="auto"/>
        <w:ind w:left="502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502" w:right="0" w:hanging="36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:rsidR="00000000" w:rsidDel="00000000" w:rsidP="00000000" w:rsidRDefault="00000000" w:rsidRPr="00000000" w14:paraId="00000020">
      <w:pPr>
        <w:spacing w:line="240" w:lineRule="auto"/>
        <w:ind w:left="502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3964.0000000000005" w:type="dxa"/>
      <w:jc w:val="left"/>
      <w:tblInd w:w="0.0" w:type="dxa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768"/>
      <w:gridCol w:w="1922"/>
      <w:gridCol w:w="991"/>
      <w:gridCol w:w="283"/>
      <w:tblGridChange w:id="0">
        <w:tblGrid>
          <w:gridCol w:w="768"/>
          <w:gridCol w:w="1922"/>
          <w:gridCol w:w="991"/>
          <w:gridCol w:w="283"/>
        </w:tblGrid>
      </w:tblGridChange>
    </w:tblGrid>
    <w:tr>
      <w:trPr>
        <w:cantSplit w:val="0"/>
        <w:trHeight w:val="220" w:hRule="atLeast"/>
        <w:tblHeader w:val="0"/>
      </w:trPr>
      <w:tc>
        <w:tcPr>
          <w:shd w:fill="auto" w:val="clear"/>
          <w:vAlign w:val="center"/>
        </w:tcPr>
        <w:p w:rsidR="00000000" w:rsidDel="00000000" w:rsidP="00000000" w:rsidRDefault="00000000" w:rsidRPr="00000000" w14:paraId="00000033">
          <w:pPr>
            <w:spacing w:after="4" w:line="249" w:lineRule="auto"/>
            <w:ind w:left="10" w:hanging="10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4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CCE-EICP-IDI-34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5">
          <w:pPr>
            <w:spacing w:after="4" w:line="249" w:lineRule="auto"/>
            <w:ind w:left="10" w:hanging="10"/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Versión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36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3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tl w:val="0"/>
      </w:rPr>
    </w:r>
  </w:p>
  <w:tbl>
    <w:tblPr>
      <w:tblStyle w:val="Table1"/>
      <w:tblW w:w="8653.0" w:type="dxa"/>
      <w:jc w:val="center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000"/>
    </w:tblPr>
    <w:tblGrid>
      <w:gridCol w:w="1166"/>
      <w:gridCol w:w="4562"/>
      <w:gridCol w:w="933"/>
      <w:gridCol w:w="1992"/>
      <w:tblGridChange w:id="0">
        <w:tblGrid>
          <w:gridCol w:w="1166"/>
          <w:gridCol w:w="4562"/>
          <w:gridCol w:w="933"/>
          <w:gridCol w:w="1992"/>
        </w:tblGrid>
      </w:tblGridChange>
    </w:tblGrid>
    <w:tr>
      <w:trPr>
        <w:cantSplit w:val="0"/>
        <w:trHeight w:val="146" w:hRule="atLeast"/>
        <w:tblHeader w:val="0"/>
      </w:trPr>
      <w:tc>
        <w:tcPr>
          <w:gridSpan w:val="4"/>
          <w:shd w:fill="auto" w:val="clear"/>
          <w:vAlign w:val="center"/>
        </w:tcPr>
        <w:p w:rsidR="00000000" w:rsidDel="00000000" w:rsidP="00000000" w:rsidRDefault="00000000" w:rsidRPr="00000000" w14:paraId="0000002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ANEXO 3 – PACTO DE TRANSPARENCIA</w:t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419"/>
              <w:tab w:val="right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LICITACIÓN DE OBRA PÚBLICA DE INFRAESTRUCTURA SOCIAL</w:t>
          </w:r>
        </w:p>
      </w:tc>
    </w:tr>
    <w:tr>
      <w:trPr>
        <w:cantSplit w:val="0"/>
        <w:trHeight w:val="234" w:hRule="atLeast"/>
        <w:tblHeader w:val="0"/>
      </w:trPr>
      <w:tc>
        <w:tcPr>
          <w:shd w:fill="auto" w:val="clear"/>
          <w:vAlign w:val="center"/>
        </w:tcPr>
        <w:p w:rsidR="00000000" w:rsidDel="00000000" w:rsidP="00000000" w:rsidRDefault="00000000" w:rsidRPr="00000000" w14:paraId="00000028">
          <w:pPr>
            <w:spacing w:after="4" w:line="249" w:lineRule="auto"/>
            <w:ind w:left="10" w:hanging="10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Código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9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CCE-EICP-IDI-34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A">
          <w:pPr>
            <w:spacing w:after="4" w:line="249" w:lineRule="auto"/>
            <w:ind w:left="10" w:hanging="10"/>
            <w:jc w:val="center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Página</w:t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2B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sz w:val="16"/>
              <w:szCs w:val="16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rHeight w:val="73" w:hRule="atLeast"/>
        <w:tblHeader w:val="0"/>
      </w:trPr>
      <w:tc>
        <w:tcPr>
          <w:shd w:fill="auto" w:val="clear"/>
          <w:vAlign w:val="center"/>
        </w:tcPr>
        <w:p w:rsidR="00000000" w:rsidDel="00000000" w:rsidP="00000000" w:rsidRDefault="00000000" w:rsidRPr="00000000" w14:paraId="0000002C">
          <w:pPr>
            <w:spacing w:after="4" w:line="249" w:lineRule="auto"/>
            <w:ind w:left="10" w:hanging="10"/>
            <w:rPr>
              <w:rFonts w:ascii="Arial" w:cs="Arial" w:eastAsia="Arial" w:hAnsi="Arial"/>
              <w:b w:val="1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16"/>
              <w:szCs w:val="16"/>
              <w:rtl w:val="0"/>
            </w:rPr>
            <w:t xml:space="preserve">Versión No.</w:t>
          </w:r>
        </w:p>
      </w:tc>
      <w:tc>
        <w:tcPr>
          <w:gridSpan w:val="3"/>
          <w:shd w:fill="auto" w:val="clear"/>
          <w:vAlign w:val="center"/>
        </w:tcPr>
        <w:p w:rsidR="00000000" w:rsidDel="00000000" w:rsidP="00000000" w:rsidRDefault="00000000" w:rsidRPr="00000000" w14:paraId="0000002D">
          <w:pPr>
            <w:spacing w:after="4" w:line="249" w:lineRule="auto"/>
            <w:ind w:left="10" w:hanging="10"/>
            <w:rPr>
              <w:rFonts w:ascii="Arial" w:cs="Arial" w:eastAsia="Arial" w:hAnsi="Arial"/>
              <w:sz w:val="16"/>
              <w:szCs w:val="16"/>
            </w:rPr>
          </w:pPr>
          <w:r w:rsidDel="00000000" w:rsidR="00000000" w:rsidRPr="00000000">
            <w:rPr>
              <w:rFonts w:ascii="Arial" w:cs="Arial" w:eastAsia="Arial" w:hAnsi="Arial"/>
              <w:sz w:val="16"/>
              <w:szCs w:val="16"/>
              <w:rtl w:val="0"/>
            </w:rPr>
            <w:t xml:space="preserve">1</w:t>
          </w:r>
        </w:p>
      </w:tc>
    </w:tr>
  </w:tbl>
  <w:p w:rsidR="00000000" w:rsidDel="00000000" w:rsidP="00000000" w:rsidRDefault="00000000" w:rsidRPr="00000000" w14:paraId="0000003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419"/>
        <w:tab w:val="right" w:pos="8838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Roman"/>
      <w:lvlText w:val="%1."/>
      <w:lvlJc w:val="right"/>
      <w:pPr>
        <w:ind w:left="502" w:hanging="360"/>
      </w:pPr>
      <w:rPr/>
    </w:lvl>
    <w:lvl w:ilvl="1">
      <w:start w:val="1"/>
      <w:numFmt w:val="lowerLetter"/>
      <w:lvlText w:val="%2."/>
      <w:lvlJc w:val="left"/>
      <w:pPr>
        <w:ind w:left="1156" w:hanging="360"/>
      </w:pPr>
      <w:rPr/>
    </w:lvl>
    <w:lvl w:ilvl="2">
      <w:start w:val="1"/>
      <w:numFmt w:val="lowerRoman"/>
      <w:lvlText w:val="%3."/>
      <w:lvlJc w:val="right"/>
      <w:pPr>
        <w:ind w:left="1876" w:hanging="180"/>
      </w:pPr>
      <w:rPr/>
    </w:lvl>
    <w:lvl w:ilvl="3">
      <w:start w:val="1"/>
      <w:numFmt w:val="decimal"/>
      <w:lvlText w:val="%4."/>
      <w:lvlJc w:val="left"/>
      <w:pPr>
        <w:ind w:left="2596" w:hanging="360"/>
      </w:pPr>
      <w:rPr/>
    </w:lvl>
    <w:lvl w:ilvl="4">
      <w:start w:val="1"/>
      <w:numFmt w:val="lowerLetter"/>
      <w:lvlText w:val="%5."/>
      <w:lvlJc w:val="left"/>
      <w:pPr>
        <w:ind w:left="3316" w:hanging="360"/>
      </w:pPr>
      <w:rPr/>
    </w:lvl>
    <w:lvl w:ilvl="5">
      <w:start w:val="1"/>
      <w:numFmt w:val="lowerRoman"/>
      <w:lvlText w:val="%6."/>
      <w:lvlJc w:val="right"/>
      <w:pPr>
        <w:ind w:left="4036" w:hanging="180"/>
      </w:pPr>
      <w:rPr/>
    </w:lvl>
    <w:lvl w:ilvl="6">
      <w:start w:val="1"/>
      <w:numFmt w:val="decimal"/>
      <w:lvlText w:val="%7."/>
      <w:lvlJc w:val="left"/>
      <w:pPr>
        <w:ind w:left="4756" w:hanging="360"/>
      </w:pPr>
      <w:rPr/>
    </w:lvl>
    <w:lvl w:ilvl="7">
      <w:start w:val="1"/>
      <w:numFmt w:val="lowerLetter"/>
      <w:lvlText w:val="%8."/>
      <w:lvlJc w:val="left"/>
      <w:pPr>
        <w:ind w:left="5476" w:hanging="360"/>
      </w:pPr>
      <w:rPr/>
    </w:lvl>
    <w:lvl w:ilvl="8">
      <w:start w:val="1"/>
      <w:numFmt w:val="lowerRoman"/>
      <w:lvlText w:val="%9."/>
      <w:lvlJc w:val="right"/>
      <w:pPr>
        <w:ind w:left="6196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D60C2A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D60C2A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D60C2A"/>
    <w:rPr>
      <w:b w:val="1"/>
      <w:bCs w:val="1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D60C2A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D60C2A"/>
    <w:rPr>
      <w:rFonts w:ascii="Segoe UI" w:cs="Segoe UI" w:hAnsi="Segoe UI"/>
      <w:sz w:val="18"/>
      <w:szCs w:val="18"/>
    </w:rPr>
  </w:style>
  <w:style w:type="paragraph" w:styleId="InviasNormal" w:customStyle="1">
    <w:name w:val="Invias Normal"/>
    <w:basedOn w:val="Normal"/>
    <w:link w:val="InviasNormalCar"/>
    <w:qFormat w:val="1"/>
    <w:rsid w:val="002B36E3"/>
    <w:pPr>
      <w:tabs>
        <w:tab w:val="left" w:pos="-142"/>
      </w:tabs>
      <w:autoSpaceDE w:val="0"/>
      <w:autoSpaceDN w:val="0"/>
      <w:adjustRightInd w:val="0"/>
      <w:spacing w:after="240" w:before="120" w:line="240" w:lineRule="auto"/>
      <w:jc w:val="both"/>
    </w:pPr>
    <w:rPr>
      <w:rFonts w:ascii="Arial" w:cs="Arial" w:eastAsia="Times New Roman" w:hAnsi="Arial"/>
      <w:szCs w:val="24"/>
      <w:lang w:eastAsia="es-ES"/>
    </w:rPr>
  </w:style>
  <w:style w:type="character" w:styleId="InviasNormalCar" w:customStyle="1">
    <w:name w:val="Invias Normal Car"/>
    <w:link w:val="InviasNormal"/>
    <w:rsid w:val="002B36E3"/>
    <w:rPr>
      <w:rFonts w:ascii="Arial" w:cs="Arial" w:eastAsia="Times New Roman" w:hAnsi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cs="Times New Roman" w:eastAsia="Times New Roman" w:hAnsi="Arial"/>
      <w:szCs w:val="24"/>
      <w:lang w:eastAsia="es-ES"/>
    </w:r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cs="Times New Roman" w:eastAsia="Times New Roman" w:hAnsi="Arial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6522CE"/>
  </w:style>
  <w:style w:type="table" w:styleId="Cuadrculadetablaclara1" w:customStyle="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character" w:styleId="Mencinsinresolver">
    <w:name w:val="Unresolved Mention"/>
    <w:basedOn w:val="Fuentedeprrafopredeter"/>
    <w:uiPriority w:val="99"/>
    <w:unhideWhenUsed w:val="1"/>
    <w:rsid w:val="00A17270"/>
    <w:rPr>
      <w:color w:val="605e5c"/>
      <w:shd w:color="auto" w:fill="e1dfdd" w:val="clear"/>
    </w:rPr>
  </w:style>
  <w:style w:type="character" w:styleId="Mencionar">
    <w:name w:val="Mention"/>
    <w:basedOn w:val="Fuentedeprrafopredeter"/>
    <w:uiPriority w:val="99"/>
    <w:unhideWhenUsed w:val="1"/>
    <w:rsid w:val="00A17270"/>
    <w:rPr>
      <w:color w:val="2b579a"/>
      <w:shd w:color="auto" w:fill="e1dfdd" w:val="clear"/>
    </w:rPr>
  </w:style>
  <w:style w:type="paragraph" w:styleId="Prrafodelista">
    <w:name w:val="List Paragraph"/>
    <w:basedOn w:val="Normal"/>
    <w:uiPriority w:val="34"/>
    <w:qFormat w:val="1"/>
    <w:rsid w:val="001A4D99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Calibri" w:cs="Calibri" w:eastAsia="Calibri" w:hAnsi="Calibri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1.xml"/><Relationship Id="rId12" Type="http://schemas.openxmlformats.org/officeDocument/2006/relationships/footer" Target="footer2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ZjqJ9sLo9EpQL7T44S7G9su6n9A==">AMUW2mUK87K8Kfw87wfG39qUpq+V2bB6pvRV7BBDuKcxqqFBAswY4C5uSRSEfIac7faMFinYtwIKMN/CV6K5CRQOt58V87h71OH8kH+3KNsIZr38DzJRaKc=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2021-08-03T15:40:00Z</dcterms:created>
  <dc:creator>Ana María Bonilla Prieto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2.29244E7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