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322"/>
        <w:gridCol w:w="323"/>
        <w:gridCol w:w="323"/>
        <w:gridCol w:w="324"/>
        <w:gridCol w:w="324"/>
        <w:gridCol w:w="789"/>
        <w:gridCol w:w="585"/>
        <w:gridCol w:w="284"/>
        <w:gridCol w:w="283"/>
        <w:gridCol w:w="284"/>
        <w:gridCol w:w="283"/>
        <w:gridCol w:w="549"/>
        <w:gridCol w:w="767"/>
        <w:gridCol w:w="284"/>
        <w:gridCol w:w="283"/>
        <w:gridCol w:w="284"/>
        <w:gridCol w:w="283"/>
        <w:gridCol w:w="284"/>
        <w:gridCol w:w="283"/>
        <w:gridCol w:w="651"/>
        <w:gridCol w:w="567"/>
        <w:gridCol w:w="742"/>
        <w:gridCol w:w="278"/>
      </w:tblGrid>
      <w:tr w:rsidR="00701A5A" w:rsidRPr="00815F3F" w14:paraId="3FFA3157" w14:textId="77777777" w:rsidTr="00A64CAE">
        <w:trPr>
          <w:trHeight w:val="668"/>
          <w:tblHeader/>
        </w:trPr>
        <w:tc>
          <w:tcPr>
            <w:tcW w:w="322" w:type="dxa"/>
            <w:vMerge w:val="restart"/>
            <w:shd w:val="clear" w:color="000000" w:fill="4E4D4D"/>
            <w:vAlign w:val="center"/>
            <w:hideMark/>
          </w:tcPr>
          <w:p w14:paraId="3574776C" w14:textId="77777777" w:rsidR="00701A5A" w:rsidRPr="00815F3F" w:rsidRDefault="00F87034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––</w:t>
            </w:r>
            <w:r w:rsidR="00701A5A"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N</w:t>
            </w:r>
          </w:p>
        </w:tc>
        <w:tc>
          <w:tcPr>
            <w:tcW w:w="323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5016296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Clase</w:t>
            </w:r>
          </w:p>
        </w:tc>
        <w:tc>
          <w:tcPr>
            <w:tcW w:w="323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7D3F0C9C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Fuente</w:t>
            </w:r>
          </w:p>
        </w:tc>
        <w:tc>
          <w:tcPr>
            <w:tcW w:w="324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76D3C5B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Etapa</w:t>
            </w:r>
          </w:p>
        </w:tc>
        <w:tc>
          <w:tcPr>
            <w:tcW w:w="324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3554DFDD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Tipo</w:t>
            </w:r>
          </w:p>
        </w:tc>
        <w:tc>
          <w:tcPr>
            <w:tcW w:w="789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141CE7C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Descripción</w:t>
            </w:r>
          </w:p>
        </w:tc>
        <w:tc>
          <w:tcPr>
            <w:tcW w:w="585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33F52DA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Consecuencia de la ocurrencia del evento</w:t>
            </w:r>
          </w:p>
        </w:tc>
        <w:tc>
          <w:tcPr>
            <w:tcW w:w="284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5FE5A135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Probabilidad</w:t>
            </w:r>
          </w:p>
        </w:tc>
        <w:tc>
          <w:tcPr>
            <w:tcW w:w="283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07664EEA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Impacto</w:t>
            </w:r>
          </w:p>
        </w:tc>
        <w:tc>
          <w:tcPr>
            <w:tcW w:w="284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7AEE269E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Valoración</w:t>
            </w:r>
          </w:p>
        </w:tc>
        <w:tc>
          <w:tcPr>
            <w:tcW w:w="283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1D4C83C5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Categoría</w:t>
            </w:r>
          </w:p>
        </w:tc>
        <w:tc>
          <w:tcPr>
            <w:tcW w:w="549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1B67E68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¿A quién se le asigna?</w:t>
            </w:r>
          </w:p>
        </w:tc>
        <w:tc>
          <w:tcPr>
            <w:tcW w:w="767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7C0360D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Tratamiento/Control a ser implementado</w:t>
            </w:r>
          </w:p>
        </w:tc>
        <w:tc>
          <w:tcPr>
            <w:tcW w:w="1134" w:type="dxa"/>
            <w:gridSpan w:val="4"/>
            <w:shd w:val="clear" w:color="000000" w:fill="D9D9D9"/>
            <w:vAlign w:val="center"/>
            <w:hideMark/>
          </w:tcPr>
          <w:p w14:paraId="28A81BB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Impacto después del tratamiento</w:t>
            </w:r>
          </w:p>
        </w:tc>
        <w:tc>
          <w:tcPr>
            <w:tcW w:w="284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543BE0B8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¿Afecta la ejecución del contrato?</w:t>
            </w:r>
          </w:p>
        </w:tc>
        <w:tc>
          <w:tcPr>
            <w:tcW w:w="283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1828D740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Responsable por implementar el tratamiento</w:t>
            </w:r>
          </w:p>
        </w:tc>
        <w:tc>
          <w:tcPr>
            <w:tcW w:w="651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71D67502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Fecha estimada en que se inicia el tratamiento</w:t>
            </w:r>
          </w:p>
        </w:tc>
        <w:tc>
          <w:tcPr>
            <w:tcW w:w="567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4B53C7DC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Fecha estimada en que se completa el tratamiento</w:t>
            </w:r>
          </w:p>
        </w:tc>
        <w:tc>
          <w:tcPr>
            <w:tcW w:w="1020" w:type="dxa"/>
            <w:gridSpan w:val="2"/>
            <w:shd w:val="clear" w:color="000000" w:fill="D9D9D9"/>
            <w:vAlign w:val="center"/>
            <w:hideMark/>
          </w:tcPr>
          <w:p w14:paraId="68271FC2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Monitoreo y revisión</w:t>
            </w:r>
          </w:p>
        </w:tc>
      </w:tr>
      <w:tr w:rsidR="00701A5A" w:rsidRPr="00815F3F" w14:paraId="0FAAF094" w14:textId="77777777" w:rsidTr="00A64CAE">
        <w:trPr>
          <w:trHeight w:val="975"/>
          <w:tblHeader/>
        </w:trPr>
        <w:tc>
          <w:tcPr>
            <w:tcW w:w="322" w:type="dxa"/>
            <w:vMerge/>
            <w:vAlign w:val="center"/>
            <w:hideMark/>
          </w:tcPr>
          <w:p w14:paraId="7C43A49A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3" w:type="dxa"/>
            <w:vMerge/>
            <w:vAlign w:val="center"/>
            <w:hideMark/>
          </w:tcPr>
          <w:p w14:paraId="4A0EAB85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3" w:type="dxa"/>
            <w:vMerge/>
            <w:vAlign w:val="center"/>
            <w:hideMark/>
          </w:tcPr>
          <w:p w14:paraId="2FD6E5A8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4" w:type="dxa"/>
            <w:vMerge/>
            <w:vAlign w:val="center"/>
            <w:hideMark/>
          </w:tcPr>
          <w:p w14:paraId="62353DCA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4" w:type="dxa"/>
            <w:vMerge/>
            <w:vAlign w:val="center"/>
            <w:hideMark/>
          </w:tcPr>
          <w:p w14:paraId="2F904D78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789" w:type="dxa"/>
            <w:vMerge/>
            <w:vAlign w:val="center"/>
            <w:hideMark/>
          </w:tcPr>
          <w:p w14:paraId="4DF8BB53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585" w:type="dxa"/>
            <w:vMerge/>
            <w:vAlign w:val="center"/>
            <w:hideMark/>
          </w:tcPr>
          <w:p w14:paraId="5A374AF9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16441AE9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4DC91810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36ACF93A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24E1F0A0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549" w:type="dxa"/>
            <w:vMerge/>
            <w:vAlign w:val="center"/>
            <w:hideMark/>
          </w:tcPr>
          <w:p w14:paraId="0AD8F9B4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767" w:type="dxa"/>
            <w:vMerge/>
            <w:vAlign w:val="center"/>
            <w:hideMark/>
          </w:tcPr>
          <w:p w14:paraId="40F01E1F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56C059C9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Probabilidad</w:t>
            </w:r>
          </w:p>
        </w:tc>
        <w:tc>
          <w:tcPr>
            <w:tcW w:w="283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2C415BA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Impacto</w:t>
            </w:r>
          </w:p>
        </w:tc>
        <w:tc>
          <w:tcPr>
            <w:tcW w:w="284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6265AACC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 xml:space="preserve">Valoración </w:t>
            </w:r>
          </w:p>
        </w:tc>
        <w:tc>
          <w:tcPr>
            <w:tcW w:w="283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7156367D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Categoría</w:t>
            </w:r>
          </w:p>
        </w:tc>
        <w:tc>
          <w:tcPr>
            <w:tcW w:w="284" w:type="dxa"/>
            <w:vMerge/>
            <w:vAlign w:val="center"/>
            <w:hideMark/>
          </w:tcPr>
          <w:p w14:paraId="13754636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15132F35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51" w:type="dxa"/>
            <w:vMerge/>
            <w:vAlign w:val="center"/>
            <w:hideMark/>
          </w:tcPr>
          <w:p w14:paraId="1C06B077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47AC7F26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742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3F96BE4E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¿Cómo se realiza  el monitoreo?</w:t>
            </w:r>
          </w:p>
        </w:tc>
        <w:tc>
          <w:tcPr>
            <w:tcW w:w="278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150F869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Periodicidad</w:t>
            </w:r>
          </w:p>
        </w:tc>
      </w:tr>
      <w:tr w:rsidR="00701A5A" w:rsidRPr="00815F3F" w14:paraId="2BC35873" w14:textId="77777777" w:rsidTr="00A64CAE">
        <w:trPr>
          <w:trHeight w:val="464"/>
        </w:trPr>
        <w:tc>
          <w:tcPr>
            <w:tcW w:w="322" w:type="dxa"/>
            <w:vMerge/>
            <w:vAlign w:val="center"/>
            <w:hideMark/>
          </w:tcPr>
          <w:p w14:paraId="2BDC0734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3" w:type="dxa"/>
            <w:vMerge/>
            <w:vAlign w:val="center"/>
            <w:hideMark/>
          </w:tcPr>
          <w:p w14:paraId="330D1A87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3" w:type="dxa"/>
            <w:vMerge/>
            <w:vAlign w:val="center"/>
            <w:hideMark/>
          </w:tcPr>
          <w:p w14:paraId="18BF6F35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4" w:type="dxa"/>
            <w:vMerge/>
            <w:vAlign w:val="center"/>
            <w:hideMark/>
          </w:tcPr>
          <w:p w14:paraId="031A06A5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4" w:type="dxa"/>
            <w:vMerge/>
            <w:vAlign w:val="center"/>
            <w:hideMark/>
          </w:tcPr>
          <w:p w14:paraId="187D98DF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789" w:type="dxa"/>
            <w:vMerge/>
            <w:vAlign w:val="center"/>
            <w:hideMark/>
          </w:tcPr>
          <w:p w14:paraId="255E6DF2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585" w:type="dxa"/>
            <w:vMerge/>
            <w:vAlign w:val="center"/>
            <w:hideMark/>
          </w:tcPr>
          <w:p w14:paraId="32AC999B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228DAE18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305C9FF1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6C70B67E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3B15E6BA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549" w:type="dxa"/>
            <w:vMerge/>
            <w:vAlign w:val="center"/>
            <w:hideMark/>
          </w:tcPr>
          <w:p w14:paraId="52413739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767" w:type="dxa"/>
            <w:vMerge/>
            <w:vAlign w:val="center"/>
            <w:hideMark/>
          </w:tcPr>
          <w:p w14:paraId="2AF074C1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65BBCAEE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7064FCDA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6D4522B7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1051B980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2A461016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5CE3D264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51" w:type="dxa"/>
            <w:vMerge/>
            <w:vAlign w:val="center"/>
            <w:hideMark/>
          </w:tcPr>
          <w:p w14:paraId="2B0B1B39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64202BD4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742" w:type="dxa"/>
            <w:vMerge/>
            <w:vAlign w:val="center"/>
            <w:hideMark/>
          </w:tcPr>
          <w:p w14:paraId="413E40DA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vMerge/>
            <w:vAlign w:val="center"/>
            <w:hideMark/>
          </w:tcPr>
          <w:p w14:paraId="0C4AC710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701A5A" w:rsidRPr="00815F3F" w14:paraId="30B2D341" w14:textId="77777777" w:rsidTr="00A64CAE">
        <w:trPr>
          <w:cantSplit/>
          <w:trHeight w:val="2414"/>
        </w:trPr>
        <w:tc>
          <w:tcPr>
            <w:tcW w:w="322" w:type="dxa"/>
            <w:shd w:val="clear" w:color="auto" w:fill="auto"/>
            <w:textDirection w:val="btLr"/>
            <w:vAlign w:val="center"/>
          </w:tcPr>
          <w:p w14:paraId="002510F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2909924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Específico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6F3C8102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Interno/Externo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7F2E173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Planeación/Selección/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263CC18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Económico</w:t>
            </w:r>
          </w:p>
        </w:tc>
        <w:tc>
          <w:tcPr>
            <w:tcW w:w="789" w:type="dxa"/>
            <w:shd w:val="clear" w:color="auto" w:fill="auto"/>
            <w:textDirection w:val="btLr"/>
            <w:vAlign w:val="center"/>
          </w:tcPr>
          <w:p w14:paraId="03D9A606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Est</w:t>
            </w:r>
            <w:r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imación inadecuada de los precios</w:t>
            </w:r>
          </w:p>
        </w:tc>
        <w:tc>
          <w:tcPr>
            <w:tcW w:w="585" w:type="dxa"/>
            <w:shd w:val="clear" w:color="auto" w:fill="auto"/>
            <w:textDirection w:val="btLr"/>
            <w:vAlign w:val="center"/>
          </w:tcPr>
          <w:p w14:paraId="4FC2F45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Genera sobre costos en los servicios contratados, posible incumplimiento del contrato.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523B3D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5B75F4D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6CFF427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2D63438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549" w:type="dxa"/>
            <w:shd w:val="clear" w:color="auto" w:fill="auto"/>
            <w:textDirection w:val="btLr"/>
            <w:vAlign w:val="center"/>
          </w:tcPr>
          <w:p w14:paraId="3E9DF6B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[Entidad Estatal/Contratista]</w:t>
            </w:r>
          </w:p>
        </w:tc>
        <w:tc>
          <w:tcPr>
            <w:tcW w:w="767" w:type="dxa"/>
            <w:shd w:val="clear" w:color="auto" w:fill="auto"/>
            <w:textDirection w:val="btLr"/>
            <w:vAlign w:val="center"/>
          </w:tcPr>
          <w:p w14:paraId="4D0F01C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Un buen estudio económico, una debida revisión de las ofertas de acuerdo a los precios actuales del mercado.  Obtener información adicional sobre los precios del mercado.  Obtener información adicional sobre los precios del mercado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3C32E3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01CFE8E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0272E0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A1E88C9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0724C4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Sí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BE42D28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[Entidad Estatal/Contratista]</w:t>
            </w:r>
          </w:p>
        </w:tc>
        <w:tc>
          <w:tcPr>
            <w:tcW w:w="651" w:type="dxa"/>
            <w:shd w:val="clear" w:color="auto" w:fill="auto"/>
            <w:textDirection w:val="btLr"/>
            <w:vAlign w:val="center"/>
          </w:tcPr>
          <w:p w14:paraId="5BA545AD" w14:textId="51B7E2E6" w:rsidR="00701A5A" w:rsidRPr="00AB2A87" w:rsidRDefault="00A17A10" w:rsidP="00437189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Junio</w:t>
            </w:r>
            <w:r w:rsidR="001D36F4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r w:rsidR="00E84D7B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r w:rsidR="00E84D7B" w:rsidRPr="00AB2A87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2022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6E6ED822" w14:textId="7FA9FACF" w:rsidR="00701A5A" w:rsidRPr="00AB2A87" w:rsidRDefault="001D36F4" w:rsidP="00560D47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Junio</w:t>
            </w:r>
            <w:r w:rsidR="00701A5A" w:rsidRPr="00AB2A87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 202</w:t>
            </w:r>
            <w:r w:rsidR="00A64CAE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742" w:type="dxa"/>
            <w:shd w:val="clear" w:color="auto" w:fill="auto"/>
            <w:textDirection w:val="btLr"/>
            <w:vAlign w:val="center"/>
          </w:tcPr>
          <w:p w14:paraId="2D668BD6" w14:textId="77777777" w:rsidR="00701A5A" w:rsidRPr="00AB2A87" w:rsidRDefault="00701A5A" w:rsidP="00701A5A">
            <w:pPr>
              <w:pStyle w:val="Sinespaciado"/>
              <w:ind w:left="113" w:right="113"/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  <w:lang w:eastAsia="es-CO"/>
              </w:rPr>
            </w:pPr>
            <w:r w:rsidRPr="00AB2A87">
              <w:rPr>
                <w:rFonts w:ascii="Arial Narrow" w:hAnsi="Arial Narrow"/>
                <w:color w:val="000000" w:themeColor="text1"/>
                <w:sz w:val="20"/>
                <w:szCs w:val="20"/>
                <w:lang w:eastAsia="es-CO"/>
              </w:rPr>
              <w:t>Se realizarán los estudios económicos ajustados y comparados con los precios reales del mercado, análisis de las ofertas y evaluaciones jurídicas que determinen posibles ofertas con precios artificialmente bajos. Así como una supervisión constante que garantice el cumplimiento del objeto contractual.</w:t>
            </w:r>
          </w:p>
        </w:tc>
        <w:tc>
          <w:tcPr>
            <w:tcW w:w="278" w:type="dxa"/>
            <w:shd w:val="clear" w:color="auto" w:fill="auto"/>
            <w:textDirection w:val="btLr"/>
            <w:vAlign w:val="center"/>
          </w:tcPr>
          <w:p w14:paraId="520F5168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Supervisión Constante</w:t>
            </w:r>
          </w:p>
        </w:tc>
      </w:tr>
      <w:tr w:rsidR="00701A5A" w:rsidRPr="00815F3F" w14:paraId="18E63DFE" w14:textId="77777777" w:rsidTr="00A64CAE">
        <w:trPr>
          <w:cantSplit/>
          <w:trHeight w:val="1925"/>
        </w:trPr>
        <w:tc>
          <w:tcPr>
            <w:tcW w:w="322" w:type="dxa"/>
            <w:shd w:val="clear" w:color="auto" w:fill="auto"/>
            <w:textDirection w:val="btLr"/>
            <w:vAlign w:val="center"/>
          </w:tcPr>
          <w:p w14:paraId="575F4199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7C64746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34D1995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Interno / Externo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67F53C74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461D2CC5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Operacional</w:t>
            </w:r>
          </w:p>
        </w:tc>
        <w:tc>
          <w:tcPr>
            <w:tcW w:w="789" w:type="dxa"/>
            <w:shd w:val="clear" w:color="auto" w:fill="auto"/>
            <w:textDirection w:val="btLr"/>
            <w:vAlign w:val="center"/>
          </w:tcPr>
          <w:p w14:paraId="684B5A5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Entrega tardía del servicio</w:t>
            </w:r>
          </w:p>
        </w:tc>
        <w:tc>
          <w:tcPr>
            <w:tcW w:w="585" w:type="dxa"/>
            <w:shd w:val="clear" w:color="auto" w:fill="auto"/>
            <w:textDirection w:val="btLr"/>
            <w:vAlign w:val="center"/>
          </w:tcPr>
          <w:p w14:paraId="2DD63844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Incumplimiento de las obligaciones derivadas del contrato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E394F10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79AE1C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BD4FF7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5584B98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Alta</w:t>
            </w:r>
          </w:p>
        </w:tc>
        <w:tc>
          <w:tcPr>
            <w:tcW w:w="549" w:type="dxa"/>
            <w:shd w:val="clear" w:color="auto" w:fill="auto"/>
            <w:textDirection w:val="btLr"/>
            <w:vAlign w:val="center"/>
          </w:tcPr>
          <w:p w14:paraId="3758F33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Contratista</w:t>
            </w:r>
          </w:p>
        </w:tc>
        <w:tc>
          <w:tcPr>
            <w:tcW w:w="767" w:type="dxa"/>
            <w:shd w:val="clear" w:color="auto" w:fill="auto"/>
            <w:textDirection w:val="btLr"/>
            <w:vAlign w:val="center"/>
          </w:tcPr>
          <w:p w14:paraId="6A78500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Ejercicio constante de las actividades de supervisión, requerimientos para el cumplimiento del objeto contractual por parte del supervisor del contrato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4A26FA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06A287C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440A269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EA34EF0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A18414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F8C1BF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[Entidad Estatal/Contratista]</w:t>
            </w:r>
          </w:p>
        </w:tc>
        <w:tc>
          <w:tcPr>
            <w:tcW w:w="651" w:type="dxa"/>
            <w:shd w:val="clear" w:color="auto" w:fill="auto"/>
            <w:vAlign w:val="center"/>
          </w:tcPr>
          <w:p w14:paraId="4D19221A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83E1DB4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742" w:type="dxa"/>
            <w:shd w:val="clear" w:color="auto" w:fill="auto"/>
            <w:textDirection w:val="btLr"/>
            <w:vAlign w:val="center"/>
          </w:tcPr>
          <w:p w14:paraId="62066F8F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Se deberán realizar seguimientos constantes por parte del supervisor del contrato para verificar el avance y cumplimiento del objeto contractual.</w:t>
            </w:r>
          </w:p>
        </w:tc>
        <w:tc>
          <w:tcPr>
            <w:tcW w:w="278" w:type="dxa"/>
            <w:shd w:val="clear" w:color="auto" w:fill="auto"/>
            <w:textDirection w:val="btLr"/>
            <w:vAlign w:val="center"/>
          </w:tcPr>
          <w:p w14:paraId="2BF2B3B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Supervisión constante</w:t>
            </w:r>
          </w:p>
        </w:tc>
      </w:tr>
      <w:tr w:rsidR="00701A5A" w:rsidRPr="00815F3F" w14:paraId="4C7DF581" w14:textId="77777777" w:rsidTr="00A64CAE">
        <w:trPr>
          <w:cantSplit/>
          <w:trHeight w:val="2350"/>
        </w:trPr>
        <w:tc>
          <w:tcPr>
            <w:tcW w:w="322" w:type="dxa"/>
            <w:shd w:val="clear" w:color="auto" w:fill="auto"/>
            <w:textDirection w:val="btLr"/>
            <w:vAlign w:val="center"/>
          </w:tcPr>
          <w:p w14:paraId="53E4F51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119A6512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6B24197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Interno / Externo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62F2A1D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1138397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Social o Político</w:t>
            </w:r>
          </w:p>
        </w:tc>
        <w:tc>
          <w:tcPr>
            <w:tcW w:w="789" w:type="dxa"/>
            <w:shd w:val="clear" w:color="auto" w:fill="auto"/>
            <w:textDirection w:val="btLr"/>
            <w:vAlign w:val="center"/>
          </w:tcPr>
          <w:p w14:paraId="3502053E" w14:textId="77777777" w:rsidR="00701A5A" w:rsidRPr="003F0BD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es-CO"/>
              </w:rPr>
            </w:pPr>
            <w:r w:rsidRPr="003F0BDF">
              <w:rPr>
                <w:rFonts w:ascii="Arial Narrow" w:eastAsia="Times New Roman" w:hAnsi="Arial Narrow" w:cs="Arial"/>
                <w:sz w:val="14"/>
                <w:szCs w:val="14"/>
                <w:lang w:eastAsia="es-CO"/>
              </w:rPr>
              <w:t>Afectación en el desarrollo del contrato a causa de huelgas, asonadas, paros generales de trabajadores o de transporte, situaciones de orden público.</w:t>
            </w:r>
          </w:p>
        </w:tc>
        <w:tc>
          <w:tcPr>
            <w:tcW w:w="585" w:type="dxa"/>
            <w:shd w:val="clear" w:color="auto" w:fill="auto"/>
            <w:textDirection w:val="btLr"/>
            <w:vAlign w:val="center"/>
          </w:tcPr>
          <w:p w14:paraId="298FE208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Incumplimiento de las obligaciones derivadas del contrato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FDF23D4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7E6E2419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26BDA1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E9AFD92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Alta</w:t>
            </w:r>
          </w:p>
        </w:tc>
        <w:tc>
          <w:tcPr>
            <w:tcW w:w="549" w:type="dxa"/>
            <w:shd w:val="clear" w:color="auto" w:fill="auto"/>
            <w:textDirection w:val="btLr"/>
            <w:vAlign w:val="center"/>
          </w:tcPr>
          <w:p w14:paraId="7AFEB9F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Contratista </w:t>
            </w:r>
          </w:p>
        </w:tc>
        <w:tc>
          <w:tcPr>
            <w:tcW w:w="767" w:type="dxa"/>
            <w:shd w:val="clear" w:color="auto" w:fill="auto"/>
            <w:textDirection w:val="btLr"/>
            <w:vAlign w:val="center"/>
          </w:tcPr>
          <w:p w14:paraId="1931BA4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Coordinación con las diferentes entidades para establecer posibles paros y proceder a suspensiones, prórrogas y demás ajustes relacionados con el cronograma de ejecución del contrato, en aras de dar cumplimiento al mismo.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3C35B5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89482AF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466382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308451E9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F471E27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65C9516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Entidad Estatal</w:t>
            </w:r>
          </w:p>
        </w:tc>
        <w:tc>
          <w:tcPr>
            <w:tcW w:w="651" w:type="dxa"/>
            <w:shd w:val="clear" w:color="auto" w:fill="auto"/>
            <w:vAlign w:val="center"/>
          </w:tcPr>
          <w:p w14:paraId="68D03B71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7853EB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742" w:type="dxa"/>
            <w:shd w:val="clear" w:color="auto" w:fill="auto"/>
            <w:textDirection w:val="btLr"/>
            <w:vAlign w:val="center"/>
          </w:tcPr>
          <w:p w14:paraId="6DC38BB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6616A6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Se deberán realizar</w:t>
            </w: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seguimientos constantes por parte del supervisor del contrato para verificar el avance y cumplimiento del objeto contractual</w:t>
            </w:r>
          </w:p>
        </w:tc>
        <w:tc>
          <w:tcPr>
            <w:tcW w:w="278" w:type="dxa"/>
            <w:shd w:val="clear" w:color="auto" w:fill="auto"/>
            <w:textDirection w:val="btLr"/>
            <w:vAlign w:val="center"/>
          </w:tcPr>
          <w:p w14:paraId="01D466F2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Supervisión Constante</w:t>
            </w:r>
          </w:p>
        </w:tc>
      </w:tr>
      <w:tr w:rsidR="00701A5A" w:rsidRPr="00815F3F" w14:paraId="12667D1B" w14:textId="77777777" w:rsidTr="00A64CAE">
        <w:trPr>
          <w:cantSplit/>
          <w:trHeight w:val="2086"/>
        </w:trPr>
        <w:tc>
          <w:tcPr>
            <w:tcW w:w="322" w:type="dxa"/>
            <w:shd w:val="clear" w:color="auto" w:fill="auto"/>
            <w:textDirection w:val="btLr"/>
            <w:vAlign w:val="center"/>
          </w:tcPr>
          <w:p w14:paraId="17403A6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160E029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328583DD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Interno/ Externo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4720938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47C928A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Operacional</w:t>
            </w:r>
          </w:p>
        </w:tc>
        <w:tc>
          <w:tcPr>
            <w:tcW w:w="789" w:type="dxa"/>
            <w:shd w:val="clear" w:color="auto" w:fill="auto"/>
            <w:textDirection w:val="btLr"/>
            <w:vAlign w:val="center"/>
          </w:tcPr>
          <w:p w14:paraId="0B29F48D" w14:textId="77777777" w:rsidR="00701A5A" w:rsidRPr="006616A6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es-CO"/>
              </w:rPr>
            </w:pPr>
            <w:r w:rsidRPr="006616A6">
              <w:rPr>
                <w:rFonts w:ascii="Arial Narrow" w:eastAsia="Times New Roman" w:hAnsi="Arial Narrow" w:cs="Arial"/>
                <w:sz w:val="14"/>
                <w:szCs w:val="14"/>
                <w:lang w:eastAsia="es-CO"/>
              </w:rPr>
              <w:t>Cuando los servicios prestados no cuentan con la calidad, ni en la cantidad contratada</w:t>
            </w:r>
          </w:p>
        </w:tc>
        <w:tc>
          <w:tcPr>
            <w:tcW w:w="585" w:type="dxa"/>
            <w:shd w:val="clear" w:color="auto" w:fill="auto"/>
            <w:textDirection w:val="btLr"/>
            <w:vAlign w:val="center"/>
          </w:tcPr>
          <w:p w14:paraId="63978330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Incumplimiento de las obligaciones derivadas del  contrato.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690AA98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36ED611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BB34B7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3863A57F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Alta</w:t>
            </w:r>
          </w:p>
        </w:tc>
        <w:tc>
          <w:tcPr>
            <w:tcW w:w="549" w:type="dxa"/>
            <w:shd w:val="clear" w:color="auto" w:fill="auto"/>
            <w:textDirection w:val="btLr"/>
            <w:vAlign w:val="center"/>
          </w:tcPr>
          <w:p w14:paraId="61D0BD9F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Contratista</w:t>
            </w:r>
          </w:p>
        </w:tc>
        <w:tc>
          <w:tcPr>
            <w:tcW w:w="767" w:type="dxa"/>
            <w:shd w:val="clear" w:color="auto" w:fill="auto"/>
            <w:textDirection w:val="btLr"/>
            <w:vAlign w:val="center"/>
          </w:tcPr>
          <w:p w14:paraId="2007575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Ejercicio constante de las actividades de supervisión, requerimientos para el cumplimiento del objeto contractual por parte del supervisor del contrato.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4AEE25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42D60B2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BE35EA2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0CB2621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26AD6B7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7BBFEB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Entidad Estatal</w:t>
            </w:r>
          </w:p>
        </w:tc>
        <w:tc>
          <w:tcPr>
            <w:tcW w:w="651" w:type="dxa"/>
            <w:shd w:val="clear" w:color="auto" w:fill="auto"/>
            <w:textDirection w:val="btLr"/>
            <w:vAlign w:val="center"/>
          </w:tcPr>
          <w:p w14:paraId="1226F92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  <w:p w14:paraId="7C317574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  <w:p w14:paraId="1073E1FF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48B1BB0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742" w:type="dxa"/>
            <w:shd w:val="clear" w:color="auto" w:fill="auto"/>
            <w:textDirection w:val="btLr"/>
            <w:vAlign w:val="center"/>
          </w:tcPr>
          <w:p w14:paraId="656172C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Se deberán realizar seguimientos constantes por parte del supervisor del contrato para verificar el avance y cumplimiento del objeto contractual.</w:t>
            </w:r>
          </w:p>
        </w:tc>
        <w:tc>
          <w:tcPr>
            <w:tcW w:w="278" w:type="dxa"/>
            <w:shd w:val="clear" w:color="auto" w:fill="auto"/>
            <w:textDirection w:val="btLr"/>
            <w:vAlign w:val="center"/>
          </w:tcPr>
          <w:p w14:paraId="667E328F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Supervisión Constante</w:t>
            </w:r>
          </w:p>
        </w:tc>
      </w:tr>
    </w:tbl>
    <w:p w14:paraId="00DA3088" w14:textId="77777777" w:rsidR="00B413CD" w:rsidRDefault="00B413CD"/>
    <w:sectPr w:rsidR="00B413C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1A5A"/>
    <w:rsid w:val="00196560"/>
    <w:rsid w:val="001D36F4"/>
    <w:rsid w:val="00437189"/>
    <w:rsid w:val="00560D47"/>
    <w:rsid w:val="00642509"/>
    <w:rsid w:val="00701A5A"/>
    <w:rsid w:val="00713C0A"/>
    <w:rsid w:val="008008FA"/>
    <w:rsid w:val="00892853"/>
    <w:rsid w:val="00A17A10"/>
    <w:rsid w:val="00A64CAE"/>
    <w:rsid w:val="00B413CD"/>
    <w:rsid w:val="00C6387A"/>
    <w:rsid w:val="00D65261"/>
    <w:rsid w:val="00E84D7B"/>
    <w:rsid w:val="00F35E4B"/>
    <w:rsid w:val="00F87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49329"/>
  <w15:chartTrackingRefBased/>
  <w15:docId w15:val="{A50EF77D-6740-420E-B122-D8ABD80CE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1A5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701A5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493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Geny Astrid Leon Currea</cp:lastModifiedBy>
  <cp:revision>2</cp:revision>
  <dcterms:created xsi:type="dcterms:W3CDTF">2022-05-31T20:32:00Z</dcterms:created>
  <dcterms:modified xsi:type="dcterms:W3CDTF">2022-05-31T20:32:00Z</dcterms:modified>
</cp:coreProperties>
</file>