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342" w:rsidRPr="00003342" w:rsidRDefault="00003342" w:rsidP="00003342">
      <w:pPr>
        <w:jc w:val="center"/>
        <w:rPr>
          <w:rFonts w:ascii="Arial" w:hAnsi="Arial" w:cs="Arial"/>
          <w:sz w:val="12"/>
          <w:szCs w:val="16"/>
        </w:rPr>
      </w:pPr>
      <w:bookmarkStart w:id="0" w:name="_GoBack"/>
      <w:bookmarkEnd w:id="0"/>
    </w:p>
    <w:tbl>
      <w:tblPr>
        <w:tblpPr w:leftFromText="141" w:rightFromText="141" w:vertAnchor="text" w:horzAnchor="margin" w:tblpXSpec="center" w:tblpY="-302"/>
        <w:tblOverlap w:val="neve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9"/>
        <w:gridCol w:w="283"/>
        <w:gridCol w:w="284"/>
        <w:gridCol w:w="283"/>
        <w:gridCol w:w="362"/>
        <w:gridCol w:w="988"/>
        <w:gridCol w:w="466"/>
        <w:gridCol w:w="316"/>
        <w:gridCol w:w="316"/>
        <w:gridCol w:w="316"/>
        <w:gridCol w:w="316"/>
        <w:gridCol w:w="255"/>
        <w:gridCol w:w="851"/>
        <w:gridCol w:w="283"/>
        <w:gridCol w:w="283"/>
        <w:gridCol w:w="284"/>
        <w:gridCol w:w="283"/>
        <w:gridCol w:w="425"/>
        <w:gridCol w:w="397"/>
        <w:gridCol w:w="533"/>
        <w:gridCol w:w="487"/>
        <w:gridCol w:w="426"/>
        <w:gridCol w:w="359"/>
      </w:tblGrid>
      <w:tr w:rsidR="00003342" w:rsidRPr="00003342" w:rsidTr="005C7368">
        <w:trPr>
          <w:trHeight w:val="264"/>
        </w:trPr>
        <w:tc>
          <w:tcPr>
            <w:tcW w:w="279"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N°</w:t>
            </w:r>
          </w:p>
        </w:tc>
        <w:tc>
          <w:tcPr>
            <w:tcW w:w="283"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Clase</w:t>
            </w:r>
          </w:p>
        </w:tc>
        <w:tc>
          <w:tcPr>
            <w:tcW w:w="284"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Fuente</w:t>
            </w:r>
          </w:p>
        </w:tc>
        <w:tc>
          <w:tcPr>
            <w:tcW w:w="283"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Etapa</w:t>
            </w:r>
          </w:p>
        </w:tc>
        <w:tc>
          <w:tcPr>
            <w:tcW w:w="362"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Tipo</w:t>
            </w:r>
          </w:p>
        </w:tc>
        <w:tc>
          <w:tcPr>
            <w:tcW w:w="988"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Descripción (Qué puede pasar y, cómo puede ocurrir)</w:t>
            </w:r>
          </w:p>
        </w:tc>
        <w:tc>
          <w:tcPr>
            <w:tcW w:w="466"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Consecuencia de la ocurrencia del evento</w:t>
            </w:r>
          </w:p>
        </w:tc>
        <w:tc>
          <w:tcPr>
            <w:tcW w:w="316"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Probabilidad</w:t>
            </w:r>
          </w:p>
        </w:tc>
        <w:tc>
          <w:tcPr>
            <w:tcW w:w="316"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Impacto</w:t>
            </w:r>
          </w:p>
        </w:tc>
        <w:tc>
          <w:tcPr>
            <w:tcW w:w="316"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Valoración del riesgo</w:t>
            </w:r>
          </w:p>
        </w:tc>
        <w:tc>
          <w:tcPr>
            <w:tcW w:w="316" w:type="dxa"/>
            <w:vMerge w:val="restart"/>
            <w:shd w:val="clear" w:color="000000" w:fill="A5A5A5"/>
            <w:textDirection w:val="btLr"/>
            <w:vAlign w:val="center"/>
            <w:hideMark/>
          </w:tcPr>
          <w:p w:rsidR="00003342" w:rsidRPr="00003342" w:rsidRDefault="00003342" w:rsidP="005C7368">
            <w:pPr>
              <w:jc w:val="center"/>
              <w:rPr>
                <w:rFonts w:ascii="Arial" w:hAnsi="Arial" w:cs="Arial"/>
                <w:b/>
                <w:bCs/>
                <w:color w:val="FFFFFF"/>
                <w:sz w:val="12"/>
                <w:szCs w:val="16"/>
                <w:lang w:eastAsia="es-CO"/>
              </w:rPr>
            </w:pPr>
            <w:r w:rsidRPr="00003342">
              <w:rPr>
                <w:rFonts w:ascii="Arial" w:hAnsi="Arial" w:cs="Arial"/>
                <w:b/>
                <w:bCs/>
                <w:color w:val="FFFFFF"/>
                <w:sz w:val="12"/>
                <w:szCs w:val="16"/>
                <w:lang w:eastAsia="es-CO"/>
              </w:rPr>
              <w:t>Categoría</w:t>
            </w:r>
          </w:p>
        </w:tc>
        <w:tc>
          <w:tcPr>
            <w:tcW w:w="255" w:type="dxa"/>
            <w:vMerge w:val="restart"/>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¿A quién se le asigna?</w:t>
            </w:r>
          </w:p>
        </w:tc>
        <w:tc>
          <w:tcPr>
            <w:tcW w:w="851" w:type="dxa"/>
            <w:vMerge w:val="restart"/>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Tratamiento/Controles a ser implementados</w:t>
            </w:r>
          </w:p>
        </w:tc>
        <w:tc>
          <w:tcPr>
            <w:tcW w:w="1133" w:type="dxa"/>
            <w:gridSpan w:val="4"/>
            <w:shd w:val="clear" w:color="auto" w:fill="auto"/>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Impacto después del tratamiento</w:t>
            </w:r>
          </w:p>
        </w:tc>
        <w:tc>
          <w:tcPr>
            <w:tcW w:w="425" w:type="dxa"/>
            <w:vMerge w:val="restart"/>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¿Afecta la ejecución del contrato?</w:t>
            </w:r>
          </w:p>
        </w:tc>
        <w:tc>
          <w:tcPr>
            <w:tcW w:w="397" w:type="dxa"/>
            <w:vMerge w:val="restart"/>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Persona responsable por implementar el tratamiento</w:t>
            </w:r>
          </w:p>
        </w:tc>
        <w:tc>
          <w:tcPr>
            <w:tcW w:w="533" w:type="dxa"/>
            <w:vMerge w:val="restart"/>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Fecha estimada en que se inicia el tratamiento</w:t>
            </w:r>
          </w:p>
        </w:tc>
        <w:tc>
          <w:tcPr>
            <w:tcW w:w="487" w:type="dxa"/>
            <w:vMerge w:val="restart"/>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Fecha estimada en que se completa el tratamiento</w:t>
            </w:r>
          </w:p>
        </w:tc>
        <w:tc>
          <w:tcPr>
            <w:tcW w:w="785" w:type="dxa"/>
            <w:gridSpan w:val="2"/>
            <w:shd w:val="clear" w:color="auto" w:fill="auto"/>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Monitoreo y revisión</w:t>
            </w:r>
          </w:p>
        </w:tc>
      </w:tr>
      <w:tr w:rsidR="00003342" w:rsidRPr="00003342" w:rsidTr="005C7368">
        <w:trPr>
          <w:trHeight w:val="1469"/>
        </w:trPr>
        <w:tc>
          <w:tcPr>
            <w:tcW w:w="279"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283"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284"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283"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362"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988"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466"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316"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316"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316"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316" w:type="dxa"/>
            <w:vMerge/>
            <w:vAlign w:val="center"/>
            <w:hideMark/>
          </w:tcPr>
          <w:p w:rsidR="00003342" w:rsidRPr="00003342" w:rsidRDefault="00003342" w:rsidP="005C7368">
            <w:pPr>
              <w:rPr>
                <w:rFonts w:ascii="Arial" w:hAnsi="Arial" w:cs="Arial"/>
                <w:b/>
                <w:bCs/>
                <w:color w:val="FFFFFF"/>
                <w:sz w:val="12"/>
                <w:szCs w:val="16"/>
                <w:lang w:eastAsia="es-CO"/>
              </w:rPr>
            </w:pPr>
          </w:p>
        </w:tc>
        <w:tc>
          <w:tcPr>
            <w:tcW w:w="255" w:type="dxa"/>
            <w:vMerge/>
            <w:vAlign w:val="center"/>
            <w:hideMark/>
          </w:tcPr>
          <w:p w:rsidR="00003342" w:rsidRPr="00003342" w:rsidRDefault="00003342" w:rsidP="005C7368">
            <w:pPr>
              <w:rPr>
                <w:rFonts w:ascii="Arial" w:hAnsi="Arial" w:cs="Arial"/>
                <w:color w:val="000000"/>
                <w:sz w:val="12"/>
                <w:szCs w:val="16"/>
                <w:lang w:eastAsia="es-CO"/>
              </w:rPr>
            </w:pPr>
          </w:p>
        </w:tc>
        <w:tc>
          <w:tcPr>
            <w:tcW w:w="851" w:type="dxa"/>
            <w:vMerge/>
            <w:vAlign w:val="center"/>
            <w:hideMark/>
          </w:tcPr>
          <w:p w:rsidR="00003342" w:rsidRPr="00003342" w:rsidRDefault="00003342" w:rsidP="005C7368">
            <w:pPr>
              <w:rPr>
                <w:rFonts w:ascii="Arial" w:hAnsi="Arial" w:cs="Arial"/>
                <w:color w:val="000000"/>
                <w:sz w:val="12"/>
                <w:szCs w:val="16"/>
                <w:lang w:eastAsia="es-CO"/>
              </w:rPr>
            </w:pP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Probabilidad</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Impacto</w:t>
            </w:r>
          </w:p>
        </w:tc>
        <w:tc>
          <w:tcPr>
            <w:tcW w:w="284"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Valoración del riesgo</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Categoría</w:t>
            </w:r>
          </w:p>
        </w:tc>
        <w:tc>
          <w:tcPr>
            <w:tcW w:w="425" w:type="dxa"/>
            <w:vMerge/>
            <w:vAlign w:val="center"/>
            <w:hideMark/>
          </w:tcPr>
          <w:p w:rsidR="00003342" w:rsidRPr="00003342" w:rsidRDefault="00003342" w:rsidP="005C7368">
            <w:pPr>
              <w:rPr>
                <w:rFonts w:ascii="Arial" w:hAnsi="Arial" w:cs="Arial"/>
                <w:color w:val="000000"/>
                <w:sz w:val="12"/>
                <w:szCs w:val="16"/>
                <w:lang w:eastAsia="es-CO"/>
              </w:rPr>
            </w:pPr>
          </w:p>
        </w:tc>
        <w:tc>
          <w:tcPr>
            <w:tcW w:w="397" w:type="dxa"/>
            <w:vMerge/>
            <w:vAlign w:val="center"/>
            <w:hideMark/>
          </w:tcPr>
          <w:p w:rsidR="00003342" w:rsidRPr="00003342" w:rsidRDefault="00003342" w:rsidP="005C7368">
            <w:pPr>
              <w:rPr>
                <w:rFonts w:ascii="Arial" w:hAnsi="Arial" w:cs="Arial"/>
                <w:color w:val="000000"/>
                <w:sz w:val="12"/>
                <w:szCs w:val="16"/>
                <w:lang w:eastAsia="es-CO"/>
              </w:rPr>
            </w:pPr>
          </w:p>
        </w:tc>
        <w:tc>
          <w:tcPr>
            <w:tcW w:w="533" w:type="dxa"/>
            <w:vMerge/>
            <w:vAlign w:val="center"/>
            <w:hideMark/>
          </w:tcPr>
          <w:p w:rsidR="00003342" w:rsidRPr="00003342" w:rsidRDefault="00003342" w:rsidP="005C7368">
            <w:pPr>
              <w:rPr>
                <w:rFonts w:ascii="Arial" w:hAnsi="Arial" w:cs="Arial"/>
                <w:color w:val="000000"/>
                <w:sz w:val="12"/>
                <w:szCs w:val="16"/>
                <w:lang w:eastAsia="es-CO"/>
              </w:rPr>
            </w:pPr>
          </w:p>
        </w:tc>
        <w:tc>
          <w:tcPr>
            <w:tcW w:w="487" w:type="dxa"/>
            <w:vMerge/>
            <w:vAlign w:val="center"/>
            <w:hideMark/>
          </w:tcPr>
          <w:p w:rsidR="00003342" w:rsidRPr="00003342" w:rsidRDefault="00003342" w:rsidP="005C7368">
            <w:pPr>
              <w:rPr>
                <w:rFonts w:ascii="Arial" w:hAnsi="Arial" w:cs="Arial"/>
                <w:color w:val="000000"/>
                <w:sz w:val="12"/>
                <w:szCs w:val="16"/>
                <w:lang w:eastAsia="es-CO"/>
              </w:rPr>
            </w:pPr>
          </w:p>
        </w:tc>
        <w:tc>
          <w:tcPr>
            <w:tcW w:w="42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¿Cómo se realiza el monitoreo?</w:t>
            </w:r>
          </w:p>
        </w:tc>
        <w:tc>
          <w:tcPr>
            <w:tcW w:w="359"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Periodicidad ¿Cuándo?</w:t>
            </w:r>
          </w:p>
        </w:tc>
      </w:tr>
      <w:tr w:rsidR="00003342" w:rsidRPr="00003342" w:rsidTr="005C7368">
        <w:trPr>
          <w:trHeight w:val="2111"/>
        </w:trPr>
        <w:tc>
          <w:tcPr>
            <w:tcW w:w="279"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1</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general</w:t>
            </w:r>
          </w:p>
        </w:tc>
        <w:tc>
          <w:tcPr>
            <w:tcW w:w="284"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interno</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Ejecución</w:t>
            </w:r>
          </w:p>
        </w:tc>
        <w:tc>
          <w:tcPr>
            <w:tcW w:w="362"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Operacional</w:t>
            </w:r>
          </w:p>
        </w:tc>
        <w:tc>
          <w:tcPr>
            <w:tcW w:w="988" w:type="dxa"/>
            <w:shd w:val="clear" w:color="auto" w:fill="auto"/>
            <w:textDirection w:val="btLr"/>
            <w:vAlign w:val="center"/>
            <w:hideMark/>
          </w:tcPr>
          <w:p w:rsidR="00003342" w:rsidRPr="00003342" w:rsidRDefault="00003342" w:rsidP="005C7368">
            <w:pPr>
              <w:rPr>
                <w:rFonts w:ascii="Arial" w:hAnsi="Arial" w:cs="Arial"/>
                <w:color w:val="000000"/>
                <w:sz w:val="12"/>
                <w:szCs w:val="16"/>
                <w:lang w:eastAsia="es-CO"/>
              </w:rPr>
            </w:pPr>
            <w:r w:rsidRPr="00003342">
              <w:rPr>
                <w:rFonts w:ascii="Arial" w:hAnsi="Arial" w:cs="Arial"/>
                <w:color w:val="000000"/>
                <w:sz w:val="12"/>
                <w:szCs w:val="16"/>
                <w:lang w:eastAsia="es-CO"/>
              </w:rPr>
              <w:t xml:space="preserve">Modificación de las normas urbanas POT  o procedimientos aplicables a su ejecución   </w:t>
            </w:r>
          </w:p>
        </w:tc>
        <w:tc>
          <w:tcPr>
            <w:tcW w:w="466" w:type="dxa"/>
            <w:shd w:val="clear" w:color="auto" w:fill="auto"/>
            <w:textDirection w:val="btLr"/>
            <w:vAlign w:val="center"/>
            <w:hideMark/>
          </w:tcPr>
          <w:p w:rsidR="00003342" w:rsidRPr="00003342" w:rsidRDefault="00003342" w:rsidP="005C7368">
            <w:pPr>
              <w:rPr>
                <w:rFonts w:ascii="Arial" w:hAnsi="Arial" w:cs="Arial"/>
                <w:color w:val="000000"/>
                <w:sz w:val="12"/>
                <w:szCs w:val="16"/>
                <w:lang w:eastAsia="es-CO"/>
              </w:rPr>
            </w:pPr>
            <w:r w:rsidRPr="00003342">
              <w:rPr>
                <w:rFonts w:ascii="Arial" w:hAnsi="Arial" w:cs="Arial"/>
                <w:color w:val="000000"/>
                <w:sz w:val="12"/>
                <w:szCs w:val="16"/>
                <w:lang w:eastAsia="es-CO"/>
              </w:rPr>
              <w:t>Imposibilidad de realizar el diseño bajo los parámetros inicialmente establecidos</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1</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2</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3</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bajo </w:t>
            </w:r>
          </w:p>
        </w:tc>
        <w:tc>
          <w:tcPr>
            <w:tcW w:w="255"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Contratista/Municipio/Interventoría</w:t>
            </w:r>
          </w:p>
        </w:tc>
        <w:tc>
          <w:tcPr>
            <w:tcW w:w="851"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Modificación de las especificaciones técnicas</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1</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1</w:t>
            </w:r>
          </w:p>
        </w:tc>
        <w:tc>
          <w:tcPr>
            <w:tcW w:w="284"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2</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bajo </w:t>
            </w:r>
          </w:p>
        </w:tc>
        <w:tc>
          <w:tcPr>
            <w:tcW w:w="425"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No </w:t>
            </w:r>
          </w:p>
        </w:tc>
        <w:tc>
          <w:tcPr>
            <w:tcW w:w="397"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Contratista/Municipio/Interventoría</w:t>
            </w:r>
          </w:p>
        </w:tc>
        <w:tc>
          <w:tcPr>
            <w:tcW w:w="53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Acta de inicio</w:t>
            </w:r>
          </w:p>
        </w:tc>
        <w:tc>
          <w:tcPr>
            <w:tcW w:w="487"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Una vez se suscriba el correspondiente modificatorio</w:t>
            </w:r>
          </w:p>
        </w:tc>
        <w:tc>
          <w:tcPr>
            <w:tcW w:w="426"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seguimiento de la vigencia y modificación de las normas </w:t>
            </w:r>
          </w:p>
        </w:tc>
        <w:tc>
          <w:tcPr>
            <w:tcW w:w="359"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Semanal</w:t>
            </w:r>
          </w:p>
        </w:tc>
      </w:tr>
      <w:tr w:rsidR="00003342" w:rsidRPr="00003342" w:rsidTr="005C7368">
        <w:trPr>
          <w:trHeight w:val="1988"/>
        </w:trPr>
        <w:tc>
          <w:tcPr>
            <w:tcW w:w="279"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2</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Especifica</w:t>
            </w:r>
          </w:p>
        </w:tc>
        <w:tc>
          <w:tcPr>
            <w:tcW w:w="284"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externo</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Ejecución</w:t>
            </w:r>
          </w:p>
        </w:tc>
        <w:tc>
          <w:tcPr>
            <w:tcW w:w="362"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Operacional</w:t>
            </w:r>
          </w:p>
        </w:tc>
        <w:tc>
          <w:tcPr>
            <w:tcW w:w="988" w:type="dxa"/>
            <w:shd w:val="clear" w:color="auto" w:fill="auto"/>
            <w:textDirection w:val="btLr"/>
            <w:vAlign w:val="center"/>
            <w:hideMark/>
          </w:tcPr>
          <w:p w:rsidR="00003342" w:rsidRPr="00003342" w:rsidRDefault="00003342" w:rsidP="005C7368">
            <w:pPr>
              <w:rPr>
                <w:rFonts w:ascii="Arial" w:hAnsi="Arial" w:cs="Arial"/>
                <w:color w:val="000000"/>
                <w:sz w:val="12"/>
                <w:szCs w:val="16"/>
                <w:lang w:eastAsia="es-CO"/>
              </w:rPr>
            </w:pPr>
            <w:r w:rsidRPr="00003342">
              <w:rPr>
                <w:rFonts w:ascii="Arial" w:hAnsi="Arial" w:cs="Arial"/>
                <w:color w:val="000000"/>
                <w:sz w:val="12"/>
                <w:szCs w:val="16"/>
                <w:lang w:eastAsia="es-CO"/>
              </w:rPr>
              <w:t xml:space="preserve">Enfermedad o imposibilidad física de alguno de los miembros del equipo consultor </w:t>
            </w:r>
          </w:p>
        </w:tc>
        <w:tc>
          <w:tcPr>
            <w:tcW w:w="466" w:type="dxa"/>
            <w:shd w:val="clear" w:color="auto" w:fill="auto"/>
            <w:textDirection w:val="btLr"/>
            <w:vAlign w:val="center"/>
            <w:hideMark/>
          </w:tcPr>
          <w:p w:rsidR="00003342" w:rsidRPr="00003342" w:rsidRDefault="00003342" w:rsidP="005C7368">
            <w:pPr>
              <w:rPr>
                <w:rFonts w:ascii="Arial" w:hAnsi="Arial" w:cs="Arial"/>
                <w:color w:val="000000"/>
                <w:sz w:val="12"/>
                <w:szCs w:val="16"/>
                <w:lang w:eastAsia="es-CO"/>
              </w:rPr>
            </w:pPr>
            <w:r w:rsidRPr="00003342">
              <w:rPr>
                <w:rFonts w:ascii="Arial" w:hAnsi="Arial" w:cs="Arial"/>
                <w:color w:val="000000"/>
                <w:sz w:val="12"/>
                <w:szCs w:val="16"/>
                <w:lang w:eastAsia="es-CO"/>
              </w:rPr>
              <w:t>Afecta la ejecución de uno o varios diseños contratados</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3</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2</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5</w:t>
            </w:r>
          </w:p>
        </w:tc>
        <w:tc>
          <w:tcPr>
            <w:tcW w:w="316"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medio</w:t>
            </w:r>
          </w:p>
        </w:tc>
        <w:tc>
          <w:tcPr>
            <w:tcW w:w="255"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Contratista</w:t>
            </w:r>
          </w:p>
        </w:tc>
        <w:tc>
          <w:tcPr>
            <w:tcW w:w="851"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Cambiar inmediatamente el profesional si fuese necesario, previa aprobación de la interventoría</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3</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1</w:t>
            </w:r>
          </w:p>
        </w:tc>
        <w:tc>
          <w:tcPr>
            <w:tcW w:w="284"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4</w:t>
            </w:r>
          </w:p>
        </w:tc>
        <w:tc>
          <w:tcPr>
            <w:tcW w:w="28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bajo </w:t>
            </w:r>
          </w:p>
        </w:tc>
        <w:tc>
          <w:tcPr>
            <w:tcW w:w="425"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No </w:t>
            </w:r>
          </w:p>
        </w:tc>
        <w:tc>
          <w:tcPr>
            <w:tcW w:w="397"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Contratista /Interventoría</w:t>
            </w:r>
          </w:p>
        </w:tc>
        <w:tc>
          <w:tcPr>
            <w:tcW w:w="533"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Acta de inicio</w:t>
            </w:r>
          </w:p>
        </w:tc>
        <w:tc>
          <w:tcPr>
            <w:tcW w:w="487" w:type="dxa"/>
            <w:shd w:val="clear" w:color="auto" w:fill="auto"/>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Terminación del contrato</w:t>
            </w:r>
          </w:p>
        </w:tc>
        <w:tc>
          <w:tcPr>
            <w:tcW w:w="426"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Informes del contratista y de la interventoría</w:t>
            </w:r>
          </w:p>
        </w:tc>
        <w:tc>
          <w:tcPr>
            <w:tcW w:w="359" w:type="dxa"/>
            <w:shd w:val="clear" w:color="auto" w:fill="auto"/>
            <w:noWrap/>
            <w:textDirection w:val="btLr"/>
            <w:vAlign w:val="center"/>
            <w:hideMark/>
          </w:tcPr>
          <w:p w:rsidR="00003342" w:rsidRPr="00003342" w:rsidRDefault="00003342" w:rsidP="005C7368">
            <w:pPr>
              <w:jc w:val="center"/>
              <w:rPr>
                <w:rFonts w:ascii="Arial" w:hAnsi="Arial" w:cs="Arial"/>
                <w:color w:val="000000"/>
                <w:sz w:val="12"/>
                <w:szCs w:val="16"/>
                <w:lang w:eastAsia="es-CO"/>
              </w:rPr>
            </w:pPr>
            <w:r w:rsidRPr="00003342">
              <w:rPr>
                <w:rFonts w:ascii="Arial" w:hAnsi="Arial" w:cs="Arial"/>
                <w:color w:val="000000"/>
                <w:sz w:val="12"/>
                <w:szCs w:val="16"/>
                <w:lang w:eastAsia="es-CO"/>
              </w:rPr>
              <w:t xml:space="preserve">Semanal </w:t>
            </w:r>
          </w:p>
        </w:tc>
      </w:tr>
      <w:tr w:rsidR="00003342" w:rsidRPr="00003342" w:rsidTr="005C7368">
        <w:trPr>
          <w:trHeight w:val="3127"/>
        </w:trPr>
        <w:tc>
          <w:tcPr>
            <w:tcW w:w="279" w:type="dxa"/>
            <w:shd w:val="clear" w:color="auto" w:fill="auto"/>
            <w:vAlign w:val="center"/>
            <w:hideMark/>
          </w:tcPr>
          <w:p w:rsidR="00003342" w:rsidRPr="00003342" w:rsidRDefault="00003342" w:rsidP="005C7368">
            <w:pPr>
              <w:jc w:val="center"/>
              <w:rPr>
                <w:rFonts w:ascii="Arial" w:hAnsi="Arial" w:cs="Arial"/>
                <w:sz w:val="12"/>
                <w:szCs w:val="16"/>
                <w:lang w:eastAsia="es-CO"/>
              </w:rPr>
            </w:pPr>
            <w:r w:rsidRPr="00003342">
              <w:rPr>
                <w:rFonts w:ascii="Arial" w:hAnsi="Arial" w:cs="Arial"/>
                <w:sz w:val="12"/>
                <w:szCs w:val="16"/>
                <w:lang w:eastAsia="es-CO"/>
              </w:rPr>
              <w:t>3</w:t>
            </w:r>
          </w:p>
        </w:tc>
        <w:tc>
          <w:tcPr>
            <w:tcW w:w="28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General</w:t>
            </w:r>
          </w:p>
        </w:tc>
        <w:tc>
          <w:tcPr>
            <w:tcW w:w="284"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Externo</w:t>
            </w:r>
          </w:p>
        </w:tc>
        <w:tc>
          <w:tcPr>
            <w:tcW w:w="28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Planeación</w:t>
            </w:r>
          </w:p>
        </w:tc>
        <w:tc>
          <w:tcPr>
            <w:tcW w:w="362"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Económico</w:t>
            </w:r>
          </w:p>
        </w:tc>
        <w:tc>
          <w:tcPr>
            <w:tcW w:w="988" w:type="dxa"/>
            <w:shd w:val="clear" w:color="auto" w:fill="auto"/>
            <w:textDirection w:val="btLr"/>
            <w:vAlign w:val="center"/>
            <w:hideMark/>
          </w:tcPr>
          <w:p w:rsidR="00003342" w:rsidRPr="00003342" w:rsidRDefault="00003342" w:rsidP="005C7368">
            <w:pPr>
              <w:ind w:left="113" w:right="113"/>
              <w:jc w:val="center"/>
              <w:rPr>
                <w:rFonts w:ascii="Arial" w:hAnsi="Arial" w:cs="Arial"/>
                <w:bCs/>
                <w:sz w:val="12"/>
                <w:szCs w:val="16"/>
              </w:rPr>
            </w:pPr>
            <w:r w:rsidRPr="00003342">
              <w:rPr>
                <w:rFonts w:ascii="Arial" w:hAnsi="Arial" w:cs="Arial"/>
                <w:bCs/>
                <w:sz w:val="12"/>
                <w:szCs w:val="16"/>
              </w:rPr>
              <w:t>Inflación</w:t>
            </w:r>
          </w:p>
        </w:tc>
        <w:tc>
          <w:tcPr>
            <w:tcW w:w="46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Efectos favorables o desfavorables de la fluctuación de precios de los productos por aumento de honorarios</w:t>
            </w:r>
          </w:p>
        </w:tc>
        <w:tc>
          <w:tcPr>
            <w:tcW w:w="31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3</w:t>
            </w:r>
          </w:p>
        </w:tc>
        <w:tc>
          <w:tcPr>
            <w:tcW w:w="31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2</w:t>
            </w:r>
          </w:p>
        </w:tc>
        <w:tc>
          <w:tcPr>
            <w:tcW w:w="31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5</w:t>
            </w:r>
          </w:p>
        </w:tc>
        <w:tc>
          <w:tcPr>
            <w:tcW w:w="31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Medio</w:t>
            </w:r>
          </w:p>
        </w:tc>
        <w:tc>
          <w:tcPr>
            <w:tcW w:w="255"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Contratista</w:t>
            </w:r>
          </w:p>
        </w:tc>
        <w:tc>
          <w:tcPr>
            <w:tcW w:w="851"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Aceptar el riesgo, tener en cuenta la incorporación de costos en el valor de la oferta</w:t>
            </w:r>
          </w:p>
        </w:tc>
        <w:tc>
          <w:tcPr>
            <w:tcW w:w="28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2</w:t>
            </w:r>
          </w:p>
        </w:tc>
        <w:tc>
          <w:tcPr>
            <w:tcW w:w="28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2</w:t>
            </w:r>
          </w:p>
        </w:tc>
        <w:tc>
          <w:tcPr>
            <w:tcW w:w="284"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4</w:t>
            </w:r>
          </w:p>
        </w:tc>
        <w:tc>
          <w:tcPr>
            <w:tcW w:w="28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Riesgo Bajo</w:t>
            </w:r>
          </w:p>
        </w:tc>
        <w:tc>
          <w:tcPr>
            <w:tcW w:w="425" w:type="dxa"/>
            <w:shd w:val="clear" w:color="auto" w:fill="auto"/>
            <w:noWrap/>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No</w:t>
            </w:r>
          </w:p>
        </w:tc>
        <w:tc>
          <w:tcPr>
            <w:tcW w:w="397"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Contratista</w:t>
            </w:r>
          </w:p>
        </w:tc>
        <w:tc>
          <w:tcPr>
            <w:tcW w:w="533"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Presentación de la oferta</w:t>
            </w:r>
          </w:p>
        </w:tc>
        <w:tc>
          <w:tcPr>
            <w:tcW w:w="487"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Terminación del contrato</w:t>
            </w:r>
          </w:p>
        </w:tc>
        <w:tc>
          <w:tcPr>
            <w:tcW w:w="426" w:type="dxa"/>
            <w:shd w:val="clear" w:color="auto" w:fill="auto"/>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Supervisar los costos durante la ejecución del contrato</w:t>
            </w:r>
          </w:p>
        </w:tc>
        <w:tc>
          <w:tcPr>
            <w:tcW w:w="359" w:type="dxa"/>
            <w:shd w:val="clear" w:color="auto" w:fill="auto"/>
            <w:noWrap/>
            <w:textDirection w:val="btLr"/>
            <w:hideMark/>
          </w:tcPr>
          <w:p w:rsidR="00003342" w:rsidRPr="00003342" w:rsidRDefault="00003342" w:rsidP="005C7368">
            <w:pPr>
              <w:ind w:left="113" w:right="113"/>
              <w:jc w:val="center"/>
              <w:rPr>
                <w:rFonts w:ascii="Arial" w:hAnsi="Arial" w:cs="Arial"/>
                <w:sz w:val="12"/>
                <w:szCs w:val="16"/>
              </w:rPr>
            </w:pPr>
            <w:r w:rsidRPr="00003342">
              <w:rPr>
                <w:rFonts w:ascii="Arial" w:hAnsi="Arial" w:cs="Arial"/>
                <w:sz w:val="12"/>
                <w:szCs w:val="16"/>
              </w:rPr>
              <w:t>Durante el trámite del proceso y durante la ejecución del contrato</w:t>
            </w:r>
          </w:p>
        </w:tc>
      </w:tr>
      <w:tr w:rsidR="00003342" w:rsidRPr="00003342" w:rsidTr="005C7368">
        <w:trPr>
          <w:trHeight w:val="3127"/>
        </w:trPr>
        <w:tc>
          <w:tcPr>
            <w:tcW w:w="279" w:type="dxa"/>
            <w:shd w:val="clear" w:color="auto" w:fill="auto"/>
            <w:vAlign w:val="center"/>
          </w:tcPr>
          <w:p w:rsidR="00003342" w:rsidRPr="00003342" w:rsidRDefault="00003342" w:rsidP="005C7368">
            <w:pPr>
              <w:jc w:val="center"/>
              <w:rPr>
                <w:rFonts w:ascii="Arial" w:hAnsi="Arial" w:cs="Arial"/>
                <w:sz w:val="12"/>
                <w:szCs w:val="16"/>
                <w:lang w:eastAsia="es-CO"/>
              </w:rPr>
            </w:pPr>
            <w:r w:rsidRPr="00003342">
              <w:rPr>
                <w:rFonts w:ascii="Arial" w:hAnsi="Arial" w:cs="Arial"/>
                <w:sz w:val="12"/>
                <w:szCs w:val="16"/>
                <w:lang w:eastAsia="es-CO"/>
              </w:rPr>
              <w:t>4</w:t>
            </w:r>
          </w:p>
        </w:tc>
        <w:tc>
          <w:tcPr>
            <w:tcW w:w="28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General</w:t>
            </w:r>
          </w:p>
          <w:p w:rsidR="00003342" w:rsidRPr="00003342" w:rsidRDefault="00003342" w:rsidP="005C7368">
            <w:pPr>
              <w:ind w:left="113" w:right="113"/>
              <w:jc w:val="center"/>
              <w:rPr>
                <w:rFonts w:ascii="Arial" w:hAnsi="Arial" w:cs="Arial"/>
                <w:sz w:val="12"/>
                <w:szCs w:val="16"/>
                <w:lang w:eastAsia="es-CO"/>
              </w:rPr>
            </w:pPr>
          </w:p>
        </w:tc>
        <w:tc>
          <w:tcPr>
            <w:tcW w:w="284"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Interno</w:t>
            </w:r>
          </w:p>
        </w:tc>
        <w:tc>
          <w:tcPr>
            <w:tcW w:w="28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Ejecución</w:t>
            </w:r>
          </w:p>
        </w:tc>
        <w:tc>
          <w:tcPr>
            <w:tcW w:w="362"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Operativo</w:t>
            </w:r>
          </w:p>
        </w:tc>
        <w:tc>
          <w:tcPr>
            <w:tcW w:w="988"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Perdida de información generada en formato digital referente al desarrollo de las actividades del contrato, por parte del contratista.</w:t>
            </w:r>
          </w:p>
          <w:p w:rsidR="00003342" w:rsidRPr="00003342" w:rsidRDefault="00003342" w:rsidP="005C7368">
            <w:pPr>
              <w:ind w:left="113" w:right="113"/>
              <w:jc w:val="center"/>
              <w:rPr>
                <w:rFonts w:ascii="Arial" w:hAnsi="Arial" w:cs="Arial"/>
                <w:sz w:val="12"/>
                <w:szCs w:val="16"/>
                <w:lang w:eastAsia="es-CO"/>
              </w:rPr>
            </w:pPr>
          </w:p>
        </w:tc>
        <w:tc>
          <w:tcPr>
            <w:tcW w:w="46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Retraso en la ejecución de las actividades o entrega de productos</w:t>
            </w:r>
          </w:p>
        </w:tc>
        <w:tc>
          <w:tcPr>
            <w:tcW w:w="31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2</w:t>
            </w:r>
          </w:p>
        </w:tc>
        <w:tc>
          <w:tcPr>
            <w:tcW w:w="31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2</w:t>
            </w:r>
          </w:p>
        </w:tc>
        <w:tc>
          <w:tcPr>
            <w:tcW w:w="31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4</w:t>
            </w:r>
          </w:p>
        </w:tc>
        <w:tc>
          <w:tcPr>
            <w:tcW w:w="31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Bajo</w:t>
            </w:r>
          </w:p>
        </w:tc>
        <w:tc>
          <w:tcPr>
            <w:tcW w:w="255"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Contratista</w:t>
            </w:r>
          </w:p>
        </w:tc>
        <w:tc>
          <w:tcPr>
            <w:tcW w:w="851"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Realización de back Up de la información, realizar trabajo de recuperación de información, mayor tiempo de dedicación para el desarrollo de actividades por parte del equipo de trabajo sin que genere costos adicionales al municipio</w:t>
            </w:r>
          </w:p>
        </w:tc>
        <w:tc>
          <w:tcPr>
            <w:tcW w:w="28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2</w:t>
            </w:r>
          </w:p>
        </w:tc>
        <w:tc>
          <w:tcPr>
            <w:tcW w:w="28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1</w:t>
            </w:r>
          </w:p>
        </w:tc>
        <w:tc>
          <w:tcPr>
            <w:tcW w:w="284"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3</w:t>
            </w:r>
          </w:p>
        </w:tc>
        <w:tc>
          <w:tcPr>
            <w:tcW w:w="28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Bajo</w:t>
            </w:r>
          </w:p>
        </w:tc>
        <w:tc>
          <w:tcPr>
            <w:tcW w:w="425" w:type="dxa"/>
            <w:shd w:val="clear" w:color="auto" w:fill="auto"/>
            <w:noWrap/>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No</w:t>
            </w:r>
          </w:p>
        </w:tc>
        <w:tc>
          <w:tcPr>
            <w:tcW w:w="397"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Contratista</w:t>
            </w:r>
          </w:p>
        </w:tc>
        <w:tc>
          <w:tcPr>
            <w:tcW w:w="533"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Desde la suscripción del acta de inicio</w:t>
            </w:r>
          </w:p>
        </w:tc>
        <w:tc>
          <w:tcPr>
            <w:tcW w:w="487"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Hasta la terminación del plazo del contrato</w:t>
            </w:r>
          </w:p>
        </w:tc>
        <w:tc>
          <w:tcPr>
            <w:tcW w:w="426" w:type="dxa"/>
            <w:shd w:val="clear" w:color="auto" w:fill="auto"/>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Informes escritos por parte del contratista</w:t>
            </w:r>
          </w:p>
        </w:tc>
        <w:tc>
          <w:tcPr>
            <w:tcW w:w="359" w:type="dxa"/>
            <w:shd w:val="clear" w:color="auto" w:fill="auto"/>
            <w:noWrap/>
            <w:textDirection w:val="btLr"/>
          </w:tcPr>
          <w:p w:rsidR="00003342" w:rsidRPr="00003342" w:rsidRDefault="00003342" w:rsidP="005C7368">
            <w:pPr>
              <w:ind w:left="113" w:right="113"/>
              <w:jc w:val="center"/>
              <w:rPr>
                <w:rFonts w:ascii="Arial" w:hAnsi="Arial" w:cs="Arial"/>
                <w:sz w:val="12"/>
                <w:szCs w:val="16"/>
                <w:lang w:eastAsia="es-CO"/>
              </w:rPr>
            </w:pPr>
            <w:r w:rsidRPr="00003342">
              <w:rPr>
                <w:rFonts w:ascii="Arial" w:hAnsi="Arial" w:cs="Arial"/>
                <w:sz w:val="12"/>
                <w:szCs w:val="16"/>
                <w:lang w:eastAsia="es-CO"/>
              </w:rPr>
              <w:t>Mensual</w:t>
            </w:r>
          </w:p>
        </w:tc>
      </w:tr>
    </w:tbl>
    <w:p w:rsidR="00003342" w:rsidRPr="00003342" w:rsidRDefault="00003342" w:rsidP="00003342">
      <w:pPr>
        <w:jc w:val="center"/>
        <w:rPr>
          <w:rFonts w:ascii="Arial" w:hAnsi="Arial" w:cs="Arial"/>
          <w:sz w:val="12"/>
          <w:szCs w:val="16"/>
        </w:rPr>
      </w:pPr>
    </w:p>
    <w:sectPr w:rsidR="00003342" w:rsidRPr="00003342" w:rsidSect="00003342">
      <w:headerReference w:type="default" r:id="rId7"/>
      <w:pgSz w:w="12240" w:h="15840"/>
      <w:pgMar w:top="1276"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A52" w:rsidRDefault="001D6A52" w:rsidP="00F30078">
      <w:pPr>
        <w:spacing w:after="0" w:line="240" w:lineRule="auto"/>
      </w:pPr>
      <w:r>
        <w:separator/>
      </w:r>
    </w:p>
  </w:endnote>
  <w:endnote w:type="continuationSeparator" w:id="0">
    <w:p w:rsidR="001D6A52" w:rsidRDefault="001D6A52" w:rsidP="00F30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A52" w:rsidRDefault="001D6A52" w:rsidP="00F30078">
      <w:pPr>
        <w:spacing w:after="0" w:line="240" w:lineRule="auto"/>
      </w:pPr>
      <w:r>
        <w:separator/>
      </w:r>
    </w:p>
  </w:footnote>
  <w:footnote w:type="continuationSeparator" w:id="0">
    <w:p w:rsidR="001D6A52" w:rsidRDefault="001D6A52" w:rsidP="00F300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078" w:rsidRDefault="00F30078">
    <w:pPr>
      <w:pStyle w:val="Encabezado"/>
    </w:pPr>
    <w:r w:rsidRPr="00F30078">
      <w:rPr>
        <w:noProof/>
        <w:lang w:eastAsia="es-CO"/>
      </w:rPr>
      <w:drawing>
        <wp:anchor distT="0" distB="0" distL="114300" distR="114300" simplePos="0" relativeHeight="251660288" behindDoc="1" locked="0" layoutInCell="1" allowOverlap="1" wp14:anchorId="13D961AE" wp14:editId="1585191E">
          <wp:simplePos x="0" y="0"/>
          <wp:positionH relativeFrom="column">
            <wp:posOffset>3936365</wp:posOffset>
          </wp:positionH>
          <wp:positionV relativeFrom="paragraph">
            <wp:posOffset>-385445</wp:posOffset>
          </wp:positionV>
          <wp:extent cx="2455545" cy="802005"/>
          <wp:effectExtent l="0" t="0" r="0" b="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5545"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0078">
      <w:rPr>
        <w:noProof/>
        <w:lang w:eastAsia="es-CO"/>
      </w:rPr>
      <w:drawing>
        <wp:anchor distT="0" distB="0" distL="114300" distR="114300" simplePos="0" relativeHeight="251659264" behindDoc="0" locked="0" layoutInCell="1" allowOverlap="1" wp14:anchorId="59BCEC68" wp14:editId="3FC64193">
          <wp:simplePos x="0" y="0"/>
          <wp:positionH relativeFrom="column">
            <wp:posOffset>1858060</wp:posOffset>
          </wp:positionH>
          <wp:positionV relativeFrom="paragraph">
            <wp:posOffset>-432232</wp:posOffset>
          </wp:positionV>
          <wp:extent cx="1556385" cy="971550"/>
          <wp:effectExtent l="0" t="0" r="0" b="0"/>
          <wp:wrapNone/>
          <wp:docPr id="90"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6385"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5F55"/>
    <w:multiLevelType w:val="hybridMultilevel"/>
    <w:tmpl w:val="045694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6381E83"/>
    <w:multiLevelType w:val="hybridMultilevel"/>
    <w:tmpl w:val="751050AC"/>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2" w15:restartNumberingAfterBreak="0">
    <w:nsid w:val="184372CF"/>
    <w:multiLevelType w:val="hybridMultilevel"/>
    <w:tmpl w:val="8BFE151E"/>
    <w:lvl w:ilvl="0" w:tplc="92BCCD3C">
      <w:start w:val="1"/>
      <w:numFmt w:val="lowerLetter"/>
      <w:lvlText w:val="%1."/>
      <w:lvlJc w:val="left"/>
      <w:pPr>
        <w:ind w:left="720" w:hanging="360"/>
      </w:pPr>
      <w:rPr>
        <w:b w:val="0"/>
        <w:lang w:val="es-CO"/>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 w15:restartNumberingAfterBreak="0">
    <w:nsid w:val="5DBF32F1"/>
    <w:multiLevelType w:val="hybridMultilevel"/>
    <w:tmpl w:val="D10C65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4A84FB8"/>
    <w:multiLevelType w:val="hybridMultilevel"/>
    <w:tmpl w:val="311EBF78"/>
    <w:lvl w:ilvl="0" w:tplc="8154DD34">
      <w:start w:val="1"/>
      <w:numFmt w:val="bullet"/>
      <w:lvlText w:val="-"/>
      <w:lvlJc w:val="left"/>
      <w:pPr>
        <w:ind w:left="720" w:hanging="360"/>
      </w:pPr>
      <w:rPr>
        <w:rFonts w:ascii="Arial" w:eastAsia="Times New Roman" w:hAnsi="Arial" w:cs="Arial" w:hint="default"/>
      </w:rPr>
    </w:lvl>
    <w:lvl w:ilvl="1" w:tplc="C3B0E058" w:tentative="1">
      <w:start w:val="1"/>
      <w:numFmt w:val="bullet"/>
      <w:lvlText w:val="o"/>
      <w:lvlJc w:val="left"/>
      <w:pPr>
        <w:ind w:left="1440" w:hanging="360"/>
      </w:pPr>
      <w:rPr>
        <w:rFonts w:ascii="Courier New" w:hAnsi="Courier New" w:cs="Courier New" w:hint="default"/>
      </w:rPr>
    </w:lvl>
    <w:lvl w:ilvl="2" w:tplc="47BC657C" w:tentative="1">
      <w:start w:val="1"/>
      <w:numFmt w:val="bullet"/>
      <w:lvlText w:val=""/>
      <w:lvlJc w:val="left"/>
      <w:pPr>
        <w:ind w:left="2160" w:hanging="360"/>
      </w:pPr>
      <w:rPr>
        <w:rFonts w:ascii="Wingdings" w:hAnsi="Wingdings" w:hint="default"/>
      </w:rPr>
    </w:lvl>
    <w:lvl w:ilvl="3" w:tplc="ACAA8052" w:tentative="1">
      <w:start w:val="1"/>
      <w:numFmt w:val="bullet"/>
      <w:lvlText w:val=""/>
      <w:lvlJc w:val="left"/>
      <w:pPr>
        <w:ind w:left="2880" w:hanging="360"/>
      </w:pPr>
      <w:rPr>
        <w:rFonts w:ascii="Symbol" w:hAnsi="Symbol" w:hint="default"/>
      </w:rPr>
    </w:lvl>
    <w:lvl w:ilvl="4" w:tplc="6BD2C30C" w:tentative="1">
      <w:start w:val="1"/>
      <w:numFmt w:val="bullet"/>
      <w:lvlText w:val="o"/>
      <w:lvlJc w:val="left"/>
      <w:pPr>
        <w:ind w:left="3600" w:hanging="360"/>
      </w:pPr>
      <w:rPr>
        <w:rFonts w:ascii="Courier New" w:hAnsi="Courier New" w:cs="Courier New" w:hint="default"/>
      </w:rPr>
    </w:lvl>
    <w:lvl w:ilvl="5" w:tplc="58760C8A" w:tentative="1">
      <w:start w:val="1"/>
      <w:numFmt w:val="bullet"/>
      <w:lvlText w:val=""/>
      <w:lvlJc w:val="left"/>
      <w:pPr>
        <w:ind w:left="4320" w:hanging="360"/>
      </w:pPr>
      <w:rPr>
        <w:rFonts w:ascii="Wingdings" w:hAnsi="Wingdings" w:hint="default"/>
      </w:rPr>
    </w:lvl>
    <w:lvl w:ilvl="6" w:tplc="5DFC17A8" w:tentative="1">
      <w:start w:val="1"/>
      <w:numFmt w:val="bullet"/>
      <w:lvlText w:val=""/>
      <w:lvlJc w:val="left"/>
      <w:pPr>
        <w:ind w:left="5040" w:hanging="360"/>
      </w:pPr>
      <w:rPr>
        <w:rFonts w:ascii="Symbol" w:hAnsi="Symbol" w:hint="default"/>
      </w:rPr>
    </w:lvl>
    <w:lvl w:ilvl="7" w:tplc="E35CFA7E" w:tentative="1">
      <w:start w:val="1"/>
      <w:numFmt w:val="bullet"/>
      <w:lvlText w:val="o"/>
      <w:lvlJc w:val="left"/>
      <w:pPr>
        <w:ind w:left="5760" w:hanging="360"/>
      </w:pPr>
      <w:rPr>
        <w:rFonts w:ascii="Courier New" w:hAnsi="Courier New" w:cs="Courier New" w:hint="default"/>
      </w:rPr>
    </w:lvl>
    <w:lvl w:ilvl="8" w:tplc="55620E30" w:tentative="1">
      <w:start w:val="1"/>
      <w:numFmt w:val="bullet"/>
      <w:lvlText w:val=""/>
      <w:lvlJc w:val="left"/>
      <w:pPr>
        <w:ind w:left="6480" w:hanging="360"/>
      </w:pPr>
      <w:rPr>
        <w:rFonts w:ascii="Wingdings" w:hAnsi="Wingdings" w:hint="default"/>
      </w:rPr>
    </w:lvl>
  </w:abstractNum>
  <w:abstractNum w:abstractNumId="5" w15:restartNumberingAfterBreak="0">
    <w:nsid w:val="668A0BDB"/>
    <w:multiLevelType w:val="hybridMultilevel"/>
    <w:tmpl w:val="00924612"/>
    <w:lvl w:ilvl="0" w:tplc="08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A8002C6"/>
    <w:multiLevelType w:val="hybridMultilevel"/>
    <w:tmpl w:val="0E24DC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6A13E88"/>
    <w:multiLevelType w:val="hybridMultilevel"/>
    <w:tmpl w:val="57086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7"/>
  </w:num>
  <w:num w:numId="5">
    <w:abstractNumId w:val="6"/>
  </w:num>
  <w:num w:numId="6">
    <w:abstractNumId w:val="1"/>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078"/>
    <w:rsid w:val="00003342"/>
    <w:rsid w:val="0017691F"/>
    <w:rsid w:val="001D6A52"/>
    <w:rsid w:val="00857E5B"/>
    <w:rsid w:val="00886479"/>
    <w:rsid w:val="00A33725"/>
    <w:rsid w:val="00C35899"/>
    <w:rsid w:val="00DA50EF"/>
    <w:rsid w:val="00EE2FBB"/>
    <w:rsid w:val="00F300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F6F376-DB78-41B9-8E50-B0D33DC2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07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00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30078"/>
  </w:style>
  <w:style w:type="paragraph" w:styleId="Piedepgina">
    <w:name w:val="footer"/>
    <w:basedOn w:val="Normal"/>
    <w:link w:val="PiedepginaCar"/>
    <w:uiPriority w:val="99"/>
    <w:unhideWhenUsed/>
    <w:rsid w:val="00F300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30078"/>
  </w:style>
  <w:style w:type="paragraph" w:styleId="Textoindependiente">
    <w:name w:val="Body Text"/>
    <w:basedOn w:val="Normal"/>
    <w:link w:val="TextoindependienteCar"/>
    <w:rsid w:val="00F30078"/>
    <w:pPr>
      <w:spacing w:after="120" w:line="240" w:lineRule="auto"/>
    </w:pPr>
    <w:rPr>
      <w:rFonts w:ascii="Times New Roman" w:eastAsia="Times New Roman" w:hAnsi="Times New Roman"/>
      <w:sz w:val="20"/>
      <w:szCs w:val="20"/>
      <w:lang w:val="es-ES_tradnl" w:eastAsia="es-ES"/>
    </w:rPr>
  </w:style>
  <w:style w:type="character" w:customStyle="1" w:styleId="TextoindependienteCar">
    <w:name w:val="Texto independiente Car"/>
    <w:basedOn w:val="Fuentedeprrafopredeter"/>
    <w:link w:val="Textoindependiente"/>
    <w:rsid w:val="00F30078"/>
    <w:rPr>
      <w:rFonts w:ascii="Times New Roman" w:eastAsia="Times New Roman" w:hAnsi="Times New Roman" w:cs="Times New Roman"/>
      <w:sz w:val="20"/>
      <w:szCs w:val="20"/>
      <w:lang w:val="es-ES_tradnl" w:eastAsia="es-ES"/>
    </w:rPr>
  </w:style>
  <w:style w:type="paragraph" w:styleId="Prrafodelista">
    <w:name w:val="List Paragraph"/>
    <w:aliases w:val="Bullets,Fluvial1,titulo 3,Segundo nivel de viñetas,List Paragraph1,Segundo nivel de vi–etas,Segundo nivel de vi_etas,P‡rrafo de lista1,VIÑETA,VIÑETAS,Viñetas,Betulia Título 1,Viñeta 6,HOJA,Bolita,Párrafo de lista3,BOLA,Flor,Ha,BOLADEF"/>
    <w:basedOn w:val="Normal"/>
    <w:link w:val="PrrafodelistaCar"/>
    <w:uiPriority w:val="1"/>
    <w:qFormat/>
    <w:rsid w:val="00F30078"/>
    <w:pPr>
      <w:spacing w:after="200" w:line="276" w:lineRule="auto"/>
      <w:ind w:left="720"/>
      <w:contextualSpacing/>
    </w:pPr>
    <w:rPr>
      <w:rFonts w:eastAsia="Times New Roman"/>
      <w:sz w:val="20"/>
      <w:szCs w:val="20"/>
      <w:lang w:val="en-US" w:eastAsia="x-none" w:bidi="en-US"/>
    </w:rPr>
  </w:style>
  <w:style w:type="paragraph" w:styleId="Sinespaciado">
    <w:name w:val="No Spacing"/>
    <w:link w:val="SinespaciadoCar"/>
    <w:uiPriority w:val="1"/>
    <w:qFormat/>
    <w:rsid w:val="00F30078"/>
    <w:pPr>
      <w:spacing w:after="0" w:line="240" w:lineRule="auto"/>
    </w:pPr>
    <w:rPr>
      <w:rFonts w:ascii="Calibri" w:eastAsia="Times New Roman" w:hAnsi="Calibri" w:cs="Times New Roman"/>
      <w:lang w:val="en-US" w:eastAsia="es-ES" w:bidi="en-US"/>
    </w:rPr>
  </w:style>
  <w:style w:type="character" w:customStyle="1" w:styleId="SinespaciadoCar">
    <w:name w:val="Sin espaciado Car"/>
    <w:link w:val="Sinespaciado"/>
    <w:uiPriority w:val="1"/>
    <w:rsid w:val="00F30078"/>
    <w:rPr>
      <w:rFonts w:ascii="Calibri" w:eastAsia="Times New Roman" w:hAnsi="Calibri" w:cs="Times New Roman"/>
      <w:lang w:val="en-US" w:eastAsia="es-ES" w:bidi="en-US"/>
    </w:rPr>
  </w:style>
  <w:style w:type="character" w:customStyle="1" w:styleId="PrrafodelistaCar">
    <w:name w:val="Párrafo de lista Car"/>
    <w:aliases w:val="Bullets Car,Fluvial1 Car,titulo 3 Car,Segundo nivel de viñetas Car,List Paragraph1 Car,Segundo nivel de vi–etas Car,Segundo nivel de vi_etas Car,P‡rrafo de lista1 Car,VIÑETA Car,VIÑETAS Car,Viñetas Car,Betulia Título 1 Car,HOJA Car"/>
    <w:link w:val="Prrafodelista"/>
    <w:uiPriority w:val="1"/>
    <w:qFormat/>
    <w:locked/>
    <w:rsid w:val="00F30078"/>
    <w:rPr>
      <w:rFonts w:ascii="Calibri" w:eastAsia="Times New Roman" w:hAnsi="Calibri" w:cs="Times New Roman"/>
      <w:sz w:val="20"/>
      <w:szCs w:val="20"/>
      <w:lang w:val="en-US" w:eastAsia="x-none" w:bidi="en-US"/>
    </w:rPr>
  </w:style>
  <w:style w:type="paragraph" w:customStyle="1" w:styleId="TableParagraph">
    <w:name w:val="Table Paragraph"/>
    <w:basedOn w:val="Normal"/>
    <w:uiPriority w:val="1"/>
    <w:qFormat/>
    <w:rsid w:val="00F30078"/>
    <w:pPr>
      <w:widowControl w:val="0"/>
      <w:autoSpaceDE w:val="0"/>
      <w:autoSpaceDN w:val="0"/>
      <w:spacing w:after="0" w:line="240" w:lineRule="auto"/>
    </w:pPr>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409</Words>
  <Characters>2253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Oswaldo Díaz Pérez</dc:creator>
  <cp:keywords/>
  <dc:description/>
  <cp:lastModifiedBy>Oswaldo Díaz Pérez</cp:lastModifiedBy>
  <cp:revision>3</cp:revision>
  <dcterms:created xsi:type="dcterms:W3CDTF">2022-09-19T16:24:00Z</dcterms:created>
  <dcterms:modified xsi:type="dcterms:W3CDTF">2022-09-19T16:29:00Z</dcterms:modified>
</cp:coreProperties>
</file>