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5973B84A" w14:textId="4DC89E1A"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Para el presente procedimiento contractual, en atención a la Ley 1150 de 2007 y los artículos 2.2.1.1.1.3.1 y 2.2.1.1.1.6.3. del Decreto 1082 de 2015, entiéndase por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iesgo la probabilidad de ocurrencia de eventos aleatorios que afecten el desarrollo del mismo, generando una variación sobre el resultado esperado, tanto en relación con los costos como con las actividades a desarrollar en la ejecución contractual.</w:t>
      </w:r>
    </w:p>
    <w:p w14:paraId="4771C340" w14:textId="77777777" w:rsidR="00D91F90" w:rsidRPr="0090542B" w:rsidRDefault="00D91F90" w:rsidP="00D91F90">
      <w:pPr>
        <w:rPr>
          <w:rFonts w:ascii="Arial" w:hAnsi="Arial" w:cs="Arial"/>
          <w:color w:val="000000" w:themeColor="text1"/>
          <w:sz w:val="20"/>
          <w:szCs w:val="20"/>
          <w:lang w:val="es-ES_tradnl" w:eastAsia="es-CO"/>
        </w:rPr>
      </w:pPr>
      <w:bookmarkStart w:id="0" w:name="_GoBack"/>
      <w:bookmarkEnd w:id="0"/>
    </w:p>
    <w:p w14:paraId="725C5C51" w14:textId="24662716"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 xml:space="preserve">Corresponderá al contratista seleccionado la asunción del </w:t>
      </w:r>
      <w:r w:rsidR="00D24B0C" w:rsidRPr="0090542B">
        <w:rPr>
          <w:rFonts w:ascii="Arial" w:hAnsi="Arial" w:cs="Arial"/>
          <w:color w:val="000000" w:themeColor="text1"/>
          <w:sz w:val="20"/>
          <w:szCs w:val="20"/>
          <w:lang w:val="es-ES_tradnl" w:eastAsia="es-CO"/>
        </w:rPr>
        <w:t>r</w:t>
      </w:r>
      <w:r w:rsidRPr="0090542B">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Entidad en el contrato. </w:t>
      </w:r>
    </w:p>
    <w:p w14:paraId="5C4E891C" w14:textId="77777777" w:rsidR="00D91F90" w:rsidRPr="0090542B" w:rsidRDefault="00D91F90" w:rsidP="00D91F90">
      <w:pPr>
        <w:rPr>
          <w:rFonts w:ascii="Arial" w:hAnsi="Arial" w:cs="Arial"/>
          <w:color w:val="000000" w:themeColor="text1"/>
          <w:sz w:val="20"/>
          <w:szCs w:val="20"/>
          <w:lang w:val="es-ES_tradnl" w:eastAsia="es-CO"/>
        </w:rPr>
      </w:pPr>
    </w:p>
    <w:p w14:paraId="4BEED069" w14:textId="77777777" w:rsidR="00D91F90" w:rsidRPr="0090542B" w:rsidRDefault="00D91F90" w:rsidP="00D91F90">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lang w:val="es-ES_tradnl" w:eastAsia="es-CO"/>
        </w:rPr>
        <w:t>De acuerdo con procedimiento de la referencia, nos permitimos establecer la tipificación, estimación y asignación de los riesgos previsibles que puedan afectar el presente procedimiento.</w:t>
      </w:r>
    </w:p>
    <w:p w14:paraId="66EAB15E" w14:textId="77777777" w:rsidR="00BF12C1" w:rsidRPr="00D2740F" w:rsidRDefault="00BF12C1" w:rsidP="00BF12C1">
      <w:pPr>
        <w:rPr>
          <w:rFonts w:ascii="Arial" w:hAnsi="Arial" w:cs="Arial"/>
          <w:color w:val="000000" w:themeColor="text1"/>
          <w:sz w:val="20"/>
          <w:szCs w:val="20"/>
          <w:lang w:val="es-ES_tradnl" w:eastAsia="es-CO"/>
        </w:rPr>
      </w:pPr>
    </w:p>
    <w:p w14:paraId="54A35198" w14:textId="77777777" w:rsidR="00BF12C1" w:rsidRPr="00E20BE5" w:rsidRDefault="00BF12C1" w:rsidP="00BF12C1">
      <w:pPr>
        <w:spacing w:after="100" w:afterAutospacing="1"/>
        <w:rPr>
          <w:rFonts w:ascii="Arial" w:eastAsia="SimSun" w:hAnsi="Arial" w:cs="Arial"/>
          <w:color w:val="262626" w:themeColor="text1" w:themeTint="D9"/>
          <w:kern w:val="3"/>
          <w:sz w:val="20"/>
          <w:szCs w:val="20"/>
          <w:lang w:eastAsia="zh-CN" w:bidi="hi-IN"/>
        </w:rPr>
      </w:pPr>
      <w:r w:rsidRPr="00E20BE5">
        <w:rPr>
          <w:rFonts w:ascii="Arial" w:eastAsia="SimSun" w:hAnsi="Arial" w:cs="Arial"/>
          <w:b/>
          <w:color w:val="262626" w:themeColor="text1" w:themeTint="D9"/>
          <w:kern w:val="3"/>
          <w:sz w:val="20"/>
          <w:szCs w:val="20"/>
          <w:u w:val="single"/>
          <w:lang w:eastAsia="zh-CN" w:bidi="hi-IN"/>
        </w:rPr>
        <w:t>Matriz de Riesgos</w:t>
      </w:r>
    </w:p>
    <w:p w14:paraId="187E0405" w14:textId="77777777" w:rsidR="00BF12C1" w:rsidRDefault="00BF12C1" w:rsidP="00BF12C1">
      <w:pPr>
        <w:spacing w:after="100" w:afterAutospacing="1"/>
        <w:rPr>
          <w:rFonts w:ascii="Arial" w:eastAsia="SimSun" w:hAnsi="Arial" w:cs="Arial"/>
          <w:kern w:val="3"/>
          <w:sz w:val="20"/>
          <w:szCs w:val="20"/>
          <w:lang w:eastAsia="zh-CN" w:bidi="hi-IN"/>
        </w:rPr>
      </w:pPr>
    </w:p>
    <w:tbl>
      <w:tblPr>
        <w:tblStyle w:val="Tablaconcuadrcula"/>
        <w:tblW w:w="0" w:type="auto"/>
        <w:tblLayout w:type="fixed"/>
        <w:tblLook w:val="04A0" w:firstRow="1" w:lastRow="0" w:firstColumn="1" w:lastColumn="0" w:noHBand="0" w:noVBand="1"/>
      </w:tblPr>
      <w:tblGrid>
        <w:gridCol w:w="421"/>
        <w:gridCol w:w="421"/>
        <w:gridCol w:w="422"/>
        <w:gridCol w:w="858"/>
        <w:gridCol w:w="598"/>
        <w:gridCol w:w="1435"/>
        <w:gridCol w:w="448"/>
        <w:gridCol w:w="414"/>
        <w:gridCol w:w="415"/>
        <w:gridCol w:w="414"/>
        <w:gridCol w:w="1008"/>
        <w:gridCol w:w="1339"/>
        <w:gridCol w:w="543"/>
        <w:gridCol w:w="411"/>
        <w:gridCol w:w="411"/>
        <w:gridCol w:w="411"/>
        <w:gridCol w:w="412"/>
        <w:gridCol w:w="411"/>
        <w:gridCol w:w="448"/>
        <w:gridCol w:w="456"/>
        <w:gridCol w:w="445"/>
        <w:gridCol w:w="600"/>
      </w:tblGrid>
      <w:tr w:rsidR="00BF12C1" w:rsidRPr="004D7C35" w14:paraId="4A785B28" w14:textId="77777777" w:rsidTr="00BF12C1">
        <w:trPr>
          <w:cantSplit/>
          <w:trHeight w:val="1212"/>
        </w:trPr>
        <w:tc>
          <w:tcPr>
            <w:tcW w:w="421" w:type="dxa"/>
            <w:vMerge w:val="restart"/>
            <w:shd w:val="clear" w:color="auto" w:fill="4D4D4D"/>
            <w:textDirection w:val="btLr"/>
          </w:tcPr>
          <w:p w14:paraId="356CF874"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No.</w:t>
            </w:r>
          </w:p>
        </w:tc>
        <w:tc>
          <w:tcPr>
            <w:tcW w:w="421" w:type="dxa"/>
            <w:vMerge w:val="restart"/>
            <w:shd w:val="clear" w:color="auto" w:fill="4D4D4D"/>
            <w:textDirection w:val="btLr"/>
          </w:tcPr>
          <w:p w14:paraId="30843C4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Clase</w:t>
            </w:r>
          </w:p>
        </w:tc>
        <w:tc>
          <w:tcPr>
            <w:tcW w:w="422" w:type="dxa"/>
            <w:vMerge w:val="restart"/>
            <w:shd w:val="clear" w:color="auto" w:fill="4D4D4D"/>
            <w:textDirection w:val="btLr"/>
          </w:tcPr>
          <w:p w14:paraId="5C0A3EB9"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Fuente</w:t>
            </w:r>
          </w:p>
        </w:tc>
        <w:tc>
          <w:tcPr>
            <w:tcW w:w="858" w:type="dxa"/>
            <w:vMerge w:val="restart"/>
            <w:shd w:val="clear" w:color="auto" w:fill="4D4D4D"/>
            <w:textDirection w:val="btLr"/>
          </w:tcPr>
          <w:p w14:paraId="1015168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Etapa</w:t>
            </w:r>
          </w:p>
        </w:tc>
        <w:tc>
          <w:tcPr>
            <w:tcW w:w="598" w:type="dxa"/>
            <w:vMerge w:val="restart"/>
            <w:shd w:val="clear" w:color="auto" w:fill="4D4D4D"/>
            <w:textDirection w:val="btLr"/>
          </w:tcPr>
          <w:p w14:paraId="140CF76E"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Tipo</w:t>
            </w:r>
          </w:p>
        </w:tc>
        <w:tc>
          <w:tcPr>
            <w:tcW w:w="1435" w:type="dxa"/>
            <w:vMerge w:val="restart"/>
            <w:shd w:val="clear" w:color="auto" w:fill="4D4D4D"/>
            <w:textDirection w:val="btLr"/>
          </w:tcPr>
          <w:p w14:paraId="507D030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Descripción</w:t>
            </w:r>
          </w:p>
          <w:p w14:paraId="66E971F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(Qué puede pasar y como puede ocurrir)</w:t>
            </w:r>
          </w:p>
          <w:p w14:paraId="24C4FAF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val="restart"/>
            <w:shd w:val="clear" w:color="auto" w:fill="4D4D4D"/>
            <w:textDirection w:val="btLr"/>
          </w:tcPr>
          <w:p w14:paraId="33DC124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Consecuencia de la ocurrencia del evento</w:t>
            </w:r>
          </w:p>
        </w:tc>
        <w:tc>
          <w:tcPr>
            <w:tcW w:w="414" w:type="dxa"/>
            <w:vMerge w:val="restart"/>
            <w:shd w:val="clear" w:color="auto" w:fill="4D4D4D"/>
            <w:textDirection w:val="btLr"/>
          </w:tcPr>
          <w:p w14:paraId="1CB6B52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Probabilidad</w:t>
            </w:r>
          </w:p>
        </w:tc>
        <w:tc>
          <w:tcPr>
            <w:tcW w:w="415" w:type="dxa"/>
            <w:vMerge w:val="restart"/>
            <w:shd w:val="clear" w:color="auto" w:fill="4D4D4D"/>
            <w:textDirection w:val="btLr"/>
          </w:tcPr>
          <w:p w14:paraId="2850F802"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Impacto</w:t>
            </w:r>
          </w:p>
        </w:tc>
        <w:tc>
          <w:tcPr>
            <w:tcW w:w="414" w:type="dxa"/>
            <w:vMerge w:val="restart"/>
            <w:shd w:val="clear" w:color="auto" w:fill="4D4D4D"/>
            <w:textDirection w:val="btLr"/>
          </w:tcPr>
          <w:p w14:paraId="45471FD8"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Valoración del riesgo</w:t>
            </w:r>
          </w:p>
        </w:tc>
        <w:tc>
          <w:tcPr>
            <w:tcW w:w="1008" w:type="dxa"/>
            <w:vMerge w:val="restart"/>
            <w:shd w:val="clear" w:color="auto" w:fill="4D4D4D"/>
            <w:textDirection w:val="btLr"/>
          </w:tcPr>
          <w:p w14:paraId="549D875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r w:rsidRPr="004D7C35">
              <w:rPr>
                <w:rFonts w:ascii="Arial" w:eastAsia="SimSun" w:hAnsi="Arial" w:cs="Arial"/>
                <w:color w:val="FFFFFF" w:themeColor="background1"/>
                <w:kern w:val="3"/>
                <w:sz w:val="16"/>
                <w:szCs w:val="20"/>
                <w:lang w:eastAsia="zh-CN" w:bidi="hi-IN"/>
              </w:rPr>
              <w:t>Categoría</w:t>
            </w:r>
          </w:p>
        </w:tc>
        <w:tc>
          <w:tcPr>
            <w:tcW w:w="1339" w:type="dxa"/>
            <w:vMerge w:val="restart"/>
            <w:shd w:val="clear" w:color="auto" w:fill="BFBFBF" w:themeFill="background1" w:themeFillShade="BF"/>
            <w:textDirection w:val="btLr"/>
          </w:tcPr>
          <w:p w14:paraId="3A5F228D"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 quién se le asigna?</w:t>
            </w:r>
          </w:p>
        </w:tc>
        <w:tc>
          <w:tcPr>
            <w:tcW w:w="543" w:type="dxa"/>
            <w:vMerge w:val="restart"/>
            <w:shd w:val="clear" w:color="auto" w:fill="BFBFBF" w:themeFill="background1" w:themeFillShade="BF"/>
            <w:textDirection w:val="btLr"/>
          </w:tcPr>
          <w:p w14:paraId="6EBD494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Tratamiento/Controles a ser implementados</w:t>
            </w:r>
          </w:p>
        </w:tc>
        <w:tc>
          <w:tcPr>
            <w:tcW w:w="1645" w:type="dxa"/>
            <w:gridSpan w:val="4"/>
            <w:shd w:val="clear" w:color="auto" w:fill="BFBFBF" w:themeFill="background1" w:themeFillShade="BF"/>
          </w:tcPr>
          <w:p w14:paraId="6EB1CCC9"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360A35AE"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40BA1506"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 después del tratamiento</w:t>
            </w:r>
          </w:p>
        </w:tc>
        <w:tc>
          <w:tcPr>
            <w:tcW w:w="411" w:type="dxa"/>
            <w:vMerge w:val="restart"/>
            <w:shd w:val="clear" w:color="auto" w:fill="BFBFBF" w:themeFill="background1" w:themeFillShade="BF"/>
            <w:textDirection w:val="btLr"/>
          </w:tcPr>
          <w:p w14:paraId="3DC565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¿Afecta la ejecución del contrato?</w:t>
            </w:r>
          </w:p>
        </w:tc>
        <w:tc>
          <w:tcPr>
            <w:tcW w:w="448" w:type="dxa"/>
            <w:vMerge w:val="restart"/>
            <w:shd w:val="clear" w:color="auto" w:fill="BFBFBF" w:themeFill="background1" w:themeFillShade="BF"/>
            <w:textDirection w:val="btLr"/>
          </w:tcPr>
          <w:p w14:paraId="58D726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Persona responsable por implementar el tratamiento</w:t>
            </w:r>
          </w:p>
        </w:tc>
        <w:tc>
          <w:tcPr>
            <w:tcW w:w="456" w:type="dxa"/>
            <w:vMerge w:val="restart"/>
            <w:shd w:val="clear" w:color="auto" w:fill="BFBFBF" w:themeFill="background1" w:themeFillShade="BF"/>
            <w:textDirection w:val="btLr"/>
          </w:tcPr>
          <w:p w14:paraId="50F0A62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9771F1">
              <w:rPr>
                <w:rFonts w:ascii="Arial" w:eastAsia="SimSun" w:hAnsi="Arial" w:cs="Arial"/>
                <w:b/>
                <w:color w:val="404040" w:themeColor="text1" w:themeTint="BF"/>
                <w:kern w:val="3"/>
                <w:sz w:val="14"/>
                <w:szCs w:val="14"/>
                <w:lang w:eastAsia="zh-CN" w:bidi="hi-IN"/>
              </w:rPr>
              <w:t>Fecha estimada en que se completa el tratamiento</w:t>
            </w:r>
          </w:p>
        </w:tc>
        <w:tc>
          <w:tcPr>
            <w:tcW w:w="1045" w:type="dxa"/>
            <w:gridSpan w:val="2"/>
            <w:shd w:val="clear" w:color="auto" w:fill="BFBFBF" w:themeFill="background1" w:themeFillShade="BF"/>
          </w:tcPr>
          <w:p w14:paraId="3B222511"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27F4D84A"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p>
          <w:p w14:paraId="771A63EC" w14:textId="77777777" w:rsidR="00BF12C1" w:rsidRPr="009771F1" w:rsidRDefault="00BF12C1" w:rsidP="00A866CE">
            <w:pPr>
              <w:spacing w:after="100" w:afterAutospacing="1"/>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Monitoreo y revisión</w:t>
            </w:r>
          </w:p>
        </w:tc>
      </w:tr>
      <w:tr w:rsidR="00BF12C1" w:rsidRPr="004D7C35" w14:paraId="7495FB94" w14:textId="77777777" w:rsidTr="00BF12C1">
        <w:trPr>
          <w:cantSplit/>
          <w:trHeight w:val="2063"/>
        </w:trPr>
        <w:tc>
          <w:tcPr>
            <w:tcW w:w="421" w:type="dxa"/>
            <w:vMerge/>
            <w:shd w:val="clear" w:color="auto" w:fill="4D4D4D"/>
            <w:textDirection w:val="btLr"/>
          </w:tcPr>
          <w:p w14:paraId="064DE247"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1" w:type="dxa"/>
            <w:vMerge/>
            <w:shd w:val="clear" w:color="auto" w:fill="4D4D4D"/>
            <w:textDirection w:val="btLr"/>
          </w:tcPr>
          <w:p w14:paraId="74EE81FA"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22" w:type="dxa"/>
            <w:vMerge/>
            <w:shd w:val="clear" w:color="auto" w:fill="4D4D4D"/>
            <w:textDirection w:val="btLr"/>
          </w:tcPr>
          <w:p w14:paraId="7CFD38E5"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858" w:type="dxa"/>
            <w:vMerge/>
            <w:shd w:val="clear" w:color="auto" w:fill="4D4D4D"/>
            <w:textDirection w:val="btLr"/>
          </w:tcPr>
          <w:p w14:paraId="197CAABF"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598" w:type="dxa"/>
            <w:vMerge/>
            <w:shd w:val="clear" w:color="auto" w:fill="4D4D4D"/>
            <w:textDirection w:val="btLr"/>
          </w:tcPr>
          <w:p w14:paraId="5EAF171C"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35" w:type="dxa"/>
            <w:vMerge/>
            <w:shd w:val="clear" w:color="auto" w:fill="4D4D4D"/>
            <w:textDirection w:val="btLr"/>
          </w:tcPr>
          <w:p w14:paraId="7E1670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48" w:type="dxa"/>
            <w:vMerge/>
            <w:shd w:val="clear" w:color="auto" w:fill="4D4D4D"/>
            <w:textDirection w:val="btLr"/>
          </w:tcPr>
          <w:p w14:paraId="3DD6801D"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68FDB213"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5" w:type="dxa"/>
            <w:vMerge/>
            <w:shd w:val="clear" w:color="auto" w:fill="4D4D4D"/>
            <w:textDirection w:val="btLr"/>
          </w:tcPr>
          <w:p w14:paraId="67A55F1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414" w:type="dxa"/>
            <w:vMerge/>
            <w:shd w:val="clear" w:color="auto" w:fill="4D4D4D"/>
            <w:textDirection w:val="btLr"/>
          </w:tcPr>
          <w:p w14:paraId="4E3CD2B0"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008" w:type="dxa"/>
            <w:vMerge/>
            <w:shd w:val="clear" w:color="auto" w:fill="4D4D4D"/>
            <w:textDirection w:val="btLr"/>
          </w:tcPr>
          <w:p w14:paraId="0E6B76AB" w14:textId="77777777" w:rsidR="00BF12C1" w:rsidRPr="004D7C35" w:rsidRDefault="00BF12C1" w:rsidP="00A866CE">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339" w:type="dxa"/>
            <w:vMerge/>
            <w:shd w:val="clear" w:color="auto" w:fill="BFBFBF" w:themeFill="background1" w:themeFillShade="BF"/>
            <w:textDirection w:val="btLr"/>
          </w:tcPr>
          <w:p w14:paraId="4BB43199"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543" w:type="dxa"/>
            <w:vMerge/>
            <w:shd w:val="clear" w:color="auto" w:fill="BFBFBF" w:themeFill="background1" w:themeFillShade="BF"/>
            <w:textDirection w:val="btLr"/>
          </w:tcPr>
          <w:p w14:paraId="5ADF8C4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11" w:type="dxa"/>
            <w:shd w:val="clear" w:color="auto" w:fill="BFBFBF" w:themeFill="background1" w:themeFillShade="BF"/>
            <w:textDirection w:val="btLr"/>
          </w:tcPr>
          <w:p w14:paraId="4D147301"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Probabilidad</w:t>
            </w:r>
          </w:p>
        </w:tc>
        <w:tc>
          <w:tcPr>
            <w:tcW w:w="411" w:type="dxa"/>
            <w:shd w:val="clear" w:color="auto" w:fill="BFBFBF" w:themeFill="background1" w:themeFillShade="BF"/>
            <w:textDirection w:val="btLr"/>
          </w:tcPr>
          <w:p w14:paraId="248CBB97"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Impacto</w:t>
            </w:r>
          </w:p>
        </w:tc>
        <w:tc>
          <w:tcPr>
            <w:tcW w:w="411" w:type="dxa"/>
            <w:shd w:val="clear" w:color="auto" w:fill="BFBFBF" w:themeFill="background1" w:themeFillShade="BF"/>
            <w:textDirection w:val="btLr"/>
          </w:tcPr>
          <w:p w14:paraId="46055B9C"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Valoración del Riesgo</w:t>
            </w:r>
          </w:p>
        </w:tc>
        <w:tc>
          <w:tcPr>
            <w:tcW w:w="412" w:type="dxa"/>
            <w:shd w:val="clear" w:color="auto" w:fill="BFBFBF" w:themeFill="background1" w:themeFillShade="BF"/>
            <w:textDirection w:val="btLr"/>
          </w:tcPr>
          <w:p w14:paraId="56983BA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Categoría</w:t>
            </w:r>
          </w:p>
        </w:tc>
        <w:tc>
          <w:tcPr>
            <w:tcW w:w="411" w:type="dxa"/>
            <w:vMerge/>
            <w:shd w:val="clear" w:color="auto" w:fill="BFBFBF" w:themeFill="background1" w:themeFillShade="BF"/>
            <w:textDirection w:val="btLr"/>
          </w:tcPr>
          <w:p w14:paraId="29353030"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8" w:type="dxa"/>
            <w:vMerge/>
            <w:shd w:val="clear" w:color="auto" w:fill="BFBFBF" w:themeFill="background1" w:themeFillShade="BF"/>
            <w:textDirection w:val="btLr"/>
          </w:tcPr>
          <w:p w14:paraId="788675F4"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56" w:type="dxa"/>
            <w:vMerge/>
            <w:shd w:val="clear" w:color="auto" w:fill="BFBFBF" w:themeFill="background1" w:themeFillShade="BF"/>
            <w:textDirection w:val="btLr"/>
          </w:tcPr>
          <w:p w14:paraId="59680DA5"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p>
        </w:tc>
        <w:tc>
          <w:tcPr>
            <w:tcW w:w="445" w:type="dxa"/>
            <w:shd w:val="clear" w:color="auto" w:fill="BFBFBF" w:themeFill="background1" w:themeFillShade="BF"/>
            <w:textDirection w:val="btLr"/>
          </w:tcPr>
          <w:p w14:paraId="07E06476" w14:textId="77777777" w:rsidR="00BF12C1" w:rsidRPr="007115DA" w:rsidRDefault="00BF12C1" w:rsidP="00A866CE">
            <w:pPr>
              <w:spacing w:after="100" w:afterAutospacing="1"/>
              <w:ind w:left="113" w:right="113"/>
              <w:jc w:val="center"/>
              <w:rPr>
                <w:rFonts w:ascii="Arial" w:eastAsia="SimSun" w:hAnsi="Arial" w:cs="Arial"/>
                <w:b/>
                <w:color w:val="404040" w:themeColor="text1" w:themeTint="BF"/>
                <w:kern w:val="3"/>
                <w:sz w:val="14"/>
                <w:szCs w:val="14"/>
                <w:lang w:eastAsia="zh-CN" w:bidi="hi-IN"/>
              </w:rPr>
            </w:pPr>
            <w:r w:rsidRPr="007115DA">
              <w:rPr>
                <w:rFonts w:ascii="Arial" w:eastAsia="SimSun" w:hAnsi="Arial" w:cs="Arial"/>
                <w:b/>
                <w:color w:val="404040" w:themeColor="text1" w:themeTint="BF"/>
                <w:kern w:val="3"/>
                <w:sz w:val="14"/>
                <w:szCs w:val="14"/>
                <w:lang w:eastAsia="zh-CN" w:bidi="hi-IN"/>
              </w:rPr>
              <w:t>¿Cómo se realiza el monitoreo?</w:t>
            </w:r>
          </w:p>
        </w:tc>
        <w:tc>
          <w:tcPr>
            <w:tcW w:w="600" w:type="dxa"/>
            <w:shd w:val="clear" w:color="auto" w:fill="BFBFBF" w:themeFill="background1" w:themeFillShade="BF"/>
            <w:textDirection w:val="btLr"/>
          </w:tcPr>
          <w:p w14:paraId="467ABD76"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Periodicidad</w:t>
            </w:r>
          </w:p>
          <w:p w14:paraId="6DC3335A" w14:textId="77777777" w:rsidR="00BF12C1" w:rsidRPr="009771F1" w:rsidRDefault="00BF12C1" w:rsidP="00A866CE">
            <w:pPr>
              <w:spacing w:after="100" w:afterAutospacing="1"/>
              <w:ind w:left="113" w:right="113"/>
              <w:jc w:val="center"/>
              <w:rPr>
                <w:rFonts w:ascii="Arial" w:eastAsia="SimSun" w:hAnsi="Arial" w:cs="Arial"/>
                <w:b/>
                <w:color w:val="404040" w:themeColor="text1" w:themeTint="BF"/>
                <w:kern w:val="3"/>
                <w:sz w:val="16"/>
                <w:szCs w:val="20"/>
                <w:lang w:eastAsia="zh-CN" w:bidi="hi-IN"/>
              </w:rPr>
            </w:pPr>
            <w:r w:rsidRPr="009771F1">
              <w:rPr>
                <w:rFonts w:ascii="Arial" w:eastAsia="SimSun" w:hAnsi="Arial" w:cs="Arial"/>
                <w:b/>
                <w:color w:val="404040" w:themeColor="text1" w:themeTint="BF"/>
                <w:kern w:val="3"/>
                <w:sz w:val="16"/>
                <w:szCs w:val="20"/>
                <w:lang w:eastAsia="zh-CN" w:bidi="hi-IN"/>
              </w:rPr>
              <w:t>¿Cuándo?</w:t>
            </w:r>
          </w:p>
        </w:tc>
      </w:tr>
      <w:tr w:rsidR="00BF12C1" w:rsidRPr="004D7C35" w14:paraId="2602EA7B" w14:textId="77777777" w:rsidTr="00BF12C1">
        <w:trPr>
          <w:cantSplit/>
          <w:trHeight w:val="1134"/>
        </w:trPr>
        <w:tc>
          <w:tcPr>
            <w:tcW w:w="421" w:type="dxa"/>
            <w:shd w:val="clear" w:color="auto" w:fill="auto"/>
          </w:tcPr>
          <w:p w14:paraId="38E14E9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1</w:t>
            </w:r>
          </w:p>
        </w:tc>
        <w:tc>
          <w:tcPr>
            <w:tcW w:w="421" w:type="dxa"/>
            <w:shd w:val="clear" w:color="auto" w:fill="auto"/>
          </w:tcPr>
          <w:p w14:paraId="369080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G</w:t>
            </w:r>
          </w:p>
        </w:tc>
        <w:tc>
          <w:tcPr>
            <w:tcW w:w="422" w:type="dxa"/>
            <w:shd w:val="clear" w:color="auto" w:fill="auto"/>
          </w:tcPr>
          <w:p w14:paraId="60A518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8A80F6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 - CONTRACTUAL</w:t>
            </w:r>
          </w:p>
        </w:tc>
        <w:tc>
          <w:tcPr>
            <w:tcW w:w="598" w:type="dxa"/>
            <w:shd w:val="clear" w:color="auto" w:fill="auto"/>
            <w:textDirection w:val="btLr"/>
          </w:tcPr>
          <w:p w14:paraId="2263C686"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regulatorio</w:t>
            </w:r>
          </w:p>
        </w:tc>
        <w:tc>
          <w:tcPr>
            <w:tcW w:w="1435" w:type="dxa"/>
            <w:shd w:val="clear" w:color="auto" w:fill="auto"/>
          </w:tcPr>
          <w:p w14:paraId="68C3CF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t>Riesgo ocasionado por cambios en la normatividad técnica durante la ejecución del proyecto.</w:t>
            </w:r>
          </w:p>
        </w:tc>
        <w:tc>
          <w:tcPr>
            <w:tcW w:w="448" w:type="dxa"/>
            <w:shd w:val="clear" w:color="auto" w:fill="auto"/>
          </w:tcPr>
          <w:p w14:paraId="3B0CC1B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737064A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D2D0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6787844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4EADF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519A874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044D4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8EDE0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2E8C9C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790935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071E4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C4F1F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SI</w:t>
            </w:r>
          </w:p>
        </w:tc>
        <w:tc>
          <w:tcPr>
            <w:tcW w:w="448" w:type="dxa"/>
            <w:shd w:val="clear" w:color="auto" w:fill="auto"/>
          </w:tcPr>
          <w:p w14:paraId="427B5BE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181F01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E51C5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307C277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DF0A2B3" w14:textId="77777777" w:rsidTr="00BF12C1">
        <w:trPr>
          <w:cantSplit/>
          <w:trHeight w:val="1134"/>
        </w:trPr>
        <w:tc>
          <w:tcPr>
            <w:tcW w:w="421" w:type="dxa"/>
            <w:shd w:val="clear" w:color="auto" w:fill="auto"/>
          </w:tcPr>
          <w:p w14:paraId="58EA3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24592">
              <w:rPr>
                <w:rFonts w:ascii="Arial" w:eastAsia="SimSun" w:hAnsi="Arial" w:cs="Arial"/>
                <w:kern w:val="3"/>
                <w:sz w:val="16"/>
                <w:szCs w:val="20"/>
                <w:lang w:eastAsia="zh-CN" w:bidi="hi-IN"/>
              </w:rPr>
              <w:lastRenderedPageBreak/>
              <w:t>2</w:t>
            </w:r>
          </w:p>
        </w:tc>
        <w:tc>
          <w:tcPr>
            <w:tcW w:w="421" w:type="dxa"/>
            <w:shd w:val="clear" w:color="auto" w:fill="auto"/>
          </w:tcPr>
          <w:p w14:paraId="2CBBA5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G</w:t>
            </w:r>
          </w:p>
        </w:tc>
        <w:tc>
          <w:tcPr>
            <w:tcW w:w="422" w:type="dxa"/>
            <w:shd w:val="clear" w:color="auto" w:fill="auto"/>
          </w:tcPr>
          <w:p w14:paraId="35B82A5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53DD3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FDC4C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operacional</w:t>
            </w:r>
          </w:p>
        </w:tc>
        <w:tc>
          <w:tcPr>
            <w:tcW w:w="1435" w:type="dxa"/>
            <w:shd w:val="clear" w:color="auto" w:fill="auto"/>
          </w:tcPr>
          <w:p w14:paraId="216355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del contrato ocasionado a causa de la coordinación Interinstitucional. Cuando el INVIAS y/o CONTRATISTA dependen de decisiones de otras entidades oficiales. Se refiere a los mayores costos asumidos por el CONTRATISTA debido a demoras ocasionadas por otras entidades públicas. Riesgo que asume el INVIAS, excepto para los permisos ambientales a cargo del CONTRATISTA.</w:t>
            </w:r>
          </w:p>
        </w:tc>
        <w:tc>
          <w:tcPr>
            <w:tcW w:w="448" w:type="dxa"/>
            <w:shd w:val="clear" w:color="auto" w:fill="auto"/>
          </w:tcPr>
          <w:p w14:paraId="7AE36CE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01D6195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5" w:type="dxa"/>
            <w:shd w:val="clear" w:color="auto" w:fill="auto"/>
          </w:tcPr>
          <w:p w14:paraId="0D97BB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14" w:type="dxa"/>
            <w:shd w:val="clear" w:color="auto" w:fill="auto"/>
          </w:tcPr>
          <w:p w14:paraId="110EAD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1008" w:type="dxa"/>
            <w:shd w:val="clear" w:color="auto" w:fill="auto"/>
          </w:tcPr>
          <w:p w14:paraId="7B2EA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712AE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32CE109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66058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362E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9D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C278BA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4250E8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CAA7BB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3586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306FDD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E9D91D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C25B124" w14:textId="77777777" w:rsidTr="00BF12C1">
        <w:trPr>
          <w:cantSplit/>
          <w:trHeight w:val="1134"/>
        </w:trPr>
        <w:tc>
          <w:tcPr>
            <w:tcW w:w="421" w:type="dxa"/>
            <w:shd w:val="clear" w:color="auto" w:fill="auto"/>
          </w:tcPr>
          <w:p w14:paraId="639E6C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21" w:type="dxa"/>
            <w:shd w:val="clear" w:color="auto" w:fill="auto"/>
          </w:tcPr>
          <w:p w14:paraId="4FAF32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E</w:t>
            </w:r>
          </w:p>
        </w:tc>
        <w:tc>
          <w:tcPr>
            <w:tcW w:w="422" w:type="dxa"/>
            <w:shd w:val="clear" w:color="auto" w:fill="auto"/>
          </w:tcPr>
          <w:p w14:paraId="0F21E9E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231666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2D59EB5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Riesgo General</w:t>
            </w:r>
          </w:p>
        </w:tc>
        <w:tc>
          <w:tcPr>
            <w:tcW w:w="1435" w:type="dxa"/>
            <w:shd w:val="clear" w:color="auto" w:fill="auto"/>
          </w:tcPr>
          <w:p w14:paraId="6DA553A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B35131">
              <w:rPr>
                <w:rFonts w:ascii="Arial" w:eastAsia="SimSun" w:hAnsi="Arial" w:cs="Arial"/>
                <w:kern w:val="3"/>
                <w:sz w:val="16"/>
                <w:szCs w:val="20"/>
                <w:lang w:eastAsia="zh-CN" w:bidi="hi-IN"/>
              </w:rPr>
              <w:t xml:space="preserve">Errores involuntarios que hayan quedado en los pliegos de </w:t>
            </w:r>
            <w:proofErr w:type="gramStart"/>
            <w:r w:rsidRPr="00B35131">
              <w:rPr>
                <w:rFonts w:ascii="Arial" w:eastAsia="SimSun" w:hAnsi="Arial" w:cs="Arial"/>
                <w:kern w:val="3"/>
                <w:sz w:val="16"/>
                <w:szCs w:val="20"/>
                <w:lang w:eastAsia="zh-CN" w:bidi="hi-IN"/>
              </w:rPr>
              <w:t>condiciones ,</w:t>
            </w:r>
            <w:proofErr w:type="gramEnd"/>
            <w:r w:rsidRPr="00B35131">
              <w:rPr>
                <w:rFonts w:ascii="Arial" w:eastAsia="SimSun" w:hAnsi="Arial" w:cs="Arial"/>
                <w:kern w:val="3"/>
                <w:sz w:val="16"/>
                <w:szCs w:val="20"/>
                <w:lang w:eastAsia="zh-CN" w:bidi="hi-IN"/>
              </w:rPr>
              <w:t xml:space="preserve"> unidades, especificaciones, descripción del proyecto, anexos técnicos, estudios previos, operaciones aritméticas, etc. Riesgo que asume el CONTRATISTA y el INVIAS</w:t>
            </w:r>
          </w:p>
        </w:tc>
        <w:tc>
          <w:tcPr>
            <w:tcW w:w="448" w:type="dxa"/>
            <w:shd w:val="clear" w:color="auto" w:fill="auto"/>
          </w:tcPr>
          <w:p w14:paraId="7A86DD3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2E2A0E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6B44018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2AFC888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350EFB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1AE4E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50% CONTRATISTA 50%</w:t>
            </w:r>
          </w:p>
        </w:tc>
        <w:tc>
          <w:tcPr>
            <w:tcW w:w="543" w:type="dxa"/>
            <w:shd w:val="clear" w:color="auto" w:fill="auto"/>
          </w:tcPr>
          <w:p w14:paraId="5982FAE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0DF93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C3A030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892CB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97E06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7898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2173B7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050DC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930DA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24DC25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A596AAC" w14:textId="77777777" w:rsidTr="00BF12C1">
        <w:trPr>
          <w:cantSplit/>
          <w:trHeight w:val="1134"/>
        </w:trPr>
        <w:tc>
          <w:tcPr>
            <w:tcW w:w="421" w:type="dxa"/>
            <w:shd w:val="clear" w:color="auto" w:fill="auto"/>
          </w:tcPr>
          <w:p w14:paraId="0D097FA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4</w:t>
            </w:r>
          </w:p>
        </w:tc>
        <w:tc>
          <w:tcPr>
            <w:tcW w:w="421" w:type="dxa"/>
            <w:shd w:val="clear" w:color="auto" w:fill="auto"/>
          </w:tcPr>
          <w:p w14:paraId="40721D4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74D9115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67A2DF0"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58411E0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552A34E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presentado por accidentalidad y/o muerte de personal del CONTRATISTA desde la adjudicación y/o durante la ejecución del contrato, por causas externas al proyecto o por ausencia o falta o deficiencia del SISTEMA DE SEGURIDAD INDUSTRIAL de la obra. Riesgo que asume el CONTRATISTA.</w:t>
            </w:r>
          </w:p>
        </w:tc>
        <w:tc>
          <w:tcPr>
            <w:tcW w:w="448" w:type="dxa"/>
            <w:shd w:val="clear" w:color="auto" w:fill="auto"/>
          </w:tcPr>
          <w:p w14:paraId="4F3C88D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05B65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D49D46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046530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900BA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6BF4B54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25DB7B2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011361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556B9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B0D92A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02BF71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60C0B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BCCE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2E9D723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934148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E0469B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5EF90188" w14:textId="77777777" w:rsidTr="00BF12C1">
        <w:trPr>
          <w:cantSplit/>
          <w:trHeight w:val="1134"/>
        </w:trPr>
        <w:tc>
          <w:tcPr>
            <w:tcW w:w="421" w:type="dxa"/>
            <w:shd w:val="clear" w:color="auto" w:fill="auto"/>
          </w:tcPr>
          <w:p w14:paraId="335E41B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21" w:type="dxa"/>
            <w:shd w:val="clear" w:color="auto" w:fill="auto"/>
          </w:tcPr>
          <w:p w14:paraId="420C05A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624117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625042D"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PRECONTRACTUAL</w:t>
            </w:r>
          </w:p>
        </w:tc>
        <w:tc>
          <w:tcPr>
            <w:tcW w:w="598" w:type="dxa"/>
            <w:shd w:val="clear" w:color="auto" w:fill="auto"/>
            <w:textDirection w:val="btLr"/>
          </w:tcPr>
          <w:p w14:paraId="051E391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GENERAL</w:t>
            </w:r>
          </w:p>
        </w:tc>
        <w:tc>
          <w:tcPr>
            <w:tcW w:w="1435" w:type="dxa"/>
            <w:shd w:val="clear" w:color="auto" w:fill="auto"/>
          </w:tcPr>
          <w:p w14:paraId="738031C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Errores cometidos por el  CONTRATISTA en la elaboración de las propuestas (Sobre 1 y Sobre 2) y/o en los documentos  elaborados por el   CONTRATISTA durante la ejecución del contrato. Riesgo que asume el CONTRATISTA.</w:t>
            </w:r>
          </w:p>
        </w:tc>
        <w:tc>
          <w:tcPr>
            <w:tcW w:w="448" w:type="dxa"/>
            <w:shd w:val="clear" w:color="auto" w:fill="auto"/>
          </w:tcPr>
          <w:p w14:paraId="180312D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8F575E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BB9E01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74D58CE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3F8BFBA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7842C95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5327F2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4584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09CF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6737CD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78A50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03E2D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C64E8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63B8E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65E3E04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2205F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307DC94F" w14:textId="77777777" w:rsidTr="00BF12C1">
        <w:trPr>
          <w:cantSplit/>
          <w:trHeight w:val="1134"/>
        </w:trPr>
        <w:tc>
          <w:tcPr>
            <w:tcW w:w="421" w:type="dxa"/>
            <w:shd w:val="clear" w:color="auto" w:fill="auto"/>
          </w:tcPr>
          <w:p w14:paraId="11BC95D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421" w:type="dxa"/>
            <w:shd w:val="clear" w:color="auto" w:fill="auto"/>
          </w:tcPr>
          <w:p w14:paraId="0ACD7EB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08825CD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C306658"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37D3075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Riesgo operacional</w:t>
            </w:r>
          </w:p>
        </w:tc>
        <w:tc>
          <w:tcPr>
            <w:tcW w:w="1435" w:type="dxa"/>
            <w:shd w:val="clear" w:color="auto" w:fill="auto"/>
          </w:tcPr>
          <w:p w14:paraId="35CCCE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A1132D">
              <w:rPr>
                <w:rFonts w:ascii="Arial" w:eastAsia="SimSun" w:hAnsi="Arial" w:cs="Arial"/>
                <w:kern w:val="3"/>
                <w:sz w:val="16"/>
                <w:szCs w:val="20"/>
                <w:lang w:eastAsia="zh-CN" w:bidi="hi-IN"/>
              </w:rPr>
              <w:t>Demora en la legalización del contrato por parte del CONTRATISTA. Riesgo que asume el contratista</w:t>
            </w:r>
          </w:p>
        </w:tc>
        <w:tc>
          <w:tcPr>
            <w:tcW w:w="448" w:type="dxa"/>
            <w:shd w:val="clear" w:color="auto" w:fill="auto"/>
          </w:tcPr>
          <w:p w14:paraId="0D1411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55EE7E0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3965F28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4" w:type="dxa"/>
            <w:shd w:val="clear" w:color="auto" w:fill="auto"/>
          </w:tcPr>
          <w:p w14:paraId="171584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F7E697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1FA1674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0E04EA1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D95242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990E6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3C9CF8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02BF0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0BDB76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2931C2F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5120BD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05D568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7CE4D7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A0D5E85" w14:textId="77777777" w:rsidTr="00BF12C1">
        <w:trPr>
          <w:cantSplit/>
          <w:trHeight w:val="1134"/>
        </w:trPr>
        <w:tc>
          <w:tcPr>
            <w:tcW w:w="421" w:type="dxa"/>
            <w:shd w:val="clear" w:color="auto" w:fill="auto"/>
          </w:tcPr>
          <w:p w14:paraId="64A0ACB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7</w:t>
            </w:r>
          </w:p>
        </w:tc>
        <w:tc>
          <w:tcPr>
            <w:tcW w:w="421" w:type="dxa"/>
            <w:shd w:val="clear" w:color="auto" w:fill="auto"/>
          </w:tcPr>
          <w:p w14:paraId="030E101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D8B292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EB59F5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8AFDBD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Riesgo social o político</w:t>
            </w:r>
          </w:p>
        </w:tc>
        <w:tc>
          <w:tcPr>
            <w:tcW w:w="1435" w:type="dxa"/>
            <w:shd w:val="clear" w:color="auto" w:fill="auto"/>
          </w:tcPr>
          <w:p w14:paraId="1D90FF1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7961EB">
              <w:rPr>
                <w:rFonts w:ascii="Arial" w:eastAsia="SimSun" w:hAnsi="Arial" w:cs="Arial"/>
                <w:kern w:val="3"/>
                <w:sz w:val="16"/>
                <w:szCs w:val="20"/>
                <w:lang w:eastAsia="zh-CN" w:bidi="hi-IN"/>
              </w:rPr>
              <w:t>Paros y/o problemas de Orden Público que se puedan presentar por transportadores de carga y/o pasajeros. Riesgo que asume el INVIAS y el CONTRATISTA</w:t>
            </w:r>
          </w:p>
        </w:tc>
        <w:tc>
          <w:tcPr>
            <w:tcW w:w="448" w:type="dxa"/>
            <w:shd w:val="clear" w:color="auto" w:fill="auto"/>
          </w:tcPr>
          <w:p w14:paraId="5E974CE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6D6F210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5B53BA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3620E53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2707272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RIESGO MEDIO </w:t>
            </w:r>
          </w:p>
        </w:tc>
        <w:tc>
          <w:tcPr>
            <w:tcW w:w="1339" w:type="dxa"/>
            <w:shd w:val="clear" w:color="auto" w:fill="auto"/>
          </w:tcPr>
          <w:p w14:paraId="5875124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 25% CONTRATISTA 75%</w:t>
            </w:r>
          </w:p>
        </w:tc>
        <w:tc>
          <w:tcPr>
            <w:tcW w:w="543" w:type="dxa"/>
            <w:shd w:val="clear" w:color="auto" w:fill="auto"/>
          </w:tcPr>
          <w:p w14:paraId="1E4A055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8BC415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2257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59506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133CF0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9A1B7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21D12A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169E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428CFF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CBDD7D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041CE407" w14:textId="77777777" w:rsidTr="00BF12C1">
        <w:trPr>
          <w:cantSplit/>
          <w:trHeight w:val="1134"/>
        </w:trPr>
        <w:tc>
          <w:tcPr>
            <w:tcW w:w="421" w:type="dxa"/>
            <w:shd w:val="clear" w:color="auto" w:fill="auto"/>
          </w:tcPr>
          <w:p w14:paraId="3DEFD5E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421" w:type="dxa"/>
            <w:shd w:val="clear" w:color="auto" w:fill="auto"/>
          </w:tcPr>
          <w:p w14:paraId="34ECF01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00C40DB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7C4EA0AF"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6F7741C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operacional</w:t>
            </w:r>
          </w:p>
        </w:tc>
        <w:tc>
          <w:tcPr>
            <w:tcW w:w="1435" w:type="dxa"/>
            <w:shd w:val="clear" w:color="auto" w:fill="auto"/>
          </w:tcPr>
          <w:p w14:paraId="4D242DF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Problemas presentados entre asociados de Microempresas, socios y/o consorciados y/o integrantes de uniones temporales y/o familiares de las empresas y/o firmas que conforman la FIRMA CONTRATISTA y que contratan con INVIAS. Riesgo que asume el CONTRATISTA.</w:t>
            </w:r>
          </w:p>
        </w:tc>
        <w:tc>
          <w:tcPr>
            <w:tcW w:w="448" w:type="dxa"/>
            <w:shd w:val="clear" w:color="auto" w:fill="auto"/>
          </w:tcPr>
          <w:p w14:paraId="0004242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9EB30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0EB16E6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7E5586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447E6D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412FECF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6A24C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B4B2D8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E1FCDA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2209B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5DC71B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503AC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90E27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0F19377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5729E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293F7FF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B28840E" w14:textId="77777777" w:rsidTr="00BF12C1">
        <w:trPr>
          <w:cantSplit/>
          <w:trHeight w:val="1134"/>
        </w:trPr>
        <w:tc>
          <w:tcPr>
            <w:tcW w:w="421" w:type="dxa"/>
            <w:shd w:val="clear" w:color="auto" w:fill="auto"/>
          </w:tcPr>
          <w:p w14:paraId="636483F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9</w:t>
            </w:r>
          </w:p>
        </w:tc>
        <w:tc>
          <w:tcPr>
            <w:tcW w:w="421" w:type="dxa"/>
            <w:shd w:val="clear" w:color="auto" w:fill="auto"/>
          </w:tcPr>
          <w:p w14:paraId="2228312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AF2F1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551BFC4E"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2DAB20F7"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Riesgo financiero</w:t>
            </w:r>
          </w:p>
        </w:tc>
        <w:tc>
          <w:tcPr>
            <w:tcW w:w="1435" w:type="dxa"/>
            <w:shd w:val="clear" w:color="auto" w:fill="auto"/>
          </w:tcPr>
          <w:p w14:paraId="191C7B6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303C97">
              <w:rPr>
                <w:rFonts w:ascii="Arial" w:eastAsia="SimSun" w:hAnsi="Arial" w:cs="Arial"/>
                <w:kern w:val="3"/>
                <w:sz w:val="16"/>
                <w:szCs w:val="20"/>
                <w:lang w:eastAsia="zh-CN" w:bidi="hi-IN"/>
              </w:rPr>
              <w:t>Demora en la radicación (en la ventanilla de radicación de cuentas de la Subdirección Financiera) oportuna por parte del  CONTRATISTA de las actas (correctamente diligenciadas y firmadas) y/o cuentas. Riesgo que asume el CONTRATISTA</w:t>
            </w:r>
          </w:p>
        </w:tc>
        <w:tc>
          <w:tcPr>
            <w:tcW w:w="448" w:type="dxa"/>
            <w:shd w:val="clear" w:color="auto" w:fill="auto"/>
          </w:tcPr>
          <w:p w14:paraId="74B6BF7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1DBEF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D86A99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2242B3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4099D8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92227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5E4008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9975D6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EE727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4E77AC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5F5E7F8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74F70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DA288BE"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6F64D07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99D5CB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74FA8E0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DBE33FA" w14:textId="77777777" w:rsidTr="00BF12C1">
        <w:trPr>
          <w:cantSplit/>
          <w:trHeight w:val="1134"/>
        </w:trPr>
        <w:tc>
          <w:tcPr>
            <w:tcW w:w="421" w:type="dxa"/>
            <w:shd w:val="clear" w:color="auto" w:fill="auto"/>
          </w:tcPr>
          <w:p w14:paraId="6C5EE65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10</w:t>
            </w:r>
          </w:p>
        </w:tc>
        <w:tc>
          <w:tcPr>
            <w:tcW w:w="421" w:type="dxa"/>
            <w:shd w:val="clear" w:color="auto" w:fill="auto"/>
          </w:tcPr>
          <w:p w14:paraId="0FB6E4C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767486F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F6B245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C5E4A2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4850136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Errores cometidos por el CONTRATISTA en la elaboración de las actas y/o cuentas que ocasionan demoras en su radicación. Riesgo que asume el CONTRATISTA</w:t>
            </w:r>
          </w:p>
        </w:tc>
        <w:tc>
          <w:tcPr>
            <w:tcW w:w="448" w:type="dxa"/>
            <w:shd w:val="clear" w:color="auto" w:fill="auto"/>
          </w:tcPr>
          <w:p w14:paraId="4304869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FAD4A7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560DB23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667B71D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28CA972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7F1665E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95101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3A036F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46A678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41122A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70F3E63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D343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5EE323E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4AE6736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05E6C9C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1D7C57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67A63C7" w14:textId="77777777" w:rsidTr="00BF12C1">
        <w:trPr>
          <w:cantSplit/>
          <w:trHeight w:val="1134"/>
        </w:trPr>
        <w:tc>
          <w:tcPr>
            <w:tcW w:w="421" w:type="dxa"/>
            <w:shd w:val="clear" w:color="auto" w:fill="auto"/>
          </w:tcPr>
          <w:p w14:paraId="14DCD2F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11</w:t>
            </w:r>
          </w:p>
        </w:tc>
        <w:tc>
          <w:tcPr>
            <w:tcW w:w="421" w:type="dxa"/>
            <w:shd w:val="clear" w:color="auto" w:fill="auto"/>
          </w:tcPr>
          <w:p w14:paraId="76953F3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56A70EC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61EDB9A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7F76C8A"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Riesgo general</w:t>
            </w:r>
          </w:p>
        </w:tc>
        <w:tc>
          <w:tcPr>
            <w:tcW w:w="1435" w:type="dxa"/>
            <w:shd w:val="clear" w:color="auto" w:fill="auto"/>
          </w:tcPr>
          <w:p w14:paraId="6A0BF18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E2AF0">
              <w:rPr>
                <w:rFonts w:ascii="Arial" w:eastAsia="SimSun" w:hAnsi="Arial" w:cs="Arial"/>
                <w:kern w:val="3"/>
                <w:sz w:val="16"/>
                <w:szCs w:val="20"/>
                <w:lang w:eastAsia="zh-CN" w:bidi="hi-IN"/>
              </w:rPr>
              <w:t xml:space="preserve">Accidentalidad presentada por la deficiente señalización preventiva ubicada en sitios críticos y en las zonas  donde </w:t>
            </w:r>
            <w:proofErr w:type="spellStart"/>
            <w:r w:rsidRPr="00DE2AF0">
              <w:rPr>
                <w:rFonts w:ascii="Arial" w:eastAsia="SimSun" w:hAnsi="Arial" w:cs="Arial"/>
                <w:kern w:val="3"/>
                <w:sz w:val="16"/>
                <w:szCs w:val="20"/>
                <w:lang w:eastAsia="zh-CN" w:bidi="hi-IN"/>
              </w:rPr>
              <w:t>este</w:t>
            </w:r>
            <w:proofErr w:type="spellEnd"/>
            <w:r w:rsidRPr="00DE2AF0">
              <w:rPr>
                <w:rFonts w:ascii="Arial" w:eastAsia="SimSun" w:hAnsi="Arial" w:cs="Arial"/>
                <w:kern w:val="3"/>
                <w:sz w:val="16"/>
                <w:szCs w:val="20"/>
                <w:lang w:eastAsia="zh-CN" w:bidi="hi-IN"/>
              </w:rPr>
              <w:t xml:space="preserve"> realizando los trabajos EL CONTRATISTA, equipos de comunicación y demás señalización necesaria, seguridad industrial, y elementos de protección personal, entre otras,  por parte del CONTRATISTA DE OBRA. Riesgo que asume el CONTRATISTA</w:t>
            </w:r>
          </w:p>
        </w:tc>
        <w:tc>
          <w:tcPr>
            <w:tcW w:w="448" w:type="dxa"/>
            <w:shd w:val="clear" w:color="auto" w:fill="auto"/>
          </w:tcPr>
          <w:p w14:paraId="673DAA9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43C59DC6"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5" w:type="dxa"/>
            <w:shd w:val="clear" w:color="auto" w:fill="auto"/>
          </w:tcPr>
          <w:p w14:paraId="0F427CA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04B44C8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8</w:t>
            </w:r>
          </w:p>
        </w:tc>
        <w:tc>
          <w:tcPr>
            <w:tcW w:w="1008" w:type="dxa"/>
            <w:shd w:val="clear" w:color="auto" w:fill="auto"/>
          </w:tcPr>
          <w:p w14:paraId="13E8FD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EXTREMO</w:t>
            </w:r>
          </w:p>
        </w:tc>
        <w:tc>
          <w:tcPr>
            <w:tcW w:w="1339" w:type="dxa"/>
            <w:shd w:val="clear" w:color="auto" w:fill="auto"/>
          </w:tcPr>
          <w:p w14:paraId="6C3F1C6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4C30893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D0D8E1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C1143F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D69A11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2854DB7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A738F30"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1E48F80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7061263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A0348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4B08AA4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65262269" w14:textId="77777777" w:rsidTr="00BF12C1">
        <w:trPr>
          <w:cantSplit/>
          <w:trHeight w:val="1134"/>
        </w:trPr>
        <w:tc>
          <w:tcPr>
            <w:tcW w:w="421" w:type="dxa"/>
            <w:shd w:val="clear" w:color="auto" w:fill="auto"/>
          </w:tcPr>
          <w:p w14:paraId="4052A34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12</w:t>
            </w:r>
          </w:p>
        </w:tc>
        <w:tc>
          <w:tcPr>
            <w:tcW w:w="421" w:type="dxa"/>
            <w:shd w:val="clear" w:color="auto" w:fill="auto"/>
          </w:tcPr>
          <w:p w14:paraId="3D4EE0C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w:t>
            </w:r>
          </w:p>
        </w:tc>
        <w:tc>
          <w:tcPr>
            <w:tcW w:w="422" w:type="dxa"/>
            <w:shd w:val="clear" w:color="auto" w:fill="auto"/>
          </w:tcPr>
          <w:p w14:paraId="1611905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3ADB9BA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5EFDA3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Riesgo General</w:t>
            </w:r>
          </w:p>
        </w:tc>
        <w:tc>
          <w:tcPr>
            <w:tcW w:w="1435" w:type="dxa"/>
            <w:shd w:val="clear" w:color="auto" w:fill="auto"/>
          </w:tcPr>
          <w:p w14:paraId="2D92794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62772">
              <w:rPr>
                <w:rFonts w:ascii="Arial" w:eastAsia="SimSun" w:hAnsi="Arial" w:cs="Arial"/>
                <w:kern w:val="3"/>
                <w:sz w:val="16"/>
                <w:szCs w:val="20"/>
                <w:lang w:eastAsia="zh-CN" w:bidi="hi-IN"/>
              </w:rPr>
              <w:t xml:space="preserve">Terminación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modificación del contrato para el mantenimiento, por entrada en vigor de un contrato de concesión </w:t>
            </w:r>
            <w:proofErr w:type="spellStart"/>
            <w:r w:rsidRPr="00D62772">
              <w:rPr>
                <w:rFonts w:ascii="Arial" w:eastAsia="SimSun" w:hAnsi="Arial" w:cs="Arial"/>
                <w:kern w:val="3"/>
                <w:sz w:val="16"/>
                <w:szCs w:val="20"/>
                <w:lang w:eastAsia="zh-CN" w:bidi="hi-IN"/>
              </w:rPr>
              <w:t>ó</w:t>
            </w:r>
            <w:proofErr w:type="spellEnd"/>
            <w:r w:rsidRPr="00D62772">
              <w:rPr>
                <w:rFonts w:ascii="Arial" w:eastAsia="SimSun" w:hAnsi="Arial" w:cs="Arial"/>
                <w:kern w:val="3"/>
                <w:sz w:val="16"/>
                <w:szCs w:val="20"/>
                <w:lang w:eastAsia="zh-CN" w:bidi="hi-IN"/>
              </w:rPr>
              <w:t xml:space="preserve"> de mantenimiento integral y/o la transferencia o entrega  de la vía a otra Entidad. Riesgo que asume el CONTRATISTA</w:t>
            </w:r>
          </w:p>
        </w:tc>
        <w:tc>
          <w:tcPr>
            <w:tcW w:w="448" w:type="dxa"/>
            <w:shd w:val="clear" w:color="auto" w:fill="auto"/>
          </w:tcPr>
          <w:p w14:paraId="674416D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A2E670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2133D868"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5D01C53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1008" w:type="dxa"/>
            <w:shd w:val="clear" w:color="auto" w:fill="auto"/>
          </w:tcPr>
          <w:p w14:paraId="27F82BC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76B4EFE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16642CA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C113A3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BF31104"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6E0B9C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64382F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703699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48F67A0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32B3626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26D24AA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6C85D4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1A5A2BFB" w14:textId="77777777" w:rsidTr="00BF12C1">
        <w:trPr>
          <w:cantSplit/>
          <w:trHeight w:val="1134"/>
        </w:trPr>
        <w:tc>
          <w:tcPr>
            <w:tcW w:w="421" w:type="dxa"/>
            <w:shd w:val="clear" w:color="auto" w:fill="auto"/>
          </w:tcPr>
          <w:p w14:paraId="03030ED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13</w:t>
            </w:r>
          </w:p>
        </w:tc>
        <w:tc>
          <w:tcPr>
            <w:tcW w:w="421" w:type="dxa"/>
            <w:shd w:val="clear" w:color="auto" w:fill="auto"/>
          </w:tcPr>
          <w:p w14:paraId="275DB2F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50A670B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1C3DF611"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1015B3C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financiero</w:t>
            </w:r>
          </w:p>
        </w:tc>
        <w:tc>
          <w:tcPr>
            <w:tcW w:w="1435" w:type="dxa"/>
            <w:shd w:val="clear" w:color="auto" w:fill="auto"/>
          </w:tcPr>
          <w:p w14:paraId="2B9DDB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 xml:space="preserve">Insolvencia del </w:t>
            </w:r>
            <w:proofErr w:type="gramStart"/>
            <w:r w:rsidRPr="00DB6072">
              <w:rPr>
                <w:rFonts w:ascii="Arial" w:eastAsia="SimSun" w:hAnsi="Arial" w:cs="Arial"/>
                <w:kern w:val="3"/>
                <w:sz w:val="16"/>
                <w:szCs w:val="20"/>
                <w:lang w:eastAsia="zh-CN" w:bidi="hi-IN"/>
              </w:rPr>
              <w:t>CONTRATISTA .</w:t>
            </w:r>
            <w:proofErr w:type="gramEnd"/>
            <w:r w:rsidRPr="00DB6072">
              <w:rPr>
                <w:rFonts w:ascii="Arial" w:eastAsia="SimSun" w:hAnsi="Arial" w:cs="Arial"/>
                <w:kern w:val="3"/>
                <w:sz w:val="16"/>
                <w:szCs w:val="20"/>
                <w:lang w:eastAsia="zh-CN" w:bidi="hi-IN"/>
              </w:rPr>
              <w:t xml:space="preserve"> Riesgo que asume el CONTRATISTA</w:t>
            </w:r>
          </w:p>
        </w:tc>
        <w:tc>
          <w:tcPr>
            <w:tcW w:w="448" w:type="dxa"/>
            <w:shd w:val="clear" w:color="auto" w:fill="auto"/>
          </w:tcPr>
          <w:p w14:paraId="61EEA5BD"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1B5933A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482062E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4" w:type="dxa"/>
            <w:shd w:val="clear" w:color="auto" w:fill="auto"/>
          </w:tcPr>
          <w:p w14:paraId="1D7EA60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1008" w:type="dxa"/>
            <w:shd w:val="clear" w:color="auto" w:fill="auto"/>
          </w:tcPr>
          <w:p w14:paraId="1EB38B1F"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ALTO</w:t>
            </w:r>
          </w:p>
        </w:tc>
        <w:tc>
          <w:tcPr>
            <w:tcW w:w="1339" w:type="dxa"/>
            <w:shd w:val="clear" w:color="auto" w:fill="auto"/>
          </w:tcPr>
          <w:p w14:paraId="68ECE96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63C3A0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2FD177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227A0A2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EE4061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4CCA28E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28FCE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1E49C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A5EC29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05B7B29"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090B41B"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2ED2A8CC" w14:textId="77777777" w:rsidTr="00BF12C1">
        <w:trPr>
          <w:cantSplit/>
          <w:trHeight w:val="1134"/>
        </w:trPr>
        <w:tc>
          <w:tcPr>
            <w:tcW w:w="421" w:type="dxa"/>
            <w:shd w:val="clear" w:color="auto" w:fill="auto"/>
          </w:tcPr>
          <w:p w14:paraId="1055EA31"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14</w:t>
            </w:r>
          </w:p>
        </w:tc>
        <w:tc>
          <w:tcPr>
            <w:tcW w:w="421" w:type="dxa"/>
            <w:shd w:val="clear" w:color="auto" w:fill="auto"/>
          </w:tcPr>
          <w:p w14:paraId="4B06218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45404B8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4E9F1319"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47AC8CBC"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de la naturaleza</w:t>
            </w:r>
          </w:p>
        </w:tc>
        <w:tc>
          <w:tcPr>
            <w:tcW w:w="1435" w:type="dxa"/>
            <w:shd w:val="clear" w:color="auto" w:fill="auto"/>
          </w:tcPr>
          <w:p w14:paraId="419FDC4B"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Terremotos, huracanes, tornados, volcanes, inundaciones marinas, inundaciones fluviales, deslizamientos exorbitantes, tsunamis, vientos exorbitantes, incendios no provocados y/o demás fuerzas de la naturaleza. Riesgo que asume el INVIAS</w:t>
            </w:r>
          </w:p>
        </w:tc>
        <w:tc>
          <w:tcPr>
            <w:tcW w:w="448" w:type="dxa"/>
            <w:shd w:val="clear" w:color="auto" w:fill="auto"/>
          </w:tcPr>
          <w:p w14:paraId="2CD2F47A"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33F9ADE2"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5" w:type="dxa"/>
            <w:shd w:val="clear" w:color="auto" w:fill="auto"/>
          </w:tcPr>
          <w:p w14:paraId="0C908E7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20B6637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1008" w:type="dxa"/>
            <w:shd w:val="clear" w:color="auto" w:fill="auto"/>
          </w:tcPr>
          <w:p w14:paraId="1013A0B5"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MEDIO</w:t>
            </w:r>
          </w:p>
        </w:tc>
        <w:tc>
          <w:tcPr>
            <w:tcW w:w="1339" w:type="dxa"/>
            <w:shd w:val="clear" w:color="auto" w:fill="auto"/>
          </w:tcPr>
          <w:p w14:paraId="5C09019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INVIAS</w:t>
            </w:r>
          </w:p>
        </w:tc>
        <w:tc>
          <w:tcPr>
            <w:tcW w:w="543" w:type="dxa"/>
            <w:shd w:val="clear" w:color="auto" w:fill="auto"/>
          </w:tcPr>
          <w:p w14:paraId="608FD74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0942803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73D3A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630125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3E10A4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1F89D6AA"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05FD077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5714DDB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568A7BC3"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19BAD038"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r w:rsidR="00BF12C1" w:rsidRPr="004D7C35" w14:paraId="47C0B461" w14:textId="77777777" w:rsidTr="00BF12C1">
        <w:trPr>
          <w:cantSplit/>
          <w:trHeight w:val="1134"/>
        </w:trPr>
        <w:tc>
          <w:tcPr>
            <w:tcW w:w="421" w:type="dxa"/>
            <w:shd w:val="clear" w:color="auto" w:fill="auto"/>
          </w:tcPr>
          <w:p w14:paraId="62A2534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15</w:t>
            </w:r>
          </w:p>
        </w:tc>
        <w:tc>
          <w:tcPr>
            <w:tcW w:w="421" w:type="dxa"/>
            <w:shd w:val="clear" w:color="auto" w:fill="auto"/>
          </w:tcPr>
          <w:p w14:paraId="0861BB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w:t>
            </w:r>
          </w:p>
        </w:tc>
        <w:tc>
          <w:tcPr>
            <w:tcW w:w="422" w:type="dxa"/>
            <w:shd w:val="clear" w:color="auto" w:fill="auto"/>
          </w:tcPr>
          <w:p w14:paraId="285CA557"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858" w:type="dxa"/>
            <w:shd w:val="clear" w:color="auto" w:fill="auto"/>
            <w:textDirection w:val="btLr"/>
          </w:tcPr>
          <w:p w14:paraId="053FBEF2"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CONTRACTUAL</w:t>
            </w:r>
          </w:p>
        </w:tc>
        <w:tc>
          <w:tcPr>
            <w:tcW w:w="598" w:type="dxa"/>
            <w:shd w:val="clear" w:color="auto" w:fill="auto"/>
            <w:textDirection w:val="btLr"/>
          </w:tcPr>
          <w:p w14:paraId="798CF033" w14:textId="77777777" w:rsidR="00BF12C1" w:rsidRPr="00A24592" w:rsidRDefault="00BF12C1" w:rsidP="00A866CE">
            <w:pPr>
              <w:spacing w:after="100" w:afterAutospacing="1"/>
              <w:ind w:left="113" w:right="113"/>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Riesgo General</w:t>
            </w:r>
          </w:p>
        </w:tc>
        <w:tc>
          <w:tcPr>
            <w:tcW w:w="1435" w:type="dxa"/>
            <w:shd w:val="clear" w:color="auto" w:fill="auto"/>
          </w:tcPr>
          <w:p w14:paraId="2EE7CDC3"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sidRPr="00DB6072">
              <w:rPr>
                <w:rFonts w:ascii="Arial" w:eastAsia="SimSun" w:hAnsi="Arial" w:cs="Arial"/>
                <w:kern w:val="3"/>
                <w:sz w:val="16"/>
                <w:szCs w:val="20"/>
                <w:lang w:eastAsia="zh-CN" w:bidi="hi-IN"/>
              </w:rPr>
              <w:t>Accidentes del transportador que lleve insumos y/o elementos y/o materiales y/o personal del CONTRATISTA. Riesgo que asume el CONTRATISTA</w:t>
            </w:r>
          </w:p>
        </w:tc>
        <w:tc>
          <w:tcPr>
            <w:tcW w:w="448" w:type="dxa"/>
            <w:shd w:val="clear" w:color="auto" w:fill="auto"/>
          </w:tcPr>
          <w:p w14:paraId="0DCD87C9"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p>
        </w:tc>
        <w:tc>
          <w:tcPr>
            <w:tcW w:w="414" w:type="dxa"/>
            <w:shd w:val="clear" w:color="auto" w:fill="auto"/>
          </w:tcPr>
          <w:p w14:paraId="20DEEA9C"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5" w:type="dxa"/>
            <w:shd w:val="clear" w:color="auto" w:fill="auto"/>
          </w:tcPr>
          <w:p w14:paraId="22DB2C2E"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4" w:type="dxa"/>
            <w:shd w:val="clear" w:color="auto" w:fill="auto"/>
          </w:tcPr>
          <w:p w14:paraId="4D3A9B74"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1008" w:type="dxa"/>
            <w:shd w:val="clear" w:color="auto" w:fill="auto"/>
          </w:tcPr>
          <w:p w14:paraId="5C6A9A90" w14:textId="77777777" w:rsidR="00BF12C1" w:rsidRPr="00A24592" w:rsidRDefault="00BF12C1" w:rsidP="00A866CE">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RIESGO BAJO</w:t>
            </w:r>
          </w:p>
        </w:tc>
        <w:tc>
          <w:tcPr>
            <w:tcW w:w="1339" w:type="dxa"/>
            <w:shd w:val="clear" w:color="auto" w:fill="auto"/>
          </w:tcPr>
          <w:p w14:paraId="00B875F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r>
              <w:rPr>
                <w:rFonts w:ascii="Arial" w:eastAsia="SimSun" w:hAnsi="Arial" w:cs="Arial"/>
                <w:b/>
                <w:kern w:val="3"/>
                <w:sz w:val="16"/>
                <w:szCs w:val="20"/>
                <w:lang w:eastAsia="zh-CN" w:bidi="hi-IN"/>
              </w:rPr>
              <w:t>CONTRATISTA</w:t>
            </w:r>
          </w:p>
        </w:tc>
        <w:tc>
          <w:tcPr>
            <w:tcW w:w="543" w:type="dxa"/>
            <w:shd w:val="clear" w:color="auto" w:fill="auto"/>
          </w:tcPr>
          <w:p w14:paraId="3F92043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5FB834AD"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8C9CAD5"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30771C21"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2" w:type="dxa"/>
            <w:shd w:val="clear" w:color="auto" w:fill="auto"/>
          </w:tcPr>
          <w:p w14:paraId="647EF427"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11" w:type="dxa"/>
            <w:shd w:val="clear" w:color="auto" w:fill="auto"/>
          </w:tcPr>
          <w:p w14:paraId="75697806"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8" w:type="dxa"/>
            <w:shd w:val="clear" w:color="auto" w:fill="auto"/>
          </w:tcPr>
          <w:p w14:paraId="6A2E61A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56" w:type="dxa"/>
            <w:shd w:val="clear" w:color="auto" w:fill="auto"/>
          </w:tcPr>
          <w:p w14:paraId="106658CF"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445" w:type="dxa"/>
            <w:shd w:val="clear" w:color="auto" w:fill="auto"/>
          </w:tcPr>
          <w:p w14:paraId="4169B5B2"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c>
          <w:tcPr>
            <w:tcW w:w="600" w:type="dxa"/>
            <w:shd w:val="clear" w:color="auto" w:fill="auto"/>
          </w:tcPr>
          <w:p w14:paraId="0F6C45DC" w14:textId="77777777" w:rsidR="00BF12C1" w:rsidRPr="00A24592" w:rsidRDefault="00BF12C1" w:rsidP="00A866CE">
            <w:pPr>
              <w:spacing w:after="100" w:afterAutospacing="1"/>
              <w:jc w:val="center"/>
              <w:rPr>
                <w:rFonts w:ascii="Arial" w:eastAsia="SimSun" w:hAnsi="Arial" w:cs="Arial"/>
                <w:b/>
                <w:kern w:val="3"/>
                <w:sz w:val="16"/>
                <w:szCs w:val="20"/>
                <w:lang w:eastAsia="zh-CN" w:bidi="hi-IN"/>
              </w:rPr>
            </w:pPr>
          </w:p>
        </w:tc>
      </w:tr>
    </w:tbl>
    <w:p w14:paraId="46D4D490" w14:textId="77777777" w:rsidR="00BF12C1" w:rsidRPr="00815604" w:rsidRDefault="00BF12C1" w:rsidP="00BF12C1">
      <w:pPr>
        <w:spacing w:after="100" w:afterAutospacing="1"/>
        <w:jc w:val="center"/>
        <w:rPr>
          <w:rFonts w:ascii="Arial" w:eastAsia="SimSun" w:hAnsi="Arial" w:cs="Arial"/>
          <w:kern w:val="3"/>
          <w:sz w:val="20"/>
          <w:szCs w:val="20"/>
          <w:lang w:eastAsia="zh-CN" w:bidi="hi-IN"/>
        </w:rPr>
      </w:pPr>
    </w:p>
    <w:p w14:paraId="6DEB84A8" w14:textId="77777777" w:rsidR="00BF12C1" w:rsidRDefault="00BF12C1" w:rsidP="00BF12C1">
      <w:pPr>
        <w:spacing w:after="100" w:afterAutospacing="1"/>
        <w:rPr>
          <w:rFonts w:ascii="Arial" w:eastAsia="SimSun" w:hAnsi="Arial" w:cs="Arial"/>
          <w:kern w:val="3"/>
          <w:sz w:val="20"/>
          <w:szCs w:val="20"/>
          <w:lang w:eastAsia="zh-CN" w:bidi="hi-IN"/>
        </w:rPr>
      </w:pPr>
    </w:p>
    <w:p w14:paraId="7F4D13E5" w14:textId="77777777" w:rsidR="00BF12C1" w:rsidRDefault="00BF12C1" w:rsidP="00BF12C1">
      <w:pPr>
        <w:spacing w:after="100" w:afterAutospacing="1"/>
        <w:rPr>
          <w:rFonts w:ascii="Arial" w:eastAsia="SimSun" w:hAnsi="Arial" w:cs="Arial"/>
          <w:kern w:val="3"/>
          <w:sz w:val="20"/>
          <w:szCs w:val="20"/>
          <w:lang w:eastAsia="zh-CN" w:bidi="hi-IN"/>
        </w:rPr>
      </w:pPr>
    </w:p>
    <w:p w14:paraId="4B012390" w14:textId="77777777" w:rsidR="00BF12C1" w:rsidRDefault="00BF12C1" w:rsidP="00BF12C1">
      <w:pPr>
        <w:spacing w:after="100" w:afterAutospacing="1"/>
        <w:rPr>
          <w:rFonts w:ascii="Arial" w:eastAsia="SimSun" w:hAnsi="Arial" w:cs="Arial"/>
          <w:kern w:val="3"/>
          <w:sz w:val="20"/>
          <w:szCs w:val="20"/>
          <w:lang w:eastAsia="zh-CN" w:bidi="hi-IN"/>
        </w:rPr>
      </w:pPr>
      <w:r w:rsidRPr="005E1E27">
        <w:rPr>
          <w:noProof/>
          <w:lang w:eastAsia="es-CO"/>
        </w:rPr>
        <w:drawing>
          <wp:inline distT="0" distB="0" distL="0" distR="0" wp14:anchorId="53609BF7" wp14:editId="3C4C406D">
            <wp:extent cx="8618220" cy="1654752"/>
            <wp:effectExtent l="0" t="0" r="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618220" cy="1654752"/>
                    </a:xfrm>
                    <a:prstGeom prst="rect">
                      <a:avLst/>
                    </a:prstGeom>
                    <a:noFill/>
                    <a:ln>
                      <a:noFill/>
                    </a:ln>
                  </pic:spPr>
                </pic:pic>
              </a:graphicData>
            </a:graphic>
          </wp:inline>
        </w:drawing>
      </w:r>
    </w:p>
    <w:p w14:paraId="05BE3065" w14:textId="77777777" w:rsidR="00BF12C1" w:rsidRDefault="00BF12C1" w:rsidP="00BF12C1">
      <w:pPr>
        <w:spacing w:after="100" w:afterAutospacing="1"/>
        <w:rPr>
          <w:rFonts w:ascii="Arial" w:eastAsia="SimSun" w:hAnsi="Arial" w:cs="Arial"/>
          <w:kern w:val="3"/>
          <w:sz w:val="20"/>
          <w:szCs w:val="20"/>
          <w:lang w:eastAsia="zh-CN" w:bidi="hi-IN"/>
        </w:rPr>
      </w:pPr>
    </w:p>
    <w:p w14:paraId="6C534770" w14:textId="77777777" w:rsidR="00BF12C1" w:rsidRDefault="00BF12C1" w:rsidP="00BF12C1">
      <w:pPr>
        <w:spacing w:after="100" w:afterAutospacing="1"/>
        <w:rPr>
          <w:rFonts w:ascii="Arial" w:eastAsia="SimSun" w:hAnsi="Arial" w:cs="Arial"/>
          <w:kern w:val="3"/>
          <w:sz w:val="20"/>
          <w:szCs w:val="20"/>
          <w:lang w:eastAsia="zh-CN" w:bidi="hi-IN"/>
        </w:rPr>
      </w:pPr>
    </w:p>
    <w:p w14:paraId="51E88F18" w14:textId="77777777" w:rsidR="00BF12C1" w:rsidRDefault="00BF12C1" w:rsidP="00BF12C1">
      <w:pPr>
        <w:spacing w:after="100" w:afterAutospacing="1"/>
        <w:rPr>
          <w:rFonts w:ascii="Arial" w:eastAsia="SimSun" w:hAnsi="Arial" w:cs="Arial"/>
          <w:kern w:val="3"/>
          <w:sz w:val="20"/>
          <w:szCs w:val="20"/>
          <w:lang w:eastAsia="zh-CN" w:bidi="hi-IN"/>
        </w:rPr>
      </w:pPr>
    </w:p>
    <w:p w14:paraId="61C66BDA" w14:textId="77777777" w:rsidR="00BF12C1" w:rsidRDefault="00BF12C1" w:rsidP="00BF12C1">
      <w:pPr>
        <w:spacing w:after="100" w:afterAutospacing="1"/>
        <w:rPr>
          <w:rFonts w:ascii="Arial" w:eastAsia="SimSun" w:hAnsi="Arial" w:cs="Arial"/>
          <w:kern w:val="3"/>
          <w:sz w:val="20"/>
          <w:szCs w:val="20"/>
          <w:lang w:eastAsia="zh-CN" w:bidi="hi-IN"/>
        </w:rPr>
        <w:sectPr w:rsidR="00BF12C1" w:rsidSect="008D12E1">
          <w:pgSz w:w="15840" w:h="12240" w:orient="landscape" w:code="1"/>
          <w:pgMar w:top="1304" w:right="1134" w:bottom="1134" w:left="1134" w:header="720" w:footer="720" w:gutter="0"/>
          <w:cols w:space="720"/>
          <w:noEndnote/>
          <w:docGrid w:linePitch="299"/>
        </w:sectPr>
      </w:pPr>
    </w:p>
    <w:p w14:paraId="142465C3" w14:textId="77777777" w:rsidR="00BF12C1" w:rsidRPr="00DD4300" w:rsidRDefault="00BF12C1" w:rsidP="00BF12C1">
      <w:pPr>
        <w:rPr>
          <w:rFonts w:ascii="Arial" w:eastAsia="SimSun" w:hAnsi="Arial" w:cs="Arial"/>
          <w:kern w:val="3"/>
          <w:sz w:val="20"/>
          <w:szCs w:val="20"/>
          <w:lang w:eastAsia="zh-CN" w:bidi="hi-IN"/>
        </w:rPr>
      </w:pPr>
    </w:p>
    <w:p w14:paraId="168C9C57" w14:textId="77777777" w:rsidR="00D70D7B" w:rsidRPr="00FF5BE9" w:rsidRDefault="00D70D7B" w:rsidP="00BF12C1">
      <w:pPr>
        <w:rPr>
          <w:rFonts w:ascii="Arial" w:eastAsia="SimSun" w:hAnsi="Arial" w:cs="Arial"/>
          <w:b/>
          <w:kern w:val="3"/>
          <w:sz w:val="20"/>
          <w:szCs w:val="20"/>
          <w:lang w:eastAsia="zh-CN" w:bidi="hi-IN"/>
        </w:rPr>
      </w:pPr>
    </w:p>
    <w:sectPr w:rsidR="00D70D7B" w:rsidRPr="00FF5BE9" w:rsidSect="00363013">
      <w:headerReference w:type="default" r:id="rId12"/>
      <w:footerReference w:type="default" r:id="rId13"/>
      <w:pgSz w:w="12240" w:h="15840"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1AA24F" w14:textId="77777777" w:rsidR="0076549F" w:rsidRDefault="0076549F" w:rsidP="00091875">
      <w:pPr>
        <w:spacing w:line="240" w:lineRule="auto"/>
      </w:pPr>
      <w:r>
        <w:separator/>
      </w:r>
    </w:p>
  </w:endnote>
  <w:endnote w:type="continuationSeparator" w:id="0">
    <w:p w14:paraId="20080C7C" w14:textId="77777777" w:rsidR="0076549F" w:rsidRDefault="0076549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1CB9C" w14:textId="77777777" w:rsidR="00DF3659" w:rsidRDefault="00DF3659" w:rsidP="00DF3659">
    <w:pPr>
      <w:pStyle w:val="Piedepgina"/>
    </w:pPr>
    <w:r>
      <w:rPr>
        <w:noProof/>
        <w:sz w:val="20"/>
        <w:lang w:eastAsia="es-CO"/>
      </w:rPr>
      <w:drawing>
        <wp:anchor distT="0" distB="0" distL="114300" distR="114300" simplePos="0" relativeHeight="251660288" behindDoc="1" locked="0" layoutInCell="1" allowOverlap="1" wp14:anchorId="5D39A668" wp14:editId="07B1D17B">
          <wp:simplePos x="0" y="0"/>
          <wp:positionH relativeFrom="column">
            <wp:posOffset>4053605</wp:posOffset>
          </wp:positionH>
          <wp:positionV relativeFrom="paragraph">
            <wp:posOffset>87630</wp:posOffset>
          </wp:positionV>
          <wp:extent cx="1437640" cy="761365"/>
          <wp:effectExtent l="0" t="0" r="0" b="635"/>
          <wp:wrapTight wrapText="bothSides">
            <wp:wrapPolygon edited="0">
              <wp:start x="0" y="0"/>
              <wp:lineTo x="0" y="21078"/>
              <wp:lineTo x="21180" y="21078"/>
              <wp:lineTo x="21180" y="0"/>
              <wp:lineTo x="0" y="0"/>
            </wp:wrapPolygon>
          </wp:wrapTight>
          <wp:docPr id="18" name="Imagen 18" descr="Captura de pantalla de un celula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ecna.png"/>
                  <pic:cNvPicPr/>
                </pic:nvPicPr>
                <pic:blipFill>
                  <a:blip r:embed="rId1">
                    <a:extLst>
                      <a:ext uri="{28A0092B-C50C-407E-A947-70E740481C1C}">
                        <a14:useLocalDpi xmlns:a14="http://schemas.microsoft.com/office/drawing/2010/main" val="0"/>
                      </a:ext>
                    </a:extLst>
                  </a:blip>
                  <a:stretch>
                    <a:fillRect/>
                  </a:stretch>
                </pic:blipFill>
                <pic:spPr>
                  <a:xfrm>
                    <a:off x="0" y="0"/>
                    <a:ext cx="1437640" cy="761365"/>
                  </a:xfrm>
                  <a:prstGeom prst="rect">
                    <a:avLst/>
                  </a:prstGeom>
                </pic:spPr>
              </pic:pic>
            </a:graphicData>
          </a:graphic>
          <wp14:sizeRelH relativeFrom="page">
            <wp14:pctWidth>0</wp14:pctWidth>
          </wp14:sizeRelH>
          <wp14:sizeRelV relativeFrom="page">
            <wp14:pctHeight>0</wp14:pctHeight>
          </wp14:sizeRelV>
        </wp:anchor>
      </w:drawing>
    </w:r>
    <w:r>
      <w:rPr>
        <w:b/>
        <w:bCs/>
        <w:noProof/>
        <w:sz w:val="20"/>
        <w:lang w:eastAsia="es-CO"/>
      </w:rPr>
      <w:drawing>
        <wp:anchor distT="0" distB="0" distL="114300" distR="114300" simplePos="0" relativeHeight="251659264" behindDoc="0" locked="0" layoutInCell="1" allowOverlap="1" wp14:anchorId="4BBE0C29" wp14:editId="54E56EBD">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D14EF"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Instituto Nacional de Vías</w:t>
    </w:r>
  </w:p>
  <w:p w14:paraId="2EA8F901" w14:textId="77777777" w:rsidR="00DF3659" w:rsidRPr="001B5AE5" w:rsidRDefault="00DF3659" w:rsidP="00DF3659">
    <w:pPr>
      <w:pStyle w:val="Piedepgina"/>
      <w:tabs>
        <w:tab w:val="left" w:pos="709"/>
      </w:tabs>
      <w:ind w:left="567"/>
      <w:rPr>
        <w:rFonts w:ascii="Arial" w:hAnsi="Arial" w:cs="Arial"/>
        <w:sz w:val="16"/>
        <w:szCs w:val="16"/>
      </w:rPr>
    </w:pPr>
    <w:r w:rsidRPr="001B5AE5">
      <w:rPr>
        <w:rFonts w:ascii="Arial" w:hAnsi="Arial" w:cs="Arial"/>
        <w:sz w:val="16"/>
        <w:szCs w:val="16"/>
      </w:rPr>
      <w:t xml:space="preserve">Carrera 25 G No. 73 B – 90 </w:t>
    </w:r>
  </w:p>
  <w:p w14:paraId="23656F96" w14:textId="77777777" w:rsidR="00DF3659" w:rsidRPr="001B5AE5" w:rsidRDefault="00DF3659" w:rsidP="00DF3659">
    <w:pPr>
      <w:pStyle w:val="Piedepgina"/>
      <w:tabs>
        <w:tab w:val="left" w:pos="709"/>
      </w:tabs>
      <w:ind w:left="567"/>
      <w:rPr>
        <w:rFonts w:ascii="Arial" w:hAnsi="Arial" w:cs="Arial"/>
        <w:sz w:val="16"/>
        <w:szCs w:val="16"/>
        <w:lang w:val="en-US"/>
      </w:rPr>
    </w:pPr>
    <w:r w:rsidRPr="001B5AE5">
      <w:rPr>
        <w:rFonts w:ascii="Arial" w:hAnsi="Arial" w:cs="Arial"/>
        <w:sz w:val="16"/>
        <w:szCs w:val="16"/>
        <w:lang w:val="en-US"/>
      </w:rPr>
      <w:t xml:space="preserve">CE. Central Point. </w:t>
    </w:r>
  </w:p>
  <w:p w14:paraId="05768744" w14:textId="77777777" w:rsidR="00DF3659" w:rsidRPr="001B5AE5" w:rsidRDefault="00DF3659" w:rsidP="00DF3659">
    <w:pPr>
      <w:pStyle w:val="Piedepgina"/>
      <w:tabs>
        <w:tab w:val="left" w:pos="709"/>
      </w:tabs>
      <w:ind w:left="567"/>
      <w:rPr>
        <w:rFonts w:ascii="Arial" w:hAnsi="Arial" w:cs="Arial"/>
        <w:sz w:val="16"/>
        <w:szCs w:val="16"/>
        <w:lang w:val="fr-FR"/>
      </w:rPr>
    </w:pPr>
    <w:r w:rsidRPr="001B5AE5">
      <w:rPr>
        <w:rFonts w:ascii="Arial" w:hAnsi="Arial" w:cs="Arial"/>
        <w:sz w:val="16"/>
        <w:szCs w:val="16"/>
        <w:lang w:val="fr-FR"/>
      </w:rPr>
      <w:t>PBX: 3770600</w:t>
    </w:r>
  </w:p>
  <w:p w14:paraId="2F2FF0E7" w14:textId="77777777" w:rsidR="00DF3659" w:rsidRPr="001B5AE5" w:rsidRDefault="0076549F" w:rsidP="00DF3659">
    <w:pPr>
      <w:pStyle w:val="Piedepgina"/>
      <w:tabs>
        <w:tab w:val="left" w:pos="709"/>
      </w:tabs>
      <w:ind w:left="567"/>
      <w:rPr>
        <w:rFonts w:ascii="Arial" w:hAnsi="Arial" w:cs="Arial"/>
        <w:sz w:val="16"/>
        <w:szCs w:val="16"/>
        <w:lang w:val="fr-FR"/>
      </w:rPr>
    </w:pPr>
    <w:hyperlink r:id="rId3" w:history="1">
      <w:r w:rsidR="00DF3659" w:rsidRPr="001B5AE5">
        <w:rPr>
          <w:rStyle w:val="Hipervnculo"/>
          <w:rFonts w:ascii="Arial" w:hAnsi="Arial" w:cs="Arial"/>
          <w:b/>
          <w:bCs/>
          <w:sz w:val="16"/>
          <w:szCs w:val="16"/>
          <w:lang w:val="fr-FR"/>
        </w:rPr>
        <w:t>http://www.invias.gov.co</w:t>
      </w:r>
    </w:hyperlink>
    <w:r w:rsidR="00DF3659" w:rsidRPr="001B5AE5">
      <w:rPr>
        <w:rFonts w:ascii="Arial" w:hAnsi="Arial" w:cs="Arial"/>
        <w:b/>
        <w:bCs/>
        <w:sz w:val="16"/>
        <w:szCs w:val="16"/>
        <w:lang w:val="fr-FR"/>
      </w:rPr>
      <w:t xml:space="preserve">                        </w:t>
    </w:r>
  </w:p>
  <w:p w14:paraId="21ED77E0" w14:textId="7640C0E6" w:rsidR="00091875" w:rsidRPr="00DF3659" w:rsidRDefault="00091875" w:rsidP="001E33E1">
    <w:pPr>
      <w:pStyle w:val="Piedepgina"/>
      <w:jc w:val="right"/>
      <w:rPr>
        <w:lang w:val="fr-F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74EC5E" w14:textId="77777777" w:rsidR="0076549F" w:rsidRDefault="0076549F" w:rsidP="00091875">
      <w:pPr>
        <w:spacing w:line="240" w:lineRule="auto"/>
      </w:pPr>
      <w:r>
        <w:separator/>
      </w:r>
    </w:p>
  </w:footnote>
  <w:footnote w:type="continuationSeparator" w:id="0">
    <w:p w14:paraId="2B1AC1A4" w14:textId="77777777" w:rsidR="0076549F" w:rsidRDefault="0076549F" w:rsidP="000918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1E0D8" w14:textId="77777777" w:rsidR="00DF3659" w:rsidRPr="00714060" w:rsidRDefault="00DF3659" w:rsidP="00DF3659">
    <w:pPr>
      <w:pStyle w:val="Textoindependiente"/>
      <w:tabs>
        <w:tab w:val="left" w:pos="9072"/>
      </w:tabs>
      <w:ind w:left="284" w:right="338"/>
      <w:jc w:val="center"/>
      <w:rPr>
        <w:rFonts w:ascii="Arial" w:hAnsi="Arial" w:cs="Arial"/>
        <w:sz w:val="22"/>
        <w:szCs w:val="22"/>
      </w:rPr>
    </w:pPr>
    <w:r w:rsidRPr="001B5AE5">
      <w:rPr>
        <w:rStyle w:val="Portada"/>
        <w:rFonts w:ascii="Arial" w:hAnsi="Arial" w:cs="Arial"/>
        <w:noProof/>
        <w:sz w:val="20"/>
        <w:szCs w:val="20"/>
        <w:lang w:val="es-CO" w:eastAsia="es-CO" w:bidi="ar-SA"/>
      </w:rPr>
      <w:drawing>
        <wp:anchor distT="0" distB="0" distL="114300" distR="114300" simplePos="0" relativeHeight="251663360" behindDoc="0" locked="0" layoutInCell="1" allowOverlap="1" wp14:anchorId="06D1F3A5" wp14:editId="3F7CB5FE">
          <wp:simplePos x="0" y="0"/>
          <wp:positionH relativeFrom="column">
            <wp:posOffset>4587684</wp:posOffset>
          </wp:positionH>
          <wp:positionV relativeFrom="page">
            <wp:posOffset>398527</wp:posOffset>
          </wp:positionV>
          <wp:extent cx="2341245" cy="457200"/>
          <wp:effectExtent l="0" t="0" r="1905" b="0"/>
          <wp:wrapSquare wrapText="bothSides"/>
          <wp:docPr id="15" name="Imagen 15" descr="Imagen que contiene dibujo&#10;&#10;Descripción generada automáticamente">
            <a:extLst xmlns:a="http://schemas.openxmlformats.org/drawingml/2006/main">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r w:rsidRPr="001B5AE5">
      <w:rPr>
        <w:rStyle w:val="Portada"/>
        <w:rFonts w:ascii="Arial" w:hAnsi="Arial" w:cs="Arial"/>
        <w:noProof/>
        <w:sz w:val="20"/>
        <w:szCs w:val="20"/>
        <w:lang w:val="es-CO" w:eastAsia="es-CO" w:bidi="ar-SA"/>
      </w:rPr>
      <w:drawing>
        <wp:anchor distT="0" distB="0" distL="114300" distR="114300" simplePos="0" relativeHeight="251662336" behindDoc="0" locked="0" layoutInCell="1" allowOverlap="1" wp14:anchorId="2E5E9BD4" wp14:editId="7E8CE396">
          <wp:simplePos x="0" y="0"/>
          <wp:positionH relativeFrom="column">
            <wp:posOffset>-71261</wp:posOffset>
          </wp:positionH>
          <wp:positionV relativeFrom="paragraph">
            <wp:posOffset>-141605</wp:posOffset>
          </wp:positionV>
          <wp:extent cx="3000375" cy="711200"/>
          <wp:effectExtent l="0" t="0" r="9525" b="0"/>
          <wp:wrapNone/>
          <wp:docPr id="16" name="Imagen 16"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624" r="54082" b="79958"/>
                  <a:stretch/>
                </pic:blipFill>
                <pic:spPr bwMode="auto">
                  <a:xfrm>
                    <a:off x="0" y="0"/>
                    <a:ext cx="3000375" cy="711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2DB83ED" w14:textId="77777777" w:rsidR="00DF3659" w:rsidRPr="001B5AE5" w:rsidRDefault="00DF3659" w:rsidP="00DF3659">
    <w:pPr>
      <w:tabs>
        <w:tab w:val="left" w:pos="9072"/>
      </w:tabs>
      <w:ind w:left="284" w:right="338"/>
      <w:jc w:val="left"/>
      <w:rPr>
        <w:rStyle w:val="Portada"/>
        <w:rFonts w:ascii="Arial" w:hAnsi="Arial" w:cs="Arial"/>
        <w:sz w:val="20"/>
        <w:szCs w:val="20"/>
      </w:rPr>
    </w:pPr>
  </w:p>
  <w:p w14:paraId="4A61038C" w14:textId="77777777" w:rsidR="00DF3659" w:rsidRDefault="00DF3659" w:rsidP="00DF3659">
    <w:pPr>
      <w:pStyle w:val="Encabezado"/>
    </w:pPr>
  </w:p>
  <w:p w14:paraId="2A0CDEE0" w14:textId="3A65701C" w:rsidR="00F8011E" w:rsidRDefault="00F801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C3E53"/>
    <w:rsid w:val="00316FC7"/>
    <w:rsid w:val="003322F8"/>
    <w:rsid w:val="003539BA"/>
    <w:rsid w:val="00363013"/>
    <w:rsid w:val="00374B32"/>
    <w:rsid w:val="00375454"/>
    <w:rsid w:val="00382212"/>
    <w:rsid w:val="0039239D"/>
    <w:rsid w:val="003A1074"/>
    <w:rsid w:val="003B7338"/>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49F"/>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4392"/>
    <w:rsid w:val="00885039"/>
    <w:rsid w:val="0090542B"/>
    <w:rsid w:val="009179E6"/>
    <w:rsid w:val="009321E7"/>
    <w:rsid w:val="0098628A"/>
    <w:rsid w:val="009E77AD"/>
    <w:rsid w:val="00A1437D"/>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BF12C1"/>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3659"/>
    <w:rsid w:val="00DF421A"/>
    <w:rsid w:val="00E56873"/>
    <w:rsid w:val="00F6022F"/>
    <w:rsid w:val="00F63350"/>
    <w:rsid w:val="00F77C04"/>
    <w:rsid w:val="00F8011E"/>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Cuadrculadetablaclara"/>
    <w:uiPriority w:val="99"/>
    <w:rsid w:val="0098628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98628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DF3659"/>
    <w:pPr>
      <w:widowControl w:val="0"/>
      <w:autoSpaceDE w:val="0"/>
      <w:autoSpaceDN w:val="0"/>
      <w:spacing w:line="240" w:lineRule="auto"/>
      <w:contextualSpacing w:val="0"/>
      <w:jc w:val="left"/>
    </w:pPr>
    <w:rPr>
      <w:rFonts w:ascii="Arial Narrow" w:eastAsia="Arial Narrow" w:hAnsi="Arial Narrow" w:cs="Arial Narrow"/>
      <w:sz w:val="24"/>
      <w:szCs w:val="24"/>
      <w:lang w:val="es-ES" w:eastAsia="es-ES" w:bidi="es-ES"/>
    </w:rPr>
  </w:style>
  <w:style w:type="character" w:customStyle="1" w:styleId="TextoindependienteCar">
    <w:name w:val="Texto independiente Car"/>
    <w:basedOn w:val="Fuentedeprrafopredeter"/>
    <w:link w:val="Textoindependiente"/>
    <w:uiPriority w:val="1"/>
    <w:rsid w:val="00DF3659"/>
    <w:rPr>
      <w:rFonts w:ascii="Arial Narrow" w:eastAsia="Arial Narrow" w:hAnsi="Arial Narrow" w:cs="Arial Narrow"/>
      <w:sz w:val="24"/>
      <w:szCs w:val="24"/>
      <w:lang w:val="es-ES" w:eastAsia="es-ES" w:bidi="es-ES"/>
    </w:rPr>
  </w:style>
  <w:style w:type="character" w:customStyle="1" w:styleId="Portada">
    <w:name w:val="Portada"/>
    <w:qFormat/>
    <w:rsid w:val="00DF3659"/>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invias.gov.co" TargetMode="External"/><Relationship Id="rId2" Type="http://schemas.openxmlformats.org/officeDocument/2006/relationships/image" Target="media/image5.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814AAF5-74AC-497D-9A64-928BF961B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28BEA4CC-45EB-41EF-B545-4D2B23D9E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886</Words>
  <Characters>4874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Wendy Yohanna Quevedo Pardo</cp:lastModifiedBy>
  <cp:revision>49</cp:revision>
  <cp:lastPrinted>2020-04-30T17:44:00Z</cp:lastPrinted>
  <dcterms:created xsi:type="dcterms:W3CDTF">2018-07-09T14:43:00Z</dcterms:created>
  <dcterms:modified xsi:type="dcterms:W3CDTF">2021-04-19T20:27:00Z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