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207" w:rsidRPr="00F14DA0" w:rsidRDefault="00896207" w:rsidP="007504C4">
      <w:pPr>
        <w:tabs>
          <w:tab w:val="left" w:pos="6909"/>
        </w:tabs>
        <w:adjustRightInd w:val="0"/>
        <w:jc w:val="center"/>
      </w:pPr>
      <w:bookmarkStart w:id="0" w:name="_Hlk99381155"/>
      <w:bookmarkStart w:id="1" w:name="_GoBack"/>
      <w:bookmarkEnd w:id="1"/>
      <w:r w:rsidRPr="00F14DA0">
        <w:rPr>
          <w:b/>
        </w:rPr>
        <w:t>ANEXO</w:t>
      </w:r>
    </w:p>
    <w:p w:rsidR="001F3893" w:rsidRDefault="001F3893" w:rsidP="007504C4">
      <w:pPr>
        <w:pStyle w:val="Prrafodelista"/>
        <w:tabs>
          <w:tab w:val="left" w:pos="240"/>
        </w:tabs>
        <w:ind w:left="0"/>
        <w:jc w:val="center"/>
        <w:rPr>
          <w:b/>
        </w:rPr>
      </w:pPr>
    </w:p>
    <w:p w:rsidR="003C7119" w:rsidRPr="00F14DA0" w:rsidRDefault="003C7119" w:rsidP="007504C4">
      <w:pPr>
        <w:pStyle w:val="Prrafodelista"/>
        <w:tabs>
          <w:tab w:val="left" w:pos="240"/>
        </w:tabs>
        <w:ind w:left="0"/>
        <w:jc w:val="center"/>
        <w:rPr>
          <w:b/>
        </w:rPr>
      </w:pPr>
    </w:p>
    <w:p w:rsidR="00896207" w:rsidRPr="00F14DA0" w:rsidRDefault="00896207" w:rsidP="007504C4">
      <w:pPr>
        <w:tabs>
          <w:tab w:val="left" w:pos="-1080"/>
          <w:tab w:val="left" w:pos="0"/>
        </w:tabs>
        <w:jc w:val="both"/>
        <w:rPr>
          <w:rFonts w:eastAsia="MS Mincho"/>
          <w:b/>
        </w:rPr>
      </w:pPr>
      <w:r w:rsidRPr="00F14DA0">
        <w:rPr>
          <w:rFonts w:eastAsia="MS Mincho"/>
          <w:b/>
        </w:rPr>
        <w:t xml:space="preserve">ESPECIFICACIONES TÉCNICAS DE VERIFICACIÓN Y DE OBLIGATORIO CUMPLIMIENTO </w:t>
      </w:r>
    </w:p>
    <w:p w:rsidR="00896207" w:rsidRPr="00011F49" w:rsidRDefault="00896207" w:rsidP="007504C4">
      <w:pPr>
        <w:tabs>
          <w:tab w:val="left" w:pos="-1080"/>
          <w:tab w:val="left" w:pos="0"/>
        </w:tabs>
        <w:jc w:val="both"/>
        <w:rPr>
          <w:rFonts w:eastAsia="MS Mincho"/>
          <w:b/>
          <w:sz w:val="18"/>
        </w:rPr>
      </w:pPr>
    </w:p>
    <w:p w:rsidR="00011F49" w:rsidRPr="00011F49" w:rsidRDefault="00011F49" w:rsidP="00011F49">
      <w:pPr>
        <w:pStyle w:val="Textoindependiente2"/>
        <w:tabs>
          <w:tab w:val="left" w:pos="709"/>
          <w:tab w:val="left" w:pos="1980"/>
        </w:tabs>
        <w:spacing w:after="0" w:line="240" w:lineRule="auto"/>
        <w:jc w:val="both"/>
        <w:rPr>
          <w:rFonts w:ascii="Arial" w:eastAsia="Calibri" w:hAnsi="Arial" w:cs="Arial"/>
          <w:sz w:val="20"/>
          <w:szCs w:val="22"/>
        </w:rPr>
      </w:pPr>
      <w:r w:rsidRPr="00011F49">
        <w:rPr>
          <w:rFonts w:ascii="Arial" w:eastAsia="Calibri" w:hAnsi="Arial" w:cs="Arial"/>
          <w:sz w:val="20"/>
          <w:szCs w:val="22"/>
        </w:rPr>
        <w:t>El oferente deberá marcar con una X, en el siguiente cuadro su manifestación voluntaria de aceptación de cumplimiento a las especificaciones técnicas establecidas en los siguientes cuadros; donde se pueda evidenciar CUMPLE o NO CUMPLE</w:t>
      </w:r>
    </w:p>
    <w:p w:rsidR="003C7119" w:rsidRPr="00011F49" w:rsidRDefault="003C7119" w:rsidP="00011F49">
      <w:pPr>
        <w:pStyle w:val="Textoindependiente2"/>
        <w:tabs>
          <w:tab w:val="left" w:pos="709"/>
          <w:tab w:val="left" w:pos="1980"/>
        </w:tabs>
        <w:spacing w:after="0" w:line="240" w:lineRule="auto"/>
        <w:ind w:firstLine="705"/>
        <w:jc w:val="both"/>
        <w:rPr>
          <w:rFonts w:ascii="Arial" w:eastAsia="Calibri" w:hAnsi="Arial" w:cs="Arial"/>
          <w:sz w:val="20"/>
          <w:szCs w:val="22"/>
        </w:rPr>
      </w:pPr>
    </w:p>
    <w:p w:rsidR="00011F49" w:rsidRPr="00011F49" w:rsidRDefault="00011F49" w:rsidP="00011F49">
      <w:pPr>
        <w:pStyle w:val="Textoindependiente2"/>
        <w:tabs>
          <w:tab w:val="left" w:pos="709"/>
          <w:tab w:val="left" w:pos="1980"/>
        </w:tabs>
        <w:spacing w:after="0" w:line="240" w:lineRule="auto"/>
        <w:jc w:val="both"/>
        <w:rPr>
          <w:rFonts w:ascii="Arial" w:eastAsia="Calibri" w:hAnsi="Arial" w:cs="Arial"/>
          <w:b/>
          <w:sz w:val="20"/>
          <w:szCs w:val="22"/>
        </w:rPr>
      </w:pPr>
      <w:r w:rsidRPr="00011F49">
        <w:rPr>
          <w:rFonts w:ascii="Arial" w:eastAsia="Calibri" w:hAnsi="Arial" w:cs="Arial"/>
          <w:b/>
          <w:sz w:val="20"/>
          <w:szCs w:val="22"/>
        </w:rPr>
        <w:t>REQUISITOS GENERALES</w:t>
      </w:r>
    </w:p>
    <w:p w:rsidR="00011F49" w:rsidRPr="00011F49" w:rsidRDefault="00011F49" w:rsidP="00011F49">
      <w:pPr>
        <w:pStyle w:val="Textoindependiente2"/>
        <w:tabs>
          <w:tab w:val="left" w:pos="0"/>
          <w:tab w:val="left" w:pos="1980"/>
        </w:tabs>
        <w:spacing w:after="0" w:line="240" w:lineRule="auto"/>
        <w:jc w:val="both"/>
        <w:rPr>
          <w:rFonts w:ascii="Arial" w:eastAsia="Calibri" w:hAnsi="Arial" w:cs="Arial"/>
          <w:sz w:val="20"/>
          <w:szCs w:val="22"/>
        </w:rPr>
      </w:pPr>
      <w:r w:rsidRPr="00011F49">
        <w:rPr>
          <w:rFonts w:ascii="Arial" w:eastAsia="Calibri" w:hAnsi="Arial" w:cs="Arial"/>
          <w:sz w:val="20"/>
          <w:szCs w:val="22"/>
        </w:rPr>
        <w:t xml:space="preserve"> </w:t>
      </w:r>
    </w:p>
    <w:p w:rsidR="00011F49" w:rsidRPr="00011F49" w:rsidRDefault="00011F49" w:rsidP="00011F49">
      <w:pPr>
        <w:pStyle w:val="Textoindependiente2"/>
        <w:numPr>
          <w:ilvl w:val="0"/>
          <w:numId w:val="26"/>
        </w:numPr>
        <w:tabs>
          <w:tab w:val="left" w:pos="0"/>
          <w:tab w:val="left" w:pos="426"/>
        </w:tabs>
        <w:spacing w:after="0" w:line="240" w:lineRule="auto"/>
        <w:ind w:left="0" w:firstLine="0"/>
        <w:jc w:val="both"/>
        <w:rPr>
          <w:rFonts w:ascii="Arial" w:eastAsia="Calibri" w:hAnsi="Arial" w:cs="Arial"/>
          <w:sz w:val="20"/>
          <w:szCs w:val="22"/>
        </w:rPr>
      </w:pPr>
      <w:r w:rsidRPr="00011F49">
        <w:rPr>
          <w:rFonts w:ascii="Arial" w:eastAsia="Calibri" w:hAnsi="Arial" w:cs="Arial"/>
          <w:sz w:val="20"/>
          <w:szCs w:val="22"/>
        </w:rPr>
        <w:t xml:space="preserve">Las especificaciones técnicas requeridas son de obligatorio cumplimiento, de no hacerlo la propuesta se considerará rechazada. </w:t>
      </w:r>
    </w:p>
    <w:p w:rsidR="00011F49" w:rsidRPr="00011F49" w:rsidRDefault="00011F49" w:rsidP="00011F49">
      <w:pPr>
        <w:pStyle w:val="Textoindependiente2"/>
        <w:numPr>
          <w:ilvl w:val="0"/>
          <w:numId w:val="26"/>
        </w:numPr>
        <w:tabs>
          <w:tab w:val="left" w:pos="0"/>
          <w:tab w:val="left" w:pos="426"/>
        </w:tabs>
        <w:spacing w:after="0" w:line="240" w:lineRule="auto"/>
        <w:ind w:left="0" w:firstLine="0"/>
        <w:jc w:val="both"/>
        <w:rPr>
          <w:rFonts w:ascii="Arial" w:eastAsia="Calibri" w:hAnsi="Arial" w:cs="Arial"/>
          <w:sz w:val="20"/>
          <w:szCs w:val="22"/>
        </w:rPr>
      </w:pPr>
      <w:r w:rsidRPr="00011F49">
        <w:rPr>
          <w:rFonts w:ascii="Arial" w:eastAsia="Calibri" w:hAnsi="Arial" w:cs="Arial"/>
          <w:sz w:val="20"/>
          <w:szCs w:val="22"/>
        </w:rPr>
        <w:t>En la columna CUMPLE / NO CUMPLE, se verificarán las especificaciones técnicas ofertadas por la firma; así mismo deberá escribir la marca que ofertada.</w:t>
      </w:r>
    </w:p>
    <w:p w:rsidR="00011F49" w:rsidRPr="00011F49" w:rsidRDefault="00011F49" w:rsidP="00011F49">
      <w:pPr>
        <w:pStyle w:val="Textoindependiente2"/>
        <w:tabs>
          <w:tab w:val="left" w:pos="709"/>
          <w:tab w:val="left" w:pos="1980"/>
        </w:tabs>
        <w:spacing w:after="0" w:line="240" w:lineRule="auto"/>
        <w:jc w:val="both"/>
        <w:rPr>
          <w:rFonts w:ascii="Arial" w:eastAsia="Calibri" w:hAnsi="Arial" w:cs="Arial"/>
          <w:sz w:val="20"/>
          <w:szCs w:val="22"/>
        </w:rPr>
      </w:pPr>
    </w:p>
    <w:p w:rsidR="00011F49" w:rsidRPr="00011F49" w:rsidRDefault="00011F49" w:rsidP="00011F49">
      <w:pPr>
        <w:pStyle w:val="Textoindependiente2"/>
        <w:tabs>
          <w:tab w:val="left" w:pos="709"/>
          <w:tab w:val="left" w:pos="1980"/>
        </w:tabs>
        <w:spacing w:after="0" w:line="240" w:lineRule="auto"/>
        <w:jc w:val="both"/>
        <w:rPr>
          <w:rFonts w:ascii="Arial" w:eastAsia="Calibri" w:hAnsi="Arial" w:cs="Arial"/>
          <w:sz w:val="20"/>
          <w:szCs w:val="22"/>
        </w:rPr>
      </w:pPr>
      <w:r w:rsidRPr="00011F49">
        <w:rPr>
          <w:rFonts w:ascii="Arial" w:eastAsia="Calibri" w:hAnsi="Arial" w:cs="Arial"/>
          <w:sz w:val="20"/>
          <w:szCs w:val="22"/>
        </w:rPr>
        <w:t>El oferente no deberá modificar ni cambiar el presente anexo</w:t>
      </w:r>
    </w:p>
    <w:p w:rsidR="00011F49" w:rsidRPr="00011F49" w:rsidRDefault="00011F49" w:rsidP="00011F49">
      <w:pPr>
        <w:pStyle w:val="Textoindependiente2"/>
        <w:tabs>
          <w:tab w:val="left" w:pos="709"/>
          <w:tab w:val="left" w:pos="1980"/>
        </w:tabs>
        <w:spacing w:after="0" w:line="240" w:lineRule="auto"/>
        <w:ind w:firstLine="705"/>
        <w:jc w:val="both"/>
        <w:rPr>
          <w:rFonts w:ascii="Arial" w:eastAsia="Calibri" w:hAnsi="Arial" w:cs="Arial"/>
          <w:sz w:val="20"/>
          <w:szCs w:val="22"/>
        </w:rPr>
      </w:pPr>
    </w:p>
    <w:p w:rsidR="00011F49" w:rsidRPr="00011F49" w:rsidRDefault="00011F49" w:rsidP="00011F49">
      <w:pPr>
        <w:pStyle w:val="Prrafodelista"/>
        <w:tabs>
          <w:tab w:val="left" w:pos="240"/>
        </w:tabs>
        <w:ind w:left="0"/>
        <w:rPr>
          <w:b/>
          <w:szCs w:val="22"/>
        </w:rPr>
      </w:pPr>
      <w:r w:rsidRPr="00011F49">
        <w:rPr>
          <w:b/>
          <w:szCs w:val="22"/>
        </w:rPr>
        <w:t xml:space="preserve">Para lo anterior se diligencia la información en el siguiente cuadro: </w:t>
      </w:r>
    </w:p>
    <w:p w:rsidR="00850DFB" w:rsidRDefault="00850DFB" w:rsidP="00850DFB">
      <w:pPr>
        <w:ind w:left="142" w:right="202"/>
        <w:jc w:val="center"/>
        <w:rPr>
          <w:b/>
          <w:color w:val="000000"/>
          <w:szCs w:val="22"/>
        </w:rPr>
      </w:pPr>
    </w:p>
    <w:p w:rsidR="00011F49" w:rsidRDefault="00011F49" w:rsidP="00850DFB">
      <w:pPr>
        <w:ind w:left="142" w:right="202"/>
        <w:jc w:val="center"/>
        <w:rPr>
          <w:b/>
          <w:color w:val="000000"/>
          <w:szCs w:val="22"/>
        </w:rPr>
      </w:pPr>
    </w:p>
    <w:tbl>
      <w:tblPr>
        <w:tblpPr w:leftFromText="141" w:rightFromText="141" w:vertAnchor="text" w:tblpXSpec="center" w:tblpY="1"/>
        <w:tblOverlap w:val="never"/>
        <w:tblW w:w="5095"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85"/>
        <w:gridCol w:w="7160"/>
        <w:gridCol w:w="1161"/>
        <w:gridCol w:w="1308"/>
      </w:tblGrid>
      <w:tr w:rsidR="004D55CC" w:rsidRPr="00911156" w:rsidTr="00A159B8">
        <w:trPr>
          <w:trHeight w:val="694"/>
        </w:trPr>
        <w:tc>
          <w:tcPr>
            <w:tcW w:w="421" w:type="pct"/>
            <w:tcBorders>
              <w:top w:val="single" w:sz="12" w:space="0" w:color="auto"/>
              <w:left w:val="single" w:sz="12" w:space="0" w:color="auto"/>
              <w:bottom w:val="single" w:sz="12" w:space="0" w:color="auto"/>
              <w:right w:val="single" w:sz="12" w:space="0" w:color="auto"/>
            </w:tcBorders>
            <w:shd w:val="clear" w:color="auto" w:fill="auto"/>
            <w:vAlign w:val="center"/>
          </w:tcPr>
          <w:p w:rsidR="004D55CC" w:rsidRPr="00F343B1" w:rsidRDefault="004D55CC" w:rsidP="00A159B8">
            <w:pPr>
              <w:snapToGrid w:val="0"/>
              <w:spacing w:line="276" w:lineRule="auto"/>
              <w:ind w:left="-51" w:firstLine="51"/>
              <w:jc w:val="center"/>
              <w:rPr>
                <w:rFonts w:eastAsia="MS Mincho"/>
                <w:b/>
              </w:rPr>
            </w:pPr>
            <w:r w:rsidRPr="00F343B1">
              <w:rPr>
                <w:rFonts w:eastAsia="MS Mincho"/>
                <w:b/>
              </w:rPr>
              <w:t>ÍTEM</w:t>
            </w:r>
          </w:p>
        </w:tc>
        <w:tc>
          <w:tcPr>
            <w:tcW w:w="3405" w:type="pct"/>
            <w:tcBorders>
              <w:top w:val="single" w:sz="12" w:space="0" w:color="auto"/>
              <w:left w:val="single" w:sz="12" w:space="0" w:color="auto"/>
              <w:bottom w:val="single" w:sz="12" w:space="0" w:color="auto"/>
              <w:right w:val="single" w:sz="12" w:space="0" w:color="auto"/>
            </w:tcBorders>
            <w:shd w:val="clear" w:color="auto" w:fill="auto"/>
            <w:vAlign w:val="center"/>
            <w:hideMark/>
          </w:tcPr>
          <w:p w:rsidR="004D55CC" w:rsidRPr="00F343B1" w:rsidRDefault="004D55CC" w:rsidP="00A159B8">
            <w:pPr>
              <w:snapToGrid w:val="0"/>
              <w:spacing w:line="276" w:lineRule="auto"/>
              <w:ind w:left="-51" w:firstLine="51"/>
              <w:jc w:val="center"/>
              <w:rPr>
                <w:rFonts w:eastAsia="MS Mincho"/>
                <w:b/>
              </w:rPr>
            </w:pPr>
            <w:r w:rsidRPr="00F343B1">
              <w:rPr>
                <w:rFonts w:eastAsia="MS Mincho"/>
                <w:b/>
              </w:rPr>
              <w:t>CONDICIONES PARA LA PRESTACIÓN DEL SERVICIO</w:t>
            </w:r>
          </w:p>
        </w:tc>
        <w:tc>
          <w:tcPr>
            <w:tcW w:w="552" w:type="pct"/>
            <w:tcBorders>
              <w:top w:val="single" w:sz="12" w:space="0" w:color="auto"/>
              <w:left w:val="single" w:sz="12" w:space="0" w:color="auto"/>
              <w:bottom w:val="single" w:sz="12" w:space="0" w:color="auto"/>
              <w:right w:val="single" w:sz="12" w:space="0" w:color="auto"/>
            </w:tcBorders>
            <w:shd w:val="clear" w:color="auto" w:fill="auto"/>
            <w:vAlign w:val="center"/>
            <w:hideMark/>
          </w:tcPr>
          <w:p w:rsidR="004D55CC" w:rsidRPr="00F343B1" w:rsidRDefault="004D55CC" w:rsidP="00A159B8">
            <w:pPr>
              <w:pStyle w:val="Default"/>
              <w:ind w:left="-102" w:right="-102"/>
              <w:jc w:val="center"/>
              <w:rPr>
                <w:rFonts w:ascii="Arial" w:hAnsi="Arial" w:cs="Arial"/>
                <w:b/>
                <w:bCs/>
                <w:color w:val="auto"/>
                <w:sz w:val="20"/>
                <w:szCs w:val="20"/>
              </w:rPr>
            </w:pPr>
            <w:r w:rsidRPr="00F343B1">
              <w:rPr>
                <w:rFonts w:ascii="Arial" w:hAnsi="Arial" w:cs="Arial"/>
                <w:b/>
                <w:bCs/>
                <w:color w:val="auto"/>
                <w:sz w:val="20"/>
                <w:szCs w:val="20"/>
              </w:rPr>
              <w:t>OFRECE</w:t>
            </w:r>
          </w:p>
        </w:tc>
        <w:tc>
          <w:tcPr>
            <w:tcW w:w="623" w:type="pct"/>
            <w:tcBorders>
              <w:top w:val="single" w:sz="12" w:space="0" w:color="auto"/>
              <w:left w:val="single" w:sz="12" w:space="0" w:color="auto"/>
              <w:bottom w:val="single" w:sz="12" w:space="0" w:color="auto"/>
              <w:right w:val="single" w:sz="12" w:space="0" w:color="auto"/>
            </w:tcBorders>
            <w:shd w:val="clear" w:color="auto" w:fill="auto"/>
            <w:vAlign w:val="center"/>
            <w:hideMark/>
          </w:tcPr>
          <w:p w:rsidR="004D55CC" w:rsidRPr="00F54679" w:rsidRDefault="004D55CC" w:rsidP="00A159B8">
            <w:pPr>
              <w:pStyle w:val="Default"/>
              <w:ind w:left="-108" w:right="-105" w:firstLine="108"/>
              <w:jc w:val="center"/>
              <w:rPr>
                <w:rFonts w:ascii="Arial" w:hAnsi="Arial" w:cs="Arial"/>
                <w:b/>
                <w:bCs/>
                <w:color w:val="auto"/>
                <w:sz w:val="18"/>
                <w:szCs w:val="20"/>
              </w:rPr>
            </w:pPr>
            <w:r w:rsidRPr="00F54679">
              <w:rPr>
                <w:rFonts w:ascii="Arial" w:hAnsi="Arial" w:cs="Arial"/>
                <w:b/>
                <w:bCs/>
                <w:color w:val="auto"/>
                <w:sz w:val="18"/>
                <w:szCs w:val="20"/>
              </w:rPr>
              <w:t>NO OFRECE</w:t>
            </w: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rFonts w:eastAsia="MS Mincho"/>
                <w:b/>
              </w:rPr>
            </w:pPr>
            <w:bookmarkStart w:id="2" w:name="_Hlk64563049"/>
            <w:r>
              <w:rPr>
                <w:rFonts w:eastAsia="MS Mincho"/>
                <w:b/>
              </w:rPr>
              <w:t>1</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rPr>
                <w:rFonts w:eastAsia="MS Mincho"/>
              </w:rPr>
              <w:t>El contratista deberá a que el personal asistencial que preste los servicios ambulatorios y de urgencias lo realizará conforme al Plan de Servicios de Sanidad Militar y Policial (Acuerdo 002 SSMP de 2001) y el Manual único de Medicamentos y Terapéutica del SSPN (Acuerdo 052 DE 2013 SSMP y demás normas que lo complementen o modifiquen).</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rFonts w:eastAsia="MS Mincho"/>
                <w:b/>
              </w:rPr>
            </w:pPr>
            <w:r>
              <w:rPr>
                <w:rFonts w:eastAsia="MS Mincho"/>
                <w:b/>
              </w:rPr>
              <w:t>2</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rPr>
                <w:rFonts w:eastAsia="MS Mincho"/>
              </w:rPr>
              <w:t>El CONTRATISTA deberá prestar los servicios de acuerdo al nivel y el Plan integral de Salud de las Fuerzas Militares y la Policía Nacional Acuerdo 002 de 2001.</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rFonts w:eastAsia="MS Mincho"/>
                <w:b/>
              </w:rPr>
            </w:pPr>
            <w:r>
              <w:rPr>
                <w:rFonts w:eastAsia="MS Mincho"/>
                <w:b/>
              </w:rPr>
              <w:t>3</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rPr>
                <w:rFonts w:eastAsia="MS Mincho"/>
              </w:rPr>
              <w:t>REGISTRO ESPECIAL NACIONAL DEL MINISTERIO DE LA PROTECCIÓN SOCIAL: En cumplimiento de lo dispuesto en el Artículo 2.2.1.2.1.2.21 del Decreto 1082 del 26 de mayo de 2015, el contratista deberá anexar a la oferta el Registro Especial Nacional del Ministerio de la Protección Social de conformidad con la Ley 10 de 1990, y deberá mantenerlo vigente durante la ejecución del contrato.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rFonts w:eastAsia="MS Mincho"/>
                <w:b/>
              </w:rPr>
            </w:pPr>
            <w:r>
              <w:rPr>
                <w:rFonts w:eastAsia="MS Mincho"/>
                <w:b/>
              </w:rPr>
              <w:t>4</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rPr>
                <w:rFonts w:eastAsia="MS Mincho"/>
              </w:rPr>
              <w:t>Transporte asistencial en caso de urgencia: El contratista deberá prestar el servicio las 24 horas del día durante los siete días a la semana de acuerdo a la disponibilidad del contratista, el servicio de ambulancia básica por las tarifas institucionales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rFonts w:eastAsia="MS Mincho"/>
                <w:b/>
              </w:rPr>
            </w:pPr>
            <w:r>
              <w:rPr>
                <w:rFonts w:eastAsia="MS Mincho"/>
                <w:b/>
              </w:rPr>
              <w:t>5</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rPr>
                <w:rFonts w:eastAsia="MS Mincho"/>
              </w:rPr>
              <w:t>El contratista deberá atender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6</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El contratista deberá mantener vigentes los permisos, licencias y títulos especiales exigidos por la ley y las autoridades administrativas o sanitarias para prestar servicios de salud del nivel de atención ofertado.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lang w:eastAsia="es-CO"/>
              </w:rPr>
            </w:pPr>
            <w:r>
              <w:rPr>
                <w:b/>
                <w:lang w:eastAsia="es-CO"/>
              </w:rPr>
              <w:t>7</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rPr>
                <w:lang w:eastAsia="es-CO"/>
              </w:rPr>
              <w:t xml:space="preserve">Para la autorización del servicio, el usuario </w:t>
            </w:r>
            <w:r w:rsidRPr="00F343B1">
              <w:t>deberá presentar el</w:t>
            </w:r>
            <w:r w:rsidRPr="00F343B1">
              <w:rPr>
                <w:u w:val="single"/>
              </w:rPr>
              <w:t xml:space="preserve"> </w:t>
            </w:r>
            <w:r w:rsidRPr="00F343B1">
              <w:t>documento de identificación en original según el caso (Registro civil de nacimiento para menores de 7 años, tarjeta de identidad para usuarios entre 7 y 17 años, cédula de ciudadanía para usuarios mayores de edad), así mismo no deberá exigir fotocopia de estos documentos conforme a lo establecido en el Decreto 19 de 2012.</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lang w:eastAsia="es-C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lang w:eastAsia="es-C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lastRenderedPageBreak/>
              <w:t>8</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Todo servicio electivo, fuera del plan de beneficios del (Acuerdo 002 CSSMP de 2001),  el contratista deberá diligenciar y tramitar para estudio de aprobación ante el Comité Técnico Científico en los formatos establecidos para tal fin, el servicio que requiera el paciente (medicamentos, procedimientos e insumos), dentro de los tiempos establecidos por la norma ante la Central de Referencia, Contrarreferencia y Autorizaciones de la Regional de Aseguramiento en Salud No. 1,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9</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pPr>
            <w:r w:rsidRPr="00F343B1">
              <w:t>La prescripción de medicamentos por urgencias, el contratista solo lo suministrara atender la misma. Medicamentos para uso ambulatorio solo podrán ser entregados por la IPS CONTRATISTA para continuar el tratamiento en la cantidad necesaria para cubrir las horas no hábiles de la farmacia dispuesta por la USP para tales fines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4665"/>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10</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La atención inicial de urgencia no requiere autorización ni formato de referencia, pero debe ser notificada a la central de Referencia, contrarreferencia y autorizaciones de la Regional de Aseguramiento en Salud No. 1,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el contratista deberá a solicitar el aval por parte de la central de Referencia, contrarreferencia y autorización de la Regional de aseguramiento en Salud No  1,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y Decreto 4747 de 2007 artículos 12 y 13, y la Resolución 3047 DE 2008.</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11</w:t>
            </w:r>
          </w:p>
        </w:tc>
        <w:tc>
          <w:tcPr>
            <w:tcW w:w="3405"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ind w:left="-51" w:firstLine="51"/>
              <w:jc w:val="both"/>
            </w:pPr>
            <w:r w:rsidRPr="00F343B1">
              <w:t>Si se determina que la complicación presentada es resultado de las fallas o complicaciones inherentes al procedimiento realizado en la prestación de servicio o de errores atribuibles al equipo médico responsable del caso, el costo del manejo será asumido por el contratista.</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12</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El contratista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13</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El contratista deberá implantar su propio sistema de auditoría médica y permitir que la Regional de Aseguramiento en Salud No. 1, a través de su auditor de calidad o de concurrencia realice las auditorias e inspecciones que sean necesarias a las áreas y documentos que consideren pertinentes.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pStyle w:val="Prrafodelista"/>
              <w:ind w:left="-51" w:firstLine="51"/>
              <w:jc w:val="center"/>
              <w:rPr>
                <w:b/>
              </w:rPr>
            </w:pPr>
            <w:r>
              <w:rPr>
                <w:b/>
              </w:rPr>
              <w:t>14</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pStyle w:val="Prrafodelista"/>
              <w:ind w:left="-51" w:firstLine="51"/>
              <w:jc w:val="both"/>
              <w:rPr>
                <w:rFonts w:eastAsia="MS Mincho"/>
              </w:rPr>
            </w:pPr>
            <w:r w:rsidRPr="00F343B1">
              <w:t xml:space="preserve">Para la autorización de servicios el contratista deberá requerirlo al correo </w:t>
            </w:r>
            <w:hyperlink r:id="rId7" w:history="1">
              <w:r w:rsidRPr="00F343B1">
                <w:rPr>
                  <w:rStyle w:val="Hipervnculo"/>
                </w:rPr>
                <w:t>disan.upb-rc@policia.gov.co</w:t>
              </w:r>
            </w:hyperlink>
            <w:r w:rsidRPr="00F343B1">
              <w:t xml:space="preserve"> y de urgencias al correo </w:t>
            </w:r>
            <w:hyperlink r:id="rId8" w:history="1">
              <w:r w:rsidRPr="00F343B1">
                <w:rPr>
                  <w:rStyle w:val="Hipervnculo"/>
                </w:rPr>
                <w:t>disan.griss-aut@policia.gov.co</w:t>
              </w:r>
            </w:hyperlink>
            <w:r w:rsidRPr="00F343B1">
              <w:t xml:space="preserve">. se harán las 24 horas del día a la Central de Referencia, </w:t>
            </w:r>
            <w:proofErr w:type="spellStart"/>
            <w:r w:rsidRPr="00F343B1">
              <w:t>Contrarreferenica</w:t>
            </w:r>
            <w:proofErr w:type="spellEnd"/>
            <w:r w:rsidRPr="00F343B1">
              <w:t xml:space="preserve"> y Autorizaciones de la Regional de Aseguramiento en Salud No. 1 a los números telefónicos: 3505560928.</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pStyle w:val="Prrafodelista"/>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pStyle w:val="Prrafodelista"/>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15</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 xml:space="preserve">En caso de que se requiera remisión de pacientes, según criterio médico, el contratista notificará a Central de Referencia, Contrarreferencia y Autorizaciones el requerimiento en los formatos estipulados dando inicio a la apertura de bitácora para trasladar el paciente. La remisión será notificada al </w:t>
            </w:r>
            <w:r w:rsidRPr="00F343B1">
              <w:lastRenderedPageBreak/>
              <w:t xml:space="preserve">correo electrónico  </w:t>
            </w:r>
            <w:hyperlink r:id="rId9" w:history="1">
              <w:r w:rsidRPr="00F343B1">
                <w:rPr>
                  <w:rStyle w:val="Hipervnculo"/>
                </w:rPr>
                <w:t>disan.upb-rc@policia.gov.co</w:t>
              </w:r>
            </w:hyperlink>
            <w:r w:rsidRPr="00F343B1">
              <w:t xml:space="preserve"> y verificada por medio telefónico por parte de la IPS a la Regional de Aseguramiento en Salud No. 1 a los teléfonos:  Teléfonos 3505560928.  </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16</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El servicio programado por el contratista, se prestará a los pacientes previa solicitud del mismo en original, la cual debe expresar el procedimiento o atención solicitada de conformidad con los códigos únicos de procedimiento, el objeto del contrato, la malla de pertinencia definida por la Dirección de Sanidad y el diagnóstico de la patología en tratamiento y/o estudio y la firma del profesional solicitante, el diligenciamiento por parte del facilitador o quien haga sus veces del formato de autorizaciones con la asignación de la aprobación expedido por la central de referencia, contrarreferencia y autorizaciones de la Regional de Aseguramiento en Salud No. 1.</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jc w:val="center"/>
              <w:rPr>
                <w:rFonts w:eastAsia="MS Mincho"/>
                <w:b/>
              </w:rPr>
            </w:pPr>
            <w:r>
              <w:rPr>
                <w:rFonts w:eastAsia="MS Mincho"/>
                <w:b/>
              </w:rPr>
              <w:t>17</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jc w:val="both"/>
              <w:rPr>
                <w:rFonts w:eastAsia="MS Mincho"/>
              </w:rPr>
            </w:pPr>
            <w:r w:rsidRPr="00F343B1">
              <w:rPr>
                <w:rFonts w:eastAsia="MS Mincho"/>
              </w:rPr>
              <w:t xml:space="preserve">El contratista deberá recolectar y reportar los cinco primeros días de cada mes, a la Regional de Aseguramiento en Salud No. 1 correo </w:t>
            </w:r>
            <w:hyperlink r:id="rId10" w:history="1">
              <w:r w:rsidRPr="00F343B1">
                <w:rPr>
                  <w:rStyle w:val="Hipervnculo"/>
                  <w:rFonts w:eastAsia="MS Mincho"/>
                </w:rPr>
                <w:t>deboy.upres-spa@policia.gov.co</w:t>
              </w:r>
            </w:hyperlink>
            <w:r w:rsidRPr="00F343B1">
              <w:rPr>
                <w:rFonts w:eastAsia="MS Mincho"/>
              </w:rPr>
              <w:t xml:space="preserve"> y/o supervisor del contrato, el registro por persona de la atención integral de las enfermedades de interés en salud pública de obligatorio cumplimiento según el anexo técnico de la resolución 4505 de 2012.</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Arial Unicode M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Arial Unicode M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jc w:val="center"/>
              <w:rPr>
                <w:rFonts w:eastAsia="Arial Unicode MS"/>
                <w:b/>
              </w:rPr>
            </w:pPr>
            <w:r>
              <w:rPr>
                <w:rFonts w:eastAsia="Arial Unicode MS"/>
                <w:b/>
              </w:rPr>
              <w:t>18</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jc w:val="both"/>
              <w:rPr>
                <w:rFonts w:eastAsia="MS Mincho"/>
              </w:rPr>
            </w:pPr>
            <w:r w:rsidRPr="00F343B1">
              <w:rPr>
                <w:rFonts w:eastAsia="Arial Unicode MS"/>
              </w:rPr>
              <w:t>El Contratista debe facilitar a los pacientes una línea de comunicación telefónica que permita el manejo de agenda y citas médicas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Arial Unicode M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Arial Unicode M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jc w:val="center"/>
              <w:rPr>
                <w:rFonts w:eastAsia="MS Mincho"/>
                <w:b/>
              </w:rPr>
            </w:pPr>
            <w:r>
              <w:rPr>
                <w:rFonts w:eastAsia="MS Mincho"/>
                <w:b/>
              </w:rPr>
              <w:t>19</w:t>
            </w:r>
          </w:p>
        </w:tc>
        <w:tc>
          <w:tcPr>
            <w:tcW w:w="3405"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jc w:val="both"/>
              <w:rPr>
                <w:rFonts w:eastAsia="MS Mincho"/>
              </w:rPr>
            </w:pPr>
            <w:r w:rsidRPr="00F343B1">
              <w:rPr>
                <w:rFonts w:eastAsia="MS Mincho"/>
              </w:rPr>
              <w:t>El contratista deberá dar cumplimiento en lo establecido en la Resolución 3280 de agosto del 2018, Resolución 276 de febrero del 2019, instructivo 016, instructivo 017 y acuerdo 070, por lo cual se estipula las intervenciones y acciones en salud de protección específica y detección temprana por curso de vida o clico.</w:t>
            </w:r>
          </w:p>
          <w:p w:rsidR="004D55CC" w:rsidRPr="00F343B1" w:rsidRDefault="004D55CC" w:rsidP="00A159B8">
            <w:pPr>
              <w:snapToGrid w:val="0"/>
              <w:jc w:val="both"/>
              <w:rPr>
                <w:rFonts w:eastAsia="MS Mincho"/>
              </w:rPr>
            </w:pPr>
          </w:p>
          <w:p w:rsidR="004D55CC" w:rsidRPr="00F343B1" w:rsidRDefault="004D55CC" w:rsidP="00A159B8">
            <w:pPr>
              <w:snapToGrid w:val="0"/>
              <w:jc w:val="both"/>
              <w:rPr>
                <w:rFonts w:eastAsia="MS Mincho"/>
              </w:rPr>
            </w:pPr>
            <w:r w:rsidRPr="00F343B1">
              <w:rPr>
                <w:rFonts w:eastAsia="MS Mincho"/>
              </w:rPr>
              <w:t xml:space="preserve">Primera infancia </w:t>
            </w:r>
          </w:p>
          <w:p w:rsidR="004D55CC" w:rsidRPr="00F343B1" w:rsidRDefault="004D55CC" w:rsidP="00A159B8">
            <w:pPr>
              <w:snapToGrid w:val="0"/>
              <w:jc w:val="both"/>
              <w:rPr>
                <w:rFonts w:eastAsia="MS Mincho"/>
              </w:rPr>
            </w:pPr>
            <w:r w:rsidRPr="00F343B1">
              <w:rPr>
                <w:rFonts w:eastAsia="MS Mincho"/>
              </w:rPr>
              <w:t xml:space="preserve">Infancia </w:t>
            </w:r>
          </w:p>
          <w:p w:rsidR="004D55CC" w:rsidRPr="00F343B1" w:rsidRDefault="004D55CC" w:rsidP="00A159B8">
            <w:pPr>
              <w:snapToGrid w:val="0"/>
              <w:jc w:val="both"/>
              <w:rPr>
                <w:rFonts w:eastAsia="MS Mincho"/>
              </w:rPr>
            </w:pPr>
            <w:r w:rsidRPr="00F343B1">
              <w:rPr>
                <w:rFonts w:eastAsia="MS Mincho"/>
              </w:rPr>
              <w:t xml:space="preserve">Adolescencia </w:t>
            </w:r>
          </w:p>
          <w:p w:rsidR="004D55CC" w:rsidRPr="00F343B1" w:rsidRDefault="004D55CC" w:rsidP="00A159B8">
            <w:pPr>
              <w:snapToGrid w:val="0"/>
              <w:jc w:val="both"/>
              <w:rPr>
                <w:rFonts w:eastAsia="MS Mincho"/>
              </w:rPr>
            </w:pPr>
            <w:r w:rsidRPr="00F343B1">
              <w:rPr>
                <w:rFonts w:eastAsia="MS Mincho"/>
              </w:rPr>
              <w:t xml:space="preserve">Juventud </w:t>
            </w:r>
          </w:p>
          <w:p w:rsidR="004D55CC" w:rsidRPr="00F343B1" w:rsidRDefault="004D55CC" w:rsidP="00A159B8">
            <w:pPr>
              <w:snapToGrid w:val="0"/>
              <w:jc w:val="both"/>
              <w:rPr>
                <w:rFonts w:eastAsia="MS Mincho"/>
              </w:rPr>
            </w:pPr>
            <w:r w:rsidRPr="00F343B1">
              <w:rPr>
                <w:rFonts w:eastAsia="MS Mincho"/>
              </w:rPr>
              <w:t xml:space="preserve">Adultez </w:t>
            </w:r>
          </w:p>
          <w:p w:rsidR="004D55CC" w:rsidRPr="00F343B1" w:rsidRDefault="004D55CC" w:rsidP="00A159B8">
            <w:pPr>
              <w:snapToGrid w:val="0"/>
              <w:jc w:val="both"/>
              <w:rPr>
                <w:rFonts w:eastAsia="MS Mincho"/>
              </w:rPr>
            </w:pPr>
            <w:r w:rsidRPr="00F343B1">
              <w:rPr>
                <w:rFonts w:eastAsia="MS Mincho"/>
              </w:rPr>
              <w:t xml:space="preserve">Vejez </w:t>
            </w:r>
          </w:p>
          <w:p w:rsidR="004D55CC" w:rsidRPr="00F343B1" w:rsidRDefault="004D55CC" w:rsidP="00A159B8">
            <w:pPr>
              <w:snapToGrid w:val="0"/>
              <w:jc w:val="both"/>
              <w:rPr>
                <w:rFonts w:eastAsia="MS Mincho"/>
              </w:rPr>
            </w:pPr>
          </w:p>
          <w:p w:rsidR="004D55CC" w:rsidRPr="00F343B1" w:rsidRDefault="004D55CC" w:rsidP="00A159B8">
            <w:pPr>
              <w:snapToGrid w:val="0"/>
              <w:jc w:val="both"/>
              <w:rPr>
                <w:rFonts w:eastAsia="MS Mincho"/>
              </w:rPr>
            </w:pPr>
            <w:r w:rsidRPr="00F343B1">
              <w:rPr>
                <w:rFonts w:eastAsia="MS Mincho"/>
              </w:rPr>
              <w:t xml:space="preserve">Rutas integrales por grupo de riesgo y rutas integrales por eventos en salud especifico. </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Arial Unicode M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Arial Unicode M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pStyle w:val="Sinespaciado"/>
              <w:ind w:left="-51" w:firstLine="51"/>
              <w:jc w:val="center"/>
              <w:rPr>
                <w:rFonts w:ascii="Arial" w:eastAsia="MS Mincho" w:hAnsi="Arial" w:cs="Arial"/>
                <w:b/>
                <w:sz w:val="20"/>
                <w:szCs w:val="20"/>
              </w:rPr>
            </w:pPr>
            <w:r>
              <w:rPr>
                <w:rFonts w:ascii="Arial" w:eastAsia="MS Mincho" w:hAnsi="Arial" w:cs="Arial"/>
                <w:b/>
                <w:sz w:val="20"/>
                <w:szCs w:val="20"/>
              </w:rPr>
              <w:t>20</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pStyle w:val="Sinespaciado"/>
              <w:ind w:left="-51" w:firstLine="51"/>
              <w:jc w:val="both"/>
              <w:rPr>
                <w:rFonts w:ascii="Arial" w:eastAsia="MS Mincho" w:hAnsi="Arial" w:cs="Arial"/>
                <w:sz w:val="20"/>
                <w:szCs w:val="20"/>
              </w:rPr>
            </w:pPr>
            <w:r w:rsidRPr="00F343B1">
              <w:rPr>
                <w:rFonts w:ascii="Arial" w:eastAsia="MS Mincho" w:hAnsi="Arial" w:cs="Arial"/>
                <w:sz w:val="20"/>
                <w:szCs w:val="20"/>
              </w:rPr>
              <w:t>La oportunidad para consulta se desarrollará con base a la oferta de servicios presentada por el contratista (IPS) y según los lineamientos descritos en la normatividad general.</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pStyle w:val="Sinespaciado"/>
              <w:spacing w:line="276" w:lineRule="auto"/>
              <w:ind w:left="-51" w:firstLine="51"/>
              <w:jc w:val="both"/>
              <w:rPr>
                <w:rFonts w:ascii="Arial" w:eastAsia="Arial Unicode MS" w:hAnsi="Arial" w:cs="Arial"/>
                <w:sz w:val="20"/>
                <w:szCs w:val="20"/>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pStyle w:val="Sinespaciado"/>
              <w:spacing w:line="276" w:lineRule="auto"/>
              <w:ind w:left="-51" w:firstLine="51"/>
              <w:jc w:val="both"/>
              <w:rPr>
                <w:rFonts w:ascii="Arial" w:eastAsia="Arial Unicode MS" w:hAnsi="Arial" w:cs="Arial"/>
                <w:sz w:val="20"/>
                <w:szCs w:val="20"/>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firstLine="51"/>
              <w:jc w:val="center"/>
              <w:rPr>
                <w:b/>
              </w:rPr>
            </w:pPr>
            <w:r>
              <w:rPr>
                <w:b/>
              </w:rPr>
              <w:t>21</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firstLine="51"/>
              <w:jc w:val="both"/>
              <w:rPr>
                <w:rFonts w:eastAsia="MS Mincho"/>
              </w:rPr>
            </w:pPr>
            <w:r w:rsidRPr="00F343B1">
              <w:t>La Oportunidad para los Procedimientos diagnósticos y terapéuticos solicitados por los usuarios del Subsistema de Salud de la Policía Nacional – la Regional de Aseguramiento en Salud No. 1 que se encuentren hospitalizados deberán ser resueltos por el contratista de forma inmediata y en consulta externa de acuerdo a lo establecido e</w:t>
            </w:r>
            <w:r w:rsidRPr="00F343B1">
              <w:rPr>
                <w:rFonts w:eastAsia="MS Mincho"/>
              </w:rPr>
              <w:t>n la normatividad general.</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pStyle w:val="Prrafodelista"/>
              <w:ind w:left="-51" w:firstLine="51"/>
              <w:jc w:val="center"/>
              <w:rPr>
                <w:b/>
                <w:bCs/>
              </w:rPr>
            </w:pPr>
            <w:r>
              <w:rPr>
                <w:b/>
                <w:bCs/>
              </w:rPr>
              <w:t>22</w:t>
            </w:r>
          </w:p>
        </w:tc>
        <w:tc>
          <w:tcPr>
            <w:tcW w:w="3405"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pStyle w:val="Prrafodelista"/>
              <w:ind w:left="-51" w:firstLine="51"/>
              <w:jc w:val="both"/>
              <w:rPr>
                <w:bCs/>
              </w:rPr>
            </w:pPr>
            <w:r w:rsidRPr="00F343B1">
              <w:rPr>
                <w:bCs/>
              </w:rPr>
              <w:t xml:space="preserve">El contratista deberá reportar en medio magnético mensualmente a la oficina de garantía de calidad y auditoria medica de la </w:t>
            </w:r>
            <w:r w:rsidRPr="00F343B1">
              <w:t xml:space="preserve">Regional de Aseguramiento en Salud No. </w:t>
            </w:r>
            <w:r w:rsidRPr="00F343B1">
              <w:rPr>
                <w:bCs/>
              </w:rPr>
              <w:t xml:space="preserve">los indicadores de la Circular Externa Supersalud 012 de 2010, así como los Indicadores de calidad en la prestación de servicios, definidos en el Sistema de Información para la Calidad del Sistema Obligatorio de Garantía de Calidad de la Atención en Salud. </w:t>
            </w:r>
          </w:p>
          <w:p w:rsidR="004D55CC" w:rsidRPr="00F343B1" w:rsidRDefault="004D55CC" w:rsidP="00A159B8">
            <w:pPr>
              <w:pStyle w:val="Prrafodelista"/>
              <w:ind w:left="-51" w:firstLine="51"/>
              <w:jc w:val="both"/>
              <w:rPr>
                <w:bCs/>
              </w:rPr>
            </w:pPr>
          </w:p>
          <w:p w:rsidR="004D55CC" w:rsidRPr="00F343B1" w:rsidRDefault="004D55CC" w:rsidP="00A159B8">
            <w:pPr>
              <w:pStyle w:val="Prrafodelista"/>
              <w:ind w:left="-51" w:firstLine="51"/>
              <w:jc w:val="both"/>
            </w:pPr>
            <w:r w:rsidRPr="00F343B1">
              <w:rPr>
                <w:bCs/>
              </w:rPr>
              <w:t>Estos indicadores deberán ser enviados durante los primeros quince (15) días del mes los</w:t>
            </w:r>
            <w:r w:rsidRPr="00F343B1">
              <w:t xml:space="preserve"> se apliquen a la IPS según listado que se relaciona a continuación:</w:t>
            </w:r>
          </w:p>
          <w:p w:rsidR="004D55CC" w:rsidRPr="00F343B1" w:rsidRDefault="004D55CC" w:rsidP="00A159B8">
            <w:pPr>
              <w:shd w:val="clear" w:color="auto" w:fill="FFFFFF"/>
              <w:tabs>
                <w:tab w:val="left" w:pos="355"/>
              </w:tabs>
              <w:ind w:left="-51" w:right="62" w:firstLine="51"/>
              <w:jc w:val="both"/>
              <w:rPr>
                <w:spacing w:val="-12"/>
              </w:rPr>
            </w:pP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rPr>
                <w:b/>
                <w:bCs/>
              </w:rPr>
            </w:pPr>
            <w:r w:rsidRPr="00F343B1">
              <w:t>Registro de actividades por a</w:t>
            </w:r>
            <w:r w:rsidRPr="00F343B1">
              <w:rPr>
                <w:spacing w:val="-1"/>
              </w:rPr>
              <w:t>tención Urgencias</w:t>
            </w: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rPr>
                <w:b/>
                <w:bCs/>
              </w:rPr>
            </w:pPr>
            <w:r w:rsidRPr="00F343B1">
              <w:t>Registro de actividades por a</w:t>
            </w:r>
            <w:r w:rsidRPr="00F343B1">
              <w:rPr>
                <w:spacing w:val="-1"/>
              </w:rPr>
              <w:t xml:space="preserve">tención </w:t>
            </w: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rPr>
                <w:b/>
                <w:bCs/>
              </w:rPr>
            </w:pPr>
            <w:r w:rsidRPr="00F343B1">
              <w:t xml:space="preserve">Registro de partos Vaginales </w:t>
            </w: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pPr>
            <w:r w:rsidRPr="00F343B1">
              <w:t>Registro de morbilidad por grupos etéreos y sexo</w:t>
            </w: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pPr>
            <w:r w:rsidRPr="00F343B1">
              <w:t>Registro de Natalicios por grupos etéreos y sexo</w:t>
            </w:r>
          </w:p>
          <w:p w:rsidR="004D55CC" w:rsidRPr="00F343B1" w:rsidRDefault="004D55CC" w:rsidP="00A159B8">
            <w:pPr>
              <w:pStyle w:val="Prrafodelista"/>
              <w:widowControl w:val="0"/>
              <w:numPr>
                <w:ilvl w:val="0"/>
                <w:numId w:val="7"/>
              </w:numPr>
              <w:shd w:val="clear" w:color="auto" w:fill="FFFFFF"/>
              <w:tabs>
                <w:tab w:val="left" w:pos="601"/>
              </w:tabs>
              <w:adjustRightInd w:val="0"/>
              <w:ind w:left="-51" w:right="62" w:firstLine="51"/>
            </w:pPr>
            <w:r w:rsidRPr="00F343B1">
              <w:t>Registro de mortalidad por grupos etéreos y sexo</w:t>
            </w:r>
          </w:p>
          <w:p w:rsidR="004D55CC" w:rsidRPr="00F343B1" w:rsidRDefault="004D55CC" w:rsidP="00A159B8">
            <w:pPr>
              <w:pStyle w:val="Prrafodelista"/>
              <w:ind w:left="-51" w:firstLine="51"/>
              <w:jc w:val="both"/>
            </w:pPr>
          </w:p>
          <w:p w:rsidR="004D55CC" w:rsidRPr="00F343B1" w:rsidRDefault="004D55CC" w:rsidP="00A159B8">
            <w:pPr>
              <w:pStyle w:val="Prrafodelista"/>
              <w:ind w:left="-51" w:firstLine="51"/>
              <w:jc w:val="both"/>
            </w:pPr>
            <w:r w:rsidRPr="00F343B1">
              <w:t>Igualmente se debe incluir los indicadores estipulados en la circular 030 de la Supersalud de 19 de mayo de 2006.</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pStyle w:val="Prrafodelista"/>
              <w:spacing w:line="276" w:lineRule="auto"/>
              <w:ind w:left="-51" w:firstLine="51"/>
              <w:jc w:val="both"/>
              <w:rPr>
                <w:bC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pStyle w:val="Prrafodelista"/>
              <w:spacing w:line="276" w:lineRule="auto"/>
              <w:ind w:left="-51" w:firstLine="51"/>
              <w:jc w:val="both"/>
              <w:rPr>
                <w:bC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rFonts w:eastAsia="MS Mincho"/>
                <w:b/>
              </w:rPr>
            </w:pPr>
            <w:r>
              <w:rPr>
                <w:rFonts w:eastAsia="MS Mincho"/>
                <w:b/>
              </w:rPr>
              <w:t>23</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rPr>
                <w:rFonts w:eastAsia="MS Mincho"/>
              </w:rPr>
              <w:t xml:space="preserve">Cuando se detecte que un paciente es </w:t>
            </w:r>
            <w:proofErr w:type="spellStart"/>
            <w:r w:rsidRPr="00F343B1">
              <w:rPr>
                <w:rFonts w:eastAsia="MS Mincho"/>
                <w:u w:val="single"/>
              </w:rPr>
              <w:t>consultador</w:t>
            </w:r>
            <w:proofErr w:type="spellEnd"/>
            <w:r w:rsidRPr="00F343B1">
              <w:rPr>
                <w:rFonts w:eastAsia="MS Mincho"/>
                <w:u w:val="single"/>
              </w:rPr>
              <w:t xml:space="preserve"> crónico </w:t>
            </w:r>
            <w:r w:rsidRPr="00F343B1">
              <w:rPr>
                <w:rFonts w:eastAsia="MS Mincho"/>
              </w:rPr>
              <w:t xml:space="preserve">El contratista deberá reportar a la Central de Autorizaciones Oficina de Referencia Contrarreferencia de la </w:t>
            </w:r>
            <w:r w:rsidRPr="00F343B1">
              <w:t>Regional de Aseguramiento en Salud No. 1, indicando</w:t>
            </w:r>
            <w:r w:rsidRPr="00F343B1">
              <w:rPr>
                <w:rFonts w:eastAsia="MS Mincho"/>
              </w:rPr>
              <w:t xml:space="preserve"> sus datos personales y cada cuanto tiempo está consultando y/o cada cuanto se ha requerido su internación.</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24</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t xml:space="preserve">El contratista deberá realizar el reporte de RIPS según la Resolución 3374 del 27 de diciembre de 2000 “Por el cual se reglamentan los datos básicos que deben reportar los prestadores de servicios de salud y las entidades prestadoras de planes de beneficios sobre los servicios de salud prestados”, de forma mensual con la radicación de las facturas. </w:t>
            </w:r>
            <w:r w:rsidRPr="00F343B1">
              <w:rPr>
                <w:spacing w:val="-1"/>
              </w:rPr>
              <w:t xml:space="preserve">Las facturas que sean acompañadas de </w:t>
            </w:r>
            <w:r w:rsidRPr="00F343B1">
              <w:rPr>
                <w:spacing w:val="-2"/>
              </w:rPr>
              <w:t>RIPS en medio magnético que no tengan concordancia exacta con lo aportado físicamente o que no cumpla los requisitos de estructura y calidad de nuestra malla validadora serán objeto de devolución.</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25</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t>El contratista deberá contar con un sistema de referencia y contrarreferencia y una oficina de atención al usuario con el fin de garantizar una comunicación efectiva y ágil con la Regional de Aseguramiento en Salud No. 1 para el manejo de la prestación del servicio.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1438"/>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26</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t>El contratista acepta que por ningún motivo se autorizaran con posterioridad los servicios prestados a usuarios de la Regional de Aseguramiento en Salud No. 1   que nunca fueron notificados y/o informados, en su debido tiempo bajo los términos de la Resolución 3047 de 2008 o normatividad que la modifique, al funcionario de la Central de Referencia, Contrarreferencia y Autorizaciones de la Regional de Aseguramiento en Salud No. 1</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27</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pPr>
            <w:r w:rsidRPr="00F343B1">
              <w:t xml:space="preserve">El contratista deberá presentar la facturación correspondiente al mes causado dentro de los cinco (5) días del mes siguiente en la Ventanilla Única Central de Cuentas de la Unidad Prestadora de Salud Boyacá en la Calle 21 No. 8 – 70 Centro Histórico Tunja de la Regional de Aseguramiento en Salud No. 1 organizada de acuerdo con la normatividad descrita en la ley General de Archivo, Ley 594 de julio 14 de 2000 demás normas que la sustituyan o modifiquen. </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28</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pPr>
            <w:r w:rsidRPr="00F343B1">
              <w:t xml:space="preserve">El contratista deberá presentar la facturación agruparse en paquetes individuales de máximo 250 folios por paquete de acuerdo a lo establecido por el Grupo de Conservación y Restauración del Archivo General </w:t>
            </w:r>
            <w:proofErr w:type="gramStart"/>
            <w:r w:rsidRPr="00F343B1">
              <w:t>dela</w:t>
            </w:r>
            <w:proofErr w:type="gramEnd"/>
            <w:r w:rsidRPr="00F343B1">
              <w:t xml:space="preserve"> Nación y según la Ley 597 de 2000. </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29</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t>El contratista deberá enviar el primer día hábil de cada semana a la Regional de Aseguramiento en Salud No. 1 información de notificación epidemiológica semanal (solo se notifica los casos de usuarios del Subsistema de Salud de la Policía Nacional).</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rFonts w:eastAsia="Arial Unicode MS"/>
                <w:b/>
              </w:rPr>
            </w:pPr>
            <w:r>
              <w:rPr>
                <w:rFonts w:eastAsia="Arial Unicode MS"/>
                <w:b/>
              </w:rPr>
              <w:t>30</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rPr>
                <w:rFonts w:eastAsia="Arial Unicode MS"/>
              </w:rPr>
              <w:t>El contratista deberá responder laboralmente por la vinculación del personal que contrate o utilice para la ejecución del contrato: Asumir el pago de salarios, prestaciones sociales e Indemnización de carácter laboral del personal que utilice para la ejecución del objeto del contrato.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Arial Unicode M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Arial Unicode M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rFonts w:eastAsia="MS Mincho"/>
                <w:b/>
              </w:rPr>
            </w:pPr>
            <w:r>
              <w:rPr>
                <w:rFonts w:eastAsia="MS Mincho"/>
                <w:b/>
              </w:rPr>
              <w:t>31</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rPr>
                <w:rFonts w:eastAsia="MS Mincho"/>
              </w:rPr>
              <w:t xml:space="preserve">El contratista deberá garantizar que para el servicio de traslado por REFERENCIA DE PACIENTES, para tratamientos y hospitalizaciones en mayor complejidad a la ofertada, se harán las 24 horas del día, desde la sede del remitente, </w:t>
            </w:r>
            <w:hyperlink r:id="rId11" w:history="1">
              <w:r w:rsidRPr="00F343B1">
                <w:rPr>
                  <w:rStyle w:val="Hipervnculo"/>
                </w:rPr>
                <w:t>disan.upb-rc@policia.gov.co</w:t>
              </w:r>
            </w:hyperlink>
            <w:r w:rsidRPr="00F343B1">
              <w:t xml:space="preserve"> y verificada por medio telefónico por parte de la IPS a la Regional de Aseguramiento en Salud No. 1 a los teléfonos: Teléfonos  3505560928.</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rPr>
            </w:pPr>
            <w:r>
              <w:rPr>
                <w:b/>
              </w:rPr>
              <w:t>32</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rPr>
            </w:pPr>
            <w:r w:rsidRPr="00F343B1">
              <w:t xml:space="preserve">El contratista deberá gestionar la iniciación de la remisión necesaria para servicios de mayor complejidad a la ofertada por la IPS y/o contratados, ante la </w:t>
            </w:r>
            <w:r w:rsidRPr="00F343B1">
              <w:rPr>
                <w:b/>
                <w:bCs/>
              </w:rPr>
              <w:t>Central de Autorizaciones – Oficina de Referencia Contra referencia de Regional de Aseguramiento en Salud No. 1</w:t>
            </w:r>
            <w:r w:rsidRPr="00F343B1">
              <w:t>, en forma oportuna.</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adjustRightInd w:val="0"/>
              <w:ind w:left="-51" w:firstLine="51"/>
              <w:contextualSpacing/>
              <w:jc w:val="center"/>
              <w:rPr>
                <w:b/>
                <w:bCs/>
              </w:rPr>
            </w:pPr>
            <w:r>
              <w:rPr>
                <w:b/>
                <w:bCs/>
              </w:rPr>
              <w:t>33</w:t>
            </w:r>
          </w:p>
        </w:tc>
        <w:tc>
          <w:tcPr>
            <w:tcW w:w="3405"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ind w:left="-51" w:firstLine="51"/>
              <w:contextualSpacing/>
              <w:jc w:val="both"/>
              <w:rPr>
                <w:bCs/>
              </w:rPr>
            </w:pPr>
            <w:r w:rsidRPr="00F343B1">
              <w:rPr>
                <w:bCs/>
              </w:rPr>
              <w:t xml:space="preserve">El Subsistema de salud de las Fuerzas Militares y Policía Nacional cuenta con un manual único de medicamentos y terapéutica del SSPM establecido en el </w:t>
            </w:r>
            <w:r w:rsidRPr="00F343B1">
              <w:rPr>
                <w:bCs/>
              </w:rPr>
              <w:lastRenderedPageBreak/>
              <w:t>acuerdo No 052 de 2013 el cual debe ser de conocimiento del contratista y del personal de profesionales para que la prescripción de medicamentos se realice conforme a lo establecido en el mencionado acuerdo.</w:t>
            </w:r>
          </w:p>
          <w:p w:rsidR="004D55CC" w:rsidRPr="00F343B1" w:rsidRDefault="004D55CC" w:rsidP="00A159B8">
            <w:pPr>
              <w:adjustRightInd w:val="0"/>
              <w:ind w:left="-51" w:firstLine="51"/>
              <w:contextualSpacing/>
              <w:jc w:val="both"/>
              <w:rPr>
                <w:bCs/>
              </w:rPr>
            </w:pPr>
          </w:p>
          <w:p w:rsidR="004D55CC" w:rsidRPr="00F343B1" w:rsidRDefault="004D55CC" w:rsidP="00A159B8">
            <w:pPr>
              <w:adjustRightInd w:val="0"/>
              <w:ind w:left="-51" w:firstLine="51"/>
              <w:contextualSpacing/>
              <w:jc w:val="both"/>
              <w:rPr>
                <w:bCs/>
              </w:rPr>
            </w:pPr>
            <w:r w:rsidRPr="00F343B1">
              <w:rPr>
                <w:bCs/>
              </w:rPr>
              <w:t>cuando se haga necesaria la formulación de medicamentos que no estén contemplados en el acuerdo No 052 de 2013, se debe cumplir con el siguiente protocolo:</w:t>
            </w:r>
          </w:p>
          <w:p w:rsidR="004D55CC" w:rsidRPr="00F343B1" w:rsidRDefault="004D55CC" w:rsidP="00A159B8">
            <w:pPr>
              <w:adjustRightInd w:val="0"/>
              <w:ind w:left="-51" w:firstLine="51"/>
              <w:jc w:val="both"/>
              <w:rPr>
                <w:bCs/>
              </w:rPr>
            </w:pPr>
          </w:p>
          <w:p w:rsidR="004D55CC" w:rsidRPr="00F343B1" w:rsidRDefault="004D55CC" w:rsidP="00A159B8">
            <w:pPr>
              <w:numPr>
                <w:ilvl w:val="0"/>
                <w:numId w:val="25"/>
              </w:numPr>
              <w:tabs>
                <w:tab w:val="left" w:pos="233"/>
              </w:tabs>
              <w:adjustRightInd w:val="0"/>
              <w:ind w:left="-51" w:firstLine="51"/>
              <w:contextualSpacing/>
              <w:jc w:val="both"/>
              <w:rPr>
                <w:bCs/>
              </w:rPr>
            </w:pPr>
            <w:r w:rsidRPr="00F343B1">
              <w:rPr>
                <w:bCs/>
              </w:rPr>
              <w:t>La prescripción del medicamento no incluido en el Manual de Medicamentos y Terapéutica del SSMP, sólo podrá realizarse por un médico u odontólogo especialista habilitado según corresponda, para la formulación correspondiente.</w:t>
            </w:r>
          </w:p>
          <w:p w:rsidR="004D55CC" w:rsidRPr="00F343B1" w:rsidRDefault="004D55CC" w:rsidP="00A159B8">
            <w:pPr>
              <w:numPr>
                <w:ilvl w:val="0"/>
                <w:numId w:val="25"/>
              </w:numPr>
              <w:tabs>
                <w:tab w:val="left" w:pos="233"/>
              </w:tabs>
              <w:adjustRightInd w:val="0"/>
              <w:ind w:left="-51" w:firstLine="51"/>
              <w:contextualSpacing/>
              <w:jc w:val="both"/>
              <w:rPr>
                <w:bCs/>
              </w:rPr>
            </w:pPr>
            <w:r w:rsidRPr="00F343B1">
              <w:rPr>
                <w:bCs/>
              </w:rPr>
              <w:t>Debe existir un riesgo inminente para la vida y salud del paciente, lo cual debe ser demostrable y constar en la historia clínica respectiva.</w:t>
            </w:r>
          </w:p>
          <w:p w:rsidR="004D55CC" w:rsidRPr="00F343B1" w:rsidRDefault="004D55CC" w:rsidP="00A159B8">
            <w:pPr>
              <w:numPr>
                <w:ilvl w:val="0"/>
                <w:numId w:val="25"/>
              </w:numPr>
              <w:tabs>
                <w:tab w:val="left" w:pos="233"/>
              </w:tabs>
              <w:adjustRightInd w:val="0"/>
              <w:ind w:left="-51" w:firstLine="51"/>
              <w:contextualSpacing/>
              <w:jc w:val="both"/>
              <w:rPr>
                <w:bCs/>
              </w:rPr>
            </w:pPr>
            <w:r w:rsidRPr="00F343B1">
              <w:rPr>
                <w:bCs/>
              </w:rPr>
              <w:t xml:space="preserve">La prescripción de estos medicamentos será consecuencia de haber utilizado y agotado todas las posibilidades terapéuticas del presente Manual, sin obtener respuesta clínica o para clínica satisfactoria en el término previsto en sus indicaciones, o del observar reacciones adversas </w:t>
            </w:r>
            <w:proofErr w:type="spellStart"/>
            <w:r w:rsidRPr="00F343B1">
              <w:rPr>
                <w:bCs/>
              </w:rPr>
              <w:t>intoleradas</w:t>
            </w:r>
            <w:proofErr w:type="spellEnd"/>
            <w:r w:rsidRPr="00F343B1">
              <w:rPr>
                <w:bCs/>
              </w:rPr>
              <w:t xml:space="preserve"> por el paciente, o porque existan contraindicaciones expresas sin alternativa en el Manual. De lo anterior se deberá dejar constancia en la historia clínica del paciente.</w:t>
            </w:r>
          </w:p>
          <w:p w:rsidR="004D55CC" w:rsidRPr="00F343B1" w:rsidRDefault="004D55CC" w:rsidP="00A159B8">
            <w:pPr>
              <w:numPr>
                <w:ilvl w:val="0"/>
                <w:numId w:val="25"/>
              </w:numPr>
              <w:tabs>
                <w:tab w:val="left" w:pos="233"/>
              </w:tabs>
              <w:adjustRightInd w:val="0"/>
              <w:ind w:left="-51" w:firstLine="51"/>
              <w:contextualSpacing/>
              <w:jc w:val="both"/>
              <w:rPr>
                <w:bCs/>
              </w:rPr>
            </w:pPr>
            <w:r w:rsidRPr="00F343B1">
              <w:rPr>
                <w:bCs/>
              </w:rPr>
              <w:t>Las solicitudes de este tipo de moléculas a nivel ambulatorio y hospitalario, deben estar debidamente soportadas y diligenciadas en los formatos respectivos. Ambulatorio (formato emitido por el Establecimiento de Sanidad Policial) e intrahospitalario (formato emitido por el respectivo prestador).</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spacing w:line="276" w:lineRule="auto"/>
              <w:ind w:left="-51" w:firstLine="51"/>
              <w:contextualSpacing/>
              <w:jc w:val="both"/>
              <w:rPr>
                <w:bC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adjustRightInd w:val="0"/>
              <w:spacing w:line="276" w:lineRule="auto"/>
              <w:ind w:left="-51" w:firstLine="51"/>
              <w:contextualSpacing/>
              <w:jc w:val="both"/>
              <w:rPr>
                <w:bC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adjustRightInd w:val="0"/>
              <w:ind w:left="-51"/>
              <w:contextualSpacing/>
              <w:jc w:val="center"/>
              <w:rPr>
                <w:b/>
              </w:rPr>
            </w:pPr>
            <w:r>
              <w:rPr>
                <w:b/>
              </w:rPr>
              <w:t>34</w:t>
            </w:r>
          </w:p>
        </w:tc>
        <w:tc>
          <w:tcPr>
            <w:tcW w:w="3405"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ind w:left="-51"/>
              <w:contextualSpacing/>
              <w:jc w:val="both"/>
            </w:pPr>
            <w:r w:rsidRPr="00F343B1">
              <w:t xml:space="preserve">El contratista deberá socializar al personal asistencial que preste los servicios ambulatorios la Directiva No 001 DIPON – DITAH de </w:t>
            </w:r>
            <w:proofErr w:type="gramStart"/>
            <w:r w:rsidRPr="00F343B1">
              <w:t>Mayo</w:t>
            </w:r>
            <w:proofErr w:type="gramEnd"/>
            <w:r w:rsidRPr="00F343B1">
              <w:t xml:space="preserve"> 03 de 2019 la cual estipula “Directrices a observar en la expedición y registro de las excusas de servicio por incapacidad médica o licencia por maternidad y para el control y seguimiento del personal excusado de servicios”, la cual estipula lo siguiente:</w:t>
            </w:r>
          </w:p>
          <w:p w:rsidR="004D55CC" w:rsidRPr="00F343B1" w:rsidRDefault="004D55CC" w:rsidP="00A159B8">
            <w:pPr>
              <w:adjustRightInd w:val="0"/>
              <w:ind w:left="-51" w:firstLine="51"/>
              <w:contextualSpacing/>
              <w:jc w:val="both"/>
              <w:rPr>
                <w:bCs/>
              </w:rPr>
            </w:pPr>
          </w:p>
          <w:p w:rsidR="004D55CC" w:rsidRPr="00F343B1" w:rsidRDefault="004D55CC" w:rsidP="00A159B8">
            <w:pPr>
              <w:adjustRightInd w:val="0"/>
              <w:ind w:left="-51" w:firstLine="51"/>
              <w:contextualSpacing/>
              <w:jc w:val="both"/>
            </w:pPr>
            <w:r w:rsidRPr="00F343B1">
              <w:t>Excusa de Servicio por Incapacidad Médica. Es el documento mediante el cual se emite el concepto Médico u Odontológico de inhabilidad física y/o mental, que impida desempeñar en forma total o parcial su trabajo habitual. Se definen dos clases de excusa de servicio:</w:t>
            </w:r>
          </w:p>
          <w:p w:rsidR="004D55CC" w:rsidRPr="00F343B1" w:rsidRDefault="004D55CC" w:rsidP="00A159B8">
            <w:pPr>
              <w:adjustRightInd w:val="0"/>
              <w:ind w:left="-51" w:firstLine="51"/>
              <w:contextualSpacing/>
              <w:jc w:val="both"/>
              <w:rPr>
                <w:bCs/>
              </w:rPr>
            </w:pPr>
          </w:p>
          <w:p w:rsidR="004D55CC" w:rsidRPr="00F343B1" w:rsidRDefault="004D55CC" w:rsidP="00A159B8">
            <w:pPr>
              <w:adjustRightInd w:val="0"/>
              <w:ind w:left="-51" w:firstLine="51"/>
              <w:jc w:val="both"/>
            </w:pPr>
            <w:r w:rsidRPr="00F343B1">
              <w:t>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w:t>
            </w:r>
          </w:p>
          <w:p w:rsidR="004D55CC" w:rsidRPr="00F343B1" w:rsidRDefault="004D55CC" w:rsidP="00A159B8">
            <w:pPr>
              <w:adjustRightInd w:val="0"/>
              <w:ind w:left="-51" w:firstLine="51"/>
              <w:jc w:val="both"/>
            </w:pPr>
          </w:p>
          <w:p w:rsidR="004D55CC" w:rsidRPr="00F343B1" w:rsidRDefault="004D55CC" w:rsidP="00A159B8">
            <w:pPr>
              <w:adjustRightInd w:val="0"/>
              <w:ind w:left="-51" w:firstLine="51"/>
              <w:jc w:val="both"/>
              <w:rPr>
                <w:bCs/>
              </w:rPr>
            </w:pPr>
            <w:r w:rsidRPr="00F343B1">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spacing w:line="276" w:lineRule="auto"/>
              <w:ind w:left="-51" w:firstLine="51"/>
              <w:contextualSpacing/>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adjustRightInd w:val="0"/>
              <w:spacing w:line="276" w:lineRule="auto"/>
              <w:ind w:left="-51" w:firstLine="51"/>
              <w:contextualSpacing/>
              <w:jc w:val="both"/>
            </w:pPr>
          </w:p>
        </w:tc>
      </w:tr>
      <w:tr w:rsidR="004D55CC" w:rsidRPr="00911156" w:rsidTr="00A159B8">
        <w:trPr>
          <w:trHeight w:val="953"/>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adjustRightInd w:val="0"/>
              <w:ind w:left="-51"/>
              <w:contextualSpacing/>
              <w:jc w:val="center"/>
              <w:rPr>
                <w:b/>
              </w:rPr>
            </w:pPr>
            <w:r>
              <w:rPr>
                <w:b/>
              </w:rPr>
              <w:t>35</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adjustRightInd w:val="0"/>
              <w:ind w:left="-51"/>
              <w:contextualSpacing/>
              <w:jc w:val="both"/>
            </w:pPr>
            <w:r w:rsidRPr="00F343B1">
              <w:t xml:space="preserve">Para la remisión a especialista, en el ámbito hospitalario y/o urgencias siempre deberá remitirse el paciente diligenciando por el profesional de salud del Contratista, el formato de </w:t>
            </w:r>
            <w:proofErr w:type="spellStart"/>
            <w:r w:rsidRPr="00F343B1">
              <w:t>contra-referencia</w:t>
            </w:r>
            <w:proofErr w:type="spellEnd"/>
            <w:r w:rsidRPr="00F343B1">
              <w:t xml:space="preserve"> informando el estado de salud del usuario, su evolución clínica y plan de manejo.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spacing w:line="276" w:lineRule="auto"/>
              <w:ind w:left="-51" w:firstLine="51"/>
              <w:contextualSpacing/>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adjustRightInd w:val="0"/>
              <w:spacing w:line="276" w:lineRule="auto"/>
              <w:ind w:left="-51" w:firstLine="51"/>
              <w:contextualSpacing/>
              <w:jc w:val="both"/>
            </w:pPr>
          </w:p>
        </w:tc>
      </w:tr>
      <w:tr w:rsidR="004D55CC" w:rsidRPr="00911156" w:rsidTr="00A159B8">
        <w:trPr>
          <w:trHeight w:val="67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adjustRightInd w:val="0"/>
              <w:ind w:left="-51"/>
              <w:contextualSpacing/>
              <w:jc w:val="center"/>
              <w:rPr>
                <w:b/>
              </w:rPr>
            </w:pPr>
            <w:r>
              <w:rPr>
                <w:b/>
              </w:rPr>
              <w:t>36</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adjustRightInd w:val="0"/>
              <w:ind w:left="-51"/>
              <w:contextualSpacing/>
              <w:jc w:val="both"/>
            </w:pPr>
            <w:r w:rsidRPr="00F343B1">
              <w:t>El CONTRATISTA deberá presentar con su propuesta portafolio de servicios con sus CUPS respectivos, especificando detalladamente el código y la descripción de cada uno de los procedimientos y se obliga con la entidad a realizar la prestación de los servicios de salud en las mismas condiciones durante la ejecución del contrato.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adjustRightInd w:val="0"/>
              <w:spacing w:line="276" w:lineRule="auto"/>
              <w:ind w:left="-51" w:firstLine="51"/>
              <w:contextualSpacing/>
              <w:jc w:val="both"/>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adjustRightInd w:val="0"/>
              <w:spacing w:line="276" w:lineRule="auto"/>
              <w:ind w:left="-51" w:firstLine="51"/>
              <w:contextualSpacing/>
              <w:jc w:val="both"/>
            </w:pPr>
          </w:p>
        </w:tc>
      </w:tr>
      <w:tr w:rsidR="004D55CC" w:rsidRPr="00911156" w:rsidTr="00A159B8">
        <w:trPr>
          <w:trHeight w:val="541"/>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rFonts w:eastAsia="MS Mincho"/>
                <w:b/>
                <w:bCs/>
              </w:rPr>
            </w:pPr>
            <w:r>
              <w:rPr>
                <w:rFonts w:eastAsia="MS Mincho"/>
                <w:b/>
                <w:bCs/>
              </w:rPr>
              <w:t>37</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bCs/>
              </w:rPr>
            </w:pPr>
            <w:r w:rsidRPr="00F343B1">
              <w:rPr>
                <w:rFonts w:eastAsia="MS Mincho"/>
                <w:bCs/>
              </w:rPr>
              <w:t>El contratista deberá designar un funcionario para el seguimiento de la ejecución del contrato indicando el nombre y apellido, número de teléfono y correo electrónico.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rFonts w:eastAsia="MS Mincho"/>
                <w:bC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rFonts w:eastAsia="MS Mincho"/>
                <w:bC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iCs/>
              </w:rPr>
            </w:pPr>
            <w:r>
              <w:rPr>
                <w:b/>
                <w:iCs/>
              </w:rPr>
              <w:lastRenderedPageBreak/>
              <w:t>38</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bCs/>
              </w:rPr>
            </w:pPr>
            <w:r w:rsidRPr="00F343B1">
              <w:rPr>
                <w:iCs/>
              </w:rPr>
              <w:t xml:space="preserve">El Contratista deberá adjuntar al momento de la legalización del contrato el listado en Excel de los CUPS contratados con </w:t>
            </w:r>
            <w:r w:rsidRPr="00F343B1">
              <w:t xml:space="preserve">su </w:t>
            </w:r>
            <w:r w:rsidRPr="00F343B1">
              <w:rPr>
                <w:iCs/>
              </w:rPr>
              <w:t>respectivo valor en pesos</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iC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iCs/>
              </w:rPr>
            </w:pPr>
          </w:p>
        </w:tc>
      </w:tr>
      <w:tr w:rsidR="004D55CC" w:rsidRPr="00911156" w:rsidTr="00A159B8">
        <w:trPr>
          <w:trHeight w:val="200"/>
        </w:trPr>
        <w:tc>
          <w:tcPr>
            <w:tcW w:w="421" w:type="pct"/>
            <w:tcBorders>
              <w:top w:val="single" w:sz="12" w:space="0" w:color="auto"/>
              <w:left w:val="single" w:sz="12" w:space="0" w:color="auto"/>
              <w:bottom w:val="single" w:sz="12" w:space="0" w:color="auto"/>
              <w:right w:val="single" w:sz="12" w:space="0" w:color="auto"/>
            </w:tcBorders>
            <w:vAlign w:val="center"/>
          </w:tcPr>
          <w:p w:rsidR="004D55CC" w:rsidRPr="00F343B1" w:rsidRDefault="004D55CC" w:rsidP="00A159B8">
            <w:pPr>
              <w:snapToGrid w:val="0"/>
              <w:ind w:left="-51"/>
              <w:jc w:val="center"/>
              <w:rPr>
                <w:b/>
                <w:iCs/>
              </w:rPr>
            </w:pPr>
            <w:r>
              <w:rPr>
                <w:b/>
                <w:iCs/>
              </w:rPr>
              <w:t>39</w:t>
            </w:r>
          </w:p>
        </w:tc>
        <w:tc>
          <w:tcPr>
            <w:tcW w:w="3405" w:type="pct"/>
            <w:tcBorders>
              <w:top w:val="single" w:sz="12" w:space="0" w:color="auto"/>
              <w:left w:val="single" w:sz="12" w:space="0" w:color="auto"/>
              <w:bottom w:val="single" w:sz="12" w:space="0" w:color="auto"/>
              <w:right w:val="single" w:sz="12" w:space="0" w:color="auto"/>
            </w:tcBorders>
            <w:hideMark/>
          </w:tcPr>
          <w:p w:rsidR="004D55CC" w:rsidRPr="00F343B1" w:rsidRDefault="004D55CC" w:rsidP="00A159B8">
            <w:pPr>
              <w:snapToGrid w:val="0"/>
              <w:ind w:left="-51"/>
              <w:jc w:val="both"/>
              <w:rPr>
                <w:rFonts w:eastAsia="MS Mincho"/>
                <w:bCs/>
              </w:rPr>
            </w:pPr>
            <w:r w:rsidRPr="00F343B1">
              <w:rPr>
                <w:iCs/>
              </w:rPr>
              <w:t>EL Contratista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52" w:type="pct"/>
            <w:tcBorders>
              <w:top w:val="single" w:sz="12" w:space="0" w:color="auto"/>
              <w:left w:val="single" w:sz="12" w:space="0" w:color="auto"/>
              <w:bottom w:val="single" w:sz="12" w:space="0" w:color="auto"/>
              <w:right w:val="single" w:sz="12" w:space="0" w:color="auto"/>
            </w:tcBorders>
          </w:tcPr>
          <w:p w:rsidR="004D55CC" w:rsidRPr="00F343B1" w:rsidRDefault="004D55CC" w:rsidP="00A159B8">
            <w:pPr>
              <w:snapToGrid w:val="0"/>
              <w:spacing w:line="276" w:lineRule="auto"/>
              <w:ind w:left="-51" w:firstLine="51"/>
              <w:jc w:val="both"/>
              <w:rPr>
                <w:iCs/>
              </w:rPr>
            </w:pPr>
          </w:p>
        </w:tc>
        <w:tc>
          <w:tcPr>
            <w:tcW w:w="623" w:type="pct"/>
            <w:tcBorders>
              <w:top w:val="single" w:sz="12" w:space="0" w:color="auto"/>
              <w:left w:val="single" w:sz="12" w:space="0" w:color="auto"/>
              <w:bottom w:val="single" w:sz="12" w:space="0" w:color="auto"/>
              <w:right w:val="single" w:sz="12" w:space="0" w:color="auto"/>
            </w:tcBorders>
          </w:tcPr>
          <w:p w:rsidR="004D55CC" w:rsidRPr="00911156" w:rsidRDefault="004D55CC" w:rsidP="00A159B8">
            <w:pPr>
              <w:snapToGrid w:val="0"/>
              <w:spacing w:line="276" w:lineRule="auto"/>
              <w:ind w:left="-51" w:firstLine="51"/>
              <w:jc w:val="both"/>
              <w:rPr>
                <w:iCs/>
              </w:rPr>
            </w:pPr>
          </w:p>
        </w:tc>
        <w:bookmarkEnd w:id="2"/>
      </w:tr>
    </w:tbl>
    <w:bookmarkEnd w:id="0"/>
    <w:p w:rsidR="0031156C" w:rsidRDefault="00A159B8" w:rsidP="00017334">
      <w:pPr>
        <w:ind w:left="142" w:right="202"/>
        <w:jc w:val="center"/>
        <w:rPr>
          <w:b/>
          <w:color w:val="000000"/>
          <w:szCs w:val="22"/>
        </w:rPr>
      </w:pPr>
      <w:r>
        <w:rPr>
          <w:b/>
          <w:color w:val="000000"/>
          <w:szCs w:val="22"/>
        </w:rPr>
        <w:br w:type="textWrapping" w:clear="all"/>
      </w:r>
    </w:p>
    <w:p w:rsidR="0031156C" w:rsidRDefault="0031156C" w:rsidP="00017334">
      <w:pPr>
        <w:ind w:left="142" w:right="202"/>
        <w:jc w:val="center"/>
        <w:rPr>
          <w:b/>
          <w:color w:val="000000"/>
          <w:szCs w:val="22"/>
        </w:rPr>
      </w:pPr>
    </w:p>
    <w:p w:rsidR="00850DFB" w:rsidRDefault="00850DFB" w:rsidP="00017334">
      <w:pPr>
        <w:ind w:left="142" w:right="202"/>
        <w:jc w:val="center"/>
        <w:rPr>
          <w:b/>
          <w:color w:val="000000"/>
          <w:szCs w:val="22"/>
        </w:rPr>
      </w:pPr>
    </w:p>
    <w:p w:rsidR="00896207" w:rsidRDefault="00896207" w:rsidP="007504C4">
      <w:pPr>
        <w:tabs>
          <w:tab w:val="left" w:pos="-1080"/>
          <w:tab w:val="left" w:pos="0"/>
        </w:tabs>
        <w:jc w:val="both"/>
        <w:rPr>
          <w:rFonts w:eastAsia="MS Mincho"/>
        </w:rPr>
      </w:pPr>
    </w:p>
    <w:p w:rsidR="003C7119" w:rsidRPr="008645F9" w:rsidRDefault="003C7119" w:rsidP="003C7119">
      <w:pPr>
        <w:jc w:val="both"/>
      </w:pPr>
      <w:r w:rsidRPr="008645F9">
        <w:rPr>
          <w:b/>
        </w:rPr>
        <w:t>__________________________________</w:t>
      </w:r>
    </w:p>
    <w:p w:rsidR="003C7119" w:rsidRPr="008645F9" w:rsidRDefault="003C7119" w:rsidP="003C711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3C7119" w:rsidRPr="008645F9" w:rsidRDefault="003C7119" w:rsidP="003C711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992515864"/>
          <w:placeholder>
            <w:docPart w:val="C08990A853B44B76B064C17935DFD40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3C7119" w:rsidRPr="008645F9" w:rsidRDefault="003C7119" w:rsidP="003C711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003858338"/>
          <w:placeholder>
            <w:docPart w:val="093AFC6A17044136B9202823F4C8F64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3C7119" w:rsidRPr="008645F9" w:rsidRDefault="003C7119" w:rsidP="003C711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226802226"/>
          <w:placeholder>
            <w:docPart w:val="81D19F996E964B3397B7658D443D4A2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3C7119" w:rsidRPr="008645F9" w:rsidRDefault="003C7119" w:rsidP="003C711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128533828"/>
          <w:placeholder>
            <w:docPart w:val="0571907A3D224E269AF66BFBAA93BC1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3C7119" w:rsidRPr="008645F9" w:rsidRDefault="003C7119" w:rsidP="003C711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15982508"/>
          <w:placeholder>
            <w:docPart w:val="9BFB974AEF9B4ABF8BB35519FB69E5E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3C7119" w:rsidRPr="008645F9" w:rsidRDefault="003C7119" w:rsidP="003C711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22573638"/>
          <w:placeholder>
            <w:docPart w:val="B5F268A596E64010835A4A24330D2F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3C7119" w:rsidRPr="00A70DFE" w:rsidRDefault="003C7119" w:rsidP="003C711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16679135"/>
          <w:placeholder>
            <w:docPart w:val="CB7A0EE5DBDF4B0085506031AFDAF07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3C7119" w:rsidRDefault="003C7119" w:rsidP="003C7119">
      <w:pPr>
        <w:pStyle w:val="Prrafodelista"/>
        <w:tabs>
          <w:tab w:val="left" w:pos="240"/>
          <w:tab w:val="left" w:pos="6210"/>
        </w:tabs>
        <w:ind w:left="0"/>
        <w:jc w:val="both"/>
        <w:rPr>
          <w:sz w:val="16"/>
          <w:szCs w:val="16"/>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011F49" w:rsidRDefault="00011F49" w:rsidP="007504C4">
      <w:pPr>
        <w:autoSpaceDE/>
        <w:autoSpaceDN/>
        <w:jc w:val="center"/>
        <w:rPr>
          <w:b/>
          <w:bCs/>
          <w:sz w:val="22"/>
          <w:szCs w:val="22"/>
        </w:rPr>
      </w:pPr>
    </w:p>
    <w:p w:rsidR="00011F49" w:rsidRDefault="00011F49"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31156C" w:rsidRDefault="0031156C" w:rsidP="007504C4">
      <w:pPr>
        <w:autoSpaceDE/>
        <w:autoSpaceDN/>
        <w:jc w:val="center"/>
        <w:rPr>
          <w:b/>
          <w:bCs/>
          <w:sz w:val="22"/>
          <w:szCs w:val="22"/>
        </w:rPr>
      </w:pPr>
    </w:p>
    <w:p w:rsidR="00A159B8" w:rsidRDefault="00A159B8" w:rsidP="007504C4">
      <w:pPr>
        <w:autoSpaceDE/>
        <w:autoSpaceDN/>
        <w:jc w:val="center"/>
        <w:rPr>
          <w:b/>
          <w:bCs/>
          <w:sz w:val="22"/>
          <w:szCs w:val="22"/>
        </w:rPr>
      </w:pPr>
    </w:p>
    <w:p w:rsidR="003C7119" w:rsidRDefault="003C7119" w:rsidP="007504C4">
      <w:pPr>
        <w:autoSpaceDE/>
        <w:autoSpaceDN/>
        <w:jc w:val="center"/>
        <w:rPr>
          <w:b/>
          <w:bCs/>
          <w:sz w:val="22"/>
          <w:szCs w:val="22"/>
        </w:rPr>
      </w:pPr>
    </w:p>
    <w:p w:rsidR="00634E6F" w:rsidRDefault="00634E6F" w:rsidP="007504C4">
      <w:pPr>
        <w:autoSpaceDE/>
        <w:autoSpaceDN/>
        <w:jc w:val="center"/>
        <w:rPr>
          <w:b/>
          <w:bCs/>
          <w:sz w:val="22"/>
          <w:szCs w:val="22"/>
        </w:rPr>
      </w:pPr>
    </w:p>
    <w:p w:rsidR="00634E6F" w:rsidRDefault="00634E6F" w:rsidP="007504C4">
      <w:pPr>
        <w:autoSpaceDE/>
        <w:autoSpaceDN/>
        <w:jc w:val="center"/>
        <w:rPr>
          <w:b/>
          <w:bCs/>
          <w:sz w:val="22"/>
          <w:szCs w:val="22"/>
        </w:rPr>
      </w:pPr>
    </w:p>
    <w:p w:rsidR="003C7119" w:rsidRDefault="003C7119" w:rsidP="007504C4">
      <w:pPr>
        <w:autoSpaceDE/>
        <w:autoSpaceDN/>
        <w:jc w:val="center"/>
        <w:rPr>
          <w:b/>
          <w:bCs/>
          <w:sz w:val="22"/>
          <w:szCs w:val="22"/>
        </w:rPr>
      </w:pPr>
    </w:p>
    <w:p w:rsidR="003C7119" w:rsidRDefault="003C7119" w:rsidP="007504C4">
      <w:pPr>
        <w:autoSpaceDE/>
        <w:autoSpaceDN/>
        <w:jc w:val="center"/>
        <w:rPr>
          <w:b/>
          <w:bCs/>
          <w:sz w:val="22"/>
          <w:szCs w:val="22"/>
        </w:rPr>
      </w:pPr>
      <w:bookmarkStart w:id="3" w:name="_Hlk99380595"/>
      <w:bookmarkEnd w:id="3"/>
    </w:p>
    <w:sectPr w:rsidR="003C7119" w:rsidSect="009269DF">
      <w:footerReference w:type="default" r:id="rId12"/>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83F" w:rsidRDefault="0050283F">
      <w:r>
        <w:separator/>
      </w:r>
    </w:p>
  </w:endnote>
  <w:endnote w:type="continuationSeparator" w:id="0">
    <w:p w:rsidR="0050283F" w:rsidRDefault="00502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83F" w:rsidRDefault="0050283F">
      <w:r>
        <w:separator/>
      </w:r>
    </w:p>
  </w:footnote>
  <w:footnote w:type="continuationSeparator" w:id="0">
    <w:p w:rsidR="0050283F" w:rsidRDefault="00502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46A21"/>
    <w:rsid w:val="00260185"/>
    <w:rsid w:val="0026503B"/>
    <w:rsid w:val="00266387"/>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283F"/>
    <w:rsid w:val="005043BC"/>
    <w:rsid w:val="00504571"/>
    <w:rsid w:val="00504609"/>
    <w:rsid w:val="005062FF"/>
    <w:rsid w:val="00515E29"/>
    <w:rsid w:val="0052480D"/>
    <w:rsid w:val="00526F41"/>
    <w:rsid w:val="00532479"/>
    <w:rsid w:val="00542EAF"/>
    <w:rsid w:val="00553200"/>
    <w:rsid w:val="00561AB6"/>
    <w:rsid w:val="00565F12"/>
    <w:rsid w:val="00566649"/>
    <w:rsid w:val="00570CFE"/>
    <w:rsid w:val="00575F22"/>
    <w:rsid w:val="00577805"/>
    <w:rsid w:val="00595D9D"/>
    <w:rsid w:val="005A6E71"/>
    <w:rsid w:val="005A72AA"/>
    <w:rsid w:val="005A75B7"/>
    <w:rsid w:val="005B0576"/>
    <w:rsid w:val="005B2F09"/>
    <w:rsid w:val="005D07E5"/>
    <w:rsid w:val="005D1039"/>
    <w:rsid w:val="005D41A9"/>
    <w:rsid w:val="005D751B"/>
    <w:rsid w:val="005E14BE"/>
    <w:rsid w:val="005F69DA"/>
    <w:rsid w:val="005F7ECE"/>
    <w:rsid w:val="006074AC"/>
    <w:rsid w:val="00624B37"/>
    <w:rsid w:val="00631610"/>
    <w:rsid w:val="00634E6F"/>
    <w:rsid w:val="00645088"/>
    <w:rsid w:val="00646909"/>
    <w:rsid w:val="00651E4C"/>
    <w:rsid w:val="00654EE0"/>
    <w:rsid w:val="0066494C"/>
    <w:rsid w:val="00665D72"/>
    <w:rsid w:val="006660F9"/>
    <w:rsid w:val="00671BF2"/>
    <w:rsid w:val="00674276"/>
    <w:rsid w:val="0069267C"/>
    <w:rsid w:val="006A63FC"/>
    <w:rsid w:val="006A760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02B14"/>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99B"/>
    <w:rsid w:val="009A5C5C"/>
    <w:rsid w:val="009A6991"/>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80655"/>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4540"/>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14C0"/>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4A66"/>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7602"/>
    <w:rsid w:val="00FA7F75"/>
    <w:rsid w:val="00FB0283"/>
    <w:rsid w:val="00FB0440"/>
    <w:rsid w:val="00FB428B"/>
    <w:rsid w:val="00FB4627"/>
    <w:rsid w:val="00FC03D6"/>
    <w:rsid w:val="00FC45B5"/>
    <w:rsid w:val="00FD3CF9"/>
    <w:rsid w:val="00FE07E9"/>
    <w:rsid w:val="00FE26F5"/>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65F0C"/>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aut@polici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san.upb-rc@policia.gov.c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san.upb-rc@polici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eboy.upres-spa@policia.gov.co" TargetMode="External"/><Relationship Id="rId4" Type="http://schemas.openxmlformats.org/officeDocument/2006/relationships/webSettings" Target="webSettings.xml"/><Relationship Id="rId9" Type="http://schemas.openxmlformats.org/officeDocument/2006/relationships/hyperlink" Target="mailto:disan.upb-rc@policia.gov.co"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8990A853B44B76B064C17935DFD402"/>
        <w:category>
          <w:name w:val="General"/>
          <w:gallery w:val="placeholder"/>
        </w:category>
        <w:types>
          <w:type w:val="bbPlcHdr"/>
        </w:types>
        <w:behaviors>
          <w:behavior w:val="content"/>
        </w:behaviors>
        <w:guid w:val="{A0995BD7-E8C6-4D4F-BC9C-7901F93E0B77}"/>
      </w:docPartPr>
      <w:docPartBody>
        <w:p w:rsidR="007D5835" w:rsidRDefault="00905423" w:rsidP="00905423">
          <w:pPr>
            <w:pStyle w:val="C08990A853B44B76B064C17935DFD40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93AFC6A17044136B9202823F4C8F645"/>
        <w:category>
          <w:name w:val="General"/>
          <w:gallery w:val="placeholder"/>
        </w:category>
        <w:types>
          <w:type w:val="bbPlcHdr"/>
        </w:types>
        <w:behaviors>
          <w:behavior w:val="content"/>
        </w:behaviors>
        <w:guid w:val="{9BC35521-B3AA-4E38-A2E4-3E769E967D27}"/>
      </w:docPartPr>
      <w:docPartBody>
        <w:p w:rsidR="007D5835" w:rsidRDefault="00905423" w:rsidP="00905423">
          <w:pPr>
            <w:pStyle w:val="093AFC6A17044136B9202823F4C8F6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1D19F996E964B3397B7658D443D4A27"/>
        <w:category>
          <w:name w:val="General"/>
          <w:gallery w:val="placeholder"/>
        </w:category>
        <w:types>
          <w:type w:val="bbPlcHdr"/>
        </w:types>
        <w:behaviors>
          <w:behavior w:val="content"/>
        </w:behaviors>
        <w:guid w:val="{00AD956C-B48F-45DD-8DB0-3E5DB3CA91EC}"/>
      </w:docPartPr>
      <w:docPartBody>
        <w:p w:rsidR="007D5835" w:rsidRDefault="00905423" w:rsidP="00905423">
          <w:pPr>
            <w:pStyle w:val="81D19F996E964B3397B7658D443D4A2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571907A3D224E269AF66BFBAA93BC19"/>
        <w:category>
          <w:name w:val="General"/>
          <w:gallery w:val="placeholder"/>
        </w:category>
        <w:types>
          <w:type w:val="bbPlcHdr"/>
        </w:types>
        <w:behaviors>
          <w:behavior w:val="content"/>
        </w:behaviors>
        <w:guid w:val="{FC9355B1-9BA5-4683-9F79-F90AA588C82E}"/>
      </w:docPartPr>
      <w:docPartBody>
        <w:p w:rsidR="007D5835" w:rsidRDefault="00905423" w:rsidP="00905423">
          <w:pPr>
            <w:pStyle w:val="0571907A3D224E269AF66BFBAA93BC1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B974AEF9B4ABF8BB35519FB69E5E6"/>
        <w:category>
          <w:name w:val="General"/>
          <w:gallery w:val="placeholder"/>
        </w:category>
        <w:types>
          <w:type w:val="bbPlcHdr"/>
        </w:types>
        <w:behaviors>
          <w:behavior w:val="content"/>
        </w:behaviors>
        <w:guid w:val="{96417F4F-0361-41D2-A18A-BB7FB046D52C}"/>
      </w:docPartPr>
      <w:docPartBody>
        <w:p w:rsidR="007D5835" w:rsidRDefault="00905423" w:rsidP="00905423">
          <w:pPr>
            <w:pStyle w:val="9BFB974AEF9B4ABF8BB35519FB69E5E6"/>
          </w:pPr>
          <w:r w:rsidRPr="00A70DFE">
            <w:rPr>
              <w:rStyle w:val="Textodelmarcadordeposicin"/>
              <w:rFonts w:ascii="Arial" w:eastAsiaTheme="minorHAnsi" w:hAnsi="Arial" w:cs="Arial"/>
              <w:color w:val="FF8F8F"/>
              <w:u w:val="single"/>
            </w:rPr>
            <w:t>Diligenciar la dirección del proveedor</w:t>
          </w:r>
        </w:p>
      </w:docPartBody>
    </w:docPart>
    <w:docPart>
      <w:docPartPr>
        <w:name w:val="B5F268A596E64010835A4A24330D2FF2"/>
        <w:category>
          <w:name w:val="General"/>
          <w:gallery w:val="placeholder"/>
        </w:category>
        <w:types>
          <w:type w:val="bbPlcHdr"/>
        </w:types>
        <w:behaviors>
          <w:behavior w:val="content"/>
        </w:behaviors>
        <w:guid w:val="{3C266EC3-02CF-4734-90C9-B1218B1CC041}"/>
      </w:docPartPr>
      <w:docPartBody>
        <w:p w:rsidR="007D5835" w:rsidRDefault="00905423" w:rsidP="00905423">
          <w:pPr>
            <w:pStyle w:val="B5F268A596E64010835A4A24330D2F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B7A0EE5DBDF4B0085506031AFDAF071"/>
        <w:category>
          <w:name w:val="General"/>
          <w:gallery w:val="placeholder"/>
        </w:category>
        <w:types>
          <w:type w:val="bbPlcHdr"/>
        </w:types>
        <w:behaviors>
          <w:behavior w:val="content"/>
        </w:behaviors>
        <w:guid w:val="{5CFB32C6-8374-4552-8D87-8B3F8258520A}"/>
      </w:docPartPr>
      <w:docPartBody>
        <w:p w:rsidR="007D5835" w:rsidRDefault="00905423" w:rsidP="00905423">
          <w:pPr>
            <w:pStyle w:val="CB7A0EE5DBDF4B0085506031AFDAF07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7D4466"/>
    <w:rsid w:val="007D5835"/>
    <w:rsid w:val="00836705"/>
    <w:rsid w:val="00905423"/>
    <w:rsid w:val="00AB263D"/>
    <w:rsid w:val="00C70A72"/>
    <w:rsid w:val="00CD6197"/>
    <w:rsid w:val="00D02286"/>
    <w:rsid w:val="00D6277C"/>
    <w:rsid w:val="00D675AA"/>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3050</Words>
  <Characters>16781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3</cp:revision>
  <cp:lastPrinted>2022-09-20T21:28:00Z</cp:lastPrinted>
  <dcterms:created xsi:type="dcterms:W3CDTF">2022-10-24T16:34:00Z</dcterms:created>
  <dcterms:modified xsi:type="dcterms:W3CDTF">2022-10-24T16:34:00Z</dcterms:modified>
</cp:coreProperties>
</file>