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87300" w14:textId="0B395693" w:rsidR="0071077B" w:rsidRDefault="0071077B" w:rsidP="0071077B">
      <w:pPr>
        <w:pStyle w:val="Ttulo"/>
        <w:ind w:left="567"/>
        <w:rPr>
          <w:rFonts w:cs="Arial"/>
          <w:color w:val="0D0D0D" w:themeColor="text1" w:themeTint="F2"/>
          <w:sz w:val="20"/>
        </w:rPr>
      </w:pPr>
      <w:r w:rsidRPr="005726DC">
        <w:rPr>
          <w:rFonts w:cs="Arial"/>
          <w:color w:val="0D0D0D" w:themeColor="text1" w:themeTint="F2"/>
          <w:sz w:val="20"/>
        </w:rPr>
        <w:t>ACREDITACIONES</w:t>
      </w:r>
      <w:r w:rsidRPr="007714EB">
        <w:rPr>
          <w:rFonts w:cs="Arial"/>
          <w:color w:val="0D0D0D" w:themeColor="text1" w:themeTint="F2"/>
          <w:sz w:val="20"/>
        </w:rPr>
        <w:t xml:space="preserve"> </w:t>
      </w:r>
    </w:p>
    <w:p w14:paraId="31BAEAB8" w14:textId="6ACB59DA" w:rsidR="0071077B" w:rsidRDefault="0071077B" w:rsidP="0071077B">
      <w:pPr>
        <w:pStyle w:val="Ttulo"/>
        <w:ind w:left="567"/>
        <w:rPr>
          <w:rFonts w:cs="Arial"/>
          <w:color w:val="0D0D0D" w:themeColor="text1" w:themeTint="F2"/>
          <w:sz w:val="20"/>
        </w:rPr>
      </w:pPr>
    </w:p>
    <w:p w14:paraId="0CA833FE" w14:textId="77777777" w:rsidR="0071077B" w:rsidRDefault="0071077B" w:rsidP="00694F4A">
      <w:pPr>
        <w:pStyle w:val="Ttulo"/>
        <w:jc w:val="left"/>
        <w:rPr>
          <w:rFonts w:cs="Arial"/>
          <w:color w:val="0D0D0D" w:themeColor="text1" w:themeTint="F2"/>
          <w:sz w:val="20"/>
        </w:rPr>
      </w:pPr>
    </w:p>
    <w:p w14:paraId="2BDF4907" w14:textId="77777777" w:rsidR="0071077B" w:rsidRPr="00871768" w:rsidRDefault="0071077B" w:rsidP="0071077B">
      <w:pPr>
        <w:ind w:left="426"/>
        <w:jc w:val="both"/>
        <w:rPr>
          <w:color w:val="0D0D0D" w:themeColor="text1" w:themeTint="F2"/>
        </w:rPr>
      </w:pPr>
      <w:r w:rsidRPr="00871768">
        <w:rPr>
          <w:color w:val="0D0D0D" w:themeColor="text1" w:themeTint="F2"/>
        </w:rPr>
        <w:t>Señores</w:t>
      </w:r>
    </w:p>
    <w:p w14:paraId="30015C66" w14:textId="77777777" w:rsidR="0071077B" w:rsidRPr="00871768" w:rsidRDefault="0071077B" w:rsidP="0071077B">
      <w:pPr>
        <w:ind w:left="426"/>
        <w:jc w:val="both"/>
        <w:rPr>
          <w:b/>
          <w:color w:val="0D0D0D" w:themeColor="text1" w:themeTint="F2"/>
        </w:rPr>
      </w:pPr>
      <w:r w:rsidRPr="00871768">
        <w:rPr>
          <w:b/>
          <w:color w:val="0D0D0D" w:themeColor="text1" w:themeTint="F2"/>
        </w:rPr>
        <w:t xml:space="preserve">POLICÍA NACIONAL – </w:t>
      </w:r>
      <w:r>
        <w:rPr>
          <w:b/>
          <w:color w:val="0D0D0D" w:themeColor="text1" w:themeTint="F2"/>
        </w:rPr>
        <w:t>REGIONAL DE ASEGURAMIENTO EN SALUD No. 2</w:t>
      </w:r>
    </w:p>
    <w:p w14:paraId="3F427A24" w14:textId="77777777" w:rsidR="0071077B" w:rsidRDefault="0071077B" w:rsidP="0071077B">
      <w:pPr>
        <w:ind w:left="426"/>
        <w:jc w:val="both"/>
        <w:rPr>
          <w:color w:val="0D0D0D" w:themeColor="text1" w:themeTint="F2"/>
        </w:rPr>
      </w:pPr>
      <w:r w:rsidRPr="00871768">
        <w:rPr>
          <w:color w:val="0D0D0D" w:themeColor="text1" w:themeTint="F2"/>
        </w:rPr>
        <w:t>Ciudad</w:t>
      </w:r>
    </w:p>
    <w:p w14:paraId="74547CAF" w14:textId="77777777" w:rsidR="0071077B" w:rsidRDefault="0071077B" w:rsidP="0071077B">
      <w:pPr>
        <w:ind w:left="426"/>
        <w:jc w:val="both"/>
        <w:rPr>
          <w:color w:val="0D0D0D" w:themeColor="text1" w:themeTint="F2"/>
        </w:rPr>
      </w:pPr>
    </w:p>
    <w:p w14:paraId="68403BF5" w14:textId="545F7BD7" w:rsidR="0071077B" w:rsidRPr="00FE1279" w:rsidRDefault="0071077B" w:rsidP="00FE1279">
      <w:pPr>
        <w:ind w:left="426"/>
        <w:jc w:val="both"/>
      </w:pPr>
      <w:r w:rsidRPr="00D917F9">
        <w:t xml:space="preserve">El suscrito, a saber: </w:t>
      </w:r>
      <w:r w:rsidR="00D917F9" w:rsidRPr="00D917F9">
        <w:rPr>
          <w:color w:val="FF0000"/>
          <w:lang w:val="es-ES_tradnl"/>
        </w:rPr>
        <w:t>XXXXXXXXXXXXXXX</w:t>
      </w:r>
      <w:r w:rsidRPr="00D917F9">
        <w:t xml:space="preserve"> identificad</w:t>
      </w:r>
      <w:r w:rsidR="00FE1279" w:rsidRPr="00D917F9">
        <w:t>o</w:t>
      </w:r>
      <w:r w:rsidRPr="00D917F9">
        <w:t xml:space="preserve"> con cédula</w:t>
      </w:r>
      <w:r w:rsidR="00D917F9" w:rsidRPr="00D917F9">
        <w:t xml:space="preserve"> de </w:t>
      </w:r>
      <w:proofErr w:type="spellStart"/>
      <w:r w:rsidR="00D917F9" w:rsidRPr="00D917F9">
        <w:t>ciudadania</w:t>
      </w:r>
      <w:proofErr w:type="spellEnd"/>
      <w:r w:rsidRPr="00D917F9">
        <w:t xml:space="preserve"> </w:t>
      </w:r>
      <w:proofErr w:type="spellStart"/>
      <w:r w:rsidRPr="00D917F9">
        <w:t>N°</w:t>
      </w:r>
      <w:proofErr w:type="spellEnd"/>
      <w:r w:rsidR="00FE1279" w:rsidRPr="00D917F9">
        <w:rPr>
          <w:color w:val="FF0000"/>
        </w:rPr>
        <w:t xml:space="preserve"> </w:t>
      </w:r>
      <w:r w:rsidR="00D917F9" w:rsidRPr="00D917F9">
        <w:rPr>
          <w:color w:val="FF0000"/>
          <w:lang w:val="es-ES_tradnl"/>
        </w:rPr>
        <w:t>XXXXXXXXXXXXXX</w:t>
      </w:r>
      <w:r w:rsidR="00FE1279" w:rsidRPr="00D917F9">
        <w:rPr>
          <w:color w:val="FF0000"/>
          <w:lang w:val="es-ES_tradnl"/>
        </w:rPr>
        <w:t xml:space="preserve"> </w:t>
      </w:r>
      <w:r w:rsidR="00FE1279" w:rsidRPr="00D917F9">
        <w:rPr>
          <w:lang w:val="es-ES_tradnl"/>
        </w:rPr>
        <w:t>de</w:t>
      </w:r>
      <w:r w:rsidR="00FE1279" w:rsidRPr="00D917F9">
        <w:rPr>
          <w:color w:val="FF0000"/>
          <w:lang w:val="es-ES_tradnl"/>
        </w:rPr>
        <w:t xml:space="preserve"> </w:t>
      </w:r>
      <w:r w:rsidR="00D917F9" w:rsidRPr="00D917F9">
        <w:rPr>
          <w:color w:val="FF0000"/>
          <w:lang w:val="es-ES_tradnl"/>
        </w:rPr>
        <w:t>XXXXXXXXXXXXX</w:t>
      </w:r>
      <w:r w:rsidR="00FE1279" w:rsidRPr="00D917F9">
        <w:rPr>
          <w:color w:val="FF0000"/>
          <w:lang w:val="es-ES_tradnl"/>
        </w:rPr>
        <w:t>,</w:t>
      </w:r>
      <w:r w:rsidR="00FE1279" w:rsidRPr="00D917F9">
        <w:rPr>
          <w:lang w:val="es-ES_tradnl"/>
        </w:rPr>
        <w:t xml:space="preserve"> </w:t>
      </w:r>
      <w:r w:rsidR="00FE1279" w:rsidRPr="00D917F9">
        <w:t xml:space="preserve">quien obra en calidad de Representante Legal del </w:t>
      </w:r>
      <w:r w:rsidR="00D917F9" w:rsidRPr="00D917F9">
        <w:rPr>
          <w:lang w:val="es-ES_tradnl"/>
        </w:rPr>
        <w:t>Hospital XXXXXXXXXXXXXX</w:t>
      </w:r>
      <w:r w:rsidR="00FE1279" w:rsidRPr="00D917F9">
        <w:t xml:space="preserve"> </w:t>
      </w:r>
      <w:r w:rsidRPr="00D917F9">
        <w:t xml:space="preserve">del municipio de </w:t>
      </w:r>
      <w:r w:rsidR="00D917F9" w:rsidRPr="00D917F9">
        <w:rPr>
          <w:color w:val="FF0000"/>
        </w:rPr>
        <w:t>XXXXXXXXXXXX</w:t>
      </w:r>
      <w:r w:rsidR="00FE1279" w:rsidRPr="00D917F9">
        <w:t xml:space="preserve"> Tolima </w:t>
      </w:r>
      <w:r w:rsidRPr="00D917F9">
        <w:t>certifica:</w:t>
      </w:r>
    </w:p>
    <w:p w14:paraId="1F617C7C" w14:textId="77777777" w:rsidR="0071077B" w:rsidRPr="00185E6C" w:rsidRDefault="0071077B" w:rsidP="0071077B">
      <w:pPr>
        <w:pStyle w:val="Sinespaciado1"/>
        <w:rPr>
          <w:rFonts w:ascii="Arial" w:hAnsi="Arial" w:cs="Arial"/>
          <w:b/>
          <w:color w:val="0D0D0D" w:themeColor="text1" w:themeTint="F2"/>
          <w:sz w:val="20"/>
          <w:szCs w:val="20"/>
        </w:rPr>
      </w:pPr>
    </w:p>
    <w:p w14:paraId="6DBCA174" w14:textId="77777777" w:rsidR="00D917F9" w:rsidRPr="005D7B45" w:rsidRDefault="00D917F9" w:rsidP="00D917F9">
      <w:pPr>
        <w:pStyle w:val="Sinespaciado1"/>
        <w:numPr>
          <w:ilvl w:val="0"/>
          <w:numId w:val="1"/>
        </w:numPr>
        <w:jc w:val="both"/>
        <w:rPr>
          <w:rFonts w:ascii="Arial" w:hAnsi="Arial" w:cs="Arial"/>
          <w:color w:val="0D0D0D" w:themeColor="text1" w:themeTint="F2"/>
          <w:sz w:val="20"/>
          <w:szCs w:val="20"/>
          <w:lang w:val="es-MX" w:eastAsia="es-MX"/>
        </w:rPr>
      </w:pPr>
      <w:r w:rsidRPr="005D7B45">
        <w:rPr>
          <w:rFonts w:ascii="Arial" w:hAnsi="Arial" w:cs="Arial"/>
          <w:color w:val="0D0D0D" w:themeColor="text1" w:themeTint="F2"/>
          <w:sz w:val="20"/>
          <w:szCs w:val="20"/>
          <w:lang w:val="es-MX" w:eastAsia="es-MX"/>
        </w:rPr>
        <w:t xml:space="preserve">El sostenimiento de precios y/o tarifas los cuales bajo ninguna circunstancia deben ser objeto de modificación o reajuste. </w:t>
      </w:r>
    </w:p>
    <w:p w14:paraId="788ADD9E" w14:textId="77777777" w:rsidR="00D917F9" w:rsidRPr="005D7B45" w:rsidRDefault="00D917F9" w:rsidP="00D917F9">
      <w:pPr>
        <w:pStyle w:val="Prrafodelista"/>
        <w:rPr>
          <w:color w:val="0D0D0D" w:themeColor="text1" w:themeTint="F2"/>
          <w:lang w:val="es-MX" w:eastAsia="es-MX"/>
        </w:rPr>
      </w:pPr>
    </w:p>
    <w:p w14:paraId="0264E79F"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 xml:space="preserve">Que tiene la capacidad en instalaciones, maquinaria, equipos, vehículos, recurso humano y/o todos aquellos aspectos que le que le permitirán cumplir a cabalidad con el objeto contractual. Además, que podrá prestar de manera oportuna los servicios objeto del presente proceso de contratación.  </w:t>
      </w:r>
    </w:p>
    <w:p w14:paraId="74165D8E" w14:textId="77777777" w:rsidR="00D917F9" w:rsidRPr="005D7B45" w:rsidRDefault="00D917F9" w:rsidP="00D917F9">
      <w:pPr>
        <w:pStyle w:val="Prrafodelista"/>
        <w:rPr>
          <w:color w:val="0D0D0D" w:themeColor="text1" w:themeTint="F2"/>
        </w:rPr>
      </w:pPr>
    </w:p>
    <w:p w14:paraId="19100388"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rFonts w:eastAsiaTheme="minorHAnsi"/>
          <w:color w:val="0D0D0D" w:themeColor="text1" w:themeTint="F2"/>
          <w:lang w:eastAsia="en-US"/>
        </w:rPr>
        <w:t>Que realizó la verificación de la autenticidad del título de cada uno de los profesionales con los cuales cumplirá con el objeto contractual del proceso de contratación en referencia.</w:t>
      </w:r>
    </w:p>
    <w:p w14:paraId="16643507" w14:textId="77777777" w:rsidR="00D917F9" w:rsidRPr="005D7B45" w:rsidRDefault="00D917F9" w:rsidP="00D917F9">
      <w:pPr>
        <w:pStyle w:val="Prrafodelista"/>
        <w:rPr>
          <w:color w:val="0D0D0D" w:themeColor="text1" w:themeTint="F2"/>
        </w:rPr>
      </w:pPr>
    </w:p>
    <w:p w14:paraId="1D52FF00" w14:textId="77777777" w:rsidR="00D917F9" w:rsidRPr="005D7B45" w:rsidRDefault="00D917F9" w:rsidP="00D917F9">
      <w:pPr>
        <w:pStyle w:val="Prrafodelista"/>
        <w:numPr>
          <w:ilvl w:val="0"/>
          <w:numId w:val="2"/>
        </w:numPr>
        <w:autoSpaceDE/>
        <w:autoSpaceDN/>
        <w:jc w:val="both"/>
        <w:rPr>
          <w:color w:val="0D0D0D" w:themeColor="text1" w:themeTint="F2"/>
        </w:rPr>
      </w:pPr>
      <w:r w:rsidRPr="005D7B45">
        <w:rPr>
          <w:color w:val="0D0D0D" w:themeColor="text1" w:themeTint="F2"/>
        </w:rPr>
        <w:t>Que garantizará que acepta y facilitará las visitas de los auditores médicos para la realización de AUDITORIAS CONCURRENTES que incluyen:</w:t>
      </w:r>
    </w:p>
    <w:p w14:paraId="140D51FC" w14:textId="77777777" w:rsidR="00D917F9" w:rsidRPr="005D7B45" w:rsidRDefault="00D917F9" w:rsidP="00D917F9">
      <w:pPr>
        <w:pStyle w:val="Prrafodelista"/>
        <w:jc w:val="both"/>
        <w:rPr>
          <w:color w:val="0D0D0D" w:themeColor="text1" w:themeTint="F2"/>
        </w:rPr>
      </w:pPr>
    </w:p>
    <w:p w14:paraId="5E0EDFC0" w14:textId="77777777" w:rsidR="00D917F9" w:rsidRPr="005D7B45" w:rsidRDefault="00D917F9" w:rsidP="00D917F9">
      <w:pPr>
        <w:pStyle w:val="Prrafodelista"/>
        <w:jc w:val="both"/>
        <w:rPr>
          <w:color w:val="0D0D0D" w:themeColor="text1" w:themeTint="F2"/>
        </w:rPr>
      </w:pPr>
      <w:r w:rsidRPr="005D7B45">
        <w:rPr>
          <w:color w:val="0D0D0D" w:themeColor="text1" w:themeTint="F2"/>
        </w:rPr>
        <w:t xml:space="preserve">-Visitas a pacientes hospitalizados </w:t>
      </w:r>
    </w:p>
    <w:p w14:paraId="7BAAB338" w14:textId="77777777" w:rsidR="00D917F9" w:rsidRPr="005D7B45" w:rsidRDefault="00D917F9" w:rsidP="00D917F9">
      <w:pPr>
        <w:pStyle w:val="Prrafodelista"/>
        <w:jc w:val="both"/>
        <w:rPr>
          <w:color w:val="0D0D0D" w:themeColor="text1" w:themeTint="F2"/>
        </w:rPr>
      </w:pPr>
      <w:r w:rsidRPr="005D7B45">
        <w:rPr>
          <w:color w:val="0D0D0D" w:themeColor="text1" w:themeTint="F2"/>
        </w:rPr>
        <w:t>- Revisión de historias clínicas</w:t>
      </w:r>
    </w:p>
    <w:p w14:paraId="5EAA6FD1" w14:textId="77777777" w:rsidR="00D917F9" w:rsidRPr="005D7B45" w:rsidRDefault="00D917F9" w:rsidP="00D917F9">
      <w:pPr>
        <w:pStyle w:val="Prrafodelista"/>
        <w:jc w:val="both"/>
        <w:rPr>
          <w:color w:val="0D0D0D" w:themeColor="text1" w:themeTint="F2"/>
        </w:rPr>
      </w:pPr>
      <w:r w:rsidRPr="005D7B45">
        <w:rPr>
          <w:color w:val="0D0D0D" w:themeColor="text1" w:themeTint="F2"/>
        </w:rPr>
        <w:t>- Revisión de hojas de descripción quirúrgica o de procedimientos</w:t>
      </w:r>
    </w:p>
    <w:p w14:paraId="4B908429" w14:textId="77777777" w:rsidR="00D917F9" w:rsidRDefault="00D917F9" w:rsidP="00D917F9">
      <w:pPr>
        <w:pStyle w:val="Prrafodelista"/>
        <w:adjustRightInd w:val="0"/>
        <w:jc w:val="both"/>
        <w:rPr>
          <w:color w:val="0D0D0D" w:themeColor="text1" w:themeTint="F2"/>
        </w:rPr>
      </w:pPr>
      <w:r w:rsidRPr="005D7B45">
        <w:rPr>
          <w:color w:val="0D0D0D" w:themeColor="text1" w:themeTint="F2"/>
        </w:rPr>
        <w:t>- Revisión de hojas de gasto. - Verificación del nivel de satisfacción de los usuarios de la Policía Nacional</w:t>
      </w:r>
    </w:p>
    <w:p w14:paraId="022AED91" w14:textId="77777777" w:rsidR="00D917F9" w:rsidRDefault="00D917F9" w:rsidP="00D917F9">
      <w:pPr>
        <w:pStyle w:val="Prrafodelista"/>
        <w:adjustRightInd w:val="0"/>
        <w:jc w:val="both"/>
        <w:rPr>
          <w:color w:val="0D0D0D" w:themeColor="text1" w:themeTint="F2"/>
        </w:rPr>
      </w:pPr>
    </w:p>
    <w:p w14:paraId="43E890E4"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lang w:val="es-MX"/>
        </w:rPr>
        <w:t>Que presentará Informe mensual que contenga como mínimo el servicio prestado al usuario, la clase y numero de estudio realizado, reclamado y no reclamado por los usuarios, nombre e identificación del usuario REPS.</w:t>
      </w:r>
    </w:p>
    <w:p w14:paraId="4C0B6408" w14:textId="77777777" w:rsidR="00D917F9" w:rsidRPr="005D7B45" w:rsidRDefault="00D917F9" w:rsidP="00D917F9">
      <w:pPr>
        <w:adjustRightInd w:val="0"/>
        <w:jc w:val="both"/>
        <w:rPr>
          <w:color w:val="0D0D0D" w:themeColor="text1" w:themeTint="F2"/>
        </w:rPr>
      </w:pPr>
    </w:p>
    <w:p w14:paraId="6C095248"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rFonts w:eastAsia="Calibri"/>
          <w:color w:val="0D0D0D" w:themeColor="text1" w:themeTint="F2"/>
          <w:lang w:val="es-MX"/>
        </w:rPr>
        <w:t>Que dispondrá de una persona encargada de la Coordinación y una línea telefónica directa para garantizar el acceso a la información y consulta necesaria para resolver cualquier inquietud e informar novedades sobre procedimientos, quejas, asignación de citas y en general para la atención del paciente.</w:t>
      </w:r>
    </w:p>
    <w:p w14:paraId="3CA68A05" w14:textId="77777777" w:rsidR="00D917F9" w:rsidRPr="005D7B45" w:rsidRDefault="00D917F9" w:rsidP="00D917F9">
      <w:pPr>
        <w:pStyle w:val="Prrafodelista"/>
        <w:rPr>
          <w:color w:val="0D0D0D" w:themeColor="text1" w:themeTint="F2"/>
        </w:rPr>
      </w:pPr>
    </w:p>
    <w:p w14:paraId="5C09B104"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 xml:space="preserve">Que </w:t>
      </w:r>
      <w:r w:rsidRPr="005D7B45">
        <w:rPr>
          <w:color w:val="0D0D0D" w:themeColor="text1" w:themeTint="F2"/>
          <w:lang w:val="x-none"/>
        </w:rPr>
        <w:t>dispone de los dispositivos</w:t>
      </w:r>
      <w:r w:rsidRPr="005D7B45">
        <w:rPr>
          <w:color w:val="0D0D0D" w:themeColor="text1" w:themeTint="F2"/>
        </w:rPr>
        <w:t xml:space="preserve"> </w:t>
      </w:r>
      <w:r w:rsidRPr="005D7B45">
        <w:rPr>
          <w:color w:val="0D0D0D" w:themeColor="text1" w:themeTint="F2"/>
          <w:lang w:val="x-none"/>
        </w:rPr>
        <w:t>médicos y biomédicos necesarios para la prestación de los servicios de salud</w:t>
      </w:r>
      <w:r w:rsidRPr="005D7B45">
        <w:rPr>
          <w:color w:val="0D0D0D" w:themeColor="text1" w:themeTint="F2"/>
        </w:rPr>
        <w:t>, infraestructura y recurso humano.</w:t>
      </w:r>
    </w:p>
    <w:p w14:paraId="7AD8C010" w14:textId="77777777" w:rsidR="00D917F9" w:rsidRPr="005D7B45" w:rsidRDefault="00D917F9" w:rsidP="00D917F9">
      <w:pPr>
        <w:pStyle w:val="Prrafodelista"/>
        <w:rPr>
          <w:color w:val="0D0D0D" w:themeColor="text1" w:themeTint="F2"/>
        </w:rPr>
      </w:pPr>
    </w:p>
    <w:p w14:paraId="684D2F4E"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Que informará oportunamente cuando prescinda del servicio de alguno de los funcionarios relacionados para la prestación del servicio y en el evento de contratar a otra persona, esta deberá cumplir con la misma idoneidad.</w:t>
      </w:r>
    </w:p>
    <w:p w14:paraId="741CA929" w14:textId="77777777" w:rsidR="00D917F9" w:rsidRPr="005D7B45" w:rsidRDefault="00D917F9" w:rsidP="00D917F9">
      <w:pPr>
        <w:pStyle w:val="Prrafodelista"/>
        <w:rPr>
          <w:color w:val="0D0D0D" w:themeColor="text1" w:themeTint="F2"/>
        </w:rPr>
      </w:pPr>
    </w:p>
    <w:p w14:paraId="0A928455"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La prestación del servicio a todos los usuarios del Subsistema de Salud de la Policía Nacional sin discriminación alguna, siempre y cuando presenten carné o constancia vigen</w:t>
      </w:r>
      <w:r>
        <w:rPr>
          <w:color w:val="0D0D0D" w:themeColor="text1" w:themeTint="F2"/>
        </w:rPr>
        <w:t>tes expedidas en afiliaciones de la</w:t>
      </w:r>
      <w:r w:rsidRPr="005D7B45">
        <w:rPr>
          <w:color w:val="0D0D0D" w:themeColor="text1" w:themeTint="F2"/>
        </w:rPr>
        <w:t xml:space="preserve"> </w:t>
      </w:r>
      <w:r>
        <w:rPr>
          <w:color w:val="0D0D0D" w:themeColor="text1" w:themeTint="F2"/>
        </w:rPr>
        <w:t>Unidad Prestadora de Salud Tolima</w:t>
      </w:r>
      <w:r w:rsidRPr="005D7B45">
        <w:rPr>
          <w:color w:val="0D0D0D" w:themeColor="text1" w:themeTint="F2"/>
        </w:rPr>
        <w:t xml:space="preserve"> de la Policía Nacional y autorización del servicio emitida por re</w:t>
      </w:r>
      <w:r>
        <w:rPr>
          <w:color w:val="0D0D0D" w:themeColor="text1" w:themeTint="F2"/>
        </w:rPr>
        <w:t>ferencia y contrarreferencia de la</w:t>
      </w:r>
      <w:r w:rsidRPr="005D7B45">
        <w:rPr>
          <w:color w:val="0D0D0D" w:themeColor="text1" w:themeTint="F2"/>
        </w:rPr>
        <w:t xml:space="preserve"> </w:t>
      </w:r>
      <w:r>
        <w:rPr>
          <w:color w:val="0D0D0D" w:themeColor="text1" w:themeTint="F2"/>
        </w:rPr>
        <w:t>Unidad Prestadora de Salud Tolima</w:t>
      </w:r>
      <w:r w:rsidRPr="005D7B45">
        <w:rPr>
          <w:color w:val="0D0D0D" w:themeColor="text1" w:themeTint="F2"/>
        </w:rPr>
        <w:t>, excepto la atención en el servicio de urgencias.</w:t>
      </w:r>
    </w:p>
    <w:p w14:paraId="31EB5CDD" w14:textId="77777777" w:rsidR="00D917F9" w:rsidRPr="005D7B45" w:rsidRDefault="00D917F9" w:rsidP="00D917F9">
      <w:pPr>
        <w:pStyle w:val="Prrafodelista"/>
        <w:rPr>
          <w:color w:val="0D0D0D" w:themeColor="text1" w:themeTint="F2"/>
        </w:rPr>
      </w:pPr>
    </w:p>
    <w:p w14:paraId="2D5655AA"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 xml:space="preserve">La accesibilidad y oportunidad a los usuarios de la Policía en la atención de los servicios ofertados y que en caso de que la institución prestadora de servicios de salud no cuente con </w:t>
      </w:r>
      <w:r w:rsidRPr="005D7B45">
        <w:rPr>
          <w:color w:val="0D0D0D" w:themeColor="text1" w:themeTint="F2"/>
        </w:rPr>
        <w:lastRenderedPageBreak/>
        <w:t>un servicio de salud que se haya contratado, es responsable de efectuar los trámites y coordinaciones necesarias para garantizar la atención oportuna y la atención del paciente sin que const</w:t>
      </w:r>
      <w:r>
        <w:rPr>
          <w:color w:val="0D0D0D" w:themeColor="text1" w:themeTint="F2"/>
        </w:rPr>
        <w:t xml:space="preserve">ituya costos adicionales para la </w:t>
      </w:r>
      <w:r w:rsidRPr="005D7B45">
        <w:rPr>
          <w:color w:val="0D0D0D" w:themeColor="text1" w:themeTint="F2"/>
        </w:rPr>
        <w:t xml:space="preserve"> </w:t>
      </w:r>
      <w:r>
        <w:rPr>
          <w:color w:val="0D0D0D" w:themeColor="text1" w:themeTint="F2"/>
        </w:rPr>
        <w:t>Unidad Prestadora de Salud Tolima</w:t>
      </w:r>
      <w:r w:rsidRPr="005D7B45">
        <w:rPr>
          <w:color w:val="0D0D0D" w:themeColor="text1" w:themeTint="F2"/>
        </w:rPr>
        <w:t xml:space="preserve"> y siendo cobrados a las tarifas o precios pactados en el contrato que se llegare a celebrar.</w:t>
      </w:r>
    </w:p>
    <w:p w14:paraId="64212A41" w14:textId="77777777" w:rsidR="00D917F9" w:rsidRPr="005D7B45" w:rsidRDefault="00D917F9" w:rsidP="00D917F9">
      <w:pPr>
        <w:pStyle w:val="Prrafodelista"/>
        <w:rPr>
          <w:color w:val="0D0D0D" w:themeColor="text1" w:themeTint="F2"/>
        </w:rPr>
      </w:pPr>
    </w:p>
    <w:p w14:paraId="675EF519"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La oportunidad máxima para consulta especializada ambulatoria será conforme al estándar máximo permitido por la Superintendencia Nacional de Salud, de igual manera para la cirugía ambulatoria esta no será superior a 30 días calendario.</w:t>
      </w:r>
    </w:p>
    <w:p w14:paraId="40EDB917" w14:textId="77777777" w:rsidR="00D917F9" w:rsidRPr="005D7B45" w:rsidRDefault="00D917F9" w:rsidP="00D917F9">
      <w:pPr>
        <w:pStyle w:val="Prrafodelista"/>
        <w:rPr>
          <w:color w:val="0D0D0D" w:themeColor="text1" w:themeTint="F2"/>
        </w:rPr>
      </w:pPr>
    </w:p>
    <w:p w14:paraId="7AE28E9A" w14:textId="77777777" w:rsidR="00D917F9" w:rsidRPr="005D7B45" w:rsidRDefault="00D917F9" w:rsidP="00D917F9">
      <w:pPr>
        <w:pStyle w:val="Prrafodelista"/>
        <w:numPr>
          <w:ilvl w:val="0"/>
          <w:numId w:val="2"/>
        </w:numPr>
        <w:adjustRightInd w:val="0"/>
        <w:jc w:val="both"/>
        <w:rPr>
          <w:color w:val="0D0D0D" w:themeColor="text1" w:themeTint="F2"/>
        </w:rPr>
      </w:pPr>
      <w:r w:rsidRPr="005D7B45">
        <w:rPr>
          <w:color w:val="0D0D0D" w:themeColor="text1" w:themeTint="F2"/>
        </w:rPr>
        <w:t xml:space="preserve">Que autoriza </w:t>
      </w:r>
      <w:r w:rsidRPr="005D7B45">
        <w:rPr>
          <w:color w:val="0D0D0D" w:themeColor="text1" w:themeTint="F2"/>
          <w:lang w:val="es-MX" w:eastAsia="es-MX"/>
        </w:rPr>
        <w:t>realizar actividades de auditoria médica y</w:t>
      </w:r>
      <w:r>
        <w:rPr>
          <w:color w:val="0D0D0D" w:themeColor="text1" w:themeTint="F2"/>
          <w:lang w:val="es-MX" w:eastAsia="es-MX"/>
        </w:rPr>
        <w:t xml:space="preserve"> de cuentas en su IPS cuando la Unidad Prestadora de Salud Tolima</w:t>
      </w:r>
      <w:r w:rsidRPr="005D7B45">
        <w:rPr>
          <w:color w:val="0D0D0D" w:themeColor="text1" w:themeTint="F2"/>
          <w:lang w:val="es-MX" w:eastAsia="es-MX"/>
        </w:rPr>
        <w:t xml:space="preserve"> lo considere necesario.</w:t>
      </w:r>
    </w:p>
    <w:p w14:paraId="6085B5AF" w14:textId="77777777" w:rsidR="00D917F9" w:rsidRPr="00964A10" w:rsidRDefault="00D917F9" w:rsidP="00D917F9">
      <w:pPr>
        <w:rPr>
          <w:color w:val="0D0D0D" w:themeColor="text1" w:themeTint="F2"/>
        </w:rPr>
      </w:pPr>
    </w:p>
    <w:p w14:paraId="0497F1A4" w14:textId="77777777" w:rsidR="00D917F9" w:rsidRPr="005D7B45" w:rsidRDefault="00D917F9" w:rsidP="00D917F9">
      <w:pPr>
        <w:pStyle w:val="Default"/>
        <w:numPr>
          <w:ilvl w:val="0"/>
          <w:numId w:val="2"/>
        </w:numPr>
        <w:suppressAutoHyphens/>
        <w:autoSpaceDN/>
        <w:adjustRightInd/>
        <w:jc w:val="both"/>
        <w:rPr>
          <w:color w:val="0D0D0D" w:themeColor="text1" w:themeTint="F2"/>
          <w:sz w:val="20"/>
          <w:szCs w:val="20"/>
        </w:rPr>
      </w:pPr>
      <w:r w:rsidRPr="005D7B45">
        <w:rPr>
          <w:color w:val="0D0D0D" w:themeColor="text1" w:themeTint="F2"/>
          <w:sz w:val="20"/>
          <w:szCs w:val="20"/>
        </w:rPr>
        <w:t xml:space="preserve">Que todo bien o servicio fuera del plan de beneficios del SSPN, deberá ser tramitado para estudio de aprobación ante el Comité Técnico Científico (CTC del nivel central DISAN), para lo cual el especialista tratante deberá diligenciar completamente el formato de justificación diseñado para tal fin por parte del SSPN y remitirlo </w:t>
      </w:r>
      <w:r>
        <w:rPr>
          <w:color w:val="0D0D0D" w:themeColor="text1" w:themeTint="F2"/>
          <w:sz w:val="20"/>
          <w:szCs w:val="20"/>
        </w:rPr>
        <w:t>a la central de autorización de la</w:t>
      </w:r>
      <w:r w:rsidRPr="005D7B45">
        <w:rPr>
          <w:color w:val="0D0D0D" w:themeColor="text1" w:themeTint="F2"/>
          <w:sz w:val="20"/>
          <w:szCs w:val="20"/>
        </w:rPr>
        <w:t xml:space="preserve"> </w:t>
      </w:r>
      <w:r>
        <w:rPr>
          <w:color w:val="0D0D0D" w:themeColor="text1" w:themeTint="F2"/>
          <w:sz w:val="20"/>
          <w:szCs w:val="20"/>
        </w:rPr>
        <w:t>Unidad Prestadora de Salud Tolima</w:t>
      </w:r>
      <w:r w:rsidRPr="005D7B45">
        <w:rPr>
          <w:color w:val="0D0D0D" w:themeColor="text1" w:themeTint="F2"/>
          <w:sz w:val="20"/>
          <w:szCs w:val="20"/>
        </w:rPr>
        <w:t>, para que se adelante el trámite ante el CTC del nivel central.</w:t>
      </w:r>
    </w:p>
    <w:p w14:paraId="541DC5BE" w14:textId="77777777" w:rsidR="00D917F9" w:rsidRPr="005D7B45" w:rsidRDefault="00D917F9" w:rsidP="00D917F9">
      <w:pPr>
        <w:pStyle w:val="Prrafodelista"/>
        <w:rPr>
          <w:color w:val="0D0D0D" w:themeColor="text1" w:themeTint="F2"/>
        </w:rPr>
      </w:pPr>
    </w:p>
    <w:p w14:paraId="1537E776" w14:textId="77777777" w:rsidR="00D917F9" w:rsidRPr="005D7B45" w:rsidRDefault="00D917F9" w:rsidP="00D917F9">
      <w:pPr>
        <w:pStyle w:val="Default"/>
        <w:numPr>
          <w:ilvl w:val="0"/>
          <w:numId w:val="2"/>
        </w:numPr>
        <w:suppressAutoHyphens/>
        <w:autoSpaceDN/>
        <w:adjustRightInd/>
        <w:jc w:val="both"/>
        <w:rPr>
          <w:color w:val="0D0D0D" w:themeColor="text1" w:themeTint="F2"/>
          <w:sz w:val="20"/>
          <w:szCs w:val="20"/>
        </w:rPr>
      </w:pPr>
      <w:r w:rsidRPr="005D7B45">
        <w:rPr>
          <w:color w:val="0D0D0D" w:themeColor="text1" w:themeTint="F2"/>
          <w:sz w:val="20"/>
          <w:szCs w:val="20"/>
        </w:rPr>
        <w:t>Que, en caso de resultar adjudicatario, dentro de los tres días hábiles siguientes a la firma del contrato, presentará todos los precios para cada uno de los servicios adquiridos con código CUPS en hoja de cálculo de acuerdo a la tarifa y/o precios que se llegaren a pactar.</w:t>
      </w:r>
    </w:p>
    <w:p w14:paraId="1CB760C0" w14:textId="77777777" w:rsidR="00D917F9" w:rsidRPr="005D7B45" w:rsidRDefault="00D917F9" w:rsidP="00D917F9">
      <w:pPr>
        <w:pStyle w:val="Prrafodelista"/>
        <w:rPr>
          <w:color w:val="0D0D0D" w:themeColor="text1" w:themeTint="F2"/>
        </w:rPr>
      </w:pPr>
    </w:p>
    <w:p w14:paraId="42077925" w14:textId="77777777" w:rsidR="00D917F9" w:rsidRPr="005D7B45" w:rsidRDefault="00D917F9" w:rsidP="00D917F9">
      <w:pPr>
        <w:pStyle w:val="Default"/>
        <w:numPr>
          <w:ilvl w:val="0"/>
          <w:numId w:val="2"/>
        </w:numPr>
        <w:suppressAutoHyphens/>
        <w:autoSpaceDN/>
        <w:adjustRightInd/>
        <w:jc w:val="both"/>
        <w:rPr>
          <w:color w:val="0D0D0D" w:themeColor="text1" w:themeTint="F2"/>
          <w:sz w:val="20"/>
          <w:szCs w:val="20"/>
        </w:rPr>
      </w:pPr>
      <w:r w:rsidRPr="005D7B45">
        <w:rPr>
          <w:color w:val="0D0D0D" w:themeColor="text1" w:themeTint="F2"/>
          <w:sz w:val="20"/>
          <w:szCs w:val="20"/>
        </w:rPr>
        <w:t xml:space="preserve">La oportunidad en los servicios de urgencias corresponderá a la atención del </w:t>
      </w:r>
      <w:proofErr w:type="spellStart"/>
      <w:r w:rsidRPr="005D7B45">
        <w:rPr>
          <w:color w:val="0D0D0D" w:themeColor="text1" w:themeTint="F2"/>
          <w:sz w:val="20"/>
          <w:szCs w:val="20"/>
        </w:rPr>
        <w:t>Triage</w:t>
      </w:r>
      <w:proofErr w:type="spellEnd"/>
      <w:r w:rsidRPr="005D7B45">
        <w:rPr>
          <w:color w:val="0D0D0D" w:themeColor="text1" w:themeTint="F2"/>
          <w:sz w:val="20"/>
          <w:szCs w:val="20"/>
        </w:rPr>
        <w:t xml:space="preserve"> I de manera inmediata, </w:t>
      </w:r>
      <w:proofErr w:type="spellStart"/>
      <w:r w:rsidRPr="005D7B45">
        <w:rPr>
          <w:color w:val="0D0D0D" w:themeColor="text1" w:themeTint="F2"/>
          <w:sz w:val="20"/>
          <w:szCs w:val="20"/>
        </w:rPr>
        <w:t>Triage</w:t>
      </w:r>
      <w:proofErr w:type="spellEnd"/>
      <w:r w:rsidRPr="005D7B45">
        <w:rPr>
          <w:color w:val="0D0D0D" w:themeColor="text1" w:themeTint="F2"/>
          <w:sz w:val="20"/>
          <w:szCs w:val="20"/>
        </w:rPr>
        <w:t xml:space="preserve"> II dentro de los siguientes 15 minutos a la llegada del paciente y en el caso de atender </w:t>
      </w:r>
      <w:proofErr w:type="spellStart"/>
      <w:r w:rsidRPr="005D7B45">
        <w:rPr>
          <w:color w:val="0D0D0D" w:themeColor="text1" w:themeTint="F2"/>
          <w:sz w:val="20"/>
          <w:szCs w:val="20"/>
        </w:rPr>
        <w:t>Triage</w:t>
      </w:r>
      <w:proofErr w:type="spellEnd"/>
      <w:r w:rsidRPr="005D7B45">
        <w:rPr>
          <w:color w:val="0D0D0D" w:themeColor="text1" w:themeTint="F2"/>
          <w:sz w:val="20"/>
          <w:szCs w:val="20"/>
        </w:rPr>
        <w:t xml:space="preserve"> III máximo 60 minutos posteriores al ingreso del paciente y para </w:t>
      </w:r>
      <w:proofErr w:type="spellStart"/>
      <w:r w:rsidRPr="005D7B45">
        <w:rPr>
          <w:color w:val="0D0D0D" w:themeColor="text1" w:themeTint="F2"/>
          <w:sz w:val="20"/>
          <w:szCs w:val="20"/>
        </w:rPr>
        <w:t>Triage</w:t>
      </w:r>
      <w:proofErr w:type="spellEnd"/>
      <w:r w:rsidRPr="005D7B45">
        <w:rPr>
          <w:color w:val="0D0D0D" w:themeColor="text1" w:themeTint="F2"/>
          <w:sz w:val="20"/>
          <w:szCs w:val="20"/>
        </w:rPr>
        <w:t xml:space="preserve"> IV será direccionado a consulta externa.</w:t>
      </w:r>
    </w:p>
    <w:p w14:paraId="33BF60A7" w14:textId="77777777" w:rsidR="00D917F9" w:rsidRPr="005D7B45" w:rsidRDefault="00D917F9" w:rsidP="00D917F9">
      <w:pPr>
        <w:pStyle w:val="Prrafodelista"/>
        <w:rPr>
          <w:color w:val="0D0D0D" w:themeColor="text1" w:themeTint="F2"/>
        </w:rPr>
      </w:pPr>
    </w:p>
    <w:p w14:paraId="4FEBA2D6" w14:textId="77777777" w:rsidR="00D917F9" w:rsidRPr="005D7B45" w:rsidRDefault="00D917F9" w:rsidP="00D917F9">
      <w:pPr>
        <w:pStyle w:val="Default"/>
        <w:numPr>
          <w:ilvl w:val="0"/>
          <w:numId w:val="2"/>
        </w:numPr>
        <w:suppressAutoHyphens/>
        <w:autoSpaceDN/>
        <w:adjustRightInd/>
        <w:jc w:val="both"/>
        <w:rPr>
          <w:color w:val="0D0D0D" w:themeColor="text1" w:themeTint="F2"/>
          <w:sz w:val="20"/>
          <w:szCs w:val="20"/>
        </w:rPr>
      </w:pPr>
      <w:r w:rsidRPr="005D7B45">
        <w:rPr>
          <w:color w:val="0D0D0D" w:themeColor="text1" w:themeTint="F2"/>
          <w:sz w:val="20"/>
          <w:szCs w:val="20"/>
        </w:rPr>
        <w:t xml:space="preserve">Que el personal asistencial que preste los servicios ambulatorios, hospitalarios y de urgencias, se base en el Plan de Servicios de Sanidad Militar y Policial (Acuerdo 002 CSSMP de 2001) y el Manual único de Medicamentos y Terapéutica del SSPN (Acuerdo 052 del 1 de abril de 2013 del CSSMP, Resolución 438 del 28 de noviembre de 2017 y demás normas que lo complementen o modifiquen) que se pueden consultar en la página </w:t>
      </w:r>
      <w:hyperlink r:id="rId5" w:history="1">
        <w:r w:rsidRPr="005D7B45">
          <w:rPr>
            <w:rStyle w:val="Hipervnculo"/>
            <w:sz w:val="20"/>
            <w:szCs w:val="20"/>
          </w:rPr>
          <w:t>www.mindefensa.gov.co</w:t>
        </w:r>
      </w:hyperlink>
      <w:r w:rsidRPr="005D7B45">
        <w:rPr>
          <w:color w:val="0D0D0D" w:themeColor="text1" w:themeTint="F2"/>
          <w:sz w:val="20"/>
          <w:szCs w:val="20"/>
        </w:rPr>
        <w:t xml:space="preserve">. </w:t>
      </w:r>
    </w:p>
    <w:p w14:paraId="1DD2C01D" w14:textId="77777777" w:rsidR="00D917F9" w:rsidRPr="005D7B45" w:rsidRDefault="00D917F9" w:rsidP="00D917F9">
      <w:pPr>
        <w:pStyle w:val="Prrafodelista"/>
        <w:rPr>
          <w:color w:val="0D0D0D" w:themeColor="text1" w:themeTint="F2"/>
        </w:rPr>
      </w:pPr>
    </w:p>
    <w:p w14:paraId="3920E03E" w14:textId="77777777" w:rsidR="00D917F9" w:rsidRPr="00622D55" w:rsidRDefault="00D917F9" w:rsidP="00D917F9">
      <w:pPr>
        <w:pStyle w:val="Prrafodelista"/>
        <w:numPr>
          <w:ilvl w:val="0"/>
          <w:numId w:val="1"/>
        </w:numPr>
        <w:tabs>
          <w:tab w:val="left" w:pos="284"/>
        </w:tabs>
        <w:autoSpaceDE/>
        <w:autoSpaceDN/>
        <w:jc w:val="both"/>
        <w:rPr>
          <w:color w:val="0D0D0D" w:themeColor="text1" w:themeTint="F2"/>
          <w:lang w:val="es-MX" w:eastAsia="es-MX"/>
        </w:rPr>
      </w:pPr>
      <w:r w:rsidRPr="00622D55">
        <w:rPr>
          <w:color w:val="0D0D0D" w:themeColor="text1" w:themeTint="F2"/>
        </w:rPr>
        <w:t xml:space="preserve">Que dará cumplimiento a lo establecido en la ley 594 de 2000 </w:t>
      </w:r>
      <w:r w:rsidRPr="00622D55">
        <w:rPr>
          <w:b/>
          <w:i/>
          <w:color w:val="0D0D0D" w:themeColor="text1" w:themeTint="F2"/>
        </w:rPr>
        <w:t>“…</w:t>
      </w:r>
      <w:r w:rsidRPr="00622D55">
        <w:rPr>
          <w:b/>
          <w:bCs/>
          <w:i/>
          <w:color w:val="0D0D0D" w:themeColor="text1" w:themeTint="F2"/>
        </w:rPr>
        <w:t xml:space="preserve">POR MEDIO DE LA CUAL SE DICTA LA LEY GENERAL DE ARCHIVOS Y SE DICTAN OTRAS DISPOSICIONES…” </w:t>
      </w:r>
      <w:r w:rsidRPr="00622D55">
        <w:rPr>
          <w:bCs/>
          <w:i/>
          <w:color w:val="0D0D0D" w:themeColor="text1" w:themeTint="F2"/>
        </w:rPr>
        <w:t xml:space="preserve">por lo cual presentara la documentación en carpeta </w:t>
      </w:r>
      <w:r w:rsidRPr="00622D55">
        <w:rPr>
          <w:bCs/>
          <w:i/>
          <w:color w:val="0D0D0D" w:themeColor="text1" w:themeTint="F2"/>
          <w:u w:val="single"/>
          <w:lang w:val="es-ES"/>
        </w:rPr>
        <w:t xml:space="preserve">4 aletas en cartulina blanca tipo </w:t>
      </w:r>
      <w:proofErr w:type="spellStart"/>
      <w:r w:rsidRPr="00622D55">
        <w:rPr>
          <w:bCs/>
          <w:i/>
          <w:color w:val="0D0D0D" w:themeColor="text1" w:themeTint="F2"/>
          <w:u w:val="single"/>
          <w:lang w:val="es-ES"/>
        </w:rPr>
        <w:t>propalcote</w:t>
      </w:r>
      <w:proofErr w:type="spellEnd"/>
      <w:r w:rsidRPr="00622D55">
        <w:rPr>
          <w:bCs/>
          <w:i/>
          <w:color w:val="0D0D0D" w:themeColor="text1" w:themeTint="F2"/>
          <w:u w:val="single"/>
          <w:lang w:val="es-ES"/>
        </w:rPr>
        <w:t xml:space="preserve"> máximo 200 folios por carpeta</w:t>
      </w:r>
      <w:r w:rsidRPr="00622D55">
        <w:rPr>
          <w:bCs/>
          <w:i/>
          <w:color w:val="0D0D0D" w:themeColor="text1" w:themeTint="F2"/>
        </w:rPr>
        <w:t>, foliada a lápiz en la parte inferior derecha, sin ganchos grapados, sin hojas sueltas, documentos que estén a media hoja deben venir pegados en otra hoja tamaño carta u oficio.</w:t>
      </w:r>
    </w:p>
    <w:p w14:paraId="3D477DD8" w14:textId="77777777" w:rsidR="00D917F9" w:rsidRPr="00622D55" w:rsidRDefault="00D917F9" w:rsidP="00D917F9">
      <w:pPr>
        <w:pStyle w:val="Prrafodelista"/>
        <w:tabs>
          <w:tab w:val="left" w:pos="284"/>
        </w:tabs>
        <w:jc w:val="both"/>
        <w:rPr>
          <w:color w:val="0D0D0D" w:themeColor="text1" w:themeTint="F2"/>
          <w:highlight w:val="yellow"/>
          <w:lang w:val="es-MX" w:eastAsia="es-MX"/>
        </w:rPr>
      </w:pPr>
    </w:p>
    <w:p w14:paraId="7AB3A0B5" w14:textId="77777777" w:rsidR="00D917F9" w:rsidRPr="005D7B45" w:rsidRDefault="00D917F9" w:rsidP="00D917F9">
      <w:pPr>
        <w:pStyle w:val="Prrafodelista"/>
        <w:numPr>
          <w:ilvl w:val="0"/>
          <w:numId w:val="1"/>
        </w:numPr>
        <w:tabs>
          <w:tab w:val="left" w:pos="284"/>
        </w:tabs>
        <w:autoSpaceDE/>
        <w:autoSpaceDN/>
        <w:jc w:val="both"/>
        <w:rPr>
          <w:color w:val="0D0D0D" w:themeColor="text1" w:themeTint="F2"/>
          <w:lang w:val="es-MX" w:eastAsia="es-MX"/>
        </w:rPr>
      </w:pPr>
      <w:r w:rsidRPr="005D7B45">
        <w:rPr>
          <w:color w:val="0D0D0D" w:themeColor="text1" w:themeTint="F2"/>
        </w:rPr>
        <w:t>Que socializará el instructivo 018 “proceso de referencia y contrarreferencia” de la Policía Nacional, con el fin de ser aplicado por el personal del proceso de atención al usuario y personal de referencia y contrarreferencia de la IPS.</w:t>
      </w:r>
    </w:p>
    <w:p w14:paraId="58292668" w14:textId="77777777" w:rsidR="00D917F9" w:rsidRPr="005D7B45" w:rsidRDefault="00D917F9" w:rsidP="00D917F9">
      <w:pPr>
        <w:pStyle w:val="Prrafodelista"/>
        <w:tabs>
          <w:tab w:val="left" w:pos="284"/>
        </w:tabs>
        <w:jc w:val="both"/>
        <w:rPr>
          <w:color w:val="0D0D0D" w:themeColor="text1" w:themeTint="F2"/>
          <w:lang w:val="es-MX" w:eastAsia="es-MX"/>
        </w:rPr>
      </w:pPr>
    </w:p>
    <w:p w14:paraId="3DB337ED" w14:textId="77777777" w:rsidR="00D917F9" w:rsidRPr="005D7B45" w:rsidRDefault="00D917F9" w:rsidP="00D917F9">
      <w:pPr>
        <w:pStyle w:val="Prrafodelista"/>
        <w:numPr>
          <w:ilvl w:val="0"/>
          <w:numId w:val="1"/>
        </w:numPr>
        <w:tabs>
          <w:tab w:val="left" w:pos="0"/>
        </w:tabs>
        <w:autoSpaceDE/>
        <w:autoSpaceDN/>
        <w:jc w:val="both"/>
        <w:rPr>
          <w:color w:val="0D0D0D" w:themeColor="text1" w:themeTint="F2"/>
        </w:rPr>
      </w:pPr>
      <w:r w:rsidRPr="005D7B45">
        <w:rPr>
          <w:color w:val="0D0D0D" w:themeColor="text1" w:themeTint="F2"/>
        </w:rPr>
        <w:t>Que informará oportunamente cuando prescinda del servicio de alguno de los funcionarios relacionados para la prestación del servicio y en el evento de contratar a otra persona, esta deberá cumplir con la misma idoneidad y deberá anexar los soportes que la acrediten.</w:t>
      </w:r>
    </w:p>
    <w:p w14:paraId="1F755844" w14:textId="77777777" w:rsidR="00D917F9" w:rsidRPr="005D7B45" w:rsidRDefault="00D917F9" w:rsidP="00D917F9">
      <w:pPr>
        <w:pStyle w:val="Prrafodelista"/>
        <w:tabs>
          <w:tab w:val="left" w:pos="0"/>
        </w:tabs>
        <w:jc w:val="both"/>
        <w:rPr>
          <w:color w:val="0D0D0D" w:themeColor="text1" w:themeTint="F2"/>
        </w:rPr>
      </w:pPr>
    </w:p>
    <w:p w14:paraId="73C7E205" w14:textId="77777777" w:rsidR="00D917F9" w:rsidRPr="00CC5A5B" w:rsidRDefault="00D917F9" w:rsidP="00D917F9">
      <w:pPr>
        <w:pStyle w:val="Prrafodelista"/>
        <w:numPr>
          <w:ilvl w:val="0"/>
          <w:numId w:val="1"/>
        </w:numPr>
        <w:tabs>
          <w:tab w:val="left" w:pos="0"/>
        </w:tabs>
        <w:autoSpaceDE/>
        <w:autoSpaceDN/>
        <w:jc w:val="both"/>
        <w:rPr>
          <w:color w:val="0D0D0D" w:themeColor="text1" w:themeTint="F2"/>
        </w:rPr>
      </w:pPr>
      <w:r w:rsidRPr="005D7B45">
        <w:rPr>
          <w:rFonts w:eastAsiaTheme="minorHAnsi"/>
          <w:color w:val="0D0D0D" w:themeColor="text1" w:themeTint="F2"/>
          <w:lang w:eastAsia="en-US"/>
        </w:rPr>
        <w:t xml:space="preserve">Que reportará al supervisor del contrato </w:t>
      </w:r>
      <w:r w:rsidRPr="005D7B45">
        <w:rPr>
          <w:color w:val="0D0D0D" w:themeColor="text1" w:themeTint="F2"/>
        </w:rPr>
        <w:t xml:space="preserve">los indicadores de la Circular UNICA indicadores de alerta temprana, 056 y 058 de 2009, </w:t>
      </w:r>
      <w:r w:rsidRPr="005D7B45">
        <w:rPr>
          <w:color w:val="0D0D0D" w:themeColor="text1" w:themeTint="F2"/>
          <w:sz w:val="18"/>
          <w:szCs w:val="18"/>
        </w:rPr>
        <w:t xml:space="preserve">indicadores de la Resolución 256 de 2015, Resolución 1552 de 2013 </w:t>
      </w:r>
      <w:r w:rsidRPr="005D7B45">
        <w:rPr>
          <w:color w:val="0D0D0D" w:themeColor="text1" w:themeTint="F2"/>
        </w:rPr>
        <w:t xml:space="preserve">así como los Indicadores de calidad en la prestación de servicios, definidos en el Sistema de Información para la Calidad del Sistema Obligatorio de Garantía de Calidad de la Atención en Salud en físico o mediante correo electrónico que contenga la información solicitada al correo institucional </w:t>
      </w:r>
      <w:hyperlink r:id="rId6" w:history="1">
        <w:r w:rsidRPr="00C04588">
          <w:rPr>
            <w:rStyle w:val="Hipervnculo"/>
          </w:rPr>
          <w:t>detol.upres@policia.gov.co</w:t>
        </w:r>
      </w:hyperlink>
      <w:r>
        <w:rPr>
          <w:rStyle w:val="Hipervnculo"/>
          <w:color w:val="0D0D0D" w:themeColor="text1" w:themeTint="F2"/>
        </w:rPr>
        <w:t>.</w:t>
      </w:r>
    </w:p>
    <w:p w14:paraId="5636D84B" w14:textId="77777777" w:rsidR="00D917F9" w:rsidRPr="005D7B45" w:rsidRDefault="00D917F9" w:rsidP="00D917F9">
      <w:pPr>
        <w:pStyle w:val="Prrafodelista"/>
        <w:tabs>
          <w:tab w:val="left" w:pos="0"/>
        </w:tabs>
        <w:jc w:val="both"/>
        <w:rPr>
          <w:color w:val="0D0D0D" w:themeColor="text1" w:themeTint="F2"/>
        </w:rPr>
      </w:pPr>
    </w:p>
    <w:p w14:paraId="1114A677" w14:textId="77777777" w:rsidR="00D917F9" w:rsidRPr="0033377A" w:rsidRDefault="00D917F9" w:rsidP="00D917F9">
      <w:pPr>
        <w:pStyle w:val="Prrafodelista"/>
        <w:numPr>
          <w:ilvl w:val="0"/>
          <w:numId w:val="1"/>
        </w:numPr>
        <w:tabs>
          <w:tab w:val="left" w:pos="709"/>
        </w:tabs>
        <w:autoSpaceDE/>
        <w:autoSpaceDN/>
        <w:spacing w:after="200" w:line="276" w:lineRule="auto"/>
        <w:ind w:left="709" w:right="51" w:hanging="283"/>
        <w:jc w:val="both"/>
        <w:rPr>
          <w:rFonts w:eastAsia="Calibri"/>
          <w:color w:val="0D0D0D" w:themeColor="text1" w:themeTint="F2"/>
          <w:lang w:val="es-ES"/>
        </w:rPr>
      </w:pPr>
      <w:r w:rsidRPr="005D7B45">
        <w:rPr>
          <w:color w:val="0D0D0D" w:themeColor="text1" w:themeTint="F2"/>
        </w:rPr>
        <w:t xml:space="preserve">Que los servicios que se presten con posteridad al plazo de ejecución o a la terminación del presupuesto </w:t>
      </w:r>
      <w:r>
        <w:rPr>
          <w:color w:val="0D0D0D" w:themeColor="text1" w:themeTint="F2"/>
        </w:rPr>
        <w:t xml:space="preserve">asignado no serán asumidos por la </w:t>
      </w:r>
      <w:r w:rsidRPr="0033377A">
        <w:rPr>
          <w:color w:val="0D0D0D" w:themeColor="text1" w:themeTint="F2"/>
        </w:rPr>
        <w:t>Unidad Prestadora de Salud Tolima</w:t>
      </w:r>
      <w:r w:rsidRPr="0033377A">
        <w:rPr>
          <w:rFonts w:eastAsia="Calibri"/>
          <w:color w:val="0D0D0D" w:themeColor="text1" w:themeTint="F2"/>
          <w:lang w:val="es-ES"/>
        </w:rPr>
        <w:t xml:space="preserve">, salvo que se trate de un caso de urgencia debidamente justificado, de acuerdo con la normatividad vigente. </w:t>
      </w:r>
    </w:p>
    <w:p w14:paraId="6042E850" w14:textId="77777777" w:rsidR="00D917F9" w:rsidRPr="005D7B45" w:rsidRDefault="00D917F9" w:rsidP="00D917F9">
      <w:pPr>
        <w:pStyle w:val="Prrafodelista"/>
        <w:rPr>
          <w:color w:val="0D0D0D" w:themeColor="text1" w:themeTint="F2"/>
        </w:rPr>
      </w:pPr>
    </w:p>
    <w:p w14:paraId="01D7310A" w14:textId="77777777" w:rsidR="00D917F9" w:rsidRPr="005D7B45" w:rsidRDefault="00D917F9" w:rsidP="00D917F9">
      <w:pPr>
        <w:pStyle w:val="Prrafodelista"/>
        <w:numPr>
          <w:ilvl w:val="0"/>
          <w:numId w:val="1"/>
        </w:numPr>
        <w:autoSpaceDE/>
        <w:autoSpaceDN/>
        <w:jc w:val="both"/>
        <w:rPr>
          <w:color w:val="0D0D0D" w:themeColor="text1" w:themeTint="F2"/>
        </w:rPr>
      </w:pPr>
      <w:r w:rsidRPr="005D7B45">
        <w:rPr>
          <w:color w:val="0D0D0D" w:themeColor="text1" w:themeTint="F2"/>
        </w:rPr>
        <w:t>Que cuenta y cumple con el Manual de Gestión de Insumos y medicamentos el cual establece, define y regula: la Selección, Adquisición, Transporte, Recepción, Almacenamiento, Conservación, Control de fechas de vencimiento, Control de cadena de frio, Distribución, Dispensación, Devolución, Disposición final Seguimiento al uso de los medicamentos e insumos necesarios para la prestación del servicio a los usuarios del subsistema de la Policía Nacional.</w:t>
      </w:r>
    </w:p>
    <w:p w14:paraId="3780F64B" w14:textId="77777777" w:rsidR="00D917F9" w:rsidRPr="005D7B45" w:rsidRDefault="00D917F9" w:rsidP="00D917F9">
      <w:pPr>
        <w:jc w:val="both"/>
        <w:rPr>
          <w:color w:val="0D0D0D" w:themeColor="text1" w:themeTint="F2"/>
        </w:rPr>
      </w:pPr>
    </w:p>
    <w:p w14:paraId="697574C9" w14:textId="77777777" w:rsidR="00D917F9" w:rsidRDefault="00D917F9" w:rsidP="00D917F9">
      <w:pPr>
        <w:pStyle w:val="Prrafodelista"/>
        <w:numPr>
          <w:ilvl w:val="0"/>
          <w:numId w:val="1"/>
        </w:numPr>
        <w:autoSpaceDE/>
        <w:autoSpaceDN/>
        <w:jc w:val="both"/>
        <w:rPr>
          <w:color w:val="0D0D0D" w:themeColor="text1" w:themeTint="F2"/>
        </w:rPr>
      </w:pPr>
      <w:r w:rsidRPr="005D7B45">
        <w:rPr>
          <w:color w:val="0D0D0D" w:themeColor="text1" w:themeTint="F2"/>
        </w:rPr>
        <w:t>Que presentará el Cronograma general de mantenimiento de la dotación según clasificación del riesgo (Decreto 4725 de 2005) y las recomendaciones de los fabricantes.</w:t>
      </w:r>
    </w:p>
    <w:p w14:paraId="5A0E362F" w14:textId="77777777" w:rsidR="00D917F9" w:rsidRDefault="00D917F9" w:rsidP="00D917F9">
      <w:pPr>
        <w:pStyle w:val="Prrafodelista"/>
        <w:rPr>
          <w:color w:val="0D0D0D" w:themeColor="text1" w:themeTint="F2"/>
        </w:rPr>
      </w:pPr>
    </w:p>
    <w:p w14:paraId="177149C5" w14:textId="18E55BDC" w:rsidR="0071077B" w:rsidRDefault="00D917F9" w:rsidP="0071077B">
      <w:pPr>
        <w:pStyle w:val="Prrafodelista"/>
        <w:rPr>
          <w:color w:val="0D0D0D" w:themeColor="text1" w:themeTint="F2"/>
        </w:rPr>
      </w:pPr>
      <w:r>
        <w:rPr>
          <w:color w:val="0D0D0D" w:themeColor="text1" w:themeTint="F2"/>
        </w:rPr>
        <w:t xml:space="preserve"> </w:t>
      </w:r>
    </w:p>
    <w:p w14:paraId="1A15ACB3" w14:textId="166EAFAC" w:rsidR="001E30C2" w:rsidRDefault="001E30C2"/>
    <w:p w14:paraId="2F561607" w14:textId="1497DB65" w:rsidR="0071077B" w:rsidRDefault="0071077B"/>
    <w:p w14:paraId="42CF94F1" w14:textId="77777777" w:rsidR="0071077B" w:rsidRPr="00D917F9" w:rsidRDefault="0071077B" w:rsidP="0071077B">
      <w:pPr>
        <w:rPr>
          <w:b/>
          <w:bCs/>
          <w:lang w:val="es-ES_tradnl"/>
        </w:rPr>
      </w:pPr>
      <w:r w:rsidRPr="00D917F9">
        <w:rPr>
          <w:b/>
          <w:bCs/>
          <w:lang w:val="es-ES_tradnl"/>
        </w:rPr>
        <w:t xml:space="preserve">Firma del representante legal del proponente </w:t>
      </w:r>
    </w:p>
    <w:p w14:paraId="3091A92F" w14:textId="3201D466" w:rsidR="0071077B" w:rsidRPr="00D917F9" w:rsidRDefault="0071077B" w:rsidP="0071077B">
      <w:pPr>
        <w:rPr>
          <w:lang w:val="es-ES_tradnl"/>
        </w:rPr>
      </w:pPr>
      <w:r w:rsidRPr="00D917F9">
        <w:rPr>
          <w:b/>
          <w:bCs/>
          <w:lang w:val="es-ES_tradnl"/>
        </w:rPr>
        <w:t>Nombre o razón social del oferente</w:t>
      </w:r>
      <w:r w:rsidRPr="00D917F9">
        <w:rPr>
          <w:lang w:val="es-ES_tradnl"/>
        </w:rPr>
        <w:t xml:space="preserve">: </w:t>
      </w:r>
    </w:p>
    <w:p w14:paraId="5F143C6D" w14:textId="0B3E1FDB" w:rsidR="0071077B" w:rsidRPr="00D917F9" w:rsidRDefault="0071077B" w:rsidP="0071077B">
      <w:pPr>
        <w:rPr>
          <w:lang w:val="es-ES_tradnl"/>
        </w:rPr>
      </w:pPr>
      <w:r w:rsidRPr="00D917F9">
        <w:rPr>
          <w:b/>
          <w:bCs/>
          <w:lang w:val="es-ES_tradnl"/>
        </w:rPr>
        <w:t xml:space="preserve">Identificación (NIT </w:t>
      </w:r>
      <w:r w:rsidRPr="00D917F9">
        <w:rPr>
          <w:rFonts w:ascii="Segoe UI Symbol" w:hAnsi="Segoe UI Symbol" w:cs="Segoe UI Symbol"/>
          <w:b/>
          <w:bCs/>
          <w:lang w:val="es-ES_tradnl"/>
        </w:rPr>
        <w:t>☐</w:t>
      </w:r>
      <w:r w:rsidRPr="00D917F9">
        <w:rPr>
          <w:b/>
          <w:bCs/>
          <w:lang w:val="es-ES_tradnl"/>
        </w:rPr>
        <w:t xml:space="preserve"> C.C </w:t>
      </w:r>
      <w:r w:rsidRPr="00D917F9">
        <w:rPr>
          <w:rFonts w:ascii="Segoe UI Symbol" w:hAnsi="Segoe UI Symbol" w:cs="Segoe UI Symbol"/>
          <w:b/>
          <w:bCs/>
          <w:lang w:val="es-ES_tradnl"/>
        </w:rPr>
        <w:t>☐</w:t>
      </w:r>
      <w:r w:rsidRPr="00D917F9">
        <w:rPr>
          <w:b/>
          <w:bCs/>
          <w:lang w:val="es-ES_tradnl"/>
        </w:rPr>
        <w:t xml:space="preserve"> C.E </w:t>
      </w:r>
      <w:r w:rsidRPr="00D917F9">
        <w:rPr>
          <w:rFonts w:ascii="Segoe UI Symbol" w:hAnsi="Segoe UI Symbol" w:cs="Segoe UI Symbol"/>
          <w:b/>
          <w:bCs/>
          <w:lang w:val="es-ES_tradnl"/>
        </w:rPr>
        <w:t>☐</w:t>
      </w:r>
      <w:r w:rsidRPr="00D917F9">
        <w:rPr>
          <w:b/>
          <w:bCs/>
          <w:lang w:val="es-ES_tradnl"/>
        </w:rPr>
        <w:t>):</w:t>
      </w:r>
      <w:r w:rsidRPr="00D917F9">
        <w:rPr>
          <w:lang w:val="es-ES_tradnl"/>
        </w:rPr>
        <w:t xml:space="preserve"> </w:t>
      </w:r>
    </w:p>
    <w:p w14:paraId="265EFEF6" w14:textId="6958BD05" w:rsidR="0071077B" w:rsidRPr="00D917F9" w:rsidRDefault="0071077B" w:rsidP="0071077B">
      <w:pPr>
        <w:rPr>
          <w:lang w:val="es-ES_tradnl"/>
        </w:rPr>
      </w:pPr>
      <w:r w:rsidRPr="00D917F9">
        <w:rPr>
          <w:b/>
          <w:bCs/>
          <w:lang w:val="es-ES_tradnl"/>
        </w:rPr>
        <w:t>Nombre Representante Legal:</w:t>
      </w:r>
      <w:r w:rsidRPr="00D917F9">
        <w:rPr>
          <w:lang w:val="es-ES_tradnl"/>
        </w:rPr>
        <w:t xml:space="preserve"> </w:t>
      </w:r>
    </w:p>
    <w:p w14:paraId="2567E348" w14:textId="0C5845F5" w:rsidR="0071077B" w:rsidRPr="00D917F9" w:rsidRDefault="0071077B" w:rsidP="0071077B">
      <w:pPr>
        <w:rPr>
          <w:lang w:val="es-ES_tradnl"/>
        </w:rPr>
      </w:pPr>
      <w:r w:rsidRPr="00D917F9">
        <w:rPr>
          <w:b/>
          <w:bCs/>
          <w:lang w:val="es-ES_tradnl"/>
        </w:rPr>
        <w:t xml:space="preserve">Identificación (C.C </w:t>
      </w:r>
      <w:r w:rsidRPr="00D917F9">
        <w:rPr>
          <w:rFonts w:ascii="Segoe UI Symbol" w:hAnsi="Segoe UI Symbol" w:cs="Segoe UI Symbol"/>
          <w:b/>
          <w:bCs/>
          <w:lang w:val="es-ES_tradnl"/>
        </w:rPr>
        <w:t>☐</w:t>
      </w:r>
      <w:r w:rsidRPr="00D917F9">
        <w:rPr>
          <w:b/>
          <w:bCs/>
          <w:lang w:val="es-ES_tradnl"/>
        </w:rPr>
        <w:t xml:space="preserve"> C.E. </w:t>
      </w:r>
      <w:r w:rsidRPr="00D917F9">
        <w:rPr>
          <w:rFonts w:ascii="Segoe UI Symbol" w:hAnsi="Segoe UI Symbol" w:cs="Segoe UI Symbol"/>
          <w:b/>
          <w:bCs/>
          <w:lang w:val="es-ES_tradnl"/>
        </w:rPr>
        <w:t>☐</w:t>
      </w:r>
      <w:r w:rsidRPr="00D917F9">
        <w:rPr>
          <w:b/>
          <w:bCs/>
          <w:lang w:val="es-ES_tradnl"/>
        </w:rPr>
        <w:t>)</w:t>
      </w:r>
      <w:r w:rsidRPr="00D917F9">
        <w:rPr>
          <w:lang w:val="es-ES_tradnl"/>
        </w:rPr>
        <w:t xml:space="preserve">: </w:t>
      </w:r>
    </w:p>
    <w:p w14:paraId="1D8718AD" w14:textId="31807304" w:rsidR="0071077B" w:rsidRPr="00D917F9" w:rsidRDefault="0071077B" w:rsidP="0071077B">
      <w:pPr>
        <w:rPr>
          <w:lang w:val="es-ES_tradnl"/>
        </w:rPr>
      </w:pPr>
      <w:r w:rsidRPr="00D917F9">
        <w:rPr>
          <w:b/>
          <w:bCs/>
          <w:lang w:val="es-ES_tradnl"/>
        </w:rPr>
        <w:t>Dirección:</w:t>
      </w:r>
      <w:r w:rsidRPr="00D917F9">
        <w:rPr>
          <w:lang w:val="es-ES_tradnl"/>
        </w:rPr>
        <w:t xml:space="preserve"> </w:t>
      </w:r>
    </w:p>
    <w:p w14:paraId="62CA5E51" w14:textId="27C91DF9" w:rsidR="0071077B" w:rsidRPr="00D917F9" w:rsidRDefault="0071077B" w:rsidP="0071077B">
      <w:pPr>
        <w:rPr>
          <w:lang w:val="es-ES_tradnl"/>
        </w:rPr>
      </w:pPr>
      <w:r w:rsidRPr="00D917F9">
        <w:rPr>
          <w:b/>
          <w:bCs/>
          <w:lang w:val="es-ES_tradnl"/>
        </w:rPr>
        <w:t>Teléfono:</w:t>
      </w:r>
      <w:r w:rsidRPr="00D917F9">
        <w:rPr>
          <w:lang w:val="es-ES_tradnl"/>
        </w:rPr>
        <w:t xml:space="preserve"> </w:t>
      </w:r>
    </w:p>
    <w:p w14:paraId="08912F7B" w14:textId="698F91CD" w:rsidR="0071077B" w:rsidRDefault="0071077B" w:rsidP="0071077B">
      <w:pPr>
        <w:rPr>
          <w:lang w:val="es-ES_tradnl"/>
        </w:rPr>
      </w:pPr>
      <w:r w:rsidRPr="00D917F9">
        <w:rPr>
          <w:b/>
          <w:bCs/>
          <w:lang w:val="es-ES_tradnl"/>
        </w:rPr>
        <w:t>Email:</w:t>
      </w:r>
      <w:r w:rsidRPr="00D917F9">
        <w:rPr>
          <w:lang w:val="es-ES_tradnl"/>
        </w:rPr>
        <w:t xml:space="preserve"> </w:t>
      </w:r>
    </w:p>
    <w:p w14:paraId="44D7444B" w14:textId="77777777" w:rsidR="0071077B" w:rsidRPr="00061B14" w:rsidRDefault="0071077B" w:rsidP="0071077B">
      <w:pPr>
        <w:rPr>
          <w:b/>
          <w:lang w:val="es-ES"/>
        </w:rPr>
      </w:pPr>
      <w:r w:rsidRPr="00061B14">
        <w:rPr>
          <w:b/>
          <w:lang w:val="es-ES"/>
        </w:rPr>
        <w:tab/>
      </w:r>
      <w:r w:rsidRPr="00061B14">
        <w:rPr>
          <w:b/>
          <w:lang w:val="es-ES"/>
        </w:rPr>
        <w:tab/>
      </w:r>
      <w:r w:rsidRPr="00061B14">
        <w:rPr>
          <w:b/>
          <w:lang w:val="es-ES"/>
        </w:rPr>
        <w:tab/>
      </w:r>
      <w:r w:rsidRPr="00061B14">
        <w:rPr>
          <w:b/>
          <w:lang w:val="es-ES"/>
        </w:rPr>
        <w:tab/>
        <w:t xml:space="preserve">             </w:t>
      </w:r>
    </w:p>
    <w:p w14:paraId="20C864CB" w14:textId="77777777" w:rsidR="0071077B" w:rsidRDefault="0071077B"/>
    <w:sectPr w:rsidR="007107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E34F4"/>
    <w:multiLevelType w:val="hybridMultilevel"/>
    <w:tmpl w:val="7B1A0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31C662A"/>
    <w:multiLevelType w:val="hybridMultilevel"/>
    <w:tmpl w:val="09705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81555863">
    <w:abstractNumId w:val="1"/>
  </w:num>
  <w:num w:numId="2" w16cid:durableId="922497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77B"/>
    <w:rsid w:val="001E30C2"/>
    <w:rsid w:val="00670C14"/>
    <w:rsid w:val="00694F4A"/>
    <w:rsid w:val="0071077B"/>
    <w:rsid w:val="007776B7"/>
    <w:rsid w:val="00BE3C8A"/>
    <w:rsid w:val="00D917F9"/>
    <w:rsid w:val="00FE12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6E9E8"/>
  <w15:chartTrackingRefBased/>
  <w15:docId w15:val="{E5705D69-B3B4-4B42-AEDA-22202429E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77B"/>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71077B"/>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71077B"/>
    <w:rPr>
      <w:rFonts w:ascii="Arial" w:eastAsia="Times New Roman" w:hAnsi="Arial" w:cs="Arial"/>
      <w:sz w:val="20"/>
      <w:szCs w:val="20"/>
      <w:lang w:eastAsia="es-ES"/>
    </w:rPr>
  </w:style>
  <w:style w:type="paragraph" w:styleId="Ttulo">
    <w:name w:val="Title"/>
    <w:basedOn w:val="Normal"/>
    <w:link w:val="TtuloCar1"/>
    <w:qFormat/>
    <w:rsid w:val="0071077B"/>
    <w:pPr>
      <w:autoSpaceDE/>
      <w:autoSpaceDN/>
      <w:jc w:val="center"/>
    </w:pPr>
    <w:rPr>
      <w:rFonts w:cs="Times New Roman"/>
      <w:b/>
      <w:sz w:val="18"/>
    </w:rPr>
  </w:style>
  <w:style w:type="character" w:customStyle="1" w:styleId="TtuloCar">
    <w:name w:val="Título Car"/>
    <w:aliases w:val="Title Char Car"/>
    <w:basedOn w:val="Fuentedeprrafopredeter"/>
    <w:link w:val="TitleChar"/>
    <w:uiPriority w:val="10"/>
    <w:rsid w:val="0071077B"/>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rsid w:val="0071077B"/>
    <w:rPr>
      <w:rFonts w:ascii="Arial" w:eastAsia="Times New Roman" w:hAnsi="Arial" w:cs="Times New Roman"/>
      <w:b/>
      <w:sz w:val="18"/>
      <w:szCs w:val="20"/>
      <w:lang w:eastAsia="es-ES"/>
    </w:rPr>
  </w:style>
  <w:style w:type="character" w:styleId="Hipervnculo">
    <w:name w:val="Hyperlink"/>
    <w:basedOn w:val="Fuentedeprrafopredeter"/>
    <w:uiPriority w:val="99"/>
    <w:qFormat/>
    <w:rsid w:val="0071077B"/>
    <w:rPr>
      <w:color w:val="0000FF"/>
      <w:u w:val="single"/>
    </w:rPr>
  </w:style>
  <w:style w:type="paragraph" w:customStyle="1" w:styleId="Default">
    <w:name w:val="Default"/>
    <w:link w:val="DefaultCar"/>
    <w:rsid w:val="0071077B"/>
    <w:pPr>
      <w:autoSpaceDE w:val="0"/>
      <w:autoSpaceDN w:val="0"/>
      <w:adjustRightInd w:val="0"/>
      <w:spacing w:after="0" w:line="240" w:lineRule="auto"/>
    </w:pPr>
    <w:rPr>
      <w:rFonts w:ascii="Arial" w:hAnsi="Arial" w:cs="Arial"/>
      <w:color w:val="000000"/>
      <w:sz w:val="24"/>
      <w:szCs w:val="24"/>
    </w:rPr>
  </w:style>
  <w:style w:type="paragraph" w:customStyle="1" w:styleId="TitleChar">
    <w:name w:val="Title Char"/>
    <w:aliases w:val="Título1,Títulos Principales sin numeración,Title"/>
    <w:basedOn w:val="Normal"/>
    <w:next w:val="Normal"/>
    <w:link w:val="TtuloCar"/>
    <w:uiPriority w:val="10"/>
    <w:qFormat/>
    <w:rsid w:val="0071077B"/>
    <w:pPr>
      <w:autoSpaceDE/>
      <w:autoSpaceDN/>
      <w:jc w:val="center"/>
    </w:pPr>
    <w:rPr>
      <w:rFonts w:asciiTheme="majorHAnsi" w:eastAsiaTheme="majorEastAsia" w:hAnsiTheme="majorHAnsi" w:cstheme="majorBidi"/>
      <w:spacing w:val="-10"/>
      <w:kern w:val="28"/>
      <w:sz w:val="56"/>
      <w:szCs w:val="56"/>
    </w:rPr>
  </w:style>
  <w:style w:type="paragraph" w:customStyle="1" w:styleId="Sinespaciado1">
    <w:name w:val="Sin espaciado1"/>
    <w:link w:val="NoSpacingChar"/>
    <w:qFormat/>
    <w:rsid w:val="0071077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71077B"/>
    <w:rPr>
      <w:rFonts w:ascii="Times New Roman" w:eastAsia="Times New Roman" w:hAnsi="Times New Roman" w:cs="Times New Roman"/>
      <w:sz w:val="24"/>
      <w:szCs w:val="24"/>
      <w:lang w:eastAsia="es-ES"/>
    </w:rPr>
  </w:style>
  <w:style w:type="character" w:customStyle="1" w:styleId="DefaultCar">
    <w:name w:val="Default Car"/>
    <w:link w:val="Default"/>
    <w:locked/>
    <w:rsid w:val="0071077B"/>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ol.upres@policia.gov.co" TargetMode="External"/><Relationship Id="rId5" Type="http://schemas.openxmlformats.org/officeDocument/2006/relationships/hyperlink" Target="http://www.mindefens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1196</Words>
  <Characters>6579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DISAN DEIFO-MATRIZ</cp:lastModifiedBy>
  <cp:revision>5</cp:revision>
  <dcterms:created xsi:type="dcterms:W3CDTF">2022-05-07T20:04:00Z</dcterms:created>
  <dcterms:modified xsi:type="dcterms:W3CDTF">2022-10-24T19:08:00Z</dcterms:modified>
</cp:coreProperties>
</file>