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5C67C" w14:textId="7CD2AD6B" w:rsidR="00F8352C" w:rsidRPr="00F11DED" w:rsidRDefault="00E33A8D" w:rsidP="00E33A8D">
      <w:pPr>
        <w:widowControl w:val="0"/>
        <w:autoSpaceDE w:val="0"/>
        <w:autoSpaceDN w:val="0"/>
        <w:spacing w:before="213"/>
        <w:outlineLvl w:val="0"/>
        <w:rPr>
          <w:rFonts w:ascii="Tahoma" w:eastAsia="Calibri" w:hAnsi="Tahoma" w:cs="Tahoma"/>
          <w:color w:val="FF0000"/>
          <w:sz w:val="20"/>
          <w:szCs w:val="20"/>
          <w:lang w:val="es-ES" w:eastAsia="es-ES" w:bidi="es-ES"/>
        </w:rPr>
      </w:pPr>
      <w:bookmarkStart w:id="0" w:name="_Hlk44049873"/>
      <w:r w:rsidRPr="00E33A8D">
        <w:rPr>
          <w:rFonts w:ascii="Tahoma" w:hAnsi="Tahoma" w:cs="Tahoma"/>
          <w:sz w:val="20"/>
          <w:szCs w:val="20"/>
          <w:lang w:val="es-ES"/>
        </w:rPr>
        <w:t xml:space="preserve">   </w:t>
      </w:r>
      <w:r w:rsidR="00F8352C" w:rsidRPr="00E33A8D">
        <w:rPr>
          <w:rFonts w:ascii="Tahoma" w:eastAsia="Calibri" w:hAnsi="Tahoma" w:cs="Tahoma"/>
          <w:sz w:val="20"/>
          <w:szCs w:val="20"/>
          <w:lang w:val="es-ES" w:eastAsia="es-ES" w:bidi="es-ES"/>
        </w:rPr>
        <w:t>Barranquill</w:t>
      </w:r>
      <w:r w:rsidR="00136120">
        <w:rPr>
          <w:rFonts w:ascii="Tahoma" w:eastAsia="Calibri" w:hAnsi="Tahoma" w:cs="Tahoma"/>
          <w:sz w:val="20"/>
          <w:szCs w:val="20"/>
          <w:lang w:val="es-ES" w:eastAsia="es-ES" w:bidi="es-ES"/>
        </w:rPr>
        <w:t xml:space="preserve">a, </w:t>
      </w:r>
      <w:r w:rsidR="00E568C3">
        <w:rPr>
          <w:rFonts w:ascii="Tahoma" w:eastAsia="Calibri" w:hAnsi="Tahoma" w:cs="Tahoma"/>
          <w:sz w:val="20"/>
          <w:szCs w:val="20"/>
          <w:lang w:val="es-ES" w:eastAsia="es-ES" w:bidi="es-ES"/>
        </w:rPr>
        <w:t>6</w:t>
      </w:r>
      <w:r w:rsidR="00BA2675">
        <w:rPr>
          <w:rFonts w:ascii="Tahoma" w:eastAsia="Calibri" w:hAnsi="Tahoma" w:cs="Tahoma"/>
          <w:sz w:val="20"/>
          <w:szCs w:val="20"/>
          <w:lang w:val="es-ES" w:eastAsia="es-ES" w:bidi="es-ES"/>
        </w:rPr>
        <w:t xml:space="preserve"> </w:t>
      </w:r>
      <w:r w:rsidR="00136120">
        <w:rPr>
          <w:rFonts w:ascii="Tahoma" w:eastAsia="Calibri" w:hAnsi="Tahoma" w:cs="Tahoma"/>
          <w:sz w:val="20"/>
          <w:szCs w:val="20"/>
          <w:lang w:val="es-ES" w:eastAsia="es-ES" w:bidi="es-ES"/>
        </w:rPr>
        <w:t xml:space="preserve">de </w:t>
      </w:r>
      <w:r w:rsidR="00E568C3">
        <w:rPr>
          <w:rFonts w:ascii="Tahoma" w:eastAsia="Calibri" w:hAnsi="Tahoma" w:cs="Tahoma"/>
          <w:sz w:val="20"/>
          <w:szCs w:val="20"/>
          <w:lang w:val="es-ES" w:eastAsia="es-ES" w:bidi="es-ES"/>
        </w:rPr>
        <w:t>diciembre</w:t>
      </w:r>
      <w:r w:rsidR="008D008E">
        <w:rPr>
          <w:rFonts w:ascii="Tahoma" w:eastAsia="Calibri" w:hAnsi="Tahoma" w:cs="Tahoma"/>
          <w:sz w:val="20"/>
          <w:szCs w:val="20"/>
          <w:lang w:val="es-ES" w:eastAsia="es-ES" w:bidi="es-ES"/>
        </w:rPr>
        <w:t xml:space="preserve"> </w:t>
      </w:r>
      <w:r w:rsidR="00320EF5">
        <w:rPr>
          <w:rFonts w:ascii="Tahoma" w:eastAsia="Calibri" w:hAnsi="Tahoma" w:cs="Tahoma"/>
          <w:sz w:val="20"/>
          <w:szCs w:val="20"/>
          <w:lang w:val="es-ES" w:eastAsia="es-ES" w:bidi="es-ES"/>
        </w:rPr>
        <w:t xml:space="preserve">de </w:t>
      </w:r>
      <w:r w:rsidR="00136120">
        <w:rPr>
          <w:rFonts w:ascii="Tahoma" w:eastAsia="Calibri" w:hAnsi="Tahoma" w:cs="Tahoma"/>
          <w:sz w:val="20"/>
          <w:szCs w:val="20"/>
          <w:lang w:val="es-ES" w:eastAsia="es-ES" w:bidi="es-ES"/>
        </w:rPr>
        <w:t xml:space="preserve">2022 </w:t>
      </w:r>
    </w:p>
    <w:p w14:paraId="1ECC87BF" w14:textId="77777777" w:rsidR="00F8352C" w:rsidRPr="00F11DED" w:rsidRDefault="00F8352C" w:rsidP="00F8352C">
      <w:pPr>
        <w:widowControl w:val="0"/>
        <w:autoSpaceDE w:val="0"/>
        <w:autoSpaceDN w:val="0"/>
        <w:spacing w:before="9"/>
        <w:rPr>
          <w:rFonts w:ascii="Tahoma" w:eastAsia="Calibri" w:hAnsi="Tahoma" w:cs="Tahoma"/>
          <w:color w:val="FF0000"/>
          <w:sz w:val="20"/>
          <w:szCs w:val="20"/>
          <w:lang w:val="es-ES" w:eastAsia="es-ES" w:bidi="es-ES"/>
        </w:rPr>
      </w:pPr>
    </w:p>
    <w:p w14:paraId="2780783D" w14:textId="77777777" w:rsidR="00F8352C" w:rsidRPr="00E33A8D" w:rsidRDefault="00F8352C" w:rsidP="00F8352C">
      <w:pPr>
        <w:widowControl w:val="0"/>
        <w:autoSpaceDE w:val="0"/>
        <w:autoSpaceDN w:val="0"/>
        <w:ind w:left="140"/>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Doctor</w:t>
      </w:r>
    </w:p>
    <w:p w14:paraId="7DF5FA3D" w14:textId="1C21733B" w:rsidR="00136120" w:rsidRPr="006C5048" w:rsidRDefault="004C0BE7" w:rsidP="00136120">
      <w:pPr>
        <w:widowControl w:val="0"/>
        <w:autoSpaceDE w:val="0"/>
        <w:autoSpaceDN w:val="0"/>
        <w:spacing w:before="27" w:line="259" w:lineRule="auto"/>
        <w:ind w:left="140" w:right="5556"/>
        <w:rPr>
          <w:b/>
          <w:bCs/>
          <w:sz w:val="22"/>
          <w:szCs w:val="22"/>
          <w:lang w:val="es-CO"/>
        </w:rPr>
      </w:pPr>
      <w:r>
        <w:rPr>
          <w:b/>
          <w:bCs/>
          <w:sz w:val="22"/>
          <w:szCs w:val="22"/>
          <w:lang w:val="es-ES"/>
        </w:rPr>
        <w:t>LUIS RESTREPO</w:t>
      </w:r>
    </w:p>
    <w:p w14:paraId="06918B70" w14:textId="2F86E41F" w:rsidR="00F8352C" w:rsidRPr="00E33A8D" w:rsidRDefault="00302630" w:rsidP="00136120">
      <w:pPr>
        <w:widowControl w:val="0"/>
        <w:autoSpaceDE w:val="0"/>
        <w:autoSpaceDN w:val="0"/>
        <w:spacing w:before="27" w:line="259" w:lineRule="auto"/>
        <w:ind w:left="140" w:right="5556"/>
        <w:rPr>
          <w:rFonts w:ascii="Tahoma" w:eastAsia="Calibri" w:hAnsi="Tahoma" w:cs="Tahoma"/>
          <w:sz w:val="20"/>
          <w:szCs w:val="20"/>
          <w:lang w:val="es-ES" w:eastAsia="es-ES" w:bidi="es-ES"/>
        </w:rPr>
      </w:pPr>
      <w:r>
        <w:rPr>
          <w:rFonts w:ascii="Tahoma" w:eastAsia="Calibri" w:hAnsi="Tahoma" w:cs="Tahoma"/>
          <w:sz w:val="20"/>
          <w:szCs w:val="20"/>
          <w:lang w:val="es-ES" w:eastAsia="es-ES" w:bidi="es-ES"/>
        </w:rPr>
        <w:t>Director</w:t>
      </w:r>
      <w:r w:rsidR="00136120">
        <w:rPr>
          <w:rFonts w:ascii="Tahoma" w:eastAsia="Calibri" w:hAnsi="Tahoma" w:cs="Tahoma"/>
          <w:sz w:val="20"/>
          <w:szCs w:val="20"/>
          <w:lang w:val="es-ES" w:eastAsia="es-ES" w:bidi="es-ES"/>
        </w:rPr>
        <w:t xml:space="preserve"> </w:t>
      </w:r>
    </w:p>
    <w:p w14:paraId="189F01E9" w14:textId="77777777" w:rsidR="00F8352C" w:rsidRPr="00E33A8D" w:rsidRDefault="00F8352C" w:rsidP="00F8352C">
      <w:pPr>
        <w:widowControl w:val="0"/>
        <w:autoSpaceDE w:val="0"/>
        <w:autoSpaceDN w:val="0"/>
        <w:spacing w:line="289" w:lineRule="exact"/>
        <w:ind w:left="140"/>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Ciudad</w:t>
      </w:r>
    </w:p>
    <w:p w14:paraId="2719004B" w14:textId="77777777" w:rsidR="00F8352C" w:rsidRPr="00E33A8D" w:rsidRDefault="00F8352C" w:rsidP="00F8352C">
      <w:pPr>
        <w:widowControl w:val="0"/>
        <w:autoSpaceDE w:val="0"/>
        <w:autoSpaceDN w:val="0"/>
        <w:spacing w:before="1"/>
        <w:rPr>
          <w:rFonts w:ascii="Tahoma" w:eastAsia="Calibri" w:hAnsi="Tahoma" w:cs="Tahoma"/>
          <w:sz w:val="20"/>
          <w:szCs w:val="20"/>
          <w:lang w:val="es-ES" w:eastAsia="es-ES" w:bidi="es-ES"/>
        </w:rPr>
      </w:pPr>
    </w:p>
    <w:p w14:paraId="052CFD04" w14:textId="4D2D0671" w:rsidR="00F8352C" w:rsidRPr="00E33A8D" w:rsidRDefault="00F8352C" w:rsidP="00F8352C">
      <w:pPr>
        <w:widowControl w:val="0"/>
        <w:autoSpaceDE w:val="0"/>
        <w:autoSpaceDN w:val="0"/>
        <w:spacing w:line="259" w:lineRule="auto"/>
        <w:ind w:left="140" w:right="142"/>
        <w:jc w:val="both"/>
        <w:rPr>
          <w:rFonts w:ascii="Tahoma" w:eastAsia="Calibri" w:hAnsi="Tahoma" w:cs="Tahoma"/>
          <w:sz w:val="20"/>
          <w:szCs w:val="20"/>
          <w:lang w:val="es-ES" w:eastAsia="es-ES" w:bidi="es-ES"/>
        </w:rPr>
      </w:pPr>
      <w:r w:rsidRPr="00E33A8D">
        <w:rPr>
          <w:rFonts w:ascii="Tahoma" w:eastAsia="Calibri" w:hAnsi="Tahoma" w:cs="Tahoma"/>
          <w:b/>
          <w:sz w:val="20"/>
          <w:szCs w:val="20"/>
          <w:lang w:val="es-ES" w:eastAsia="es-ES" w:bidi="es-ES"/>
        </w:rPr>
        <w:t>ASUNTO:</w:t>
      </w:r>
      <w:r w:rsidRPr="00E33A8D">
        <w:rPr>
          <w:rFonts w:ascii="Tahoma" w:eastAsia="Calibri" w:hAnsi="Tahoma" w:cs="Tahoma"/>
          <w:sz w:val="20"/>
          <w:szCs w:val="20"/>
          <w:lang w:val="es-ES" w:eastAsia="es-ES" w:bidi="es-ES"/>
        </w:rPr>
        <w:t xml:space="preserve"> OFICIO APLICACIÓN DE ORDENANZA</w:t>
      </w:r>
      <w:r w:rsidR="008B1FB3" w:rsidRPr="00E33A8D">
        <w:rPr>
          <w:rFonts w:ascii="Tahoma" w:eastAsia="Calibri" w:hAnsi="Tahoma" w:cs="Tahoma"/>
          <w:sz w:val="20"/>
          <w:szCs w:val="20"/>
          <w:lang w:val="es-ES" w:eastAsia="es-ES" w:bidi="es-ES"/>
        </w:rPr>
        <w:t xml:space="preserve"> </w:t>
      </w:r>
      <w:proofErr w:type="spellStart"/>
      <w:r w:rsidR="008B1FB3" w:rsidRPr="00E33A8D">
        <w:rPr>
          <w:rFonts w:ascii="Tahoma" w:eastAsia="Calibri" w:hAnsi="Tahoma" w:cs="Tahoma"/>
          <w:sz w:val="20"/>
          <w:szCs w:val="20"/>
          <w:lang w:val="es-ES" w:eastAsia="es-ES" w:bidi="es-ES"/>
        </w:rPr>
        <w:t>N°</w:t>
      </w:r>
      <w:proofErr w:type="spellEnd"/>
      <w:r w:rsidRPr="00E33A8D">
        <w:rPr>
          <w:rFonts w:ascii="Tahoma" w:eastAsia="Calibri" w:hAnsi="Tahoma" w:cs="Tahoma"/>
          <w:sz w:val="20"/>
          <w:szCs w:val="20"/>
          <w:lang w:val="es-ES" w:eastAsia="es-ES" w:bidi="es-ES"/>
        </w:rPr>
        <w:t xml:space="preserve"> 000488 DE 2020</w:t>
      </w:r>
      <w:r w:rsidR="008B1FB3" w:rsidRPr="00E33A8D">
        <w:rPr>
          <w:rFonts w:ascii="Tahoma" w:eastAsia="Calibri" w:hAnsi="Tahoma" w:cs="Tahoma"/>
          <w:sz w:val="20"/>
          <w:szCs w:val="20"/>
          <w:lang w:val="es-ES" w:eastAsia="es-ES" w:bidi="es-ES"/>
        </w:rPr>
        <w:t xml:space="preserve"> MODIFICADA </w:t>
      </w:r>
      <w:proofErr w:type="gramStart"/>
      <w:r w:rsidR="008B1FB3" w:rsidRPr="00E33A8D">
        <w:rPr>
          <w:rFonts w:ascii="Tahoma" w:eastAsia="Calibri" w:hAnsi="Tahoma" w:cs="Tahoma"/>
          <w:sz w:val="20"/>
          <w:szCs w:val="20"/>
          <w:lang w:val="es-ES" w:eastAsia="es-ES" w:bidi="es-ES"/>
        </w:rPr>
        <w:t>POR  LA</w:t>
      </w:r>
      <w:proofErr w:type="gramEnd"/>
      <w:r w:rsidR="008B1FB3" w:rsidRPr="00E33A8D">
        <w:rPr>
          <w:rFonts w:ascii="Tahoma" w:eastAsia="Calibri" w:hAnsi="Tahoma" w:cs="Tahoma"/>
          <w:sz w:val="20"/>
          <w:szCs w:val="20"/>
          <w:lang w:val="es-ES" w:eastAsia="es-ES" w:bidi="es-ES"/>
        </w:rPr>
        <w:t xml:space="preserve"> ORDENANZA </w:t>
      </w:r>
      <w:proofErr w:type="spellStart"/>
      <w:r w:rsidR="008B1FB3" w:rsidRPr="00E33A8D">
        <w:rPr>
          <w:rFonts w:ascii="Tahoma" w:eastAsia="Calibri" w:hAnsi="Tahoma" w:cs="Tahoma"/>
          <w:sz w:val="20"/>
          <w:szCs w:val="20"/>
          <w:lang w:val="es-ES" w:eastAsia="es-ES" w:bidi="es-ES"/>
        </w:rPr>
        <w:t>N°</w:t>
      </w:r>
      <w:proofErr w:type="spellEnd"/>
      <w:r w:rsidR="008B1FB3" w:rsidRPr="00E33A8D">
        <w:rPr>
          <w:rFonts w:ascii="Tahoma" w:eastAsia="Calibri" w:hAnsi="Tahoma" w:cs="Tahoma"/>
          <w:sz w:val="20"/>
          <w:szCs w:val="20"/>
          <w:lang w:val="es-ES" w:eastAsia="es-ES" w:bidi="es-ES"/>
        </w:rPr>
        <w:t xml:space="preserve"> 000550 DE 2021</w:t>
      </w:r>
      <w:r w:rsidRPr="00E33A8D">
        <w:rPr>
          <w:rFonts w:ascii="Tahoma" w:eastAsia="Calibri" w:hAnsi="Tahoma" w:cs="Tahoma"/>
          <w:sz w:val="20"/>
          <w:szCs w:val="20"/>
          <w:lang w:val="es-ES" w:eastAsia="es-ES" w:bidi="es-ES"/>
        </w:rPr>
        <w:t>, ADICION DECRETO ORDENANZAL 0545 DE 2017 EN ARTÍCULOS RELACIONADOS CON LAS ESTAMPILLAS DEPARTAMENTALES</w:t>
      </w:r>
    </w:p>
    <w:p w14:paraId="29F325AC" w14:textId="77777777" w:rsidR="00F8352C" w:rsidRPr="00E33A8D" w:rsidRDefault="00F8352C" w:rsidP="00F8352C">
      <w:pPr>
        <w:widowControl w:val="0"/>
        <w:autoSpaceDE w:val="0"/>
        <w:autoSpaceDN w:val="0"/>
        <w:spacing w:before="2"/>
        <w:rPr>
          <w:rFonts w:ascii="Tahoma" w:eastAsia="Calibri" w:hAnsi="Tahoma" w:cs="Tahoma"/>
          <w:sz w:val="20"/>
          <w:szCs w:val="20"/>
          <w:lang w:val="es-ES" w:eastAsia="es-ES" w:bidi="es-ES"/>
        </w:rPr>
      </w:pPr>
    </w:p>
    <w:p w14:paraId="6FF8F932" w14:textId="1E47891F"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Por medio de la presente solicito la aplicación de la Ordenanza 000488 de 2020</w:t>
      </w:r>
      <w:r w:rsidR="008B1FB3" w:rsidRPr="00E33A8D">
        <w:rPr>
          <w:rFonts w:ascii="Tahoma" w:eastAsia="Calibri" w:hAnsi="Tahoma" w:cs="Tahoma"/>
          <w:sz w:val="20"/>
          <w:szCs w:val="20"/>
          <w:lang w:val="es-ES" w:eastAsia="es-ES" w:bidi="es-ES"/>
        </w:rPr>
        <w:t xml:space="preserve"> modificada por la Ordenanza </w:t>
      </w:r>
      <w:proofErr w:type="spellStart"/>
      <w:r w:rsidR="008B1FB3" w:rsidRPr="00E33A8D">
        <w:rPr>
          <w:rFonts w:ascii="Tahoma" w:eastAsia="Calibri" w:hAnsi="Tahoma" w:cs="Tahoma"/>
          <w:sz w:val="20"/>
          <w:szCs w:val="20"/>
          <w:lang w:val="es-ES" w:eastAsia="es-ES" w:bidi="es-ES"/>
        </w:rPr>
        <w:t>N°</w:t>
      </w:r>
      <w:proofErr w:type="spellEnd"/>
      <w:r w:rsidR="008B1FB3" w:rsidRPr="00E33A8D">
        <w:rPr>
          <w:rFonts w:ascii="Tahoma" w:eastAsia="Calibri" w:hAnsi="Tahoma" w:cs="Tahoma"/>
          <w:sz w:val="20"/>
          <w:szCs w:val="20"/>
          <w:lang w:val="es-ES" w:eastAsia="es-ES" w:bidi="es-ES"/>
        </w:rPr>
        <w:t xml:space="preserve"> 000550 de 2021</w:t>
      </w:r>
      <w:r w:rsidRPr="00E33A8D">
        <w:rPr>
          <w:rFonts w:ascii="Tahoma" w:eastAsia="Calibri" w:hAnsi="Tahoma" w:cs="Tahoma"/>
          <w:sz w:val="20"/>
          <w:szCs w:val="20"/>
          <w:lang w:val="es-ES" w:eastAsia="es-ES" w:bidi="es-ES"/>
        </w:rPr>
        <w:t>, mediante el cual se modifica y adiciona lo referente a los artículos relacionados con las Estampillas Departamentales,</w:t>
      </w:r>
      <w:r w:rsidRPr="00E33A8D">
        <w:rPr>
          <w:rFonts w:ascii="Tahoma" w:eastAsia="Calibri" w:hAnsi="Tahoma" w:cs="Tahoma"/>
          <w:spacing w:val="-14"/>
          <w:sz w:val="20"/>
          <w:szCs w:val="20"/>
          <w:lang w:val="es-ES" w:eastAsia="es-ES" w:bidi="es-ES"/>
        </w:rPr>
        <w:t xml:space="preserve"> </w:t>
      </w:r>
      <w:r w:rsidRPr="00E33A8D">
        <w:rPr>
          <w:rFonts w:ascii="Tahoma" w:eastAsia="Calibri" w:hAnsi="Tahoma" w:cs="Tahoma"/>
          <w:sz w:val="20"/>
          <w:szCs w:val="20"/>
          <w:lang w:val="es-ES" w:eastAsia="es-ES" w:bidi="es-ES"/>
        </w:rPr>
        <w:t>para</w:t>
      </w:r>
      <w:r w:rsidRPr="00E33A8D">
        <w:rPr>
          <w:rFonts w:ascii="Tahoma" w:eastAsia="Calibri" w:hAnsi="Tahoma" w:cs="Tahoma"/>
          <w:spacing w:val="-12"/>
          <w:sz w:val="20"/>
          <w:szCs w:val="20"/>
          <w:lang w:val="es-ES" w:eastAsia="es-ES" w:bidi="es-ES"/>
        </w:rPr>
        <w:t xml:space="preserve"> </w:t>
      </w:r>
      <w:r w:rsidRPr="00E33A8D">
        <w:rPr>
          <w:rFonts w:ascii="Tahoma" w:eastAsia="Calibri" w:hAnsi="Tahoma" w:cs="Tahoma"/>
          <w:sz w:val="20"/>
          <w:szCs w:val="20"/>
          <w:lang w:val="es-ES" w:eastAsia="es-ES" w:bidi="es-ES"/>
        </w:rPr>
        <w:t>que</w:t>
      </w:r>
      <w:r w:rsidRPr="00E33A8D">
        <w:rPr>
          <w:rFonts w:ascii="Tahoma" w:eastAsia="Calibri" w:hAnsi="Tahoma" w:cs="Tahoma"/>
          <w:spacing w:val="-13"/>
          <w:sz w:val="20"/>
          <w:szCs w:val="20"/>
          <w:lang w:val="es-ES" w:eastAsia="es-ES" w:bidi="es-ES"/>
        </w:rPr>
        <w:t xml:space="preserve"> </w:t>
      </w:r>
      <w:r w:rsidRPr="00E33A8D">
        <w:rPr>
          <w:rFonts w:ascii="Tahoma" w:eastAsia="Calibri" w:hAnsi="Tahoma" w:cs="Tahoma"/>
          <w:sz w:val="20"/>
          <w:szCs w:val="20"/>
          <w:lang w:val="es-ES" w:eastAsia="es-ES" w:bidi="es-ES"/>
        </w:rPr>
        <w:t>las</w:t>
      </w:r>
      <w:r w:rsidRPr="00E33A8D">
        <w:rPr>
          <w:rFonts w:ascii="Tahoma" w:eastAsia="Calibri" w:hAnsi="Tahoma" w:cs="Tahoma"/>
          <w:spacing w:val="-12"/>
          <w:sz w:val="20"/>
          <w:szCs w:val="20"/>
          <w:lang w:val="es-ES" w:eastAsia="es-ES" w:bidi="es-ES"/>
        </w:rPr>
        <w:t xml:space="preserve"> </w:t>
      </w:r>
      <w:r w:rsidRPr="00E33A8D">
        <w:rPr>
          <w:rFonts w:ascii="Tahoma" w:eastAsia="Calibri" w:hAnsi="Tahoma" w:cs="Tahoma"/>
          <w:sz w:val="20"/>
          <w:szCs w:val="20"/>
          <w:lang w:val="es-ES" w:eastAsia="es-ES" w:bidi="es-ES"/>
        </w:rPr>
        <w:t>mismas</w:t>
      </w:r>
      <w:r w:rsidRPr="00E33A8D">
        <w:rPr>
          <w:rFonts w:ascii="Tahoma" w:eastAsia="Calibri" w:hAnsi="Tahoma" w:cs="Tahoma"/>
          <w:spacing w:val="-12"/>
          <w:sz w:val="20"/>
          <w:szCs w:val="20"/>
          <w:lang w:val="es-ES" w:eastAsia="es-ES" w:bidi="es-ES"/>
        </w:rPr>
        <w:t xml:space="preserve"> </w:t>
      </w:r>
      <w:r w:rsidRPr="00E33A8D">
        <w:rPr>
          <w:rFonts w:ascii="Tahoma" w:eastAsia="Calibri" w:hAnsi="Tahoma" w:cs="Tahoma"/>
          <w:sz w:val="20"/>
          <w:szCs w:val="20"/>
          <w:lang w:val="es-ES" w:eastAsia="es-ES" w:bidi="es-ES"/>
        </w:rPr>
        <w:t>me</w:t>
      </w:r>
      <w:r w:rsidRPr="00E33A8D">
        <w:rPr>
          <w:rFonts w:ascii="Tahoma" w:eastAsia="Calibri" w:hAnsi="Tahoma" w:cs="Tahoma"/>
          <w:spacing w:val="-13"/>
          <w:sz w:val="20"/>
          <w:szCs w:val="20"/>
          <w:lang w:val="es-ES" w:eastAsia="es-ES" w:bidi="es-ES"/>
        </w:rPr>
        <w:t xml:space="preserve"> </w:t>
      </w:r>
      <w:r w:rsidRPr="00E33A8D">
        <w:rPr>
          <w:rFonts w:ascii="Tahoma" w:eastAsia="Calibri" w:hAnsi="Tahoma" w:cs="Tahoma"/>
          <w:sz w:val="20"/>
          <w:szCs w:val="20"/>
          <w:lang w:val="es-ES" w:eastAsia="es-ES" w:bidi="es-ES"/>
        </w:rPr>
        <w:t>sean</w:t>
      </w:r>
      <w:r w:rsidRPr="00E33A8D">
        <w:rPr>
          <w:rFonts w:ascii="Tahoma" w:eastAsia="Calibri" w:hAnsi="Tahoma" w:cs="Tahoma"/>
          <w:spacing w:val="-13"/>
          <w:sz w:val="20"/>
          <w:szCs w:val="20"/>
          <w:lang w:val="es-ES" w:eastAsia="es-ES" w:bidi="es-ES"/>
        </w:rPr>
        <w:t xml:space="preserve"> </w:t>
      </w:r>
      <w:r w:rsidRPr="00E33A8D">
        <w:rPr>
          <w:rFonts w:ascii="Tahoma" w:eastAsia="Calibri" w:hAnsi="Tahoma" w:cs="Tahoma"/>
          <w:sz w:val="20"/>
          <w:szCs w:val="20"/>
          <w:lang w:val="es-ES" w:eastAsia="es-ES" w:bidi="es-ES"/>
        </w:rPr>
        <w:t>causadas</w:t>
      </w:r>
      <w:r w:rsidRPr="00E33A8D">
        <w:rPr>
          <w:rFonts w:ascii="Tahoma" w:eastAsia="Calibri" w:hAnsi="Tahoma" w:cs="Tahoma"/>
          <w:spacing w:val="-13"/>
          <w:sz w:val="20"/>
          <w:szCs w:val="20"/>
          <w:lang w:val="es-ES" w:eastAsia="es-ES" w:bidi="es-ES"/>
        </w:rPr>
        <w:t xml:space="preserve"> </w:t>
      </w:r>
      <w:r w:rsidRPr="00E33A8D">
        <w:rPr>
          <w:rFonts w:ascii="Tahoma" w:eastAsia="Calibri" w:hAnsi="Tahoma" w:cs="Tahoma"/>
          <w:sz w:val="20"/>
          <w:szCs w:val="20"/>
          <w:lang w:val="es-ES" w:eastAsia="es-ES" w:bidi="es-ES"/>
        </w:rPr>
        <w:t>con</w:t>
      </w:r>
      <w:r w:rsidRPr="00E33A8D">
        <w:rPr>
          <w:rFonts w:ascii="Tahoma" w:eastAsia="Calibri" w:hAnsi="Tahoma" w:cs="Tahoma"/>
          <w:spacing w:val="-15"/>
          <w:sz w:val="20"/>
          <w:szCs w:val="20"/>
          <w:lang w:val="es-ES" w:eastAsia="es-ES" w:bidi="es-ES"/>
        </w:rPr>
        <w:t xml:space="preserve"> </w:t>
      </w:r>
      <w:r w:rsidRPr="00E33A8D">
        <w:rPr>
          <w:rFonts w:ascii="Tahoma" w:eastAsia="Calibri" w:hAnsi="Tahoma" w:cs="Tahoma"/>
          <w:sz w:val="20"/>
          <w:szCs w:val="20"/>
          <w:lang w:val="es-ES" w:eastAsia="es-ES" w:bidi="es-ES"/>
        </w:rPr>
        <w:t xml:space="preserve">cada pago mensual. </w:t>
      </w:r>
    </w:p>
    <w:p w14:paraId="3D7CD878" w14:textId="77777777"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p>
    <w:p w14:paraId="79893D3F" w14:textId="5C381276"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 xml:space="preserve">El texto normativo se encuentra redactado de manera alternativa conjuntiva </w:t>
      </w:r>
      <w:r w:rsidR="00C76DE3" w:rsidRPr="00E33A8D">
        <w:rPr>
          <w:rFonts w:ascii="Tahoma" w:eastAsia="Calibri" w:hAnsi="Tahoma" w:cs="Tahoma"/>
          <w:sz w:val="20"/>
          <w:szCs w:val="20"/>
          <w:lang w:val="es-ES" w:eastAsia="es-ES" w:bidi="es-ES"/>
        </w:rPr>
        <w:t>sea un valor mensual hasta seis</w:t>
      </w:r>
      <w:r w:rsidRPr="00E33A8D">
        <w:rPr>
          <w:rFonts w:ascii="Tahoma" w:eastAsia="Calibri" w:hAnsi="Tahoma" w:cs="Tahoma"/>
          <w:sz w:val="20"/>
          <w:szCs w:val="20"/>
          <w:lang w:val="es-ES" w:eastAsia="es-ES" w:bidi="es-ES"/>
        </w:rPr>
        <w:t xml:space="preserve"> (6) salarios mínimos mensuales legales vigentes o un total acumulado en el año de hasta 72 salarios mínimos mensuales legales vigentes, por lo tanto, al contrato de la referencia le es aplicable la posibilidad de diferir el pago de la estampilla. </w:t>
      </w:r>
    </w:p>
    <w:p w14:paraId="20FF88EF" w14:textId="77777777"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p>
    <w:p w14:paraId="0634F3CC" w14:textId="77777777"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 xml:space="preserve">Una interpretación distinta, iría en contra del principio de legalidad del tributo, al respecto la Corte Constitucional ha señalado: </w:t>
      </w:r>
    </w:p>
    <w:p w14:paraId="38798AB6" w14:textId="77777777"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p>
    <w:p w14:paraId="29CB4B66" w14:textId="77777777" w:rsidR="00F8352C" w:rsidRPr="00E33A8D" w:rsidRDefault="00F8352C" w:rsidP="00F8352C">
      <w:pPr>
        <w:widowControl w:val="0"/>
        <w:autoSpaceDE w:val="0"/>
        <w:autoSpaceDN w:val="0"/>
        <w:spacing w:line="259" w:lineRule="auto"/>
        <w:ind w:left="851" w:right="852"/>
        <w:jc w:val="both"/>
        <w:rPr>
          <w:rFonts w:ascii="Tahoma" w:eastAsia="Calibri" w:hAnsi="Tahoma" w:cs="Tahoma"/>
          <w:i/>
          <w:sz w:val="20"/>
          <w:szCs w:val="20"/>
          <w:lang w:val="es-ES" w:eastAsia="es-ES" w:bidi="es-ES"/>
        </w:rPr>
      </w:pPr>
      <w:r w:rsidRPr="00E33A8D">
        <w:rPr>
          <w:rFonts w:ascii="Tahoma" w:eastAsia="Calibri" w:hAnsi="Tahoma" w:cs="Tahoma"/>
          <w:i/>
          <w:sz w:val="20"/>
          <w:szCs w:val="20"/>
          <w:vertAlign w:val="superscript"/>
          <w:lang w:val="es-ES" w:eastAsia="es-ES" w:bidi="es-ES"/>
        </w:rPr>
        <w:footnoteReference w:id="1"/>
      </w:r>
      <w:r w:rsidRPr="00E33A8D">
        <w:rPr>
          <w:rFonts w:ascii="Tahoma" w:eastAsia="Calibri" w:hAnsi="Tahoma" w:cs="Tahoma"/>
          <w:i/>
          <w:sz w:val="20"/>
          <w:szCs w:val="20"/>
          <w:lang w:val="es-ES" w:eastAsia="es-ES" w:bidi="es-ES"/>
        </w:rPr>
        <w:t>“La Corte Constitucional ha señalado que el principio de legalidad del tributo tiene las siguientes características: (i) Es expresión del principio de representación popular y del principio democrático, derivado en últimas de los postulados del Estado Liberal. (</w:t>
      </w:r>
      <w:proofErr w:type="spellStart"/>
      <w:r w:rsidRPr="00E33A8D">
        <w:rPr>
          <w:rFonts w:ascii="Tahoma" w:eastAsia="Calibri" w:hAnsi="Tahoma" w:cs="Tahoma"/>
          <w:i/>
          <w:sz w:val="20"/>
          <w:szCs w:val="20"/>
          <w:lang w:val="es-ES" w:eastAsia="es-ES" w:bidi="es-ES"/>
        </w:rPr>
        <w:t>ii</w:t>
      </w:r>
      <w:proofErr w:type="spellEnd"/>
      <w:r w:rsidRPr="00E33A8D">
        <w:rPr>
          <w:rFonts w:ascii="Tahoma" w:eastAsia="Calibri" w:hAnsi="Tahoma" w:cs="Tahoma"/>
          <w:i/>
          <w:sz w:val="20"/>
          <w:szCs w:val="20"/>
          <w:lang w:val="es-ES" w:eastAsia="es-ES" w:bidi="es-ES"/>
        </w:rPr>
        <w:t xml:space="preserve">) Materializa el principio de predeterminación del tributo, “según el cual una lex previa y </w:t>
      </w:r>
      <w:proofErr w:type="spellStart"/>
      <w:r w:rsidRPr="00E33A8D">
        <w:rPr>
          <w:rFonts w:ascii="Tahoma" w:eastAsia="Calibri" w:hAnsi="Tahoma" w:cs="Tahoma"/>
          <w:i/>
          <w:sz w:val="20"/>
          <w:szCs w:val="20"/>
          <w:lang w:val="es-ES" w:eastAsia="es-ES" w:bidi="es-ES"/>
        </w:rPr>
        <w:t>certa</w:t>
      </w:r>
      <w:proofErr w:type="spellEnd"/>
      <w:r w:rsidRPr="00E33A8D">
        <w:rPr>
          <w:rFonts w:ascii="Tahoma" w:eastAsia="Calibri" w:hAnsi="Tahoma" w:cs="Tahoma"/>
          <w:i/>
          <w:sz w:val="20"/>
          <w:szCs w:val="20"/>
          <w:lang w:val="es-ES" w:eastAsia="es-ES" w:bidi="es-ES"/>
        </w:rPr>
        <w:t xml:space="preserve"> debe señalar los elementos de la obligación fiscal”. (</w:t>
      </w:r>
      <w:proofErr w:type="spellStart"/>
      <w:r w:rsidRPr="00E33A8D">
        <w:rPr>
          <w:rFonts w:ascii="Tahoma" w:eastAsia="Calibri" w:hAnsi="Tahoma" w:cs="Tahoma"/>
          <w:i/>
          <w:sz w:val="20"/>
          <w:szCs w:val="20"/>
          <w:lang w:val="es-ES" w:eastAsia="es-ES" w:bidi="es-ES"/>
        </w:rPr>
        <w:t>iii</w:t>
      </w:r>
      <w:proofErr w:type="spellEnd"/>
      <w:r w:rsidRPr="00E33A8D">
        <w:rPr>
          <w:rFonts w:ascii="Tahoma" w:eastAsia="Calibri" w:hAnsi="Tahoma" w:cs="Tahoma"/>
          <w:i/>
          <w:sz w:val="20"/>
          <w:szCs w:val="20"/>
          <w:lang w:val="es-ES" w:eastAsia="es-ES" w:bidi="es-ES"/>
        </w:rPr>
        <w:t>) Brinda seguridad a los ciudadanos frente a sus obligaciones fiscales, con lo cual “se otorga una debida protección a la garantía fundamental del debido proceso”. (</w:t>
      </w:r>
      <w:proofErr w:type="spellStart"/>
      <w:r w:rsidRPr="00E33A8D">
        <w:rPr>
          <w:rFonts w:ascii="Tahoma" w:eastAsia="Calibri" w:hAnsi="Tahoma" w:cs="Tahoma"/>
          <w:i/>
          <w:sz w:val="20"/>
          <w:szCs w:val="20"/>
          <w:lang w:val="es-ES" w:eastAsia="es-ES" w:bidi="es-ES"/>
        </w:rPr>
        <w:t>iv</w:t>
      </w:r>
      <w:proofErr w:type="spellEnd"/>
      <w:r w:rsidRPr="00E33A8D">
        <w:rPr>
          <w:rFonts w:ascii="Tahoma" w:eastAsia="Calibri" w:hAnsi="Tahoma" w:cs="Tahoma"/>
          <w:i/>
          <w:sz w:val="20"/>
          <w:szCs w:val="20"/>
          <w:lang w:val="es-ES" w:eastAsia="es-ES" w:bidi="es-ES"/>
        </w:rPr>
        <w:t xml:space="preserve">) Responde a la necesidad de promover una política fiscal coherente e inspirada en el principio de “unidad económica”, especialmente cuando existen competencias concurrentes donde confluye la voluntad del Congreso y la de las asambleas departamentales o de los concejos municipales. (v) No se predica únicamente de los impuestos, sino que es exigible también frente a cualquier tributo o contribución (en sentido amplio).  No obstante, de la naturaleza del gravamen depende el rigor con el que la Ley debe señalar sus componentes. Así, frente a tributos de carácter nacional, el Congreso está obligado a definir todos los elementos en forma “clara e inequívoca”, esto es, el sujeto activo, el sujeto pasivo, el hecho generador, la base impositiva y la tarifa. Por el contrario, tratándose de gravámenes territoriales, </w:t>
      </w:r>
      <w:proofErr w:type="gramStart"/>
      <w:r w:rsidRPr="00E33A8D">
        <w:rPr>
          <w:rFonts w:ascii="Tahoma" w:eastAsia="Calibri" w:hAnsi="Tahoma" w:cs="Tahoma"/>
          <w:i/>
          <w:sz w:val="20"/>
          <w:szCs w:val="20"/>
          <w:lang w:val="es-ES" w:eastAsia="es-ES" w:bidi="es-ES"/>
        </w:rPr>
        <w:t>especialmente</w:t>
      </w:r>
      <w:proofErr w:type="gramEnd"/>
      <w:r w:rsidRPr="00E33A8D">
        <w:rPr>
          <w:rFonts w:ascii="Tahoma" w:eastAsia="Calibri" w:hAnsi="Tahoma" w:cs="Tahoma"/>
          <w:i/>
          <w:sz w:val="20"/>
          <w:szCs w:val="20"/>
          <w:lang w:val="es-ES" w:eastAsia="es-ES" w:bidi="es-ES"/>
        </w:rPr>
        <w:t xml:space="preserve"> cuando la ley solamente autoriza su creación, ésta debe señalar los aspectos básicos, pero existe una competencia concurrente de las asambleas departamentales o de los concejos municipales según el caso. (vi) De conformidad con el mandato constitucional contenido en el artículo 338, no sólo el legislador, sino también las asambleas y los concejos están facultados para fijar los elementos constitutivos del tributo. (</w:t>
      </w:r>
      <w:proofErr w:type="spellStart"/>
      <w:r w:rsidRPr="00E33A8D">
        <w:rPr>
          <w:rFonts w:ascii="Tahoma" w:eastAsia="Calibri" w:hAnsi="Tahoma" w:cs="Tahoma"/>
          <w:i/>
          <w:sz w:val="20"/>
          <w:szCs w:val="20"/>
          <w:lang w:val="es-ES" w:eastAsia="es-ES" w:bidi="es-ES"/>
        </w:rPr>
        <w:t>vii</w:t>
      </w:r>
      <w:proofErr w:type="spellEnd"/>
      <w:r w:rsidRPr="00E33A8D">
        <w:rPr>
          <w:rFonts w:ascii="Tahoma" w:eastAsia="Calibri" w:hAnsi="Tahoma" w:cs="Tahoma"/>
          <w:i/>
          <w:sz w:val="20"/>
          <w:szCs w:val="20"/>
          <w:lang w:val="es-ES" w:eastAsia="es-ES" w:bidi="es-ES"/>
        </w:rPr>
        <w:t xml:space="preserve">) La ley, las ordenanzas y los acuerdos, sin resignar sus atribuciones constitucionales, pueden autorizar a las autoridades de los distintos niveles territoriales, dentro de los límites debidamente señalados en ellas, para fijar las tarifas </w:t>
      </w:r>
      <w:r w:rsidRPr="00E33A8D">
        <w:rPr>
          <w:rFonts w:ascii="Tahoma" w:eastAsia="Calibri" w:hAnsi="Tahoma" w:cs="Tahoma"/>
          <w:i/>
          <w:sz w:val="20"/>
          <w:szCs w:val="20"/>
          <w:lang w:val="es-ES" w:eastAsia="es-ES" w:bidi="es-ES"/>
        </w:rPr>
        <w:lastRenderedPageBreak/>
        <w:t>de las tasas y contribuciones que cobren a los contribuyentes; empero, el sistema y el método para definir tales costos y beneficios y la forma de hacer su reparto, deben ser fijados, obligatoriamente, por la ley, las ordenanzas o los acuerdos, como así se deduce del texto del artículo 338 de la Constitución. Por otro lado, esta Corporación ha señalado una serie de reglas derivadas del principio de legalidad:  “(i) Son los órganos de elección popular quienes directamente deben señalar los sujetos activo y pasivo, el hecho y la base gravable y la tarifa de las obligaciones tributarias, pues esta exigencia emana de lo prescrito por el artículo 338 superior; (</w:t>
      </w:r>
      <w:proofErr w:type="spellStart"/>
      <w:r w:rsidRPr="00E33A8D">
        <w:rPr>
          <w:rFonts w:ascii="Tahoma" w:eastAsia="Calibri" w:hAnsi="Tahoma" w:cs="Tahoma"/>
          <w:i/>
          <w:sz w:val="20"/>
          <w:szCs w:val="20"/>
          <w:lang w:val="es-ES" w:eastAsia="es-ES" w:bidi="es-ES"/>
        </w:rPr>
        <w:t>ii</w:t>
      </w:r>
      <w:proofErr w:type="spellEnd"/>
      <w:r w:rsidRPr="00E33A8D">
        <w:rPr>
          <w:rFonts w:ascii="Tahoma" w:eastAsia="Calibri" w:hAnsi="Tahoma" w:cs="Tahoma"/>
          <w:i/>
          <w:sz w:val="20"/>
          <w:szCs w:val="20"/>
          <w:lang w:val="es-ES" w:eastAsia="es-ES" w:bidi="es-ES"/>
        </w:rPr>
        <w:t>) al establecer los elementos del tributo, es menester que la ley, las ordenanzas o los acuerdos determinen con suficiente claridad y precisión todos y cada uno de los elementos esenciales del mismo; (</w:t>
      </w:r>
      <w:proofErr w:type="spellStart"/>
      <w:r w:rsidRPr="00E33A8D">
        <w:rPr>
          <w:rFonts w:ascii="Tahoma" w:eastAsia="Calibri" w:hAnsi="Tahoma" w:cs="Tahoma"/>
          <w:i/>
          <w:sz w:val="20"/>
          <w:szCs w:val="20"/>
          <w:lang w:val="es-ES" w:eastAsia="es-ES" w:bidi="es-ES"/>
        </w:rPr>
        <w:t>iii</w:t>
      </w:r>
      <w:proofErr w:type="spellEnd"/>
      <w:r w:rsidRPr="00E33A8D">
        <w:rPr>
          <w:rFonts w:ascii="Tahoma" w:eastAsia="Calibri" w:hAnsi="Tahoma" w:cs="Tahoma"/>
          <w:i/>
          <w:sz w:val="20"/>
          <w:szCs w:val="20"/>
          <w:lang w:val="es-ES" w:eastAsia="es-ES" w:bidi="es-ES"/>
        </w:rPr>
        <w:t>) sólo cuando la falta de claridad sea insuperable, se origina la inconstitucionalidad de la norma que determina los elementos de la obligación tributaria; (</w:t>
      </w:r>
      <w:proofErr w:type="spellStart"/>
      <w:r w:rsidRPr="00E33A8D">
        <w:rPr>
          <w:rFonts w:ascii="Tahoma" w:eastAsia="Calibri" w:hAnsi="Tahoma" w:cs="Tahoma"/>
          <w:i/>
          <w:sz w:val="20"/>
          <w:szCs w:val="20"/>
          <w:lang w:val="es-ES" w:eastAsia="es-ES" w:bidi="es-ES"/>
        </w:rPr>
        <w:t>iv</w:t>
      </w:r>
      <w:proofErr w:type="spellEnd"/>
      <w:r w:rsidRPr="00E33A8D">
        <w:rPr>
          <w:rFonts w:ascii="Tahoma" w:eastAsia="Calibri" w:hAnsi="Tahoma" w:cs="Tahoma"/>
          <w:i/>
          <w:sz w:val="20"/>
          <w:szCs w:val="20"/>
          <w:lang w:val="es-ES" w:eastAsia="es-ES" w:bidi="es-ES"/>
        </w:rPr>
        <w:t xml:space="preserve">) el requisito de precisión y claridad las normas que señalan los elementos de la obligación tributaria no se opone al carácter general  de dichas normas; (v) no se violan los principios de legalidad y certeza del tributo cuando uno de los elementos del mismo no está determinado expresamente en la norma, pero es determinable a partir de ella.” </w:t>
      </w:r>
    </w:p>
    <w:p w14:paraId="77185561" w14:textId="77777777"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p>
    <w:p w14:paraId="7B905575" w14:textId="77777777"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 xml:space="preserve">Y continúa: </w:t>
      </w:r>
    </w:p>
    <w:p w14:paraId="6B2B6702" w14:textId="77777777"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p>
    <w:p w14:paraId="7B1B9B27" w14:textId="77777777" w:rsidR="00F8352C" w:rsidRPr="00E33A8D" w:rsidRDefault="00F8352C" w:rsidP="00F8352C">
      <w:pPr>
        <w:widowControl w:val="0"/>
        <w:autoSpaceDE w:val="0"/>
        <w:autoSpaceDN w:val="0"/>
        <w:spacing w:line="259" w:lineRule="auto"/>
        <w:ind w:left="851" w:right="852"/>
        <w:jc w:val="both"/>
        <w:rPr>
          <w:rFonts w:ascii="Tahoma" w:eastAsia="Calibri" w:hAnsi="Tahoma" w:cs="Tahoma"/>
          <w:i/>
          <w:sz w:val="20"/>
          <w:szCs w:val="20"/>
          <w:lang w:val="es-ES" w:eastAsia="es-ES" w:bidi="es-ES"/>
        </w:rPr>
      </w:pPr>
      <w:r w:rsidRPr="00E33A8D">
        <w:rPr>
          <w:rFonts w:ascii="Tahoma" w:eastAsia="Calibri" w:hAnsi="Tahoma" w:cs="Tahoma"/>
          <w:i/>
          <w:sz w:val="20"/>
          <w:szCs w:val="20"/>
          <w:vertAlign w:val="superscript"/>
          <w:lang w:val="es-ES" w:eastAsia="es-ES" w:bidi="es-ES"/>
        </w:rPr>
        <w:footnoteReference w:id="2"/>
      </w:r>
      <w:r w:rsidRPr="00E33A8D">
        <w:rPr>
          <w:rFonts w:ascii="Tahoma" w:eastAsia="Calibri" w:hAnsi="Tahoma" w:cs="Tahoma"/>
          <w:i/>
          <w:sz w:val="20"/>
          <w:szCs w:val="20"/>
          <w:lang w:val="es-ES" w:eastAsia="es-ES" w:bidi="es-ES"/>
        </w:rPr>
        <w:t>“Se desconoce el principio de legalidad en sentido material cuando la ley, la ordenanza o el acuerdo no señale directa y claramente los elementos de la relación tributaria; en tal caso, la administración no es la llamada a solventar esa carencia por medio de su facultad reglamentaria, puesto que de llegar a establecer tales elementos invadiría órbitas de competencia específicamente establecidas en el ordenamiento superior para otras autoridades, en la medida en que estaría facultando para la determinación de la fuente esencial del impuesto, es decir para la creación misma del tributo.”</w:t>
      </w:r>
    </w:p>
    <w:p w14:paraId="6D1C28DE" w14:textId="77777777" w:rsidR="00F8352C" w:rsidRPr="00E33A8D" w:rsidRDefault="00F8352C" w:rsidP="00F8352C">
      <w:pPr>
        <w:widowControl w:val="0"/>
        <w:autoSpaceDE w:val="0"/>
        <w:autoSpaceDN w:val="0"/>
        <w:spacing w:line="259" w:lineRule="auto"/>
        <w:ind w:left="851" w:right="852"/>
        <w:jc w:val="both"/>
        <w:rPr>
          <w:rFonts w:ascii="Tahoma" w:eastAsia="Calibri" w:hAnsi="Tahoma" w:cs="Tahoma"/>
          <w:i/>
          <w:sz w:val="20"/>
          <w:szCs w:val="20"/>
          <w:lang w:val="es-ES" w:eastAsia="es-ES" w:bidi="es-ES"/>
        </w:rPr>
      </w:pPr>
    </w:p>
    <w:p w14:paraId="6C58B6AB" w14:textId="018FA343"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Por lo anterior, nos permitimos citar los</w:t>
      </w:r>
      <w:r w:rsidR="00EB5DDF" w:rsidRPr="00E33A8D">
        <w:rPr>
          <w:rFonts w:ascii="Tahoma" w:eastAsia="Calibri" w:hAnsi="Tahoma" w:cs="Tahoma"/>
          <w:sz w:val="20"/>
          <w:szCs w:val="20"/>
          <w:lang w:val="es-ES" w:eastAsia="es-ES" w:bidi="es-ES"/>
        </w:rPr>
        <w:t xml:space="preserve"> artículos de la Ordenanza No. 550 de 2021</w:t>
      </w:r>
      <w:r w:rsidRPr="00E33A8D">
        <w:rPr>
          <w:rFonts w:ascii="Tahoma" w:eastAsia="Calibri" w:hAnsi="Tahoma" w:cs="Tahoma"/>
          <w:sz w:val="20"/>
          <w:szCs w:val="20"/>
          <w:lang w:val="es-ES" w:eastAsia="es-ES" w:bidi="es-ES"/>
        </w:rPr>
        <w:t xml:space="preserve">, en la cual se establecen los supuestos de causación: </w:t>
      </w:r>
    </w:p>
    <w:p w14:paraId="2264BF3A" w14:textId="77777777" w:rsidR="00F8352C" w:rsidRPr="00E33A8D" w:rsidRDefault="00F8352C" w:rsidP="00F8352C">
      <w:pPr>
        <w:widowControl w:val="0"/>
        <w:autoSpaceDE w:val="0"/>
        <w:autoSpaceDN w:val="0"/>
        <w:spacing w:line="259" w:lineRule="auto"/>
        <w:ind w:left="140" w:right="134"/>
        <w:jc w:val="both"/>
        <w:rPr>
          <w:rFonts w:ascii="Tahoma" w:eastAsia="Calibri" w:hAnsi="Tahoma" w:cs="Tahoma"/>
          <w:sz w:val="20"/>
          <w:szCs w:val="20"/>
          <w:lang w:val="es-ES" w:eastAsia="es-ES" w:bidi="es-ES"/>
        </w:rPr>
      </w:pPr>
    </w:p>
    <w:p w14:paraId="529D2203" w14:textId="77777777" w:rsidR="00C76DE3" w:rsidRPr="00EC43BB" w:rsidRDefault="00C76DE3" w:rsidP="00C76DE3">
      <w:pPr>
        <w:widowControl w:val="0"/>
        <w:autoSpaceDE w:val="0"/>
        <w:autoSpaceDN w:val="0"/>
        <w:spacing w:line="259" w:lineRule="auto"/>
        <w:ind w:left="1134" w:right="1134"/>
        <w:jc w:val="both"/>
        <w:rPr>
          <w:rFonts w:ascii="Tahoma" w:hAnsi="Tahoma" w:cs="Tahoma"/>
          <w:i/>
          <w:sz w:val="20"/>
          <w:szCs w:val="20"/>
          <w:lang w:val="es-419"/>
        </w:rPr>
      </w:pPr>
      <w:r w:rsidRPr="00EC43BB">
        <w:rPr>
          <w:rFonts w:ascii="Tahoma" w:hAnsi="Tahoma" w:cs="Tahoma"/>
          <w:b/>
          <w:i/>
          <w:sz w:val="20"/>
          <w:szCs w:val="20"/>
          <w:lang w:val="es-419"/>
        </w:rPr>
        <w:t>“ARTÍCULO OCTAVO</w:t>
      </w:r>
      <w:r w:rsidRPr="00EC43BB">
        <w:rPr>
          <w:rFonts w:ascii="Tahoma" w:hAnsi="Tahoma" w:cs="Tahoma"/>
          <w:i/>
          <w:sz w:val="20"/>
          <w:szCs w:val="20"/>
          <w:lang w:val="es-419"/>
        </w:rPr>
        <w:t xml:space="preserve">. Adiciónese un inciso al artículo 148 del Decreto </w:t>
      </w:r>
      <w:proofErr w:type="spellStart"/>
      <w:r w:rsidRPr="00EC43BB">
        <w:rPr>
          <w:rFonts w:ascii="Tahoma" w:hAnsi="Tahoma" w:cs="Tahoma"/>
          <w:i/>
          <w:sz w:val="20"/>
          <w:szCs w:val="20"/>
          <w:lang w:val="es-419"/>
        </w:rPr>
        <w:t>Ordenanzal</w:t>
      </w:r>
      <w:proofErr w:type="spellEnd"/>
      <w:r w:rsidRPr="00EC43BB">
        <w:rPr>
          <w:rFonts w:ascii="Tahoma" w:hAnsi="Tahoma" w:cs="Tahoma"/>
          <w:i/>
          <w:sz w:val="20"/>
          <w:szCs w:val="20"/>
          <w:lang w:val="es-419"/>
        </w:rPr>
        <w:t xml:space="preserve"> 0545 de 2017, el cual quedará así: </w:t>
      </w:r>
    </w:p>
    <w:p w14:paraId="29AF1D21" w14:textId="77777777" w:rsidR="00C76DE3" w:rsidRPr="00EC43BB" w:rsidRDefault="00C76DE3" w:rsidP="00C76DE3">
      <w:pPr>
        <w:widowControl w:val="0"/>
        <w:autoSpaceDE w:val="0"/>
        <w:autoSpaceDN w:val="0"/>
        <w:spacing w:line="259" w:lineRule="auto"/>
        <w:ind w:left="1134" w:right="1134"/>
        <w:jc w:val="both"/>
        <w:rPr>
          <w:rFonts w:ascii="Tahoma" w:hAnsi="Tahoma" w:cs="Tahoma"/>
          <w:i/>
          <w:sz w:val="20"/>
          <w:szCs w:val="20"/>
          <w:lang w:val="es-419"/>
        </w:rPr>
      </w:pPr>
    </w:p>
    <w:p w14:paraId="386D348E" w14:textId="295A1FBE" w:rsidR="00C76DE3" w:rsidRPr="00EC43BB" w:rsidRDefault="00C76DE3" w:rsidP="00C76DE3">
      <w:pPr>
        <w:widowControl w:val="0"/>
        <w:autoSpaceDE w:val="0"/>
        <w:autoSpaceDN w:val="0"/>
        <w:spacing w:line="259" w:lineRule="auto"/>
        <w:ind w:left="1134" w:right="1134"/>
        <w:jc w:val="both"/>
        <w:rPr>
          <w:rFonts w:ascii="Tahoma" w:hAnsi="Tahoma" w:cs="Tahoma"/>
          <w:i/>
          <w:sz w:val="20"/>
          <w:szCs w:val="20"/>
          <w:lang w:val="es-419"/>
        </w:rPr>
      </w:pPr>
      <w:r w:rsidRPr="00EC43BB">
        <w:rPr>
          <w:rFonts w:ascii="Tahoma" w:hAnsi="Tahoma" w:cs="Tahoma"/>
          <w:b/>
          <w:i/>
          <w:sz w:val="20"/>
          <w:szCs w:val="20"/>
          <w:u w:val="single"/>
          <w:lang w:val="es-419"/>
        </w:rPr>
        <w:t>En los contratos de prestación de servicios de apoyo a la gestión y de prestación de servicios profesionales</w:t>
      </w:r>
      <w:r w:rsidRPr="00EC43BB">
        <w:rPr>
          <w:rFonts w:ascii="Tahoma" w:hAnsi="Tahoma" w:cs="Tahoma"/>
          <w:i/>
          <w:sz w:val="20"/>
          <w:szCs w:val="20"/>
          <w:lang w:val="es-419"/>
        </w:rPr>
        <w:t xml:space="preserve"> suscritos por el Departamento del Atlántico y las entidades descentralizadas del nivel departamental, la Contraloría Departamental y la Asamblea Departamental </w:t>
      </w:r>
      <w:r w:rsidRPr="00EC43BB">
        <w:rPr>
          <w:rFonts w:ascii="Tahoma" w:hAnsi="Tahoma" w:cs="Tahoma"/>
          <w:b/>
          <w:i/>
          <w:sz w:val="20"/>
          <w:szCs w:val="20"/>
          <w:u w:val="single"/>
          <w:lang w:val="es-419"/>
        </w:rPr>
        <w:t>cuyo valor mensual sea hasta seis (6) salarios mínimos mensuales legales vigentes sin exceder un total acumulado en el año durante el cual se contrata de hasta 72 salarios mínimos mensuales legales vigentes,</w:t>
      </w:r>
      <w:r w:rsidRPr="00EC43BB">
        <w:rPr>
          <w:rFonts w:ascii="Tahoma" w:hAnsi="Tahoma" w:cs="Tahoma"/>
          <w:i/>
          <w:sz w:val="20"/>
          <w:szCs w:val="20"/>
          <w:lang w:val="es-419"/>
        </w:rPr>
        <w:t xml:space="preserve"> incluidas las adiciones, la tarifa se aplica sobre el valor de cada pago que se realice al contratista.(Subrayado y negrilla </w:t>
      </w:r>
      <w:proofErr w:type="spellStart"/>
      <w:r w:rsidR="008E19E6" w:rsidRPr="00EC43BB">
        <w:rPr>
          <w:rFonts w:ascii="Tahoma" w:hAnsi="Tahoma" w:cs="Tahoma"/>
          <w:i/>
          <w:sz w:val="20"/>
          <w:szCs w:val="20"/>
          <w:lang w:val="es-419"/>
        </w:rPr>
        <w:t>m</w:t>
      </w:r>
      <w:r w:rsidR="008E19E6">
        <w:rPr>
          <w:rFonts w:ascii="Tahoma" w:hAnsi="Tahoma" w:cs="Tahoma"/>
          <w:i/>
          <w:sz w:val="20"/>
          <w:szCs w:val="20"/>
          <w:lang w:val="es-419"/>
        </w:rPr>
        <w:t>i</w:t>
      </w:r>
      <w:r w:rsidR="008E19E6" w:rsidRPr="00EC43BB">
        <w:rPr>
          <w:rFonts w:ascii="Tahoma" w:hAnsi="Tahoma" w:cs="Tahoma"/>
          <w:i/>
          <w:sz w:val="20"/>
          <w:szCs w:val="20"/>
          <w:lang w:val="es-419"/>
        </w:rPr>
        <w:t>a</w:t>
      </w:r>
      <w:proofErr w:type="spellEnd"/>
      <w:r w:rsidRPr="00EC43BB">
        <w:rPr>
          <w:rFonts w:ascii="Tahoma" w:hAnsi="Tahoma" w:cs="Tahoma"/>
          <w:i/>
          <w:sz w:val="20"/>
          <w:szCs w:val="20"/>
          <w:lang w:val="es-419"/>
        </w:rPr>
        <w:t>).</w:t>
      </w:r>
    </w:p>
    <w:p w14:paraId="5888AB99" w14:textId="77777777" w:rsidR="00C76DE3" w:rsidRPr="00EC43BB" w:rsidRDefault="00C76DE3" w:rsidP="00C76DE3">
      <w:pPr>
        <w:widowControl w:val="0"/>
        <w:autoSpaceDE w:val="0"/>
        <w:autoSpaceDN w:val="0"/>
        <w:spacing w:line="259" w:lineRule="auto"/>
        <w:ind w:left="1134" w:right="1134"/>
        <w:jc w:val="both"/>
        <w:rPr>
          <w:rFonts w:ascii="Tahoma" w:hAnsi="Tahoma" w:cs="Tahoma"/>
          <w:i/>
          <w:sz w:val="20"/>
          <w:szCs w:val="20"/>
          <w:lang w:val="es-419"/>
        </w:rPr>
      </w:pPr>
    </w:p>
    <w:p w14:paraId="0590ECD7" w14:textId="6D0AC22A" w:rsidR="00C76DE3" w:rsidRPr="00EC43BB" w:rsidRDefault="00C76DE3" w:rsidP="00C76DE3">
      <w:pPr>
        <w:widowControl w:val="0"/>
        <w:autoSpaceDE w:val="0"/>
        <w:autoSpaceDN w:val="0"/>
        <w:spacing w:line="259" w:lineRule="auto"/>
        <w:ind w:left="1134" w:right="1134"/>
        <w:jc w:val="both"/>
        <w:rPr>
          <w:rFonts w:ascii="Tahoma" w:hAnsi="Tahoma" w:cs="Tahoma"/>
          <w:i/>
          <w:sz w:val="20"/>
          <w:szCs w:val="20"/>
          <w:lang w:val="es-419"/>
        </w:rPr>
      </w:pPr>
      <w:r w:rsidRPr="00EC43BB">
        <w:rPr>
          <w:rFonts w:ascii="Tahoma" w:hAnsi="Tahoma" w:cs="Tahoma"/>
          <w:b/>
          <w:i/>
          <w:sz w:val="20"/>
          <w:szCs w:val="20"/>
          <w:lang w:val="es-419"/>
        </w:rPr>
        <w:t xml:space="preserve"> ARTÍCULO NOVENO.</w:t>
      </w:r>
      <w:r w:rsidRPr="00EC43BB">
        <w:rPr>
          <w:rFonts w:ascii="Tahoma" w:hAnsi="Tahoma" w:cs="Tahoma"/>
          <w:i/>
          <w:sz w:val="20"/>
          <w:szCs w:val="20"/>
          <w:lang w:val="es-419"/>
        </w:rPr>
        <w:t xml:space="preserve"> Adiciónese un inciso al artículo 149-1 del Decreto Ordenanza 0545 de 2017, el cual quedará así: </w:t>
      </w:r>
    </w:p>
    <w:p w14:paraId="17D17FFE" w14:textId="77777777" w:rsidR="00C76DE3" w:rsidRPr="00EC43BB" w:rsidRDefault="00C76DE3" w:rsidP="00C76DE3">
      <w:pPr>
        <w:widowControl w:val="0"/>
        <w:autoSpaceDE w:val="0"/>
        <w:autoSpaceDN w:val="0"/>
        <w:spacing w:line="259" w:lineRule="auto"/>
        <w:ind w:left="1134" w:right="1134"/>
        <w:jc w:val="both"/>
        <w:rPr>
          <w:rFonts w:ascii="Tahoma" w:hAnsi="Tahoma" w:cs="Tahoma"/>
          <w:i/>
          <w:sz w:val="20"/>
          <w:szCs w:val="20"/>
          <w:lang w:val="es-419"/>
        </w:rPr>
      </w:pPr>
    </w:p>
    <w:p w14:paraId="389D6427" w14:textId="7FE03D34" w:rsidR="00C76DE3" w:rsidRPr="00EC43BB" w:rsidRDefault="00C76DE3" w:rsidP="001A317B">
      <w:pPr>
        <w:widowControl w:val="0"/>
        <w:autoSpaceDE w:val="0"/>
        <w:autoSpaceDN w:val="0"/>
        <w:spacing w:line="259" w:lineRule="auto"/>
        <w:ind w:left="1134" w:right="1134"/>
        <w:jc w:val="both"/>
        <w:rPr>
          <w:rFonts w:ascii="Tahoma" w:hAnsi="Tahoma" w:cs="Tahoma"/>
          <w:i/>
          <w:sz w:val="20"/>
          <w:szCs w:val="20"/>
          <w:lang w:val="es-419"/>
        </w:rPr>
      </w:pPr>
      <w:r w:rsidRPr="00EC43BB">
        <w:rPr>
          <w:rFonts w:ascii="Tahoma" w:hAnsi="Tahoma" w:cs="Tahoma"/>
          <w:b/>
          <w:i/>
          <w:sz w:val="20"/>
          <w:szCs w:val="20"/>
          <w:u w:val="single"/>
          <w:lang w:val="es-419"/>
        </w:rPr>
        <w:t xml:space="preserve">En los contratos de prestación de servicios de apoyo a la gestión y de </w:t>
      </w:r>
      <w:r w:rsidRPr="00EC43BB">
        <w:rPr>
          <w:rFonts w:ascii="Tahoma" w:hAnsi="Tahoma" w:cs="Tahoma"/>
          <w:b/>
          <w:i/>
          <w:sz w:val="20"/>
          <w:szCs w:val="20"/>
          <w:u w:val="single"/>
          <w:lang w:val="es-419"/>
        </w:rPr>
        <w:lastRenderedPageBreak/>
        <w:t>prestación de servicios profesionales</w:t>
      </w:r>
      <w:r w:rsidRPr="00EC43BB">
        <w:rPr>
          <w:rFonts w:ascii="Tahoma" w:hAnsi="Tahoma" w:cs="Tahoma"/>
          <w:i/>
          <w:sz w:val="20"/>
          <w:szCs w:val="20"/>
          <w:lang w:val="es-419"/>
        </w:rPr>
        <w:t xml:space="preserve"> suscritos por el Departamento del Atlántico y las entidades descentralizadas del nivel departamental, la Contraloría Departamental y la Asamblea Departamental </w:t>
      </w:r>
      <w:r w:rsidRPr="00EC43BB">
        <w:rPr>
          <w:rFonts w:ascii="Tahoma" w:hAnsi="Tahoma" w:cs="Tahoma"/>
          <w:b/>
          <w:i/>
          <w:sz w:val="20"/>
          <w:szCs w:val="20"/>
          <w:u w:val="single"/>
          <w:lang w:val="es-419"/>
        </w:rPr>
        <w:t>cuyo valor mensual sea hasta seis (6) salarios mínimos mensuales legales vigentes sin exceder un total acumulado en el año durante el cual se contrata de hasta 72 salarios mínimos mensuales legales vigentes, incluidas las adiciones, la tarifa se aplica sobre el valor de cada pago que se realice al contratista.”</w:t>
      </w:r>
      <w:r w:rsidRPr="00EC43BB">
        <w:rPr>
          <w:rFonts w:ascii="Tahoma" w:hAnsi="Tahoma" w:cs="Tahoma"/>
          <w:i/>
          <w:sz w:val="20"/>
          <w:szCs w:val="20"/>
          <w:lang w:val="es-419"/>
        </w:rPr>
        <w:t xml:space="preserve"> </w:t>
      </w:r>
      <w:proofErr w:type="gramStart"/>
      <w:r w:rsidRPr="00EC43BB">
        <w:rPr>
          <w:rFonts w:ascii="Tahoma" w:hAnsi="Tahoma" w:cs="Tahoma"/>
          <w:i/>
          <w:sz w:val="20"/>
          <w:szCs w:val="20"/>
          <w:lang w:val="es-419"/>
        </w:rPr>
        <w:t>.(</w:t>
      </w:r>
      <w:proofErr w:type="gramEnd"/>
      <w:r w:rsidRPr="00EC43BB">
        <w:rPr>
          <w:rFonts w:ascii="Tahoma" w:hAnsi="Tahoma" w:cs="Tahoma"/>
          <w:i/>
          <w:sz w:val="20"/>
          <w:szCs w:val="20"/>
          <w:lang w:val="es-419"/>
        </w:rPr>
        <w:t xml:space="preserve">Subrayado y negrilla </w:t>
      </w:r>
      <w:proofErr w:type="spellStart"/>
      <w:r w:rsidRPr="00EC43BB">
        <w:rPr>
          <w:rFonts w:ascii="Tahoma" w:hAnsi="Tahoma" w:cs="Tahoma"/>
          <w:i/>
          <w:sz w:val="20"/>
          <w:szCs w:val="20"/>
          <w:lang w:val="es-419"/>
        </w:rPr>
        <w:t>mia</w:t>
      </w:r>
      <w:proofErr w:type="spellEnd"/>
      <w:r w:rsidRPr="00EC43BB">
        <w:rPr>
          <w:rFonts w:ascii="Tahoma" w:hAnsi="Tahoma" w:cs="Tahoma"/>
          <w:i/>
          <w:sz w:val="20"/>
          <w:szCs w:val="20"/>
          <w:lang w:val="es-419"/>
        </w:rPr>
        <w:t>).</w:t>
      </w:r>
    </w:p>
    <w:p w14:paraId="09E9C8B5" w14:textId="77777777" w:rsidR="00F8352C" w:rsidRPr="00E33A8D" w:rsidRDefault="00F8352C" w:rsidP="00C76DE3">
      <w:pPr>
        <w:widowControl w:val="0"/>
        <w:autoSpaceDE w:val="0"/>
        <w:autoSpaceDN w:val="0"/>
        <w:spacing w:line="259" w:lineRule="auto"/>
        <w:ind w:right="130"/>
        <w:jc w:val="both"/>
        <w:rPr>
          <w:rFonts w:ascii="Tahoma" w:eastAsia="Calibri" w:hAnsi="Tahoma" w:cs="Tahoma"/>
          <w:i/>
          <w:sz w:val="20"/>
          <w:szCs w:val="20"/>
          <w:lang w:val="es-ES" w:eastAsia="es-ES" w:bidi="es-ES"/>
        </w:rPr>
      </w:pPr>
    </w:p>
    <w:p w14:paraId="68C58066" w14:textId="77777777" w:rsidR="00F8352C" w:rsidRPr="00E33A8D" w:rsidRDefault="00F8352C" w:rsidP="00F8352C">
      <w:pPr>
        <w:widowControl w:val="0"/>
        <w:autoSpaceDE w:val="0"/>
        <w:autoSpaceDN w:val="0"/>
        <w:spacing w:before="36" w:line="259" w:lineRule="auto"/>
        <w:ind w:right="134"/>
        <w:jc w:val="both"/>
        <w:rPr>
          <w:rFonts w:ascii="Tahoma" w:eastAsia="Calibri" w:hAnsi="Tahoma" w:cs="Tahoma"/>
          <w:sz w:val="20"/>
          <w:szCs w:val="20"/>
          <w:lang w:val="es-ES" w:eastAsia="es-ES" w:bidi="es-ES"/>
        </w:rPr>
      </w:pPr>
      <w:r w:rsidRPr="00E33A8D">
        <w:rPr>
          <w:rFonts w:ascii="Tahoma" w:eastAsia="Calibri" w:hAnsi="Tahoma" w:cs="Tahoma"/>
          <w:i/>
          <w:sz w:val="20"/>
          <w:szCs w:val="20"/>
          <w:lang w:val="es-ES" w:eastAsia="es-ES" w:bidi="es-ES"/>
        </w:rPr>
        <w:t xml:space="preserve">En este sentido, </w:t>
      </w:r>
      <w:r w:rsidRPr="00E33A8D">
        <w:rPr>
          <w:rFonts w:ascii="Tahoma" w:eastAsia="Calibri" w:hAnsi="Tahoma" w:cs="Tahoma"/>
          <w:sz w:val="20"/>
          <w:szCs w:val="20"/>
          <w:lang w:val="es-ES" w:eastAsia="es-ES" w:bidi="es-ES"/>
        </w:rPr>
        <w:t>el descuento mensual lo deben aplicar sobre cada pago que realicen al contratista, con las siguientes tarifas: ESTAMPILLAS TARIFAS: Ciudadela Universitaria 1,8%, Pro-Desarrollo 1,0%, Pro-Electrificación</w:t>
      </w:r>
      <w:r w:rsidRPr="00E33A8D">
        <w:rPr>
          <w:rFonts w:ascii="Tahoma" w:eastAsia="Calibri" w:hAnsi="Tahoma" w:cs="Tahoma"/>
          <w:spacing w:val="-15"/>
          <w:sz w:val="20"/>
          <w:szCs w:val="20"/>
          <w:lang w:val="es-ES" w:eastAsia="es-ES" w:bidi="es-ES"/>
        </w:rPr>
        <w:t xml:space="preserve"> </w:t>
      </w:r>
      <w:r w:rsidRPr="00E33A8D">
        <w:rPr>
          <w:rFonts w:ascii="Tahoma" w:eastAsia="Calibri" w:hAnsi="Tahoma" w:cs="Tahoma"/>
          <w:sz w:val="20"/>
          <w:szCs w:val="20"/>
          <w:lang w:val="es-ES" w:eastAsia="es-ES" w:bidi="es-ES"/>
        </w:rPr>
        <w:t>Rural</w:t>
      </w:r>
      <w:r w:rsidRPr="00E33A8D">
        <w:rPr>
          <w:rFonts w:ascii="Tahoma" w:eastAsia="Calibri" w:hAnsi="Tahoma" w:cs="Tahoma"/>
          <w:spacing w:val="-15"/>
          <w:sz w:val="20"/>
          <w:szCs w:val="20"/>
          <w:lang w:val="es-ES" w:eastAsia="es-ES" w:bidi="es-ES"/>
        </w:rPr>
        <w:t xml:space="preserve"> </w:t>
      </w:r>
      <w:r w:rsidRPr="00E33A8D">
        <w:rPr>
          <w:rFonts w:ascii="Tahoma" w:eastAsia="Calibri" w:hAnsi="Tahoma" w:cs="Tahoma"/>
          <w:sz w:val="20"/>
          <w:szCs w:val="20"/>
          <w:lang w:val="es-ES" w:eastAsia="es-ES" w:bidi="es-ES"/>
        </w:rPr>
        <w:t>2,0%,</w:t>
      </w:r>
      <w:r w:rsidRPr="00E33A8D">
        <w:rPr>
          <w:rFonts w:ascii="Tahoma" w:eastAsia="Calibri" w:hAnsi="Tahoma" w:cs="Tahoma"/>
          <w:spacing w:val="-13"/>
          <w:sz w:val="20"/>
          <w:szCs w:val="20"/>
          <w:lang w:val="es-ES" w:eastAsia="es-ES" w:bidi="es-ES"/>
        </w:rPr>
        <w:t xml:space="preserve"> </w:t>
      </w:r>
      <w:r w:rsidRPr="00E33A8D">
        <w:rPr>
          <w:rFonts w:ascii="Tahoma" w:eastAsia="Calibri" w:hAnsi="Tahoma" w:cs="Tahoma"/>
          <w:sz w:val="20"/>
          <w:szCs w:val="20"/>
          <w:lang w:val="es-ES" w:eastAsia="es-ES" w:bidi="es-ES"/>
        </w:rPr>
        <w:t>Pro-Cultura</w:t>
      </w:r>
      <w:r w:rsidRPr="00E33A8D">
        <w:rPr>
          <w:rFonts w:ascii="Tahoma" w:eastAsia="Calibri" w:hAnsi="Tahoma" w:cs="Tahoma"/>
          <w:spacing w:val="-15"/>
          <w:sz w:val="20"/>
          <w:szCs w:val="20"/>
          <w:lang w:val="es-ES" w:eastAsia="es-ES" w:bidi="es-ES"/>
        </w:rPr>
        <w:t xml:space="preserve"> </w:t>
      </w:r>
      <w:r w:rsidRPr="00E33A8D">
        <w:rPr>
          <w:rFonts w:ascii="Tahoma" w:eastAsia="Calibri" w:hAnsi="Tahoma" w:cs="Tahoma"/>
          <w:sz w:val="20"/>
          <w:szCs w:val="20"/>
          <w:lang w:val="es-ES" w:eastAsia="es-ES" w:bidi="es-ES"/>
        </w:rPr>
        <w:t>1,0%,</w:t>
      </w:r>
      <w:r w:rsidRPr="00E33A8D">
        <w:rPr>
          <w:rFonts w:ascii="Tahoma" w:eastAsia="Calibri" w:hAnsi="Tahoma" w:cs="Tahoma"/>
          <w:spacing w:val="-14"/>
          <w:sz w:val="20"/>
          <w:szCs w:val="20"/>
          <w:lang w:val="es-ES" w:eastAsia="es-ES" w:bidi="es-ES"/>
        </w:rPr>
        <w:t xml:space="preserve"> </w:t>
      </w:r>
      <w:r w:rsidRPr="00E33A8D">
        <w:rPr>
          <w:rFonts w:ascii="Tahoma" w:eastAsia="Calibri" w:hAnsi="Tahoma" w:cs="Tahoma"/>
          <w:sz w:val="20"/>
          <w:szCs w:val="20"/>
          <w:lang w:val="es-ES" w:eastAsia="es-ES" w:bidi="es-ES"/>
        </w:rPr>
        <w:t>Pro-Hospital</w:t>
      </w:r>
      <w:r w:rsidRPr="00E33A8D">
        <w:rPr>
          <w:rFonts w:ascii="Tahoma" w:eastAsia="Calibri" w:hAnsi="Tahoma" w:cs="Tahoma"/>
          <w:spacing w:val="-14"/>
          <w:sz w:val="20"/>
          <w:szCs w:val="20"/>
          <w:lang w:val="es-ES" w:eastAsia="es-ES" w:bidi="es-ES"/>
        </w:rPr>
        <w:t xml:space="preserve"> </w:t>
      </w:r>
      <w:r w:rsidRPr="00E33A8D">
        <w:rPr>
          <w:rFonts w:ascii="Tahoma" w:eastAsia="Calibri" w:hAnsi="Tahoma" w:cs="Tahoma"/>
          <w:sz w:val="20"/>
          <w:szCs w:val="20"/>
          <w:lang w:val="es-ES" w:eastAsia="es-ES" w:bidi="es-ES"/>
        </w:rPr>
        <w:t>1</w:t>
      </w:r>
      <w:r w:rsidRPr="00E33A8D">
        <w:rPr>
          <w:rFonts w:ascii="Tahoma" w:eastAsia="Calibri" w:hAnsi="Tahoma" w:cs="Tahoma"/>
          <w:spacing w:val="-16"/>
          <w:sz w:val="20"/>
          <w:szCs w:val="20"/>
          <w:lang w:val="es-ES" w:eastAsia="es-ES" w:bidi="es-ES"/>
        </w:rPr>
        <w:t xml:space="preserve"> </w:t>
      </w:r>
      <w:r w:rsidRPr="00E33A8D">
        <w:rPr>
          <w:rFonts w:ascii="Tahoma" w:eastAsia="Calibri" w:hAnsi="Tahoma" w:cs="Tahoma"/>
          <w:sz w:val="20"/>
          <w:szCs w:val="20"/>
          <w:lang w:val="es-ES" w:eastAsia="es-ES" w:bidi="es-ES"/>
        </w:rPr>
        <w:t>Y</w:t>
      </w:r>
      <w:r w:rsidRPr="00E33A8D">
        <w:rPr>
          <w:rFonts w:ascii="Tahoma" w:eastAsia="Calibri" w:hAnsi="Tahoma" w:cs="Tahoma"/>
          <w:spacing w:val="-15"/>
          <w:sz w:val="20"/>
          <w:szCs w:val="20"/>
          <w:lang w:val="es-ES" w:eastAsia="es-ES" w:bidi="es-ES"/>
        </w:rPr>
        <w:t xml:space="preserve"> </w:t>
      </w:r>
      <w:r w:rsidRPr="00E33A8D">
        <w:rPr>
          <w:rFonts w:ascii="Tahoma" w:eastAsia="Calibri" w:hAnsi="Tahoma" w:cs="Tahoma"/>
          <w:sz w:val="20"/>
          <w:szCs w:val="20"/>
          <w:lang w:val="es-ES" w:eastAsia="es-ES" w:bidi="es-ES"/>
        </w:rPr>
        <w:t>2</w:t>
      </w:r>
      <w:r w:rsidRPr="00E33A8D">
        <w:rPr>
          <w:rFonts w:ascii="Tahoma" w:eastAsia="Calibri" w:hAnsi="Tahoma" w:cs="Tahoma"/>
          <w:spacing w:val="-16"/>
          <w:sz w:val="20"/>
          <w:szCs w:val="20"/>
          <w:lang w:val="es-ES" w:eastAsia="es-ES" w:bidi="es-ES"/>
        </w:rPr>
        <w:t xml:space="preserve"> </w:t>
      </w:r>
      <w:r w:rsidRPr="00E33A8D">
        <w:rPr>
          <w:rFonts w:ascii="Tahoma" w:eastAsia="Calibri" w:hAnsi="Tahoma" w:cs="Tahoma"/>
          <w:sz w:val="20"/>
          <w:szCs w:val="20"/>
          <w:lang w:val="es-ES" w:eastAsia="es-ES" w:bidi="es-ES"/>
        </w:rPr>
        <w:t>Nivel</w:t>
      </w:r>
      <w:r w:rsidRPr="00E33A8D">
        <w:rPr>
          <w:rFonts w:ascii="Tahoma" w:eastAsia="Calibri" w:hAnsi="Tahoma" w:cs="Tahoma"/>
          <w:spacing w:val="-13"/>
          <w:sz w:val="20"/>
          <w:szCs w:val="20"/>
          <w:lang w:val="es-ES" w:eastAsia="es-ES" w:bidi="es-ES"/>
        </w:rPr>
        <w:t xml:space="preserve"> </w:t>
      </w:r>
      <w:r w:rsidRPr="00E33A8D">
        <w:rPr>
          <w:rFonts w:ascii="Tahoma" w:eastAsia="Calibri" w:hAnsi="Tahoma" w:cs="Tahoma"/>
          <w:sz w:val="20"/>
          <w:szCs w:val="20"/>
          <w:lang w:val="es-ES" w:eastAsia="es-ES" w:bidi="es-ES"/>
        </w:rPr>
        <w:t>1,7%,</w:t>
      </w:r>
      <w:r w:rsidRPr="00E33A8D">
        <w:rPr>
          <w:rFonts w:ascii="Tahoma" w:eastAsia="Calibri" w:hAnsi="Tahoma" w:cs="Tahoma"/>
          <w:spacing w:val="-14"/>
          <w:sz w:val="20"/>
          <w:szCs w:val="20"/>
          <w:lang w:val="es-ES" w:eastAsia="es-ES" w:bidi="es-ES"/>
        </w:rPr>
        <w:t xml:space="preserve"> </w:t>
      </w:r>
      <w:r w:rsidRPr="00E33A8D">
        <w:rPr>
          <w:rFonts w:ascii="Tahoma" w:eastAsia="Calibri" w:hAnsi="Tahoma" w:cs="Tahoma"/>
          <w:sz w:val="20"/>
          <w:szCs w:val="20"/>
          <w:lang w:val="es-ES" w:eastAsia="es-ES" w:bidi="es-ES"/>
        </w:rPr>
        <w:t>Pro-Hospital</w:t>
      </w:r>
      <w:r w:rsidRPr="00E33A8D">
        <w:rPr>
          <w:rFonts w:ascii="Tahoma" w:eastAsia="Calibri" w:hAnsi="Tahoma" w:cs="Tahoma"/>
          <w:spacing w:val="-14"/>
          <w:sz w:val="20"/>
          <w:szCs w:val="20"/>
          <w:lang w:val="es-ES" w:eastAsia="es-ES" w:bidi="es-ES"/>
        </w:rPr>
        <w:t xml:space="preserve"> </w:t>
      </w:r>
      <w:r w:rsidRPr="00E33A8D">
        <w:rPr>
          <w:rFonts w:ascii="Tahoma" w:eastAsia="Calibri" w:hAnsi="Tahoma" w:cs="Tahoma"/>
          <w:sz w:val="20"/>
          <w:szCs w:val="20"/>
          <w:lang w:val="es-ES" w:eastAsia="es-ES" w:bidi="es-ES"/>
        </w:rPr>
        <w:t>Univ. Cari ESE 1,0%, Pro-Bienestar Adulto Mayor</w:t>
      </w:r>
      <w:r w:rsidRPr="00E33A8D">
        <w:rPr>
          <w:rFonts w:ascii="Tahoma" w:eastAsia="Calibri" w:hAnsi="Tahoma" w:cs="Tahoma"/>
          <w:spacing w:val="-5"/>
          <w:sz w:val="20"/>
          <w:szCs w:val="20"/>
          <w:lang w:val="es-ES" w:eastAsia="es-ES" w:bidi="es-ES"/>
        </w:rPr>
        <w:t xml:space="preserve"> </w:t>
      </w:r>
      <w:r w:rsidRPr="00E33A8D">
        <w:rPr>
          <w:rFonts w:ascii="Tahoma" w:eastAsia="Calibri" w:hAnsi="Tahoma" w:cs="Tahoma"/>
          <w:sz w:val="20"/>
          <w:szCs w:val="20"/>
          <w:lang w:val="es-ES" w:eastAsia="es-ES" w:bidi="es-ES"/>
        </w:rPr>
        <w:t>0,5%.</w:t>
      </w:r>
    </w:p>
    <w:p w14:paraId="7BDBAF2E" w14:textId="77777777" w:rsidR="00F8352C" w:rsidRPr="00E33A8D" w:rsidRDefault="00F8352C" w:rsidP="00F8352C">
      <w:pPr>
        <w:widowControl w:val="0"/>
        <w:autoSpaceDE w:val="0"/>
        <w:autoSpaceDN w:val="0"/>
        <w:spacing w:before="9"/>
        <w:rPr>
          <w:rFonts w:ascii="Tahoma" w:eastAsia="Calibri" w:hAnsi="Tahoma" w:cs="Tahoma"/>
          <w:sz w:val="20"/>
          <w:szCs w:val="20"/>
          <w:lang w:val="es-ES" w:eastAsia="es-ES" w:bidi="es-ES"/>
        </w:rPr>
      </w:pPr>
    </w:p>
    <w:p w14:paraId="35DC67A8" w14:textId="77777777" w:rsidR="00F8352C" w:rsidRPr="00E33A8D" w:rsidRDefault="00F8352C" w:rsidP="00F8352C">
      <w:pPr>
        <w:widowControl w:val="0"/>
        <w:autoSpaceDE w:val="0"/>
        <w:autoSpaceDN w:val="0"/>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A continuación, relaciono:</w:t>
      </w:r>
    </w:p>
    <w:p w14:paraId="638159E4" w14:textId="77777777" w:rsidR="00F8352C" w:rsidRPr="00E33A8D" w:rsidRDefault="00F8352C" w:rsidP="00F8352C">
      <w:pPr>
        <w:widowControl w:val="0"/>
        <w:autoSpaceDE w:val="0"/>
        <w:autoSpaceDN w:val="0"/>
        <w:rPr>
          <w:rFonts w:ascii="Tahoma" w:eastAsia="Calibri" w:hAnsi="Tahoma" w:cs="Tahoma"/>
          <w:sz w:val="20"/>
          <w:szCs w:val="20"/>
          <w:lang w:val="es-ES" w:eastAsia="es-ES" w:bidi="es-ES"/>
        </w:rPr>
      </w:pPr>
    </w:p>
    <w:p w14:paraId="7FE53AF3" w14:textId="6E38AE72" w:rsidR="00F8352C" w:rsidRPr="00136120" w:rsidRDefault="00F8352C" w:rsidP="00F8352C">
      <w:pPr>
        <w:autoSpaceDE w:val="0"/>
        <w:autoSpaceDN w:val="0"/>
        <w:adjustRightInd w:val="0"/>
        <w:rPr>
          <w:rFonts w:ascii="Tahoma" w:eastAsia="Calibri" w:hAnsi="Tahoma" w:cs="Tahoma"/>
          <w:b/>
          <w:color w:val="000000"/>
          <w:sz w:val="20"/>
          <w:szCs w:val="20"/>
          <w:lang w:val="es-CO"/>
        </w:rPr>
      </w:pPr>
      <w:r w:rsidRPr="00E33A8D">
        <w:rPr>
          <w:rFonts w:ascii="Tahoma" w:eastAsia="Calibri" w:hAnsi="Tahoma" w:cs="Tahoma"/>
          <w:b/>
          <w:color w:val="000000"/>
          <w:sz w:val="20"/>
          <w:szCs w:val="20"/>
          <w:lang w:val="es-CO"/>
        </w:rPr>
        <w:t xml:space="preserve">No Contrato </w:t>
      </w:r>
      <w:r w:rsidR="00BA2675" w:rsidRPr="008C6A9D">
        <w:rPr>
          <w:lang w:val="es-CO"/>
        </w:rPr>
        <w:t>20220203</w:t>
      </w:r>
    </w:p>
    <w:p w14:paraId="215F129D" w14:textId="5A56672B" w:rsidR="00136120" w:rsidRPr="00BA2675" w:rsidRDefault="00EC43BB" w:rsidP="00136120">
      <w:pPr>
        <w:shd w:val="clear" w:color="auto" w:fill="FFFFFF" w:themeFill="background1"/>
        <w:jc w:val="both"/>
        <w:rPr>
          <w:rFonts w:ascii="Tahoma" w:eastAsia="Calibri" w:hAnsi="Tahoma" w:cs="Tahoma"/>
          <w:color w:val="000000"/>
          <w:sz w:val="20"/>
          <w:szCs w:val="20"/>
          <w:lang w:val="es-CO"/>
        </w:rPr>
      </w:pPr>
      <w:r w:rsidRPr="002C0994">
        <w:rPr>
          <w:rFonts w:ascii="Tahoma" w:eastAsia="Calibri" w:hAnsi="Tahoma" w:cs="Tahoma"/>
          <w:b/>
          <w:bCs/>
          <w:color w:val="000000"/>
          <w:sz w:val="20"/>
          <w:szCs w:val="20"/>
          <w:lang w:val="es-CO"/>
        </w:rPr>
        <w:t>Objeto:</w:t>
      </w:r>
      <w:r w:rsidRPr="00F11DED">
        <w:rPr>
          <w:rFonts w:ascii="Tahoma" w:eastAsia="Calibri" w:hAnsi="Tahoma" w:cs="Tahoma"/>
          <w:b/>
          <w:bCs/>
          <w:color w:val="FF0000"/>
          <w:sz w:val="20"/>
          <w:szCs w:val="20"/>
          <w:lang w:val="es-CO"/>
        </w:rPr>
        <w:t xml:space="preserve"> </w:t>
      </w:r>
      <w:r w:rsidR="00BA2675" w:rsidRPr="00BA2675">
        <w:rPr>
          <w:rFonts w:ascii="Arial" w:hAnsi="Arial" w:cs="Arial"/>
          <w:color w:val="000000"/>
          <w:sz w:val="18"/>
          <w:szCs w:val="18"/>
          <w:shd w:val="clear" w:color="auto" w:fill="FFFFFF"/>
          <w:lang w:val="es-CO"/>
        </w:rPr>
        <w:t>PRESTACIÓN DE SERVICIOS PROFESIONALES PARA APOYAR EL FORTALECIMIENTO INSTITUCIONAL DEL INSTITUTO DEPARTAMENTAL DE RECREACIÓN Y DEPORTES DEL ATLÁNTICO.</w:t>
      </w:r>
    </w:p>
    <w:p w14:paraId="18136C26" w14:textId="477D00D2" w:rsidR="00F8352C" w:rsidRPr="006C5048" w:rsidRDefault="00F8352C" w:rsidP="00136120">
      <w:pPr>
        <w:autoSpaceDE w:val="0"/>
        <w:autoSpaceDN w:val="0"/>
        <w:adjustRightInd w:val="0"/>
        <w:rPr>
          <w:rFonts w:ascii="Tahoma" w:eastAsia="Calibri" w:hAnsi="Tahoma" w:cs="Tahoma"/>
          <w:bCs/>
          <w:sz w:val="20"/>
          <w:szCs w:val="20"/>
          <w:lang w:val="es-CO" w:eastAsia="es-ES" w:bidi="es-ES"/>
        </w:rPr>
      </w:pPr>
      <w:r w:rsidRPr="00E33A8D">
        <w:rPr>
          <w:rFonts w:ascii="Tahoma" w:eastAsia="Calibri" w:hAnsi="Tahoma" w:cs="Tahoma"/>
          <w:b/>
          <w:sz w:val="20"/>
          <w:szCs w:val="20"/>
          <w:lang w:val="es-ES" w:eastAsia="es-ES" w:bidi="es-ES"/>
        </w:rPr>
        <w:t>Fecha de inicio:</w:t>
      </w:r>
      <w:r w:rsidR="008E19E6">
        <w:rPr>
          <w:rFonts w:ascii="Tahoma" w:eastAsia="Calibri" w:hAnsi="Tahoma" w:cs="Tahoma"/>
          <w:b/>
          <w:sz w:val="20"/>
          <w:szCs w:val="20"/>
          <w:lang w:val="es-ES" w:eastAsia="es-ES" w:bidi="es-ES"/>
        </w:rPr>
        <w:t xml:space="preserve"> </w:t>
      </w:r>
      <w:r w:rsidR="006C5048" w:rsidRPr="006C5048">
        <w:rPr>
          <w:rFonts w:ascii="Arial" w:hAnsi="Arial" w:cs="Arial"/>
          <w:color w:val="000000"/>
          <w:sz w:val="18"/>
          <w:szCs w:val="18"/>
          <w:shd w:val="clear" w:color="auto" w:fill="FFFFFF"/>
          <w:lang w:val="es-CO"/>
        </w:rPr>
        <w:t>13/01/2022</w:t>
      </w:r>
    </w:p>
    <w:p w14:paraId="331C64F3" w14:textId="4798B24A" w:rsidR="008E19E6" w:rsidRPr="00BA2675" w:rsidRDefault="00F8352C" w:rsidP="008E19E6">
      <w:pPr>
        <w:jc w:val="both"/>
        <w:rPr>
          <w:rFonts w:ascii="Tahoma" w:eastAsia="Calibri" w:hAnsi="Tahoma" w:cs="Tahoma"/>
          <w:color w:val="000000"/>
          <w:sz w:val="20"/>
          <w:szCs w:val="20"/>
          <w:lang w:val="es-CO"/>
        </w:rPr>
      </w:pPr>
      <w:r w:rsidRPr="00E33A8D">
        <w:rPr>
          <w:rFonts w:ascii="Tahoma" w:eastAsia="Calibri" w:hAnsi="Tahoma" w:cs="Tahoma"/>
          <w:b/>
          <w:sz w:val="20"/>
          <w:szCs w:val="20"/>
          <w:lang w:val="es-ES" w:eastAsia="es-ES" w:bidi="es-ES"/>
        </w:rPr>
        <w:t>Forma de pago:</w:t>
      </w:r>
      <w:r w:rsidR="008E19E6">
        <w:rPr>
          <w:rFonts w:ascii="Tahoma" w:eastAsia="Calibri" w:hAnsi="Tahoma" w:cs="Tahoma"/>
          <w:b/>
          <w:bCs/>
          <w:sz w:val="20"/>
          <w:szCs w:val="20"/>
          <w:lang w:val="es-CO"/>
        </w:rPr>
        <w:t xml:space="preserve"> </w:t>
      </w:r>
      <w:r w:rsidR="00BA2675" w:rsidRPr="00BA2675">
        <w:rPr>
          <w:lang w:val="es-CO"/>
        </w:rPr>
        <w:t>FORMA DE PAGO: EL INSTITUTO cancelará el valor del contrato, de la siguiente manera: Un (1) primer pago al treinta y uno (31) de agosto de 2022, por valor de CUATRO MILLONES DE PESOS M/L ($4.000.000), tres (3) pagos mensuales iguales por valor de CUATRO MILLONES DE PESOS M/L ($4.000.000) y un pago final al treinta y uno (31) de diciembre de 2022 por valor de CUATRO MILLONES DE PESOS M/L ($4.000.000).</w:t>
      </w:r>
    </w:p>
    <w:p w14:paraId="0581D9E6" w14:textId="3948CE1A" w:rsidR="006C5048" w:rsidRPr="00EA4D5F" w:rsidRDefault="00F8352C" w:rsidP="006C5048">
      <w:pPr>
        <w:jc w:val="both"/>
        <w:rPr>
          <w:rFonts w:ascii="Arial" w:eastAsia="Times New Roman" w:hAnsi="Arial" w:cs="Arial"/>
          <w:color w:val="000000"/>
          <w:sz w:val="14"/>
          <w:szCs w:val="14"/>
          <w:lang w:val="es-ES" w:eastAsia="es-ES"/>
        </w:rPr>
      </w:pPr>
      <w:r w:rsidRPr="00E33A8D">
        <w:rPr>
          <w:rFonts w:ascii="Tahoma" w:eastAsia="Calibri" w:hAnsi="Tahoma" w:cs="Tahoma"/>
          <w:b/>
          <w:sz w:val="20"/>
          <w:szCs w:val="20"/>
          <w:lang w:val="es-ES" w:eastAsia="es-ES" w:bidi="es-ES"/>
        </w:rPr>
        <w:t>Plazo de ejecución</w:t>
      </w:r>
      <w:r w:rsidRPr="00E33A8D">
        <w:rPr>
          <w:rFonts w:ascii="Tahoma" w:eastAsia="Calibri" w:hAnsi="Tahoma" w:cs="Tahoma"/>
          <w:sz w:val="20"/>
          <w:szCs w:val="20"/>
          <w:lang w:val="es-ES" w:eastAsia="es-ES" w:bidi="es-ES"/>
        </w:rPr>
        <w:t xml:space="preserve">: </w:t>
      </w:r>
      <w:r w:rsidR="007D055D">
        <w:rPr>
          <w:rStyle w:val="vortalnumericspan"/>
          <w:rFonts w:ascii="Arial" w:hAnsi="Arial" w:cs="Arial"/>
          <w:color w:val="000000"/>
          <w:sz w:val="18"/>
          <w:szCs w:val="18"/>
          <w:shd w:val="clear" w:color="auto" w:fill="FFFFFF"/>
          <w:lang w:val="es-CO"/>
        </w:rPr>
        <w:t xml:space="preserve">HASTA EL 31 DE </w:t>
      </w:r>
      <w:r w:rsidR="00BA2675">
        <w:rPr>
          <w:rStyle w:val="vortalnumericspan"/>
          <w:rFonts w:ascii="Arial" w:hAnsi="Arial" w:cs="Arial"/>
          <w:color w:val="000000"/>
          <w:sz w:val="18"/>
          <w:szCs w:val="18"/>
          <w:shd w:val="clear" w:color="auto" w:fill="FFFFFF"/>
          <w:lang w:val="es-CO"/>
        </w:rPr>
        <w:t>diciembre</w:t>
      </w:r>
      <w:r w:rsidR="007D055D">
        <w:rPr>
          <w:rStyle w:val="vortalnumericspan"/>
          <w:rFonts w:ascii="Arial" w:hAnsi="Arial" w:cs="Arial"/>
          <w:color w:val="000000"/>
          <w:sz w:val="18"/>
          <w:szCs w:val="18"/>
          <w:shd w:val="clear" w:color="auto" w:fill="FFFFFF"/>
          <w:lang w:val="es-CO"/>
        </w:rPr>
        <w:t xml:space="preserve"> DE 2022</w:t>
      </w:r>
    </w:p>
    <w:p w14:paraId="32B339E5" w14:textId="571392F8" w:rsidR="008E19E6" w:rsidRPr="008E19E6" w:rsidRDefault="008E19E6" w:rsidP="008E19E6">
      <w:pPr>
        <w:jc w:val="both"/>
        <w:rPr>
          <w:rFonts w:ascii="Tahoma" w:eastAsia="Calibri" w:hAnsi="Tahoma" w:cs="Tahoma"/>
          <w:color w:val="000000"/>
          <w:sz w:val="20"/>
          <w:szCs w:val="20"/>
          <w:lang w:val="es-CO"/>
        </w:rPr>
      </w:pPr>
    </w:p>
    <w:p w14:paraId="71C62B61" w14:textId="20C0DC70" w:rsidR="00F8352C" w:rsidRPr="00E33A8D" w:rsidRDefault="00F8352C" w:rsidP="008E19E6">
      <w:pPr>
        <w:autoSpaceDE w:val="0"/>
        <w:autoSpaceDN w:val="0"/>
        <w:adjustRightInd w:val="0"/>
        <w:rPr>
          <w:rFonts w:ascii="Tahoma" w:eastAsia="Calibri" w:hAnsi="Tahoma" w:cs="Tahoma"/>
          <w:sz w:val="20"/>
          <w:szCs w:val="20"/>
          <w:lang w:val="es-ES" w:eastAsia="es-ES" w:bidi="es-ES"/>
        </w:rPr>
      </w:pPr>
    </w:p>
    <w:p w14:paraId="5A7B279D" w14:textId="77777777" w:rsidR="00F8352C" w:rsidRPr="00E33A8D" w:rsidRDefault="00F8352C" w:rsidP="00F8352C">
      <w:pPr>
        <w:widowControl w:val="0"/>
        <w:autoSpaceDE w:val="0"/>
        <w:autoSpaceDN w:val="0"/>
        <w:spacing w:before="209" w:line="259" w:lineRule="auto"/>
        <w:ind w:right="142"/>
        <w:jc w:val="both"/>
        <w:outlineLvl w:val="0"/>
        <w:rPr>
          <w:rFonts w:ascii="Tahoma" w:eastAsia="Calibri" w:hAnsi="Tahoma" w:cs="Tahoma"/>
          <w:sz w:val="20"/>
          <w:szCs w:val="20"/>
          <w:lang w:val="es-ES" w:eastAsia="es-ES" w:bidi="es-ES"/>
        </w:rPr>
      </w:pPr>
      <w:r w:rsidRPr="00E33A8D">
        <w:rPr>
          <w:rFonts w:ascii="Tahoma" w:eastAsia="Calibri" w:hAnsi="Tahoma" w:cs="Tahoma"/>
          <w:sz w:val="20"/>
          <w:szCs w:val="20"/>
          <w:lang w:val="es-ES" w:eastAsia="es-ES" w:bidi="es-ES"/>
        </w:rPr>
        <w:t xml:space="preserve"> Agradeciendo la socialización de la Ordenanza para conocimiento de la aplicación del Descuento mensual a las áreas competente.</w:t>
      </w:r>
    </w:p>
    <w:p w14:paraId="21DC88F8" w14:textId="47FA597F" w:rsidR="00F8352C" w:rsidRDefault="00F8352C" w:rsidP="00F8352C">
      <w:pPr>
        <w:widowControl w:val="0"/>
        <w:autoSpaceDE w:val="0"/>
        <w:autoSpaceDN w:val="0"/>
        <w:spacing w:before="5"/>
        <w:rPr>
          <w:rFonts w:ascii="Tahoma" w:eastAsia="Calibri" w:hAnsi="Tahoma" w:cs="Tahoma"/>
          <w:sz w:val="20"/>
          <w:szCs w:val="20"/>
          <w:lang w:val="es-ES" w:eastAsia="es-ES" w:bidi="es-ES"/>
        </w:rPr>
      </w:pPr>
    </w:p>
    <w:p w14:paraId="6A4826F0" w14:textId="77777777" w:rsidR="008E19E6" w:rsidRPr="00E33A8D" w:rsidRDefault="008E19E6" w:rsidP="00F8352C">
      <w:pPr>
        <w:widowControl w:val="0"/>
        <w:autoSpaceDE w:val="0"/>
        <w:autoSpaceDN w:val="0"/>
        <w:spacing w:before="5"/>
        <w:rPr>
          <w:rFonts w:ascii="Tahoma" w:eastAsia="Calibri" w:hAnsi="Tahoma" w:cs="Tahoma"/>
          <w:sz w:val="20"/>
          <w:szCs w:val="20"/>
          <w:lang w:val="es-ES" w:eastAsia="es-ES" w:bidi="es-ES"/>
        </w:rPr>
      </w:pPr>
    </w:p>
    <w:p w14:paraId="247F6185" w14:textId="232FB5B8" w:rsidR="00F8352C" w:rsidRPr="00E33A8D" w:rsidRDefault="00F8352C" w:rsidP="00EC43BB">
      <w:pPr>
        <w:widowControl w:val="0"/>
        <w:autoSpaceDE w:val="0"/>
        <w:autoSpaceDN w:val="0"/>
        <w:spacing w:before="1"/>
        <w:rPr>
          <w:rFonts w:ascii="Tahoma" w:eastAsia="Calibri" w:hAnsi="Tahoma" w:cs="Tahoma"/>
          <w:sz w:val="20"/>
          <w:szCs w:val="20"/>
          <w:lang w:val="pt-BR" w:eastAsia="es-ES" w:bidi="es-ES"/>
        </w:rPr>
      </w:pPr>
      <w:r w:rsidRPr="00E33A8D">
        <w:rPr>
          <w:rFonts w:ascii="Tahoma" w:eastAsia="Calibri" w:hAnsi="Tahoma" w:cs="Tahoma"/>
          <w:sz w:val="20"/>
          <w:szCs w:val="20"/>
          <w:lang w:val="pt-BR" w:eastAsia="es-ES" w:bidi="es-ES"/>
        </w:rPr>
        <w:t xml:space="preserve">Atentamente, </w:t>
      </w:r>
    </w:p>
    <w:p w14:paraId="666DB51C" w14:textId="0E6EB483" w:rsidR="00F8352C" w:rsidRDefault="00F8352C" w:rsidP="00F8352C">
      <w:pPr>
        <w:widowControl w:val="0"/>
        <w:autoSpaceDE w:val="0"/>
        <w:autoSpaceDN w:val="0"/>
        <w:spacing w:before="1"/>
        <w:ind w:left="140"/>
        <w:rPr>
          <w:rFonts w:ascii="Tahoma" w:eastAsia="Calibri" w:hAnsi="Tahoma" w:cs="Tahoma"/>
          <w:sz w:val="20"/>
          <w:szCs w:val="20"/>
          <w:lang w:val="pt-BR" w:eastAsia="es-ES" w:bidi="es-ES"/>
        </w:rPr>
      </w:pPr>
    </w:p>
    <w:p w14:paraId="38D610CE" w14:textId="2F731BA9" w:rsidR="00E33A8D" w:rsidRPr="00E33A8D" w:rsidRDefault="00E33A8D" w:rsidP="00F8352C">
      <w:pPr>
        <w:widowControl w:val="0"/>
        <w:autoSpaceDE w:val="0"/>
        <w:autoSpaceDN w:val="0"/>
        <w:spacing w:before="1"/>
        <w:ind w:left="140"/>
        <w:rPr>
          <w:rFonts w:ascii="Tahoma" w:eastAsia="Calibri" w:hAnsi="Tahoma" w:cs="Tahoma"/>
          <w:sz w:val="20"/>
          <w:szCs w:val="20"/>
          <w:lang w:val="pt-BR" w:eastAsia="es-ES" w:bidi="es-ES"/>
        </w:rPr>
      </w:pPr>
    </w:p>
    <w:p w14:paraId="7273A817" w14:textId="1A015CDB" w:rsidR="00F8352C" w:rsidRPr="00E33A8D" w:rsidRDefault="00F8352C" w:rsidP="00F8352C">
      <w:pPr>
        <w:widowControl w:val="0"/>
        <w:autoSpaceDE w:val="0"/>
        <w:autoSpaceDN w:val="0"/>
        <w:spacing w:before="1"/>
        <w:ind w:left="140"/>
        <w:rPr>
          <w:rFonts w:ascii="Tahoma" w:eastAsia="Calibri" w:hAnsi="Tahoma" w:cs="Tahoma"/>
          <w:sz w:val="20"/>
          <w:szCs w:val="20"/>
          <w:lang w:val="pt-BR" w:eastAsia="es-ES" w:bidi="es-ES"/>
        </w:rPr>
      </w:pPr>
    </w:p>
    <w:p w14:paraId="1EFBE2AD" w14:textId="0692989D" w:rsidR="009B69A4" w:rsidRDefault="009B69A4" w:rsidP="00EC43BB">
      <w:pPr>
        <w:widowControl w:val="0"/>
        <w:autoSpaceDE w:val="0"/>
        <w:autoSpaceDN w:val="0"/>
        <w:spacing w:before="1"/>
        <w:rPr>
          <w:rFonts w:ascii="Tahoma" w:eastAsia="Calibri" w:hAnsi="Tahoma" w:cs="Tahoma"/>
          <w:b/>
          <w:sz w:val="20"/>
          <w:szCs w:val="20"/>
          <w:lang w:val="pt-BR" w:eastAsia="es-ES" w:bidi="es-ES"/>
        </w:rPr>
      </w:pPr>
    </w:p>
    <w:p w14:paraId="1FBE62F1" w14:textId="32CFC4D8" w:rsidR="009B69A4" w:rsidRDefault="002C238D" w:rsidP="00EC43BB">
      <w:pPr>
        <w:widowControl w:val="0"/>
        <w:autoSpaceDE w:val="0"/>
        <w:autoSpaceDN w:val="0"/>
        <w:spacing w:before="1"/>
        <w:rPr>
          <w:rFonts w:ascii="Tahoma" w:eastAsia="Calibri" w:hAnsi="Tahoma" w:cs="Tahoma"/>
          <w:b/>
          <w:sz w:val="20"/>
          <w:szCs w:val="20"/>
          <w:lang w:val="pt-BR" w:eastAsia="es-ES" w:bidi="es-ES"/>
        </w:rPr>
      </w:pPr>
      <w:r>
        <w:rPr>
          <w:noProof/>
        </w:rPr>
        <w:drawing>
          <wp:inline distT="0" distB="0" distL="0" distR="0" wp14:anchorId="67BF506F" wp14:editId="317D947B">
            <wp:extent cx="2225040" cy="327660"/>
            <wp:effectExtent l="0" t="0" r="3810" b="0"/>
            <wp:docPr id="1" name="Imagen 1" descr="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en blanco y negro&#10;&#10;Descripción generada automáticamente con confianza baj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25040" cy="327660"/>
                    </a:xfrm>
                    <a:prstGeom prst="rect">
                      <a:avLst/>
                    </a:prstGeom>
                    <a:noFill/>
                    <a:ln>
                      <a:noFill/>
                    </a:ln>
                  </pic:spPr>
                </pic:pic>
              </a:graphicData>
            </a:graphic>
          </wp:inline>
        </w:drawing>
      </w:r>
    </w:p>
    <w:p w14:paraId="45CCF379" w14:textId="096739D9" w:rsidR="00F8352C" w:rsidRPr="00F605F6" w:rsidRDefault="006C5048" w:rsidP="00EC43BB">
      <w:pPr>
        <w:widowControl w:val="0"/>
        <w:autoSpaceDE w:val="0"/>
        <w:autoSpaceDN w:val="0"/>
        <w:spacing w:before="1"/>
        <w:rPr>
          <w:rFonts w:ascii="Tahoma" w:eastAsia="Calibri" w:hAnsi="Tahoma" w:cs="Tahoma"/>
          <w:b/>
          <w:sz w:val="20"/>
          <w:szCs w:val="20"/>
          <w:lang w:val="pt-BR" w:eastAsia="es-ES" w:bidi="es-ES"/>
        </w:rPr>
      </w:pPr>
      <w:r>
        <w:rPr>
          <w:rFonts w:ascii="Tahoma" w:eastAsia="Calibri" w:hAnsi="Tahoma" w:cs="Tahoma"/>
          <w:b/>
          <w:sz w:val="20"/>
          <w:szCs w:val="20"/>
          <w:lang w:val="pt-BR" w:eastAsia="es-ES" w:bidi="es-ES"/>
        </w:rPr>
        <w:t>MARIA ALEJANDRA ARIZA CUELLO</w:t>
      </w:r>
    </w:p>
    <w:p w14:paraId="788A8315" w14:textId="2A9A400B" w:rsidR="00F8352C" w:rsidRPr="00F605F6" w:rsidRDefault="00F8352C" w:rsidP="00F8352C">
      <w:pPr>
        <w:widowControl w:val="0"/>
        <w:autoSpaceDE w:val="0"/>
        <w:autoSpaceDN w:val="0"/>
        <w:spacing w:line="252" w:lineRule="exact"/>
        <w:rPr>
          <w:rFonts w:ascii="Tahoma" w:eastAsia="Calibri" w:hAnsi="Tahoma" w:cs="Tahoma"/>
          <w:b/>
          <w:sz w:val="20"/>
          <w:szCs w:val="20"/>
          <w:lang w:val="es-CO" w:eastAsia="es-ES" w:bidi="es-ES"/>
        </w:rPr>
      </w:pPr>
      <w:r w:rsidRPr="00F605F6">
        <w:rPr>
          <w:rFonts w:ascii="Tahoma" w:eastAsia="Calibri" w:hAnsi="Tahoma" w:cs="Tahoma"/>
          <w:b/>
          <w:sz w:val="20"/>
          <w:szCs w:val="20"/>
          <w:lang w:val="es-CO" w:eastAsia="es-ES" w:bidi="es-ES"/>
        </w:rPr>
        <w:t>CC No.</w:t>
      </w:r>
      <w:r w:rsidR="009B69A4" w:rsidRPr="00F605F6">
        <w:rPr>
          <w:rFonts w:ascii="Tahoma" w:eastAsia="Calibri" w:hAnsi="Tahoma" w:cs="Tahoma"/>
          <w:b/>
          <w:sz w:val="20"/>
          <w:szCs w:val="20"/>
          <w:lang w:val="es-CO" w:eastAsia="es-ES" w:bidi="es-ES"/>
        </w:rPr>
        <w:t xml:space="preserve"> </w:t>
      </w:r>
      <w:r w:rsidR="006C5048">
        <w:rPr>
          <w:rFonts w:ascii="Tahoma" w:eastAsia="Calibri" w:hAnsi="Tahoma" w:cs="Tahoma"/>
          <w:b/>
          <w:sz w:val="20"/>
          <w:szCs w:val="20"/>
          <w:lang w:val="es-CO" w:eastAsia="es-ES" w:bidi="es-ES"/>
        </w:rPr>
        <w:t>43.156.023</w:t>
      </w:r>
    </w:p>
    <w:p w14:paraId="74D3A587" w14:textId="007E2187" w:rsidR="00F8352C" w:rsidRPr="00F605F6" w:rsidRDefault="00F8352C" w:rsidP="00EC43BB">
      <w:pPr>
        <w:widowControl w:val="0"/>
        <w:autoSpaceDE w:val="0"/>
        <w:autoSpaceDN w:val="0"/>
        <w:spacing w:before="1"/>
        <w:rPr>
          <w:rFonts w:ascii="Tahoma" w:eastAsia="Calibri" w:hAnsi="Tahoma" w:cs="Tahoma"/>
          <w:b/>
          <w:sz w:val="20"/>
          <w:szCs w:val="20"/>
          <w:lang w:val="es-ES" w:eastAsia="es-ES" w:bidi="es-ES"/>
        </w:rPr>
      </w:pPr>
      <w:r w:rsidRPr="00F605F6">
        <w:rPr>
          <w:rFonts w:ascii="Tahoma" w:eastAsia="Calibri" w:hAnsi="Tahoma" w:cs="Tahoma"/>
          <w:b/>
          <w:sz w:val="20"/>
          <w:szCs w:val="20"/>
          <w:lang w:val="es-ES" w:eastAsia="es-ES" w:bidi="es-ES"/>
        </w:rPr>
        <w:t>Cel.</w:t>
      </w:r>
      <w:r w:rsidR="00EC43BB" w:rsidRPr="00F605F6">
        <w:rPr>
          <w:rFonts w:ascii="Tahoma" w:eastAsia="Calibri" w:hAnsi="Tahoma" w:cs="Tahoma"/>
          <w:b/>
          <w:sz w:val="20"/>
          <w:szCs w:val="20"/>
          <w:lang w:val="es-ES" w:eastAsia="es-ES" w:bidi="es-ES"/>
        </w:rPr>
        <w:t xml:space="preserve"> </w:t>
      </w:r>
      <w:r w:rsidR="006C5048">
        <w:rPr>
          <w:rFonts w:ascii="Tahoma" w:eastAsia="Calibri" w:hAnsi="Tahoma" w:cs="Tahoma"/>
          <w:b/>
          <w:sz w:val="20"/>
          <w:szCs w:val="20"/>
          <w:lang w:val="es-ES" w:eastAsia="es-ES" w:bidi="es-ES"/>
        </w:rPr>
        <w:t>3133569021</w:t>
      </w:r>
    </w:p>
    <w:p w14:paraId="76DD6D30" w14:textId="05C26356" w:rsidR="00F8352C" w:rsidRPr="00F605F6" w:rsidRDefault="00F8352C" w:rsidP="009B69A4">
      <w:pPr>
        <w:widowControl w:val="0"/>
        <w:autoSpaceDE w:val="0"/>
        <w:autoSpaceDN w:val="0"/>
        <w:spacing w:before="3"/>
        <w:rPr>
          <w:rFonts w:ascii="Tahoma" w:eastAsia="Calibri" w:hAnsi="Tahoma" w:cs="Tahoma"/>
          <w:b/>
          <w:sz w:val="20"/>
          <w:szCs w:val="20"/>
          <w:lang w:val="es-ES" w:eastAsia="es-ES" w:bidi="es-ES"/>
        </w:rPr>
      </w:pPr>
      <w:r w:rsidRPr="00F605F6">
        <w:rPr>
          <w:rFonts w:ascii="Tahoma" w:eastAsia="Calibri" w:hAnsi="Tahoma" w:cs="Tahoma"/>
          <w:b/>
          <w:sz w:val="20"/>
          <w:szCs w:val="20"/>
          <w:lang w:val="es-ES" w:eastAsia="es-ES" w:bidi="es-ES"/>
        </w:rPr>
        <w:t xml:space="preserve">Dirección: </w:t>
      </w:r>
      <w:bookmarkEnd w:id="0"/>
      <w:r w:rsidR="006C5048">
        <w:rPr>
          <w:rFonts w:ascii="Tahoma" w:eastAsia="Calibri" w:hAnsi="Tahoma" w:cs="Tahoma"/>
          <w:b/>
          <w:sz w:val="20"/>
          <w:szCs w:val="20"/>
          <w:lang w:val="es-ES" w:eastAsia="es-ES" w:bidi="es-ES"/>
        </w:rPr>
        <w:t>CALLE 90 NO 49C -29</w:t>
      </w:r>
    </w:p>
    <w:sectPr w:rsidR="00F8352C" w:rsidRPr="00F605F6" w:rsidSect="00D4292F">
      <w:headerReference w:type="default" r:id="rId7"/>
      <w:footerReference w:type="default" r:id="rId8"/>
      <w:pgSz w:w="12240" w:h="15840"/>
      <w:pgMar w:top="1440" w:right="735" w:bottom="1440" w:left="1440" w:header="0" w:footer="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04BA8" w14:textId="77777777" w:rsidR="0063097B" w:rsidRDefault="0063097B" w:rsidP="001C52AA">
      <w:r>
        <w:separator/>
      </w:r>
    </w:p>
  </w:endnote>
  <w:endnote w:type="continuationSeparator" w:id="0">
    <w:p w14:paraId="7E2D273B" w14:textId="77777777" w:rsidR="0063097B" w:rsidRDefault="0063097B" w:rsidP="001C52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ADC51" w14:textId="4E369E27" w:rsidR="001C52AA" w:rsidRDefault="001C52AA" w:rsidP="001C52AA">
    <w:pPr>
      <w:pStyle w:val="Piedepgina"/>
      <w:ind w:left="-1440" w:right="-73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3FEE4" w14:textId="77777777" w:rsidR="0063097B" w:rsidRDefault="0063097B" w:rsidP="001C52AA">
      <w:r>
        <w:separator/>
      </w:r>
    </w:p>
  </w:footnote>
  <w:footnote w:type="continuationSeparator" w:id="0">
    <w:p w14:paraId="6E736AB9" w14:textId="77777777" w:rsidR="0063097B" w:rsidRDefault="0063097B" w:rsidP="001C52AA">
      <w:r>
        <w:continuationSeparator/>
      </w:r>
    </w:p>
  </w:footnote>
  <w:footnote w:id="1">
    <w:p w14:paraId="27B2C4A6" w14:textId="77777777" w:rsidR="00F8352C" w:rsidRPr="0044121B" w:rsidRDefault="00F8352C" w:rsidP="00F8352C">
      <w:pPr>
        <w:pStyle w:val="Textonotapie"/>
        <w:jc w:val="both"/>
        <w:rPr>
          <w:lang w:val="es-MX"/>
        </w:rPr>
      </w:pPr>
      <w:r>
        <w:rPr>
          <w:rStyle w:val="Refdenotaalpie"/>
        </w:rPr>
        <w:footnoteRef/>
      </w:r>
      <w:r>
        <w:t xml:space="preserve"> Corte Constitucional, octubre 31, 2012. M.P: </w:t>
      </w:r>
      <w:r w:rsidRPr="0044121B">
        <w:t>JORGE IGNACIO PRETELT CHALJUB</w:t>
      </w:r>
      <w:r>
        <w:t xml:space="preserve">, Sentencia </w:t>
      </w:r>
      <w:r w:rsidRPr="0044121B">
        <w:t>C-891/12</w:t>
      </w:r>
      <w:r>
        <w:t>. Colombia. 19/01/2021. Recuperado de http://</w:t>
      </w:r>
      <w:r w:rsidRPr="0044121B">
        <w:t xml:space="preserve"> https://www.corteconstitucional.gov.co/RELATORIA/2012/C-891-12.htm</w:t>
      </w:r>
      <w:r>
        <w:t>.</w:t>
      </w:r>
    </w:p>
  </w:footnote>
  <w:footnote w:id="2">
    <w:p w14:paraId="102ED1AD" w14:textId="77777777" w:rsidR="00F8352C" w:rsidRPr="0044121B" w:rsidRDefault="00F8352C" w:rsidP="00F8352C">
      <w:pPr>
        <w:pStyle w:val="Textonotapie"/>
        <w:jc w:val="both"/>
        <w:rPr>
          <w:lang w:val="es-MX"/>
        </w:rPr>
      </w:pPr>
      <w:r>
        <w:rPr>
          <w:rStyle w:val="Refdenotaalpie"/>
        </w:rPr>
        <w:footnoteRef/>
      </w:r>
      <w:r>
        <w:t xml:space="preserve"> Corte Constitucional, octubre 31, 2012. M.P: </w:t>
      </w:r>
      <w:r w:rsidRPr="0044121B">
        <w:t>JORGE IGNACIO PRETELT CHALJUB</w:t>
      </w:r>
      <w:r>
        <w:t xml:space="preserve">, Sentencia </w:t>
      </w:r>
      <w:r w:rsidRPr="0044121B">
        <w:t>C-891/12</w:t>
      </w:r>
      <w:r>
        <w:t>. Colombia. 19/01/2021. Recuperado de http://</w:t>
      </w:r>
      <w:r w:rsidRPr="0044121B">
        <w:t xml:space="preserve"> https://www.corteconstitucional.gov.co/RELATORIA/2012/C-891-12.htm</w:t>
      </w:r>
      <w:r>
        <w:t>.</w:t>
      </w:r>
    </w:p>
    <w:p w14:paraId="6F2E8441" w14:textId="77777777" w:rsidR="00F8352C" w:rsidRPr="0044121B" w:rsidRDefault="00F8352C" w:rsidP="00F8352C">
      <w:pPr>
        <w:pStyle w:val="Textonotapie"/>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021BF" w14:textId="0DEFEDFA" w:rsidR="001C52AA" w:rsidRDefault="00DB4C11" w:rsidP="001C52AA">
    <w:pPr>
      <w:pStyle w:val="Encabezado"/>
      <w:ind w:left="-1440" w:right="-735"/>
    </w:pPr>
    <w:r>
      <w:rPr>
        <w:noProof/>
        <w:lang w:val="es-CO" w:eastAsia="es-CO"/>
      </w:rPr>
      <w:drawing>
        <wp:anchor distT="0" distB="0" distL="114300" distR="114300" simplePos="0" relativeHeight="251659264" behindDoc="1" locked="0" layoutInCell="1" allowOverlap="1" wp14:anchorId="48895534" wp14:editId="7FBDF06C">
          <wp:simplePos x="0" y="0"/>
          <wp:positionH relativeFrom="page">
            <wp:align>center</wp:align>
          </wp:positionH>
          <wp:positionV relativeFrom="paragraph">
            <wp:posOffset>0</wp:posOffset>
          </wp:positionV>
          <wp:extent cx="7743190" cy="1004506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indeportes-01.jpg"/>
                  <pic:cNvPicPr/>
                </pic:nvPicPr>
                <pic:blipFill rotWithShape="1">
                  <a:blip r:embed="rId1">
                    <a:extLst>
                      <a:ext uri="{28A0092B-C50C-407E-A947-70E740481C1C}">
                        <a14:useLocalDpi xmlns:a14="http://schemas.microsoft.com/office/drawing/2010/main" val="0"/>
                      </a:ext>
                    </a:extLst>
                  </a:blip>
                  <a:srcRect t="-164" b="-2"/>
                  <a:stretch/>
                </pic:blipFill>
                <pic:spPr bwMode="auto">
                  <a:xfrm>
                    <a:off x="0" y="0"/>
                    <a:ext cx="7743190" cy="10045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2AA"/>
    <w:rsid w:val="00033F62"/>
    <w:rsid w:val="00097F34"/>
    <w:rsid w:val="00136120"/>
    <w:rsid w:val="00177963"/>
    <w:rsid w:val="001A317B"/>
    <w:rsid w:val="001A3885"/>
    <w:rsid w:val="001A7E34"/>
    <w:rsid w:val="001C52AA"/>
    <w:rsid w:val="002942A8"/>
    <w:rsid w:val="002C0994"/>
    <w:rsid w:val="002C238D"/>
    <w:rsid w:val="00302630"/>
    <w:rsid w:val="00303E70"/>
    <w:rsid w:val="00315D20"/>
    <w:rsid w:val="00320EF5"/>
    <w:rsid w:val="00361E62"/>
    <w:rsid w:val="003A0B8D"/>
    <w:rsid w:val="00486C27"/>
    <w:rsid w:val="004C0BE7"/>
    <w:rsid w:val="004E7F0D"/>
    <w:rsid w:val="00503066"/>
    <w:rsid w:val="005069C3"/>
    <w:rsid w:val="005208F4"/>
    <w:rsid w:val="00524537"/>
    <w:rsid w:val="005554EC"/>
    <w:rsid w:val="00580539"/>
    <w:rsid w:val="005B6A14"/>
    <w:rsid w:val="005C7693"/>
    <w:rsid w:val="005F433D"/>
    <w:rsid w:val="0063097B"/>
    <w:rsid w:val="0066544C"/>
    <w:rsid w:val="00682AC8"/>
    <w:rsid w:val="006C5048"/>
    <w:rsid w:val="007A7065"/>
    <w:rsid w:val="007C0AC1"/>
    <w:rsid w:val="007C74CE"/>
    <w:rsid w:val="007D055D"/>
    <w:rsid w:val="00854A06"/>
    <w:rsid w:val="00857A93"/>
    <w:rsid w:val="00890122"/>
    <w:rsid w:val="00896E9A"/>
    <w:rsid w:val="008B1FB3"/>
    <w:rsid w:val="008C6A9D"/>
    <w:rsid w:val="008D008E"/>
    <w:rsid w:val="008E19E6"/>
    <w:rsid w:val="00934EA1"/>
    <w:rsid w:val="0093785C"/>
    <w:rsid w:val="00962423"/>
    <w:rsid w:val="009816C9"/>
    <w:rsid w:val="009A4A5D"/>
    <w:rsid w:val="009B69A4"/>
    <w:rsid w:val="00A37261"/>
    <w:rsid w:val="00A90C9C"/>
    <w:rsid w:val="00AA655C"/>
    <w:rsid w:val="00AB79E7"/>
    <w:rsid w:val="00AF0022"/>
    <w:rsid w:val="00AF53A3"/>
    <w:rsid w:val="00B10EB5"/>
    <w:rsid w:val="00B57977"/>
    <w:rsid w:val="00BA2675"/>
    <w:rsid w:val="00BB3115"/>
    <w:rsid w:val="00BD0E02"/>
    <w:rsid w:val="00BF2DC7"/>
    <w:rsid w:val="00C76DE3"/>
    <w:rsid w:val="00C80028"/>
    <w:rsid w:val="00D4292F"/>
    <w:rsid w:val="00DB4C11"/>
    <w:rsid w:val="00DF0B3F"/>
    <w:rsid w:val="00E207E5"/>
    <w:rsid w:val="00E33A8D"/>
    <w:rsid w:val="00E568C3"/>
    <w:rsid w:val="00EB5DDF"/>
    <w:rsid w:val="00EC43BB"/>
    <w:rsid w:val="00EE2744"/>
    <w:rsid w:val="00EE322C"/>
    <w:rsid w:val="00F11DED"/>
    <w:rsid w:val="00F25693"/>
    <w:rsid w:val="00F3363D"/>
    <w:rsid w:val="00F605F6"/>
    <w:rsid w:val="00F8352C"/>
    <w:rsid w:val="00FA0D52"/>
    <w:rsid w:val="00FB6417"/>
    <w:rsid w:val="00FD125F"/>
    <w:rsid w:val="00FD54F6"/>
    <w:rsid w:val="00FF3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FCFBC"/>
  <w14:defaultImageDpi w14:val="32767"/>
  <w15:docId w15:val="{A3D26635-7FBF-46A5-BF8D-3E0A519C7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C52AA"/>
    <w:pPr>
      <w:tabs>
        <w:tab w:val="center" w:pos="4680"/>
        <w:tab w:val="right" w:pos="9360"/>
      </w:tabs>
    </w:pPr>
  </w:style>
  <w:style w:type="character" w:customStyle="1" w:styleId="EncabezadoCar">
    <w:name w:val="Encabezado Car"/>
    <w:basedOn w:val="Fuentedeprrafopredeter"/>
    <w:link w:val="Encabezado"/>
    <w:uiPriority w:val="99"/>
    <w:rsid w:val="001C52AA"/>
  </w:style>
  <w:style w:type="paragraph" w:styleId="Piedepgina">
    <w:name w:val="footer"/>
    <w:basedOn w:val="Normal"/>
    <w:link w:val="PiedepginaCar"/>
    <w:uiPriority w:val="99"/>
    <w:unhideWhenUsed/>
    <w:rsid w:val="001C52AA"/>
    <w:pPr>
      <w:tabs>
        <w:tab w:val="center" w:pos="4680"/>
        <w:tab w:val="right" w:pos="9360"/>
      </w:tabs>
    </w:pPr>
  </w:style>
  <w:style w:type="character" w:customStyle="1" w:styleId="PiedepginaCar">
    <w:name w:val="Pie de página Car"/>
    <w:basedOn w:val="Fuentedeprrafopredeter"/>
    <w:link w:val="Piedepgina"/>
    <w:uiPriority w:val="99"/>
    <w:rsid w:val="001C52AA"/>
  </w:style>
  <w:style w:type="paragraph" w:styleId="Textodeglobo">
    <w:name w:val="Balloon Text"/>
    <w:basedOn w:val="Normal"/>
    <w:link w:val="TextodegloboCar"/>
    <w:uiPriority w:val="99"/>
    <w:semiHidden/>
    <w:unhideWhenUsed/>
    <w:rsid w:val="00F8352C"/>
    <w:rPr>
      <w:rFonts w:ascii="Tahoma" w:hAnsi="Tahoma" w:cs="Tahoma"/>
      <w:sz w:val="16"/>
      <w:szCs w:val="16"/>
    </w:rPr>
  </w:style>
  <w:style w:type="character" w:customStyle="1" w:styleId="TextodegloboCar">
    <w:name w:val="Texto de globo Car"/>
    <w:basedOn w:val="Fuentedeprrafopredeter"/>
    <w:link w:val="Textodeglobo"/>
    <w:uiPriority w:val="99"/>
    <w:semiHidden/>
    <w:rsid w:val="00F8352C"/>
    <w:rPr>
      <w:rFonts w:ascii="Tahoma" w:hAnsi="Tahoma" w:cs="Tahoma"/>
      <w:sz w:val="16"/>
      <w:szCs w:val="16"/>
    </w:rPr>
  </w:style>
  <w:style w:type="paragraph" w:styleId="Textonotapie">
    <w:name w:val="footnote text"/>
    <w:basedOn w:val="Normal"/>
    <w:link w:val="TextonotapieCar"/>
    <w:uiPriority w:val="99"/>
    <w:semiHidden/>
    <w:unhideWhenUsed/>
    <w:rsid w:val="00F8352C"/>
    <w:pPr>
      <w:widowControl w:val="0"/>
      <w:autoSpaceDE w:val="0"/>
      <w:autoSpaceDN w:val="0"/>
    </w:pPr>
    <w:rPr>
      <w:rFonts w:ascii="Calibri" w:eastAsia="Calibri" w:hAnsi="Calibri" w:cs="Calibri"/>
      <w:sz w:val="20"/>
      <w:szCs w:val="20"/>
      <w:lang w:val="es-ES" w:eastAsia="es-ES" w:bidi="es-ES"/>
    </w:rPr>
  </w:style>
  <w:style w:type="character" w:customStyle="1" w:styleId="TextonotapieCar">
    <w:name w:val="Texto nota pie Car"/>
    <w:basedOn w:val="Fuentedeprrafopredeter"/>
    <w:link w:val="Textonotapie"/>
    <w:uiPriority w:val="99"/>
    <w:semiHidden/>
    <w:rsid w:val="00F8352C"/>
    <w:rPr>
      <w:rFonts w:ascii="Calibri" w:eastAsia="Calibri" w:hAnsi="Calibri" w:cs="Calibri"/>
      <w:sz w:val="20"/>
      <w:szCs w:val="20"/>
      <w:lang w:val="es-ES" w:eastAsia="es-ES" w:bidi="es-ES"/>
    </w:rPr>
  </w:style>
  <w:style w:type="character" w:styleId="Refdenotaalpie">
    <w:name w:val="footnote reference"/>
    <w:basedOn w:val="Fuentedeprrafopredeter"/>
    <w:uiPriority w:val="99"/>
    <w:semiHidden/>
    <w:unhideWhenUsed/>
    <w:rsid w:val="00F8352C"/>
    <w:rPr>
      <w:vertAlign w:val="superscript"/>
    </w:rPr>
  </w:style>
  <w:style w:type="character" w:styleId="Hipervnculo">
    <w:name w:val="Hyperlink"/>
    <w:basedOn w:val="Fuentedeprrafopredeter"/>
    <w:uiPriority w:val="99"/>
    <w:unhideWhenUsed/>
    <w:rsid w:val="00E33A8D"/>
    <w:rPr>
      <w:color w:val="0563C1" w:themeColor="hyperlink"/>
      <w:u w:val="single"/>
    </w:rPr>
  </w:style>
  <w:style w:type="paragraph" w:customStyle="1" w:styleId="Default">
    <w:name w:val="Default"/>
    <w:rsid w:val="00136120"/>
    <w:pPr>
      <w:autoSpaceDE w:val="0"/>
      <w:autoSpaceDN w:val="0"/>
      <w:adjustRightInd w:val="0"/>
    </w:pPr>
    <w:rPr>
      <w:rFonts w:ascii="Arial" w:hAnsi="Arial" w:cs="Arial"/>
      <w:color w:val="000000"/>
      <w:lang w:val="es-CO"/>
    </w:rPr>
  </w:style>
  <w:style w:type="character" w:customStyle="1" w:styleId="vortaltextbox">
    <w:name w:val="vortaltextbox"/>
    <w:basedOn w:val="Fuentedeprrafopredeter"/>
    <w:rsid w:val="006C5048"/>
  </w:style>
  <w:style w:type="character" w:customStyle="1" w:styleId="vortalnumericspan">
    <w:name w:val="vortalnumericspan"/>
    <w:basedOn w:val="Fuentedeprrafopredeter"/>
    <w:rsid w:val="006C50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1238</Words>
  <Characters>6811</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Maria Alejandra Ariza Cuello</cp:lastModifiedBy>
  <cp:revision>13</cp:revision>
  <cp:lastPrinted>2022-02-02T20:56:00Z</cp:lastPrinted>
  <dcterms:created xsi:type="dcterms:W3CDTF">2022-05-05T14:32:00Z</dcterms:created>
  <dcterms:modified xsi:type="dcterms:W3CDTF">2022-12-06T16:44:00Z</dcterms:modified>
</cp:coreProperties>
</file>