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4467397</w:t>
      </w:r>
      <w:r w:rsidRPr="001013B0">
        <w:rPr>
          <w:rStyle w:val="Nmerodepgina"/>
          <w:rFonts w:ascii="Arial" w:hAnsi="Arial" w:cs="Arial"/>
          <w:b/>
        </w:rPr>
        <w:t xml:space="preserve"> DE </w:t>
      </w:r>
      <w:r w:rsidRPr="007022BA">
        <w:rPr>
          <w:rFonts w:ascii="Arial" w:hAnsi="Arial" w:cs="Arial"/>
          <w:b/>
          <w:bCs/>
          <w:snapToGrid w:val="0"/>
        </w:rPr>
        <w:t>2023</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LEONARDO PEÑA TRASLAVIÑA</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CONSTRUCCIÓN,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 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Cesar Augusto De La Cruz Bovea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Subdirector(a)</w:t>
      </w:r>
      <w:r w:rsidRPr="00790511">
        <w:rPr>
          <w:rFonts w:ascii="Arial" w:hAnsi="Arial" w:cs="Arial"/>
          <w:lang w:eastAsia="ar-SA"/>
        </w:rPr>
        <w:t xml:space="preserve"> </w:t>
      </w:r>
      <w:r w:rsidR="00AE6DAF">
        <w:rPr>
          <w:rFonts w:ascii="Arial" w:hAnsi="Arial" w:cs="Arial"/>
          <w:lang w:eastAsia="ar-SA"/>
        </w:rPr>
        <w:t>JOSE GREGORIO SUAREZ CONTRERAS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