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>ración de conflicto de intereses en el sector público colombiano diseñada por el Departamento Adminsitrativo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2AAEF" w14:textId="77777777" w:rsidR="007454EE" w:rsidRDefault="007454EE" w:rsidP="00A057CE">
      <w:pPr>
        <w:spacing w:after="0" w:line="240" w:lineRule="auto"/>
      </w:pPr>
      <w:r>
        <w:separator/>
      </w:r>
    </w:p>
  </w:endnote>
  <w:endnote w:type="continuationSeparator" w:id="0">
    <w:p w14:paraId="5FD8CABC" w14:textId="77777777" w:rsidR="007454EE" w:rsidRDefault="007454E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FDED3" w14:textId="77777777" w:rsidR="007454EE" w:rsidRDefault="007454EE" w:rsidP="00A057CE">
      <w:pPr>
        <w:spacing w:after="0" w:line="240" w:lineRule="auto"/>
      </w:pPr>
      <w:r>
        <w:separator/>
      </w:r>
    </w:p>
  </w:footnote>
  <w:footnote w:type="continuationSeparator" w:id="0">
    <w:p w14:paraId="7010F2B8" w14:textId="77777777" w:rsidR="007454EE" w:rsidRDefault="007454E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454EE"/>
    <w:rsid w:val="00753573"/>
    <w:rsid w:val="00754029"/>
    <w:rsid w:val="00774F8D"/>
    <w:rsid w:val="007B72EB"/>
    <w:rsid w:val="007C6DFC"/>
    <w:rsid w:val="007C713C"/>
    <w:rsid w:val="00800CD4"/>
    <w:rsid w:val="008026AA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AdminSena</cp:lastModifiedBy>
  <cp:revision>2</cp:revision>
  <cp:lastPrinted>2018-12-26T19:22:00Z</cp:lastPrinted>
  <dcterms:created xsi:type="dcterms:W3CDTF">2023-02-01T20:05:00Z</dcterms:created>
  <dcterms:modified xsi:type="dcterms:W3CDTF">2023-02-01T20:05:00Z</dcterms:modified>
</cp:coreProperties>
</file>