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3FB61" w14:textId="412AB255" w:rsidR="00E355A5" w:rsidRPr="008D5C5F" w:rsidRDefault="00004973" w:rsidP="00E355A5">
      <w:pPr>
        <w:tabs>
          <w:tab w:val="center" w:pos="941"/>
          <w:tab w:val="center" w:pos="8393"/>
        </w:tabs>
        <w:spacing w:after="473" w:line="259" w:lineRule="auto"/>
        <w:ind w:left="0" w:firstLine="0"/>
        <w:jc w:val="center"/>
        <w:rPr>
          <w:rFonts w:ascii="Book Antiqua" w:hAnsi="Book Antiqua"/>
          <w:b/>
        </w:rPr>
      </w:pPr>
      <w:r w:rsidRPr="008D5C5F">
        <w:rPr>
          <w:rFonts w:ascii="Book Antiqua" w:hAnsi="Book Antiqua"/>
          <w:b/>
        </w:rPr>
        <w:t xml:space="preserve">ANEXO  </w:t>
      </w:r>
      <w:r w:rsidR="00E355A5" w:rsidRPr="008D5C5F">
        <w:rPr>
          <w:rFonts w:ascii="Book Antiqua" w:hAnsi="Book Antiqua"/>
          <w:b/>
        </w:rPr>
        <w:t>1 -</w:t>
      </w:r>
      <w:r w:rsidRPr="008D5C5F">
        <w:rPr>
          <w:rFonts w:ascii="Book Antiqua" w:hAnsi="Book Antiqua"/>
          <w:b/>
        </w:rPr>
        <w:t xml:space="preserve"> PACTO DE TRANSPARENCIA</w:t>
      </w:r>
    </w:p>
    <w:p w14:paraId="4FA33D50" w14:textId="77777777" w:rsidR="00607A7E" w:rsidRPr="008D5C5F" w:rsidRDefault="00004973">
      <w:pPr>
        <w:spacing w:after="223"/>
        <w:ind w:left="247" w:firstLine="0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El presente documento hace parte integral de los Documentos del Proceso y con la carta de presentación de la propuesta el Proponente se compromete a:  </w:t>
      </w:r>
    </w:p>
    <w:p w14:paraId="44740B24" w14:textId="77777777" w:rsidR="00607A7E" w:rsidRPr="008D5C5F" w:rsidRDefault="00004973">
      <w:pPr>
        <w:numPr>
          <w:ilvl w:val="0"/>
          <w:numId w:val="1"/>
        </w:numPr>
        <w:ind w:hanging="648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Cumplir estrictamente la Ley aplicable. </w:t>
      </w:r>
    </w:p>
    <w:p w14:paraId="32DC3F31" w14:textId="77777777" w:rsidR="00607A7E" w:rsidRPr="008D5C5F" w:rsidRDefault="00004973">
      <w:pPr>
        <w:numPr>
          <w:ilvl w:val="0"/>
          <w:numId w:val="1"/>
        </w:numPr>
        <w:ind w:hanging="648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Interpretar de buena fe las normas aplicables a los Procesos de Contratación de manera que siempre produzcan los efectos buscados por las mismas. </w:t>
      </w:r>
    </w:p>
    <w:p w14:paraId="46710FD8" w14:textId="77777777" w:rsidR="00607A7E" w:rsidRPr="008D5C5F" w:rsidRDefault="00004973">
      <w:pPr>
        <w:numPr>
          <w:ilvl w:val="0"/>
          <w:numId w:val="1"/>
        </w:numPr>
        <w:ind w:hanging="648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No incurrir en faltas a la verdad o adulteración en los documentos o requisitos exigidos en el Proceso de Contratación. </w:t>
      </w:r>
    </w:p>
    <w:p w14:paraId="7A79B186" w14:textId="77777777" w:rsidR="00607A7E" w:rsidRPr="008D5C5F" w:rsidRDefault="00004973">
      <w:pPr>
        <w:numPr>
          <w:ilvl w:val="0"/>
          <w:numId w:val="1"/>
        </w:numPr>
        <w:ind w:hanging="648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Igualmente se acepta que, durante la evaluación de las propuestas del Proceso de Contratación, primen los aspectos de fondo por encima de la forma, buscando siempre favorecer la libre competencia. </w:t>
      </w:r>
    </w:p>
    <w:p w14:paraId="299C5CA4" w14:textId="77777777" w:rsidR="00607A7E" w:rsidRPr="008D5C5F" w:rsidRDefault="00004973">
      <w:pPr>
        <w:numPr>
          <w:ilvl w:val="0"/>
          <w:numId w:val="1"/>
        </w:numPr>
        <w:ind w:hanging="648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 </w:t>
      </w:r>
    </w:p>
    <w:p w14:paraId="6E9AB5E6" w14:textId="77777777" w:rsidR="00607A7E" w:rsidRPr="008D5C5F" w:rsidRDefault="00004973">
      <w:pPr>
        <w:numPr>
          <w:ilvl w:val="0"/>
          <w:numId w:val="1"/>
        </w:numPr>
        <w:ind w:hanging="648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 </w:t>
      </w:r>
    </w:p>
    <w:p w14:paraId="40412CD8" w14:textId="77777777" w:rsidR="00607A7E" w:rsidRPr="008D5C5F" w:rsidRDefault="00004973">
      <w:pPr>
        <w:numPr>
          <w:ilvl w:val="0"/>
          <w:numId w:val="1"/>
        </w:numPr>
        <w:ind w:hanging="648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No hacer arreglos previos, concomitantes o posteriores al Proceso de Contratación, con otros Proponentes para tratar de influenciar o manipular los resultados de la adjudicación.  </w:t>
      </w:r>
    </w:p>
    <w:p w14:paraId="1F6230B7" w14:textId="77777777" w:rsidR="00607A7E" w:rsidRPr="008D5C5F" w:rsidRDefault="00004973">
      <w:pPr>
        <w:numPr>
          <w:ilvl w:val="0"/>
          <w:numId w:val="1"/>
        </w:numPr>
        <w:ind w:hanging="648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Enviar por escrito a la Entidad todas las preguntas o inquietudes que surjan durante el Proceso de Contratación y no hacerlo de manera oral por ningún medio, salvo que se realicen dentro de las audiencias públicas.  </w:t>
      </w:r>
    </w:p>
    <w:p w14:paraId="14F39295" w14:textId="77777777" w:rsidR="00607A7E" w:rsidRPr="008D5C5F" w:rsidRDefault="00004973">
      <w:pPr>
        <w:numPr>
          <w:ilvl w:val="0"/>
          <w:numId w:val="1"/>
        </w:numPr>
        <w:ind w:hanging="648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 </w:t>
      </w:r>
    </w:p>
    <w:p w14:paraId="5F4B1726" w14:textId="77777777" w:rsidR="00607A7E" w:rsidRPr="008D5C5F" w:rsidRDefault="00004973">
      <w:pPr>
        <w:numPr>
          <w:ilvl w:val="0"/>
          <w:numId w:val="1"/>
        </w:numPr>
        <w:ind w:hanging="648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Abstenernos de hacer manifestaciones orales o escritas en contra de los demás Proponentes y sus propuestas sin contar con evidencia, material probatorio o indicios sólidos, que razonablemente permitan considerar que existe un acto irregular, de competencia desleal o de </w:t>
      </w:r>
      <w:r w:rsidRPr="008D5C5F">
        <w:rPr>
          <w:rFonts w:ascii="Book Antiqua" w:hAnsi="Book Antiqua"/>
        </w:rPr>
        <w:lastRenderedPageBreak/>
        <w:t xml:space="preserve">corrupción por parte de ellos. En caso de tener las pruebas, material probatorio o indicios, estos se dejarán a inmediata disposición de la Entidad para corroborar tales afirmaciones. </w:t>
      </w:r>
    </w:p>
    <w:p w14:paraId="5EC3EF69" w14:textId="1E082E4A" w:rsidR="00607A7E" w:rsidRPr="008D5C5F" w:rsidRDefault="00004973">
      <w:pPr>
        <w:numPr>
          <w:ilvl w:val="0"/>
          <w:numId w:val="1"/>
        </w:numPr>
        <w:spacing w:after="159" w:line="244" w:lineRule="auto"/>
        <w:ind w:hanging="648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No utilizar en la etapa de verificación y evaluación de las Propuestas, argumentos carentes de sustento probatorio para efectos de buscar la descalificación de competidores o la dilación del Proceso de selección. </w:t>
      </w:r>
    </w:p>
    <w:p w14:paraId="1335DAA3" w14:textId="10D66ED6" w:rsidR="00607A7E" w:rsidRPr="008D5C5F" w:rsidRDefault="00004973" w:rsidP="00E355A5">
      <w:pPr>
        <w:numPr>
          <w:ilvl w:val="0"/>
          <w:numId w:val="1"/>
        </w:numPr>
        <w:ind w:hanging="648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 </w:t>
      </w:r>
      <w:r w:rsidRPr="008D5C5F">
        <w:rPr>
          <w:rFonts w:ascii="Book Antiqua" w:hAnsi="Book Antiqua"/>
          <w:sz w:val="18"/>
        </w:rPr>
        <w:t xml:space="preserve"> </w:t>
      </w:r>
    </w:p>
    <w:p w14:paraId="14114C8D" w14:textId="77777777" w:rsidR="00607A7E" w:rsidRPr="008D5C5F" w:rsidRDefault="00004973">
      <w:pPr>
        <w:numPr>
          <w:ilvl w:val="0"/>
          <w:numId w:val="2"/>
        </w:numPr>
        <w:ind w:hanging="749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En las audiencias, abstenernos de proferir juicios de valor contra personas naturales o jurídicas, ni referirnos a asuntos personales de otros Proponentes. Por lo tanto, en las audiencias solamente debatiremos asuntos relacionados con el Proceso de Contratación </w:t>
      </w:r>
    </w:p>
    <w:p w14:paraId="76B26C93" w14:textId="77777777" w:rsidR="00607A7E" w:rsidRPr="008D5C5F" w:rsidRDefault="00004973">
      <w:pPr>
        <w:numPr>
          <w:ilvl w:val="0"/>
          <w:numId w:val="2"/>
        </w:numPr>
        <w:ind w:hanging="749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Solicitar o remitir a la Entidad, o a sus funcionarios y contratistas, cualquier información utilizando solamente los procesos y canales previstos en el Proceso de Contratación.  </w:t>
      </w:r>
    </w:p>
    <w:p w14:paraId="35FC3BD0" w14:textId="77777777" w:rsidR="00607A7E" w:rsidRPr="008D5C5F" w:rsidRDefault="00004973">
      <w:pPr>
        <w:numPr>
          <w:ilvl w:val="0"/>
          <w:numId w:val="2"/>
        </w:numPr>
        <w:ind w:hanging="749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 </w:t>
      </w:r>
    </w:p>
    <w:p w14:paraId="288F7082" w14:textId="77777777" w:rsidR="00607A7E" w:rsidRPr="008D5C5F" w:rsidRDefault="00004973">
      <w:pPr>
        <w:numPr>
          <w:ilvl w:val="0"/>
          <w:numId w:val="2"/>
        </w:numPr>
        <w:ind w:hanging="749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 </w:t>
      </w:r>
    </w:p>
    <w:p w14:paraId="21DBEBD1" w14:textId="77777777" w:rsidR="00607A7E" w:rsidRPr="008D5C5F" w:rsidRDefault="00004973">
      <w:pPr>
        <w:numPr>
          <w:ilvl w:val="0"/>
          <w:numId w:val="2"/>
        </w:numPr>
        <w:ind w:hanging="749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 </w:t>
      </w:r>
    </w:p>
    <w:p w14:paraId="0CF27A6F" w14:textId="77777777" w:rsidR="00607A7E" w:rsidRPr="008D5C5F" w:rsidRDefault="00004973">
      <w:pPr>
        <w:numPr>
          <w:ilvl w:val="0"/>
          <w:numId w:val="2"/>
        </w:numPr>
        <w:ind w:hanging="749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 </w:t>
      </w:r>
    </w:p>
    <w:p w14:paraId="4D4FAF11" w14:textId="77777777" w:rsidR="00607A7E" w:rsidRPr="008D5C5F" w:rsidRDefault="00004973">
      <w:pPr>
        <w:numPr>
          <w:ilvl w:val="0"/>
          <w:numId w:val="2"/>
        </w:numPr>
        <w:ind w:hanging="749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La Entidad siempre se manifestará sobre las inquietudes relacionadas con el Proceso de selección por los canales definidos en los documentos del Proceso.  </w:t>
      </w:r>
    </w:p>
    <w:p w14:paraId="04FC089B" w14:textId="77777777" w:rsidR="00607A7E" w:rsidRPr="008D5C5F" w:rsidRDefault="00004973">
      <w:pPr>
        <w:numPr>
          <w:ilvl w:val="0"/>
          <w:numId w:val="2"/>
        </w:numPr>
        <w:ind w:hanging="749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 </w:t>
      </w:r>
    </w:p>
    <w:p w14:paraId="53E2C539" w14:textId="77777777" w:rsidR="00607A7E" w:rsidRPr="008D5C5F" w:rsidRDefault="00004973">
      <w:pPr>
        <w:numPr>
          <w:ilvl w:val="0"/>
          <w:numId w:val="2"/>
        </w:numPr>
        <w:ind w:hanging="749"/>
        <w:rPr>
          <w:rFonts w:ascii="Book Antiqua" w:hAnsi="Book Antiqua"/>
        </w:rPr>
      </w:pPr>
      <w:r w:rsidRPr="008D5C5F">
        <w:rPr>
          <w:rFonts w:ascii="Book Antiqua" w:hAnsi="Book Antiqua"/>
        </w:rPr>
        <w:lastRenderedPageBreak/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 </w:t>
      </w:r>
    </w:p>
    <w:p w14:paraId="3DB50E46" w14:textId="77777777" w:rsidR="00607A7E" w:rsidRPr="008D5C5F" w:rsidRDefault="00004973">
      <w:pPr>
        <w:numPr>
          <w:ilvl w:val="0"/>
          <w:numId w:val="2"/>
        </w:numPr>
        <w:ind w:hanging="749"/>
        <w:rPr>
          <w:rFonts w:ascii="Book Antiqua" w:hAnsi="Book Antiqua"/>
        </w:rPr>
      </w:pPr>
      <w:r w:rsidRPr="008D5C5F">
        <w:rPr>
          <w:rFonts w:ascii="Book Antiqua" w:hAnsi="Book Antiqua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 </w:t>
      </w:r>
    </w:p>
    <w:sectPr w:rsidR="00607A7E" w:rsidRPr="008D5C5F">
      <w:headerReference w:type="default" r:id="rId10"/>
      <w:pgSz w:w="12240" w:h="15840"/>
      <w:pgMar w:top="725" w:right="1698" w:bottom="2135" w:left="145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8C709" w14:textId="77777777" w:rsidR="00E01A51" w:rsidRDefault="00E01A51" w:rsidP="008D5C5F">
      <w:pPr>
        <w:spacing w:after="0" w:line="240" w:lineRule="auto"/>
      </w:pPr>
      <w:r>
        <w:separator/>
      </w:r>
    </w:p>
  </w:endnote>
  <w:endnote w:type="continuationSeparator" w:id="0">
    <w:p w14:paraId="3F49FC99" w14:textId="77777777" w:rsidR="00E01A51" w:rsidRDefault="00E01A51" w:rsidP="008D5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480CD" w14:textId="77777777" w:rsidR="00E01A51" w:rsidRDefault="00E01A51" w:rsidP="008D5C5F">
      <w:pPr>
        <w:spacing w:after="0" w:line="240" w:lineRule="auto"/>
      </w:pPr>
      <w:r>
        <w:separator/>
      </w:r>
    </w:p>
  </w:footnote>
  <w:footnote w:type="continuationSeparator" w:id="0">
    <w:p w14:paraId="7DAACFFE" w14:textId="77777777" w:rsidR="00E01A51" w:rsidRDefault="00E01A51" w:rsidP="008D5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6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3256"/>
      <w:gridCol w:w="4110"/>
      <w:gridCol w:w="2794"/>
    </w:tblGrid>
    <w:tr w:rsidR="008D5C5F" w:rsidRPr="00376FC6" w14:paraId="4FEA9EE1" w14:textId="77777777" w:rsidTr="00543AB6">
      <w:trPr>
        <w:trHeight w:val="703"/>
        <w:jc w:val="center"/>
      </w:trPr>
      <w:tc>
        <w:tcPr>
          <w:tcW w:w="3256" w:type="dxa"/>
          <w:vMerge w:val="restart"/>
          <w:shd w:val="clear" w:color="auto" w:fill="auto"/>
          <w:vAlign w:val="center"/>
        </w:tcPr>
        <w:p w14:paraId="7DEA6565" w14:textId="77777777" w:rsidR="008D5C5F" w:rsidRPr="007C1F45" w:rsidRDefault="008D5C5F" w:rsidP="008D5C5F">
          <w:pPr>
            <w:spacing w:after="0"/>
            <w:ind w:left="22" w:hanging="2"/>
            <w:jc w:val="center"/>
            <w:rPr>
              <w:b/>
              <w:bCs/>
              <w:sz w:val="18"/>
              <w:szCs w:val="16"/>
            </w:rPr>
          </w:pPr>
          <w:r w:rsidRPr="007C1F45">
            <w:rPr>
              <w:b/>
              <w:bCs/>
              <w:sz w:val="18"/>
              <w:szCs w:val="16"/>
            </w:rPr>
            <w:t>INSTITUCIÓN EDUCATIVA</w:t>
          </w:r>
        </w:p>
        <w:p w14:paraId="2440DE9D" w14:textId="77777777" w:rsidR="008D5C5F" w:rsidRPr="007C1F45" w:rsidRDefault="008D5C5F" w:rsidP="008D5C5F">
          <w:pPr>
            <w:spacing w:after="0"/>
            <w:ind w:left="22" w:hanging="2"/>
            <w:jc w:val="center"/>
            <w:rPr>
              <w:szCs w:val="18"/>
            </w:rPr>
          </w:pPr>
          <w:r w:rsidRPr="007C1F45">
            <w:rPr>
              <w:b/>
              <w:bCs/>
              <w:sz w:val="18"/>
              <w:szCs w:val="16"/>
            </w:rPr>
            <w:t>INEM CUSTODIO GARCÍA ROVIRA</w:t>
          </w:r>
        </w:p>
      </w:tc>
      <w:tc>
        <w:tcPr>
          <w:tcW w:w="4110" w:type="dxa"/>
          <w:vMerge w:val="restart"/>
          <w:shd w:val="clear" w:color="auto" w:fill="FFFFFF"/>
          <w:vAlign w:val="center"/>
        </w:tcPr>
        <w:p w14:paraId="67A8EE72" w14:textId="6F58C3AD" w:rsidR="008D5C5F" w:rsidRDefault="008D5C5F" w:rsidP="008D5C5F">
          <w:pPr>
            <w:spacing w:after="0"/>
            <w:ind w:left="-113" w:hanging="9"/>
            <w:jc w:val="center"/>
            <w:rPr>
              <w:b/>
              <w:bCs/>
            </w:rPr>
          </w:pPr>
          <w:r>
            <w:rPr>
              <w:b/>
              <w:bCs/>
            </w:rPr>
            <w:t>ANEXO</w:t>
          </w:r>
          <w:r w:rsidRPr="00E27EBB">
            <w:rPr>
              <w:b/>
              <w:bCs/>
            </w:rPr>
            <w:t xml:space="preserve"> 1</w:t>
          </w:r>
        </w:p>
        <w:p w14:paraId="17137A65" w14:textId="49F33E7F" w:rsidR="008D5C5F" w:rsidRPr="00836382" w:rsidRDefault="008D5C5F" w:rsidP="008D5C5F">
          <w:pPr>
            <w:spacing w:after="0"/>
            <w:ind w:left="-113" w:hanging="9"/>
            <w:jc w:val="center"/>
            <w:rPr>
              <w:sz w:val="24"/>
            </w:rPr>
          </w:pPr>
          <w:r>
            <w:rPr>
              <w:b/>
              <w:bCs/>
            </w:rPr>
            <w:t>PACTO DE TRANSPARENCIA</w:t>
          </w:r>
        </w:p>
      </w:tc>
      <w:tc>
        <w:tcPr>
          <w:tcW w:w="2794" w:type="dxa"/>
          <w:shd w:val="clear" w:color="auto" w:fill="FFFFFF"/>
          <w:vAlign w:val="center"/>
        </w:tcPr>
        <w:p w14:paraId="614B3BDF" w14:textId="77777777" w:rsidR="008D5C5F" w:rsidRDefault="008D5C5F" w:rsidP="008D5C5F">
          <w:pPr>
            <w:spacing w:after="0"/>
            <w:ind w:left="0" w:hanging="4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Proceso contratación</w:t>
          </w:r>
        </w:p>
        <w:p w14:paraId="1E44C948" w14:textId="77777777" w:rsidR="008D5C5F" w:rsidRPr="00376FC6" w:rsidRDefault="008D5C5F" w:rsidP="008D5C5F">
          <w:pPr>
            <w:spacing w:after="0"/>
            <w:ind w:left="0" w:hanging="4"/>
            <w:jc w:val="center"/>
            <w:rPr>
              <w:sz w:val="18"/>
              <w:szCs w:val="18"/>
            </w:rPr>
          </w:pPr>
          <w:r>
            <w:rPr>
              <w:b/>
              <w:sz w:val="16"/>
              <w:szCs w:val="16"/>
            </w:rPr>
            <w:t>CGR-001-2023</w:t>
          </w:r>
        </w:p>
      </w:tc>
    </w:tr>
    <w:tr w:rsidR="008D5C5F" w:rsidRPr="00376FC6" w14:paraId="517B0CCF" w14:textId="77777777" w:rsidTr="00543AB6">
      <w:trPr>
        <w:trHeight w:val="513"/>
        <w:jc w:val="center"/>
      </w:trPr>
      <w:tc>
        <w:tcPr>
          <w:tcW w:w="3256" w:type="dxa"/>
          <w:vMerge/>
          <w:shd w:val="clear" w:color="auto" w:fill="auto"/>
          <w:vAlign w:val="center"/>
        </w:tcPr>
        <w:p w14:paraId="76DE01C4" w14:textId="77777777" w:rsidR="008D5C5F" w:rsidRPr="00376FC6" w:rsidRDefault="008D5C5F" w:rsidP="008D5C5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ind w:hanging="2"/>
            <w:rPr>
              <w:sz w:val="18"/>
              <w:szCs w:val="18"/>
            </w:rPr>
          </w:pPr>
        </w:p>
      </w:tc>
      <w:tc>
        <w:tcPr>
          <w:tcW w:w="4110" w:type="dxa"/>
          <w:vMerge/>
          <w:shd w:val="clear" w:color="auto" w:fill="FFFFFF"/>
          <w:vAlign w:val="center"/>
        </w:tcPr>
        <w:p w14:paraId="3DF6A8DA" w14:textId="77777777" w:rsidR="008D5C5F" w:rsidRPr="00376FC6" w:rsidRDefault="008D5C5F" w:rsidP="008D5C5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ind w:hanging="2"/>
            <w:rPr>
              <w:sz w:val="18"/>
              <w:szCs w:val="18"/>
            </w:rPr>
          </w:pPr>
        </w:p>
      </w:tc>
      <w:tc>
        <w:tcPr>
          <w:tcW w:w="2794" w:type="dxa"/>
          <w:shd w:val="clear" w:color="auto" w:fill="FFFFFF"/>
          <w:vAlign w:val="center"/>
        </w:tcPr>
        <w:p w14:paraId="3AB8755C" w14:textId="77777777" w:rsidR="008D5C5F" w:rsidRPr="00376FC6" w:rsidRDefault="008D5C5F" w:rsidP="008D5C5F">
          <w:pPr>
            <w:spacing w:after="0"/>
            <w:ind w:left="0" w:hanging="4"/>
            <w:jc w:val="center"/>
            <w:rPr>
              <w:sz w:val="18"/>
              <w:szCs w:val="18"/>
            </w:rPr>
          </w:pPr>
          <w:r w:rsidRPr="007C1F45">
            <w:rPr>
              <w:sz w:val="16"/>
              <w:szCs w:val="16"/>
            </w:rPr>
            <w:t xml:space="preserve">Página </w:t>
          </w:r>
          <w:r w:rsidRPr="007C1F45">
            <w:rPr>
              <w:sz w:val="16"/>
              <w:szCs w:val="16"/>
            </w:rPr>
            <w:fldChar w:fldCharType="begin"/>
          </w:r>
          <w:r w:rsidRPr="007C1F45">
            <w:rPr>
              <w:sz w:val="16"/>
              <w:szCs w:val="16"/>
            </w:rPr>
            <w:instrText>PAGE</w:instrText>
          </w:r>
          <w:r w:rsidRPr="007C1F45">
            <w:rPr>
              <w:sz w:val="16"/>
              <w:szCs w:val="16"/>
            </w:rPr>
            <w:fldChar w:fldCharType="separate"/>
          </w:r>
          <w:r w:rsidRPr="007C1F45">
            <w:rPr>
              <w:noProof/>
              <w:sz w:val="16"/>
              <w:szCs w:val="16"/>
            </w:rPr>
            <w:t>20</w:t>
          </w:r>
          <w:r w:rsidRPr="007C1F45">
            <w:rPr>
              <w:sz w:val="16"/>
              <w:szCs w:val="16"/>
            </w:rPr>
            <w:fldChar w:fldCharType="end"/>
          </w:r>
          <w:r w:rsidRPr="007C1F45">
            <w:rPr>
              <w:sz w:val="16"/>
              <w:szCs w:val="16"/>
            </w:rPr>
            <w:t xml:space="preserve"> de  </w:t>
          </w:r>
          <w:r w:rsidRPr="007C1F45">
            <w:rPr>
              <w:sz w:val="16"/>
              <w:szCs w:val="16"/>
            </w:rPr>
            <w:fldChar w:fldCharType="begin"/>
          </w:r>
          <w:r w:rsidRPr="007C1F45">
            <w:rPr>
              <w:sz w:val="16"/>
              <w:szCs w:val="16"/>
            </w:rPr>
            <w:instrText>NUMPAGES</w:instrText>
          </w:r>
          <w:r w:rsidRPr="007C1F45">
            <w:rPr>
              <w:sz w:val="16"/>
              <w:szCs w:val="16"/>
            </w:rPr>
            <w:fldChar w:fldCharType="separate"/>
          </w:r>
          <w:r w:rsidRPr="007C1F45">
            <w:rPr>
              <w:noProof/>
              <w:sz w:val="16"/>
              <w:szCs w:val="16"/>
            </w:rPr>
            <w:t>78</w:t>
          </w:r>
          <w:r w:rsidRPr="007C1F45">
            <w:rPr>
              <w:sz w:val="16"/>
              <w:szCs w:val="16"/>
            </w:rPr>
            <w:fldChar w:fldCharType="end"/>
          </w:r>
        </w:p>
      </w:tc>
    </w:tr>
  </w:tbl>
  <w:p w14:paraId="50C52E9D" w14:textId="77777777" w:rsidR="008D5C5F" w:rsidRDefault="008D5C5F" w:rsidP="008D5C5F">
    <w:pPr>
      <w:pStyle w:val="Encabezado"/>
      <w:ind w:hanging="104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831B35"/>
    <w:multiLevelType w:val="hybridMultilevel"/>
    <w:tmpl w:val="DA0C7694"/>
    <w:lvl w:ilvl="0" w:tplc="85D0FE52">
      <w:start w:val="13"/>
      <w:numFmt w:val="lowerRoman"/>
      <w:lvlText w:val="%1."/>
      <w:lvlJc w:val="left"/>
      <w:pPr>
        <w:ind w:left="835"/>
      </w:pPr>
      <w:rPr>
        <w:rFonts w:ascii="Arial" w:eastAsia="Arial" w:hAnsi="Arial" w:cs="Arial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908992">
      <w:start w:val="1"/>
      <w:numFmt w:val="lowerLetter"/>
      <w:lvlText w:val="%2"/>
      <w:lvlJc w:val="left"/>
      <w:pPr>
        <w:ind w:left="1162"/>
      </w:pPr>
      <w:rPr>
        <w:rFonts w:ascii="Arial" w:eastAsia="Arial" w:hAnsi="Arial" w:cs="Arial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CE1B68">
      <w:start w:val="1"/>
      <w:numFmt w:val="lowerRoman"/>
      <w:lvlText w:val="%3"/>
      <w:lvlJc w:val="left"/>
      <w:pPr>
        <w:ind w:left="1882"/>
      </w:pPr>
      <w:rPr>
        <w:rFonts w:ascii="Arial" w:eastAsia="Arial" w:hAnsi="Arial" w:cs="Arial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30D3EA">
      <w:start w:val="1"/>
      <w:numFmt w:val="decimal"/>
      <w:lvlText w:val="%4"/>
      <w:lvlJc w:val="left"/>
      <w:pPr>
        <w:ind w:left="2602"/>
      </w:pPr>
      <w:rPr>
        <w:rFonts w:ascii="Arial" w:eastAsia="Arial" w:hAnsi="Arial" w:cs="Arial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536B458">
      <w:start w:val="1"/>
      <w:numFmt w:val="lowerLetter"/>
      <w:lvlText w:val="%5"/>
      <w:lvlJc w:val="left"/>
      <w:pPr>
        <w:ind w:left="3322"/>
      </w:pPr>
      <w:rPr>
        <w:rFonts w:ascii="Arial" w:eastAsia="Arial" w:hAnsi="Arial" w:cs="Arial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2403A8A">
      <w:start w:val="1"/>
      <w:numFmt w:val="lowerRoman"/>
      <w:lvlText w:val="%6"/>
      <w:lvlJc w:val="left"/>
      <w:pPr>
        <w:ind w:left="4042"/>
      </w:pPr>
      <w:rPr>
        <w:rFonts w:ascii="Arial" w:eastAsia="Arial" w:hAnsi="Arial" w:cs="Arial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2A4615E">
      <w:start w:val="1"/>
      <w:numFmt w:val="decimal"/>
      <w:lvlText w:val="%7"/>
      <w:lvlJc w:val="left"/>
      <w:pPr>
        <w:ind w:left="4762"/>
      </w:pPr>
      <w:rPr>
        <w:rFonts w:ascii="Arial" w:eastAsia="Arial" w:hAnsi="Arial" w:cs="Arial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3E972A">
      <w:start w:val="1"/>
      <w:numFmt w:val="lowerLetter"/>
      <w:lvlText w:val="%8"/>
      <w:lvlJc w:val="left"/>
      <w:pPr>
        <w:ind w:left="5482"/>
      </w:pPr>
      <w:rPr>
        <w:rFonts w:ascii="Arial" w:eastAsia="Arial" w:hAnsi="Arial" w:cs="Arial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98881D6">
      <w:start w:val="1"/>
      <w:numFmt w:val="lowerRoman"/>
      <w:lvlText w:val="%9"/>
      <w:lvlJc w:val="left"/>
      <w:pPr>
        <w:ind w:left="6202"/>
      </w:pPr>
      <w:rPr>
        <w:rFonts w:ascii="Arial" w:eastAsia="Arial" w:hAnsi="Arial" w:cs="Arial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6F7379D"/>
    <w:multiLevelType w:val="hybridMultilevel"/>
    <w:tmpl w:val="9E909AFE"/>
    <w:lvl w:ilvl="0" w:tplc="7F5ED7C8">
      <w:start w:val="1"/>
      <w:numFmt w:val="lowerRoman"/>
      <w:lvlText w:val="%1."/>
      <w:lvlJc w:val="left"/>
      <w:pPr>
        <w:ind w:left="838"/>
      </w:pPr>
      <w:rPr>
        <w:rFonts w:ascii="Arial" w:eastAsia="Arial" w:hAnsi="Arial" w:cs="Arial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B61A9E">
      <w:start w:val="1"/>
      <w:numFmt w:val="lowerLetter"/>
      <w:lvlText w:val="%2"/>
      <w:lvlJc w:val="left"/>
      <w:pPr>
        <w:ind w:left="1175"/>
      </w:pPr>
      <w:rPr>
        <w:rFonts w:ascii="Arial" w:eastAsia="Arial" w:hAnsi="Arial" w:cs="Arial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B22250E">
      <w:start w:val="1"/>
      <w:numFmt w:val="lowerRoman"/>
      <w:lvlText w:val="%3"/>
      <w:lvlJc w:val="left"/>
      <w:pPr>
        <w:ind w:left="1895"/>
      </w:pPr>
      <w:rPr>
        <w:rFonts w:ascii="Arial" w:eastAsia="Arial" w:hAnsi="Arial" w:cs="Arial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B2E3518">
      <w:start w:val="1"/>
      <w:numFmt w:val="decimal"/>
      <w:lvlText w:val="%4"/>
      <w:lvlJc w:val="left"/>
      <w:pPr>
        <w:ind w:left="2615"/>
      </w:pPr>
      <w:rPr>
        <w:rFonts w:ascii="Arial" w:eastAsia="Arial" w:hAnsi="Arial" w:cs="Arial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676C09C">
      <w:start w:val="1"/>
      <w:numFmt w:val="lowerLetter"/>
      <w:lvlText w:val="%5"/>
      <w:lvlJc w:val="left"/>
      <w:pPr>
        <w:ind w:left="3335"/>
      </w:pPr>
      <w:rPr>
        <w:rFonts w:ascii="Arial" w:eastAsia="Arial" w:hAnsi="Arial" w:cs="Arial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666E030">
      <w:start w:val="1"/>
      <w:numFmt w:val="lowerRoman"/>
      <w:lvlText w:val="%6"/>
      <w:lvlJc w:val="left"/>
      <w:pPr>
        <w:ind w:left="4055"/>
      </w:pPr>
      <w:rPr>
        <w:rFonts w:ascii="Arial" w:eastAsia="Arial" w:hAnsi="Arial" w:cs="Arial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E3CEBFA">
      <w:start w:val="1"/>
      <w:numFmt w:val="decimal"/>
      <w:lvlText w:val="%7"/>
      <w:lvlJc w:val="left"/>
      <w:pPr>
        <w:ind w:left="4775"/>
      </w:pPr>
      <w:rPr>
        <w:rFonts w:ascii="Arial" w:eastAsia="Arial" w:hAnsi="Arial" w:cs="Arial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71CAAF8">
      <w:start w:val="1"/>
      <w:numFmt w:val="lowerLetter"/>
      <w:lvlText w:val="%8"/>
      <w:lvlJc w:val="left"/>
      <w:pPr>
        <w:ind w:left="5495"/>
      </w:pPr>
      <w:rPr>
        <w:rFonts w:ascii="Arial" w:eastAsia="Arial" w:hAnsi="Arial" w:cs="Arial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869EBA">
      <w:start w:val="1"/>
      <w:numFmt w:val="lowerRoman"/>
      <w:lvlText w:val="%9"/>
      <w:lvlJc w:val="left"/>
      <w:pPr>
        <w:ind w:left="6215"/>
      </w:pPr>
      <w:rPr>
        <w:rFonts w:ascii="Arial" w:eastAsia="Arial" w:hAnsi="Arial" w:cs="Arial"/>
        <w:b w:val="0"/>
        <w:i w:val="0"/>
        <w:strike w:val="0"/>
        <w:dstrike w:val="0"/>
        <w:color w:val="3B383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A7E"/>
    <w:rsid w:val="00004973"/>
    <w:rsid w:val="00607A7E"/>
    <w:rsid w:val="008D5C5F"/>
    <w:rsid w:val="00E01A51"/>
    <w:rsid w:val="00E3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6A33B6"/>
  <w15:docId w15:val="{5E44F79E-12A6-4FD2-B887-09671C4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4" w:line="250" w:lineRule="auto"/>
      <w:ind w:left="905" w:hanging="658"/>
      <w:jc w:val="both"/>
    </w:pPr>
    <w:rPr>
      <w:rFonts w:ascii="Arial" w:eastAsia="Arial" w:hAnsi="Arial" w:cs="Arial"/>
      <w:color w:val="3B3838"/>
      <w:sz w:val="2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473"/>
      <w:ind w:left="240"/>
      <w:jc w:val="center"/>
      <w:outlineLvl w:val="0"/>
    </w:pPr>
    <w:rPr>
      <w:rFonts w:ascii="Calibri" w:eastAsia="Calibri" w:hAnsi="Calibri" w:cs="Calibri"/>
      <w:b/>
      <w:color w:val="3B3838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b/>
      <w:color w:val="3B3838"/>
      <w:sz w:val="20"/>
    </w:rPr>
  </w:style>
  <w:style w:type="paragraph" w:styleId="Encabezado">
    <w:name w:val="header"/>
    <w:basedOn w:val="Normal"/>
    <w:link w:val="EncabezadoCar"/>
    <w:uiPriority w:val="99"/>
    <w:unhideWhenUsed/>
    <w:rsid w:val="008D5C5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D5C5F"/>
    <w:rPr>
      <w:rFonts w:ascii="Arial" w:eastAsia="Arial" w:hAnsi="Arial" w:cs="Arial"/>
      <w:color w:val="3B3838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8D5C5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D5C5F"/>
    <w:rPr>
      <w:rFonts w:ascii="Arial" w:eastAsia="Arial" w:hAnsi="Arial" w:cs="Arial"/>
      <w:color w:val="3B3838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237708f-d448-493e-b33b-a8fd526a99fa" xsi:nil="true"/>
    <lcf76f155ced4ddcb4097134ff3c332f xmlns="3237708f-d448-493e-b33b-a8fd526a99fa">
      <Terms xmlns="http://schemas.microsoft.com/office/infopath/2007/PartnerControls"/>
    </lcf76f155ced4ddcb4097134ff3c332f>
    <TaxCatchAll xmlns="6531c6fd-1360-4f8e-94af-768214a3204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06A525909C2F4696805F2EAD81F25A" ma:contentTypeVersion="17" ma:contentTypeDescription="Create a new document." ma:contentTypeScope="" ma:versionID="4e2f004b50be77c11b97e8614b696eb1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95e45fc686b8d5f724f331083460a56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C93560-ACC7-44AF-8AD1-FE09317708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202F6E-FBC6-4692-BC8A-66659B89C644}">
  <ds:schemaRefs>
    <ds:schemaRef ds:uri="http://schemas.microsoft.com/office/2006/metadata/properties"/>
    <ds:schemaRef ds:uri="http://schemas.microsoft.com/office/infopath/2007/PartnerControls"/>
    <ds:schemaRef ds:uri="3237708f-d448-493e-b33b-a8fd526a99fa"/>
    <ds:schemaRef ds:uri="6531c6fd-1360-4f8e-94af-768214a32040"/>
  </ds:schemaRefs>
</ds:datastoreItem>
</file>

<file path=customXml/itemProps3.xml><?xml version="1.0" encoding="utf-8"?>
<ds:datastoreItem xmlns:ds="http://schemas.openxmlformats.org/officeDocument/2006/customXml" ds:itemID="{F9F00432-1EC9-4E99-9FF3-A59B620604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7708f-d448-493e-b33b-a8fd526a99fa"/>
    <ds:schemaRef ds:uri="6531c6fd-1360-4f8e-94af-768214a32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1057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cp:lastModifiedBy>Usuario</cp:lastModifiedBy>
  <cp:revision>3</cp:revision>
  <dcterms:created xsi:type="dcterms:W3CDTF">2022-09-21T01:13:00Z</dcterms:created>
  <dcterms:modified xsi:type="dcterms:W3CDTF">2023-02-13T19:45:00Z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</Properties>
</file>