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CA4D95" w14:textId="4CAB16F7" w:rsidR="00A15C2A" w:rsidRPr="009366AE" w:rsidRDefault="051E9D02" w:rsidP="009366AE">
      <w:pPr>
        <w:spacing w:after="0" w:line="240" w:lineRule="auto"/>
        <w:ind w:left="1988" w:right="2522"/>
        <w:jc w:val="cente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ANÁLISIS DEL SECTOR</w:t>
      </w:r>
    </w:p>
    <w:p w14:paraId="3E938A66" w14:textId="24504472" w:rsidR="00A15C2A" w:rsidRDefault="051E9D02" w:rsidP="009366AE">
      <w:pPr>
        <w:spacing w:after="0" w:line="240" w:lineRule="auto"/>
        <w:ind w:left="1988" w:right="2519"/>
        <w:jc w:val="center"/>
        <w:rPr>
          <w:rFonts w:ascii="Garamond" w:eastAsia="Garamond" w:hAnsi="Garamond" w:cs="Garamond"/>
          <w:b/>
          <w:bCs/>
          <w:color w:val="000000" w:themeColor="text1"/>
          <w:sz w:val="24"/>
          <w:szCs w:val="24"/>
        </w:rPr>
      </w:pPr>
      <w:r w:rsidRPr="009366AE">
        <w:rPr>
          <w:rFonts w:ascii="Garamond" w:eastAsia="Garamond" w:hAnsi="Garamond" w:cs="Garamond"/>
          <w:b/>
          <w:bCs/>
          <w:color w:val="000000" w:themeColor="text1"/>
          <w:sz w:val="24"/>
          <w:szCs w:val="24"/>
        </w:rPr>
        <w:t>(Subsección 6 del Decreto 1082 de 2015)</w:t>
      </w:r>
    </w:p>
    <w:p w14:paraId="365E9FF5" w14:textId="77777777" w:rsidR="009366AE" w:rsidRPr="009366AE" w:rsidRDefault="009366AE" w:rsidP="009366AE">
      <w:pPr>
        <w:spacing w:after="0" w:line="240" w:lineRule="auto"/>
        <w:ind w:left="1988" w:right="2519"/>
        <w:jc w:val="center"/>
        <w:rPr>
          <w:rFonts w:ascii="Garamond" w:eastAsia="Garamond" w:hAnsi="Garamond" w:cs="Garamond"/>
          <w:color w:val="000000" w:themeColor="text1"/>
          <w:sz w:val="24"/>
          <w:szCs w:val="24"/>
        </w:rPr>
      </w:pPr>
    </w:p>
    <w:p w14:paraId="57E31BD4" w14:textId="672B4BF9" w:rsidR="00A15C2A" w:rsidRDefault="051E9D02" w:rsidP="009366AE">
      <w:pPr>
        <w:spacing w:after="0" w:line="240" w:lineRule="auto"/>
        <w:ind w:right="1"/>
        <w:jc w:val="both"/>
        <w:rPr>
          <w:rFonts w:ascii="Garamond" w:eastAsia="Garamond" w:hAnsi="Garamond" w:cs="Garamond"/>
          <w:i/>
          <w:iCs/>
          <w:color w:val="000000" w:themeColor="text1"/>
          <w:sz w:val="24"/>
          <w:szCs w:val="24"/>
        </w:rPr>
      </w:pPr>
      <w:r w:rsidRPr="009366AE">
        <w:rPr>
          <w:rFonts w:ascii="Garamond" w:eastAsia="Garamond" w:hAnsi="Garamond" w:cs="Garamond"/>
          <w:color w:val="000000" w:themeColor="text1"/>
          <w:sz w:val="24"/>
          <w:szCs w:val="24"/>
        </w:rPr>
        <w:t xml:space="preserve">El presente documento tiene como propósito dar cumplimiento a lo definido en el Decreto 1082 de 2015, el cual en la subsección 6 textualmente expresa: </w:t>
      </w:r>
      <w:r w:rsidRPr="009366AE">
        <w:rPr>
          <w:rFonts w:ascii="Garamond" w:eastAsia="Garamond" w:hAnsi="Garamond" w:cs="Garamond"/>
          <w:i/>
          <w:iCs/>
          <w:color w:val="000000" w:themeColor="text1"/>
          <w:sz w:val="24"/>
          <w:szCs w:val="24"/>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030E84B9" w14:textId="77777777" w:rsidR="009366AE" w:rsidRPr="009366AE" w:rsidRDefault="009366AE" w:rsidP="009366AE">
      <w:pPr>
        <w:spacing w:after="0" w:line="240" w:lineRule="auto"/>
        <w:ind w:right="1"/>
        <w:jc w:val="both"/>
        <w:rPr>
          <w:rFonts w:ascii="Garamond" w:eastAsia="Garamond" w:hAnsi="Garamond" w:cs="Garamond"/>
          <w:color w:val="000000" w:themeColor="text1"/>
          <w:sz w:val="24"/>
          <w:szCs w:val="24"/>
        </w:rPr>
      </w:pPr>
    </w:p>
    <w:p w14:paraId="00BB840B" w14:textId="1441B989" w:rsidR="00A15C2A" w:rsidRPr="009366AE" w:rsidRDefault="009366AE" w:rsidP="009366AE">
      <w:pPr>
        <w:pStyle w:val="Ttulo2"/>
        <w:tabs>
          <w:tab w:val="left" w:pos="898"/>
        </w:tabs>
        <w:spacing w:before="0" w:line="240" w:lineRule="auto"/>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INTRODUCCIÓN</w:t>
      </w:r>
    </w:p>
    <w:p w14:paraId="0E217390" w14:textId="38776B4D" w:rsidR="00A15C2A" w:rsidRDefault="051E9D02" w:rsidP="009366AE">
      <w:pPr>
        <w:spacing w:after="0" w:line="240" w:lineRule="auto"/>
        <w:ind w:right="1"/>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El proceso de contratación que se pretende adelantar se encuentra programado en el Plan Anual de Adquisiciones-PAA- 2023 (</w:t>
      </w:r>
      <w:r w:rsidRPr="009366AE">
        <w:rPr>
          <w:rFonts w:ascii="Garamond" w:eastAsia="Garamond" w:hAnsi="Garamond" w:cs="Garamond"/>
          <w:b/>
          <w:bCs/>
          <w:color w:val="000000" w:themeColor="text1"/>
          <w:sz w:val="24"/>
          <w:szCs w:val="24"/>
        </w:rPr>
        <w:t>ver</w:t>
      </w:r>
      <w:r w:rsidRPr="009366AE">
        <w:rPr>
          <w:rFonts w:ascii="Garamond" w:eastAsia="Garamond" w:hAnsi="Garamond" w:cs="Garamond"/>
          <w:color w:val="000000" w:themeColor="text1"/>
          <w:sz w:val="24"/>
          <w:szCs w:val="24"/>
        </w:rPr>
        <w:t xml:space="preserve"> </w:t>
      </w:r>
      <w:r w:rsidRPr="009366AE">
        <w:rPr>
          <w:rFonts w:ascii="Garamond" w:eastAsia="Garamond" w:hAnsi="Garamond" w:cs="Garamond"/>
          <w:b/>
          <w:bCs/>
          <w:color w:val="000000" w:themeColor="text1"/>
          <w:sz w:val="24"/>
          <w:szCs w:val="24"/>
        </w:rPr>
        <w:t>PAA)</w:t>
      </w:r>
      <w:r w:rsidRPr="009366AE">
        <w:rPr>
          <w:rFonts w:ascii="Garamond" w:eastAsia="Garamond" w:hAnsi="Garamond" w:cs="Garamond"/>
          <w:color w:val="000000" w:themeColor="text1"/>
          <w:sz w:val="24"/>
          <w:szCs w:val="24"/>
        </w:rPr>
        <w:t xml:space="preserve"> y sus aspectos generales son:  </w:t>
      </w:r>
    </w:p>
    <w:p w14:paraId="585C3B18" w14:textId="77777777" w:rsidR="009366AE" w:rsidRPr="009366AE" w:rsidRDefault="009366AE" w:rsidP="009366AE">
      <w:pPr>
        <w:spacing w:after="0" w:line="240" w:lineRule="auto"/>
        <w:ind w:right="1"/>
        <w:jc w:val="both"/>
        <w:rPr>
          <w:rFonts w:ascii="Garamond" w:eastAsia="Garamond" w:hAnsi="Garamond" w:cs="Garamond"/>
          <w:color w:val="000000" w:themeColor="text1"/>
          <w:sz w:val="24"/>
          <w:szCs w:val="24"/>
        </w:rPr>
      </w:pPr>
    </w:p>
    <w:p w14:paraId="338D350D" w14:textId="6553E48E" w:rsidR="009366AE" w:rsidRDefault="051E9D02" w:rsidP="009366AE">
      <w:pPr>
        <w:pStyle w:val="Standard"/>
        <w:tabs>
          <w:tab w:val="left" w:pos="1990"/>
        </w:tabs>
        <w:spacing w:after="0" w:line="240" w:lineRule="auto"/>
        <w:jc w:val="both"/>
        <w:rPr>
          <w:rFonts w:ascii="Garamond" w:hAnsi="Garamond" w:cs="Arial"/>
          <w:i/>
          <w:iCs/>
          <w:sz w:val="24"/>
          <w:szCs w:val="24"/>
        </w:rPr>
      </w:pPr>
      <w:r w:rsidRPr="009366AE">
        <w:rPr>
          <w:rFonts w:ascii="Garamond" w:eastAsia="Garamond" w:hAnsi="Garamond" w:cs="Garamond"/>
          <w:b/>
          <w:bCs/>
          <w:color w:val="000000" w:themeColor="text1"/>
          <w:sz w:val="24"/>
          <w:szCs w:val="24"/>
          <w:lang w:val="es-ES"/>
        </w:rPr>
        <w:t>OBJETO:</w:t>
      </w:r>
      <w:r w:rsidRPr="009366AE">
        <w:rPr>
          <w:rFonts w:ascii="Garamond" w:eastAsia="Garamond" w:hAnsi="Garamond" w:cs="Garamond"/>
          <w:color w:val="000000" w:themeColor="text1"/>
          <w:sz w:val="24"/>
          <w:szCs w:val="24"/>
          <w:lang w:val="es-ES"/>
        </w:rPr>
        <w:t xml:space="preserve"> </w:t>
      </w:r>
      <w:r w:rsidR="009366AE" w:rsidRPr="000746DA">
        <w:rPr>
          <w:rFonts w:ascii="Garamond" w:hAnsi="Garamond" w:cs="Arial"/>
          <w:sz w:val="24"/>
          <w:szCs w:val="24"/>
        </w:rPr>
        <w:t xml:space="preserve">El contrato que se pretende celebrar tendrá por objeto </w:t>
      </w:r>
      <w:r w:rsidR="009366AE" w:rsidRPr="00BC2A59">
        <w:rPr>
          <w:rFonts w:ascii="Garamond" w:hAnsi="Garamond" w:cs="Arial"/>
          <w:i/>
          <w:iCs/>
          <w:sz w:val="24"/>
          <w:szCs w:val="24"/>
        </w:rPr>
        <w:t>“CONTRATAR LOS SERVICIOS DE RECARGA, MANTENIMIENTO PREVENTIVO Y CORRECTIVO, Y EL SUMINISTRO DE LA BOLSA DE REPUESTOS AL IGUAL QUE COMPRA DE SEÑALIZACION PARA LOS EXTINTORES UBICADOS EN LAS DIFERENTES SEDES DE LA ALCALDIA LOCAL DE USAQUÉN”.</w:t>
      </w:r>
    </w:p>
    <w:p w14:paraId="5E73F772" w14:textId="77777777" w:rsidR="009366AE" w:rsidRPr="00BC2A59" w:rsidRDefault="009366AE" w:rsidP="009366AE">
      <w:pPr>
        <w:pStyle w:val="Standard"/>
        <w:tabs>
          <w:tab w:val="left" w:pos="1990"/>
        </w:tabs>
        <w:spacing w:after="0" w:line="240" w:lineRule="auto"/>
        <w:jc w:val="both"/>
        <w:rPr>
          <w:rFonts w:ascii="Garamond" w:hAnsi="Garamond" w:cs="Arial"/>
          <w:i/>
          <w:iCs/>
          <w:sz w:val="24"/>
          <w:szCs w:val="24"/>
        </w:rPr>
      </w:pPr>
    </w:p>
    <w:p w14:paraId="60A3C409" w14:textId="21E8C4C8" w:rsidR="00A15C2A" w:rsidRDefault="051E9D02" w:rsidP="009366AE">
      <w:pPr>
        <w:pStyle w:val="Standard"/>
        <w:spacing w:after="0" w:line="240" w:lineRule="auto"/>
        <w:jc w:val="both"/>
        <w:rPr>
          <w:rFonts w:ascii="Garamond" w:eastAsia="Garamond" w:hAnsi="Garamond" w:cs="Garamond"/>
          <w:color w:val="000000" w:themeColor="text1"/>
          <w:sz w:val="24"/>
          <w:szCs w:val="24"/>
          <w:lang w:val="es-MX"/>
        </w:rPr>
      </w:pPr>
      <w:r w:rsidRPr="009366AE">
        <w:rPr>
          <w:rFonts w:ascii="Garamond" w:eastAsia="Garamond" w:hAnsi="Garamond" w:cs="Garamond"/>
          <w:b/>
          <w:bCs/>
          <w:color w:val="000000" w:themeColor="text1"/>
          <w:sz w:val="24"/>
          <w:szCs w:val="24"/>
          <w:lang w:val="es-MX"/>
        </w:rPr>
        <w:t>MODALIDAD</w:t>
      </w:r>
      <w:r w:rsidRPr="00DE2B47">
        <w:rPr>
          <w:rFonts w:ascii="Garamond" w:eastAsia="Garamond" w:hAnsi="Garamond" w:cs="Garamond"/>
          <w:b/>
          <w:bCs/>
          <w:color w:val="000000" w:themeColor="text1"/>
          <w:sz w:val="24"/>
          <w:szCs w:val="24"/>
          <w:lang w:val="es-MX"/>
        </w:rPr>
        <w:t>:</w:t>
      </w:r>
      <w:r w:rsidRPr="00DE2B47">
        <w:rPr>
          <w:rFonts w:ascii="Garamond" w:eastAsia="Garamond" w:hAnsi="Garamond" w:cs="Garamond"/>
          <w:color w:val="000000" w:themeColor="text1"/>
          <w:sz w:val="24"/>
          <w:szCs w:val="24"/>
          <w:lang w:val="es-MX"/>
        </w:rPr>
        <w:t xml:space="preserve"> </w:t>
      </w:r>
      <w:r w:rsidRPr="00DE2B47">
        <w:rPr>
          <w:rFonts w:ascii="Garamond" w:eastAsia="Garamond" w:hAnsi="Garamond" w:cs="Garamond"/>
          <w:color w:val="000000" w:themeColor="text1"/>
          <w:sz w:val="24"/>
          <w:szCs w:val="24"/>
          <w:lang w:val="es-ES"/>
        </w:rPr>
        <w:t xml:space="preserve">Teniendo en cuenta el objeto a contratar y el valor del presupuesto oficial, </w:t>
      </w:r>
      <w:r w:rsidR="51BC94AE" w:rsidRPr="00DE2B47">
        <w:rPr>
          <w:rFonts w:ascii="Garamond" w:eastAsia="Garamond" w:hAnsi="Garamond" w:cs="Garamond"/>
          <w:color w:val="000000" w:themeColor="text1"/>
          <w:sz w:val="24"/>
          <w:szCs w:val="24"/>
          <w:lang w:val="es-ES"/>
        </w:rPr>
        <w:t>l</w:t>
      </w:r>
      <w:r w:rsidR="51BC94AE" w:rsidRPr="00DE2B47">
        <w:rPr>
          <w:rFonts w:ascii="Garamond" w:eastAsia="Garamond" w:hAnsi="Garamond" w:cs="Garamond"/>
          <w:color w:val="000000" w:themeColor="text1"/>
          <w:sz w:val="24"/>
          <w:szCs w:val="24"/>
          <w:lang w:val="es-MX"/>
        </w:rPr>
        <w:t>a</w:t>
      </w:r>
      <w:r w:rsidR="51BC94AE" w:rsidRPr="009366AE">
        <w:rPr>
          <w:rFonts w:ascii="Garamond" w:eastAsia="Garamond" w:hAnsi="Garamond" w:cs="Garamond"/>
          <w:color w:val="000000" w:themeColor="text1"/>
          <w:sz w:val="24"/>
          <w:szCs w:val="24"/>
          <w:lang w:val="es-MX"/>
        </w:rPr>
        <w:t xml:space="preserve"> modalidad de selección pertinente para esta contratación corresponde a </w:t>
      </w:r>
      <w:r w:rsidR="588B470C" w:rsidRPr="009366AE">
        <w:rPr>
          <w:rFonts w:ascii="Garamond" w:eastAsia="Garamond" w:hAnsi="Garamond" w:cs="Garamond"/>
          <w:b/>
          <w:bCs/>
          <w:color w:val="000000" w:themeColor="text1"/>
          <w:sz w:val="24"/>
          <w:szCs w:val="24"/>
          <w:lang w:val="es-MX"/>
        </w:rPr>
        <w:t>MÍNIMA CUANTÍA</w:t>
      </w:r>
      <w:r w:rsidR="588B470C" w:rsidRPr="009366AE">
        <w:rPr>
          <w:rFonts w:ascii="Garamond" w:eastAsia="Garamond" w:hAnsi="Garamond" w:cs="Garamond"/>
          <w:color w:val="000000" w:themeColor="text1"/>
          <w:sz w:val="24"/>
          <w:szCs w:val="24"/>
          <w:lang w:val="es-MX"/>
        </w:rPr>
        <w:t xml:space="preserve"> para la adquisición o suministro de bienes de características</w:t>
      </w:r>
      <w:r w:rsidR="54E216A3" w:rsidRPr="009366AE">
        <w:rPr>
          <w:rFonts w:ascii="Garamond" w:eastAsia="Garamond" w:hAnsi="Garamond" w:cs="Garamond"/>
          <w:color w:val="000000" w:themeColor="text1"/>
          <w:sz w:val="24"/>
          <w:szCs w:val="24"/>
          <w:lang w:val="es-MX"/>
        </w:rPr>
        <w:t xml:space="preserve"> técnicas uniformes y de </w:t>
      </w:r>
      <w:r w:rsidR="3D431C23" w:rsidRPr="009366AE">
        <w:rPr>
          <w:rFonts w:ascii="Garamond" w:eastAsia="Garamond" w:hAnsi="Garamond" w:cs="Garamond"/>
          <w:color w:val="000000" w:themeColor="text1"/>
          <w:sz w:val="24"/>
          <w:szCs w:val="24"/>
          <w:lang w:val="es-MX"/>
        </w:rPr>
        <w:t>común</w:t>
      </w:r>
      <w:r w:rsidR="54E216A3" w:rsidRPr="009366AE">
        <w:rPr>
          <w:rFonts w:ascii="Garamond" w:eastAsia="Garamond" w:hAnsi="Garamond" w:cs="Garamond"/>
          <w:color w:val="000000" w:themeColor="text1"/>
          <w:sz w:val="24"/>
          <w:szCs w:val="24"/>
          <w:lang w:val="es-MX"/>
        </w:rPr>
        <w:t xml:space="preserve"> utilización </w:t>
      </w:r>
      <w:r w:rsidR="51BC94AE" w:rsidRPr="009366AE">
        <w:rPr>
          <w:rFonts w:ascii="Garamond" w:eastAsia="Garamond" w:hAnsi="Garamond" w:cs="Garamond"/>
          <w:color w:val="000000" w:themeColor="text1"/>
          <w:sz w:val="24"/>
          <w:szCs w:val="24"/>
          <w:lang w:val="es-MX"/>
        </w:rPr>
        <w:t>contemplada en el literal (</w:t>
      </w:r>
      <w:r w:rsidR="00D76ACB" w:rsidRPr="009366AE">
        <w:rPr>
          <w:rFonts w:ascii="Garamond" w:eastAsia="Garamond" w:hAnsi="Garamond" w:cs="Garamond"/>
          <w:color w:val="000000" w:themeColor="text1"/>
          <w:sz w:val="24"/>
          <w:szCs w:val="24"/>
          <w:lang w:val="es-MX"/>
        </w:rPr>
        <w:t>a</w:t>
      </w:r>
      <w:r w:rsidR="51BC94AE" w:rsidRPr="009366AE">
        <w:rPr>
          <w:rFonts w:ascii="Garamond" w:eastAsia="Garamond" w:hAnsi="Garamond" w:cs="Garamond"/>
          <w:color w:val="000000" w:themeColor="text1"/>
          <w:sz w:val="24"/>
          <w:szCs w:val="24"/>
          <w:lang w:val="es-MX"/>
        </w:rPr>
        <w:t>) del numeral 2 del artículo 2 de la Ley 1150 de 2007 y en el artículo 2.2.1.2.1.2.20 del Decreto 1082 de 2015.</w:t>
      </w:r>
    </w:p>
    <w:p w14:paraId="79D1E380" w14:textId="77777777" w:rsidR="009366AE" w:rsidRPr="009366AE" w:rsidRDefault="009366AE" w:rsidP="009366AE">
      <w:pPr>
        <w:pStyle w:val="Standard"/>
        <w:spacing w:after="0" w:line="240" w:lineRule="auto"/>
        <w:jc w:val="both"/>
        <w:rPr>
          <w:rFonts w:ascii="Garamond" w:eastAsia="Garamond" w:hAnsi="Garamond" w:cs="Garamond"/>
          <w:sz w:val="24"/>
          <w:szCs w:val="24"/>
          <w:lang w:val="es-ES"/>
        </w:rPr>
      </w:pPr>
    </w:p>
    <w:p w14:paraId="37208C81" w14:textId="0411A435" w:rsidR="00A15C2A" w:rsidRDefault="051E9D02" w:rsidP="009366AE">
      <w:pPr>
        <w:pStyle w:val="Standard"/>
        <w:spacing w:after="0" w:line="240" w:lineRule="auto"/>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PLAZO:</w:t>
      </w:r>
      <w:r w:rsidRPr="009366AE">
        <w:rPr>
          <w:rFonts w:ascii="Garamond" w:eastAsia="Garamond" w:hAnsi="Garamond" w:cs="Garamond"/>
          <w:color w:val="000000" w:themeColor="text1"/>
          <w:sz w:val="24"/>
          <w:szCs w:val="24"/>
        </w:rPr>
        <w:t xml:space="preserve"> El plazo de ejecución del contrato que resulte del presente proceso de selección, será por el término de </w:t>
      </w:r>
      <w:r w:rsidR="009E62F5" w:rsidRPr="009366AE">
        <w:rPr>
          <w:rFonts w:ascii="Garamond" w:eastAsia="Garamond" w:hAnsi="Garamond" w:cs="Garamond"/>
          <w:b/>
          <w:bCs/>
          <w:color w:val="000000" w:themeColor="text1"/>
          <w:sz w:val="24"/>
          <w:szCs w:val="24"/>
        </w:rPr>
        <w:t>ONCE</w:t>
      </w:r>
      <w:r w:rsidRPr="009366AE">
        <w:rPr>
          <w:rFonts w:ascii="Garamond" w:eastAsia="Garamond" w:hAnsi="Garamond" w:cs="Garamond"/>
          <w:b/>
          <w:bCs/>
          <w:color w:val="000000" w:themeColor="text1"/>
          <w:sz w:val="24"/>
          <w:szCs w:val="24"/>
        </w:rPr>
        <w:t xml:space="preserve"> (</w:t>
      </w:r>
      <w:r w:rsidR="009E62F5" w:rsidRPr="009366AE">
        <w:rPr>
          <w:rFonts w:ascii="Garamond" w:eastAsia="Garamond" w:hAnsi="Garamond" w:cs="Garamond"/>
          <w:b/>
          <w:bCs/>
          <w:color w:val="000000" w:themeColor="text1"/>
          <w:sz w:val="24"/>
          <w:szCs w:val="24"/>
        </w:rPr>
        <w:t>1</w:t>
      </w:r>
      <w:r w:rsidR="0C3E483A" w:rsidRPr="009366AE">
        <w:rPr>
          <w:rFonts w:ascii="Garamond" w:eastAsia="Garamond" w:hAnsi="Garamond" w:cs="Garamond"/>
          <w:b/>
          <w:bCs/>
          <w:color w:val="000000" w:themeColor="text1"/>
          <w:sz w:val="24"/>
          <w:szCs w:val="24"/>
        </w:rPr>
        <w:t>1</w:t>
      </w:r>
      <w:r w:rsidRPr="009366AE">
        <w:rPr>
          <w:rFonts w:ascii="Garamond" w:eastAsia="Garamond" w:hAnsi="Garamond" w:cs="Garamond"/>
          <w:b/>
          <w:bCs/>
          <w:color w:val="000000" w:themeColor="text1"/>
          <w:sz w:val="24"/>
          <w:szCs w:val="24"/>
        </w:rPr>
        <w:t>) MES</w:t>
      </w:r>
      <w:r w:rsidR="009E62F5" w:rsidRPr="009366AE">
        <w:rPr>
          <w:rFonts w:ascii="Garamond" w:eastAsia="Garamond" w:hAnsi="Garamond" w:cs="Garamond"/>
          <w:b/>
          <w:bCs/>
          <w:color w:val="000000" w:themeColor="text1"/>
          <w:sz w:val="24"/>
          <w:szCs w:val="24"/>
        </w:rPr>
        <w:t>ES</w:t>
      </w:r>
      <w:r w:rsidR="152289E3" w:rsidRPr="009366AE">
        <w:rPr>
          <w:rFonts w:ascii="Garamond" w:eastAsia="Garamond" w:hAnsi="Garamond" w:cs="Garamond"/>
          <w:b/>
          <w:bCs/>
          <w:color w:val="000000" w:themeColor="text1"/>
          <w:sz w:val="24"/>
          <w:szCs w:val="24"/>
        </w:rPr>
        <w:t>,</w:t>
      </w:r>
      <w:r w:rsidRPr="009366AE">
        <w:rPr>
          <w:rFonts w:ascii="Garamond" w:eastAsia="Garamond" w:hAnsi="Garamond" w:cs="Garamond"/>
          <w:b/>
          <w:bCs/>
          <w:color w:val="000000" w:themeColor="text1"/>
          <w:sz w:val="24"/>
          <w:szCs w:val="24"/>
        </w:rPr>
        <w:t xml:space="preserve"> </w:t>
      </w:r>
      <w:r w:rsidRPr="009366AE">
        <w:rPr>
          <w:rFonts w:ascii="Garamond" w:eastAsia="Garamond" w:hAnsi="Garamond" w:cs="Garamond"/>
          <w:color w:val="000000" w:themeColor="text1"/>
          <w:sz w:val="24"/>
          <w:szCs w:val="24"/>
        </w:rPr>
        <w:t>contados a partir de los requisitos de perfeccionamiento y ejecución</w:t>
      </w:r>
      <w:r w:rsidR="7060DC19" w:rsidRPr="009366AE">
        <w:rPr>
          <w:rFonts w:ascii="Garamond" w:eastAsia="Garamond" w:hAnsi="Garamond" w:cs="Garamond"/>
          <w:color w:val="000000" w:themeColor="text1"/>
          <w:sz w:val="24"/>
          <w:szCs w:val="24"/>
        </w:rPr>
        <w:t xml:space="preserve"> o hasta agotar los recursos</w:t>
      </w:r>
      <w:r w:rsidRPr="009366AE">
        <w:rPr>
          <w:rFonts w:ascii="Garamond" w:eastAsia="Garamond" w:hAnsi="Garamond" w:cs="Garamond"/>
          <w:color w:val="000000" w:themeColor="text1"/>
          <w:sz w:val="24"/>
          <w:szCs w:val="24"/>
        </w:rPr>
        <w:t>.</w:t>
      </w:r>
    </w:p>
    <w:p w14:paraId="33D53EBA" w14:textId="77777777" w:rsidR="009366AE" w:rsidRPr="009366AE" w:rsidRDefault="009366AE" w:rsidP="009366AE">
      <w:pPr>
        <w:pStyle w:val="Standard"/>
        <w:spacing w:after="0" w:line="240" w:lineRule="auto"/>
        <w:jc w:val="both"/>
        <w:rPr>
          <w:rFonts w:ascii="Garamond" w:eastAsia="Garamond" w:hAnsi="Garamond" w:cs="Garamond"/>
          <w:color w:val="000000" w:themeColor="text1"/>
          <w:sz w:val="24"/>
          <w:szCs w:val="24"/>
        </w:rPr>
      </w:pPr>
    </w:p>
    <w:p w14:paraId="6BA66462" w14:textId="16D42543" w:rsidR="00A15C2A" w:rsidRDefault="051E9D02" w:rsidP="009366AE">
      <w:pPr>
        <w:pStyle w:val="Standard"/>
        <w:spacing w:after="0" w:line="240" w:lineRule="auto"/>
        <w:jc w:val="both"/>
        <w:rPr>
          <w:rFonts w:ascii="Garamond" w:eastAsia="Garamond" w:hAnsi="Garamond" w:cs="Garamond"/>
          <w:b/>
          <w:bCs/>
          <w:color w:val="000000" w:themeColor="text1"/>
          <w:sz w:val="24"/>
          <w:szCs w:val="24"/>
        </w:rPr>
      </w:pPr>
      <w:r w:rsidRPr="009366AE">
        <w:rPr>
          <w:rFonts w:ascii="Garamond" w:eastAsia="Garamond" w:hAnsi="Garamond" w:cs="Garamond"/>
          <w:b/>
          <w:bCs/>
          <w:color w:val="000000" w:themeColor="text1"/>
          <w:sz w:val="24"/>
          <w:szCs w:val="24"/>
        </w:rPr>
        <w:t xml:space="preserve">VALOR ESTIMADO: </w:t>
      </w:r>
      <w:r w:rsidRPr="009366AE">
        <w:rPr>
          <w:rFonts w:ascii="Garamond" w:eastAsia="Garamond" w:hAnsi="Garamond" w:cs="Garamond"/>
          <w:color w:val="000000" w:themeColor="text1"/>
          <w:sz w:val="24"/>
          <w:szCs w:val="24"/>
          <w:lang w:val="es-MX"/>
        </w:rPr>
        <w:t>El valor del contrato se estima hasta por la suma de</w:t>
      </w:r>
      <w:r w:rsidRPr="009366AE">
        <w:rPr>
          <w:rFonts w:ascii="Garamond" w:eastAsia="Garamond" w:hAnsi="Garamond" w:cs="Garamond"/>
          <w:color w:val="000000" w:themeColor="text1"/>
          <w:sz w:val="24"/>
          <w:szCs w:val="24"/>
        </w:rPr>
        <w:t xml:space="preserve"> </w:t>
      </w:r>
      <w:r w:rsidR="00B9454A" w:rsidRPr="009366AE">
        <w:rPr>
          <w:rFonts w:ascii="Garamond" w:eastAsia="Garamond" w:hAnsi="Garamond" w:cs="Garamond"/>
          <w:b/>
          <w:bCs/>
          <w:color w:val="000000" w:themeColor="text1"/>
          <w:sz w:val="24"/>
          <w:szCs w:val="24"/>
        </w:rPr>
        <w:t xml:space="preserve">de </w:t>
      </w:r>
      <w:r w:rsidR="00C62FCD" w:rsidRPr="009366AE">
        <w:rPr>
          <w:rFonts w:ascii="Garamond" w:eastAsia="Garamond" w:hAnsi="Garamond" w:cs="Garamond"/>
          <w:b/>
          <w:bCs/>
          <w:color w:val="000000" w:themeColor="text1"/>
          <w:sz w:val="24"/>
          <w:szCs w:val="24"/>
        </w:rPr>
        <w:t>DOS MILLONES DOCE MIL CUARENTA Y CINCO PESOS M/CTE ($ 2.012.045</w:t>
      </w:r>
      <w:r w:rsidR="003E50B5" w:rsidRPr="009366AE">
        <w:rPr>
          <w:rFonts w:ascii="Garamond" w:eastAsia="Garamond" w:hAnsi="Garamond" w:cs="Garamond"/>
          <w:b/>
          <w:bCs/>
          <w:color w:val="000000" w:themeColor="text1"/>
          <w:sz w:val="24"/>
          <w:szCs w:val="24"/>
        </w:rPr>
        <w:t>) INCLUIDO</w:t>
      </w:r>
      <w:r w:rsidR="009E62F5" w:rsidRPr="009366AE">
        <w:rPr>
          <w:rFonts w:ascii="Garamond" w:eastAsia="Garamond" w:hAnsi="Garamond" w:cs="Garamond"/>
          <w:b/>
          <w:bCs/>
          <w:color w:val="000000" w:themeColor="text1"/>
          <w:sz w:val="24"/>
          <w:szCs w:val="24"/>
        </w:rPr>
        <w:t xml:space="preserve"> IVA</w:t>
      </w:r>
      <w:r w:rsidR="646C25B8" w:rsidRPr="009366AE">
        <w:rPr>
          <w:rFonts w:ascii="Garamond" w:eastAsia="Garamond" w:hAnsi="Garamond" w:cs="Garamond"/>
          <w:b/>
          <w:bCs/>
          <w:color w:val="000000" w:themeColor="text1"/>
          <w:sz w:val="24"/>
          <w:szCs w:val="24"/>
        </w:rPr>
        <w:t>.</w:t>
      </w:r>
    </w:p>
    <w:p w14:paraId="63A63DF3" w14:textId="77777777" w:rsidR="009366AE" w:rsidRPr="009366AE" w:rsidRDefault="009366AE" w:rsidP="009366AE">
      <w:pPr>
        <w:pStyle w:val="Standard"/>
        <w:spacing w:after="0" w:line="240" w:lineRule="auto"/>
        <w:jc w:val="both"/>
        <w:rPr>
          <w:rFonts w:ascii="Garamond" w:eastAsia="Garamond" w:hAnsi="Garamond" w:cs="Garamond"/>
          <w:b/>
          <w:bCs/>
          <w:color w:val="000000" w:themeColor="text1"/>
          <w:sz w:val="24"/>
          <w:szCs w:val="24"/>
        </w:rPr>
      </w:pPr>
    </w:p>
    <w:p w14:paraId="3B30436C" w14:textId="7BA37F78" w:rsidR="00A15C2A" w:rsidRPr="009366AE" w:rsidRDefault="051E9D02" w:rsidP="009366AE">
      <w:pPr>
        <w:pStyle w:val="Prrafodelista"/>
        <w:numPr>
          <w:ilvl w:val="0"/>
          <w:numId w:val="15"/>
        </w:numPr>
        <w:spacing w:after="0" w:line="240" w:lineRule="auto"/>
        <w:ind w:right="2519"/>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ASPECTOS GENERALES DEL MERCADO</w:t>
      </w:r>
    </w:p>
    <w:p w14:paraId="4A5E29E3" w14:textId="77777777" w:rsidR="009366AE" w:rsidRPr="009366AE" w:rsidRDefault="009366AE" w:rsidP="009366AE">
      <w:pPr>
        <w:pStyle w:val="Prrafodelista"/>
        <w:spacing w:after="0" w:line="240" w:lineRule="auto"/>
        <w:ind w:right="2519"/>
        <w:jc w:val="both"/>
        <w:rPr>
          <w:rFonts w:ascii="Garamond" w:eastAsia="Garamond" w:hAnsi="Garamond" w:cs="Garamond"/>
          <w:color w:val="000000" w:themeColor="text1"/>
          <w:sz w:val="24"/>
          <w:szCs w:val="24"/>
        </w:rPr>
      </w:pPr>
    </w:p>
    <w:p w14:paraId="6F251122" w14:textId="1979B6B8" w:rsidR="00A15C2A" w:rsidRDefault="051E9D02" w:rsidP="009366AE">
      <w:pPr>
        <w:spacing w:after="0" w:line="240" w:lineRule="auto"/>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La actividad económica está dividida en sectores, cada sector se refiere a una parte de la actividad económica cuyos elementos tienen características comunes, guardan una unidad y se diferencian de otras agrupaciones. Su división se realiza de acuerdo con los procesos de producción que ocurren al interior de cada uno de ellos. Según la división de la economía clásica, los sectores de la economía son los siguientes: </w:t>
      </w:r>
    </w:p>
    <w:p w14:paraId="6D636EBB" w14:textId="77777777" w:rsidR="009366AE" w:rsidRPr="009366AE" w:rsidRDefault="009366AE" w:rsidP="009366AE">
      <w:pPr>
        <w:spacing w:after="0" w:line="240" w:lineRule="auto"/>
        <w:jc w:val="both"/>
        <w:rPr>
          <w:rFonts w:ascii="Garamond" w:eastAsia="Garamond" w:hAnsi="Garamond" w:cs="Garamond"/>
          <w:color w:val="000000" w:themeColor="text1"/>
          <w:sz w:val="24"/>
          <w:szCs w:val="24"/>
        </w:rPr>
      </w:pPr>
    </w:p>
    <w:p w14:paraId="36B1F8BB" w14:textId="6A6011C7" w:rsidR="00A15C2A" w:rsidRPr="009366AE" w:rsidRDefault="051E9D02" w:rsidP="221F09AA">
      <w:pPr>
        <w:pStyle w:val="Prrafodelista"/>
        <w:numPr>
          <w:ilvl w:val="0"/>
          <w:numId w:val="14"/>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Sector primario o sector Agropecuario. </w:t>
      </w:r>
    </w:p>
    <w:p w14:paraId="1836A5C9" w14:textId="1F3751EC" w:rsidR="00A15C2A" w:rsidRPr="009366AE" w:rsidRDefault="051E9D02" w:rsidP="221F09AA">
      <w:pPr>
        <w:pStyle w:val="Prrafodelista"/>
        <w:numPr>
          <w:ilvl w:val="0"/>
          <w:numId w:val="14"/>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Sector secundario o sector Industrial. </w:t>
      </w:r>
    </w:p>
    <w:p w14:paraId="10FC6E89" w14:textId="2F60C59E" w:rsidR="00A15C2A" w:rsidRPr="009366AE" w:rsidRDefault="051E9D02" w:rsidP="221F09AA">
      <w:pPr>
        <w:pStyle w:val="Prrafodelista"/>
        <w:numPr>
          <w:ilvl w:val="0"/>
          <w:numId w:val="14"/>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Sector terciario o sector de Servicios. </w:t>
      </w:r>
    </w:p>
    <w:p w14:paraId="76789639" w14:textId="0E6C8DED" w:rsidR="00A15C2A" w:rsidRPr="009366AE" w:rsidRDefault="051E9D02" w:rsidP="39B57729">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De acuerdo con el objeto contractual, se requiere la prestación de </w:t>
      </w:r>
      <w:r w:rsidR="009366AE" w:rsidRPr="009366AE">
        <w:rPr>
          <w:rFonts w:ascii="Garamond" w:eastAsia="Garamond" w:hAnsi="Garamond" w:cs="Garamond"/>
          <w:color w:val="000000" w:themeColor="text1"/>
          <w:sz w:val="24"/>
          <w:szCs w:val="24"/>
        </w:rPr>
        <w:t>l</w:t>
      </w:r>
      <w:r w:rsidR="009366AE" w:rsidRPr="009366AE">
        <w:rPr>
          <w:rFonts w:ascii="Garamond" w:hAnsi="Garamond" w:cs="Arial"/>
          <w:sz w:val="24"/>
          <w:szCs w:val="24"/>
        </w:rPr>
        <w:t xml:space="preserve">os servicios de recarga, mantenimiento preventivo y correctivo, y el suministro de la bolsa de repuestos al igual que compra de señalización para los extintores ubicados en las diferentes sedes de </w:t>
      </w:r>
      <w:r w:rsidR="009366AE">
        <w:rPr>
          <w:rFonts w:ascii="Garamond" w:hAnsi="Garamond" w:cs="Arial"/>
          <w:sz w:val="24"/>
          <w:szCs w:val="24"/>
        </w:rPr>
        <w:t>l</w:t>
      </w:r>
      <w:r w:rsidR="009366AE" w:rsidRPr="009366AE">
        <w:rPr>
          <w:rFonts w:ascii="Garamond" w:hAnsi="Garamond" w:cs="Arial"/>
          <w:sz w:val="24"/>
          <w:szCs w:val="24"/>
        </w:rPr>
        <w:t xml:space="preserve">a Alcaldía Local </w:t>
      </w:r>
      <w:r w:rsidR="009366AE">
        <w:rPr>
          <w:rFonts w:ascii="Garamond" w:hAnsi="Garamond" w:cs="Arial"/>
          <w:sz w:val="24"/>
          <w:szCs w:val="24"/>
        </w:rPr>
        <w:t>d</w:t>
      </w:r>
      <w:r w:rsidR="009366AE" w:rsidRPr="009366AE">
        <w:rPr>
          <w:rFonts w:ascii="Garamond" w:hAnsi="Garamond" w:cs="Arial"/>
          <w:sz w:val="24"/>
          <w:szCs w:val="24"/>
        </w:rPr>
        <w:t>e Usaquén</w:t>
      </w:r>
      <w:r w:rsidR="009366AE">
        <w:rPr>
          <w:rFonts w:ascii="Garamond" w:hAnsi="Garamond" w:cs="Arial"/>
          <w:i/>
          <w:iCs/>
          <w:sz w:val="24"/>
          <w:szCs w:val="24"/>
        </w:rPr>
        <w:t xml:space="preserve"> </w:t>
      </w:r>
      <w:r w:rsidRPr="009366AE">
        <w:rPr>
          <w:rFonts w:ascii="Garamond" w:eastAsia="Garamond" w:hAnsi="Garamond" w:cs="Garamond"/>
          <w:color w:val="000000" w:themeColor="text1"/>
          <w:sz w:val="24"/>
          <w:szCs w:val="24"/>
        </w:rPr>
        <w:t>por esta razón, se enmarca en el sector terciario o sector de servicios, el cual va a ser materia de análisis en el presente documento. Este sector incluye todas aquellas actividades que, aunque no producen una mercancía en sí, son necesarias para el funcionamiento de la economía.</w:t>
      </w:r>
    </w:p>
    <w:p w14:paraId="7708D53D" w14:textId="1DBBFA97" w:rsidR="00A15C2A" w:rsidRPr="009366AE" w:rsidRDefault="051E9D02" w:rsidP="221F09AA">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lastRenderedPageBreak/>
        <w:t>A.1. Aspectos Económicos</w:t>
      </w:r>
    </w:p>
    <w:p w14:paraId="546E0B9C" w14:textId="3D741340" w:rsidR="00A15C2A" w:rsidRPr="009366AE" w:rsidRDefault="051E9D02"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Productos Incluidos dentro del Sector.</w:t>
      </w:r>
    </w:p>
    <w:p w14:paraId="1CF7DFFF" w14:textId="72771CD3" w:rsidR="00A15C2A" w:rsidRPr="009366AE" w:rsidRDefault="051E9D02"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Los productos que para este sector son denominados como servicios y son incluidos dentro del sector terciario, son aquellos como: transporte, comunicación, telecomunicaciones, actividades financieras, salud, estéticos, educativos, comercio, entre otros, que sean catalogados como servicios.</w:t>
      </w:r>
    </w:p>
    <w:p w14:paraId="1C3C2664" w14:textId="072D90A1" w:rsidR="00A15C2A" w:rsidRPr="009366AE" w:rsidRDefault="051E9D02"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Agentes que componen el Sector.</w:t>
      </w:r>
    </w:p>
    <w:p w14:paraId="1CC82954" w14:textId="55DFF8D4" w:rsidR="00A15C2A" w:rsidRPr="009366AE" w:rsidRDefault="051E9D02"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Denominamos agente económico a cualquiera de las partes que hacen posible la actividad económica. Así, dentro de la actividad económica y del proceso económico en general podemos encontrarnos con diferentes agentes. Estos agentes pueden participar o tomar decisiones en forma de productores, </w:t>
      </w:r>
      <w:hyperlink r:id="rId5">
        <w:r w:rsidRPr="009366AE">
          <w:rPr>
            <w:rStyle w:val="Hipervnculo"/>
            <w:rFonts w:ascii="Garamond" w:eastAsia="Garamond" w:hAnsi="Garamond" w:cs="Garamond"/>
            <w:sz w:val="24"/>
            <w:szCs w:val="24"/>
          </w:rPr>
          <w:t>consumidores</w:t>
        </w:r>
      </w:hyperlink>
      <w:r w:rsidRPr="009366AE">
        <w:rPr>
          <w:rFonts w:ascii="Garamond" w:eastAsia="Garamond" w:hAnsi="Garamond" w:cs="Garamond"/>
          <w:color w:val="000000" w:themeColor="text1"/>
          <w:sz w:val="24"/>
          <w:szCs w:val="24"/>
        </w:rPr>
        <w:t>, </w:t>
      </w:r>
      <w:hyperlink r:id="rId6">
        <w:r w:rsidRPr="009366AE">
          <w:rPr>
            <w:rStyle w:val="Hipervnculo"/>
            <w:rFonts w:ascii="Garamond" w:eastAsia="Garamond" w:hAnsi="Garamond" w:cs="Garamond"/>
            <w:sz w:val="24"/>
            <w:szCs w:val="24"/>
          </w:rPr>
          <w:t>ahorradores </w:t>
        </w:r>
      </w:hyperlink>
      <w:r w:rsidRPr="009366AE">
        <w:rPr>
          <w:rFonts w:ascii="Garamond" w:eastAsia="Garamond" w:hAnsi="Garamond" w:cs="Garamond"/>
          <w:color w:val="000000" w:themeColor="text1"/>
          <w:sz w:val="24"/>
          <w:szCs w:val="24"/>
        </w:rPr>
        <w:t>o incluso </w:t>
      </w:r>
      <w:hyperlink r:id="rId7">
        <w:r w:rsidRPr="009366AE">
          <w:rPr>
            <w:rStyle w:val="Hipervnculo"/>
            <w:rFonts w:ascii="Garamond" w:eastAsia="Garamond" w:hAnsi="Garamond" w:cs="Garamond"/>
            <w:sz w:val="24"/>
            <w:szCs w:val="24"/>
          </w:rPr>
          <w:t>inversores</w:t>
        </w:r>
      </w:hyperlink>
      <w:r w:rsidRPr="009366AE">
        <w:rPr>
          <w:rFonts w:ascii="Garamond" w:eastAsia="Garamond" w:hAnsi="Garamond" w:cs="Garamond"/>
          <w:color w:val="000000" w:themeColor="text1"/>
          <w:sz w:val="24"/>
          <w:szCs w:val="24"/>
        </w:rPr>
        <w:t>.</w:t>
      </w:r>
    </w:p>
    <w:p w14:paraId="0FD95A1C" w14:textId="7BA21C8E" w:rsidR="00A15C2A" w:rsidRPr="009366AE" w:rsidRDefault="051E9D02" w:rsidP="221F09AA">
      <w:pPr>
        <w:spacing w:beforeAutospacing="1" w:afterAutospacing="1"/>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Para este caso, los agentes que componen el sector terciario o sector servicios, son aquellas empresas que prestan servicios como: </w:t>
      </w:r>
    </w:p>
    <w:p w14:paraId="679FFC1C" w14:textId="18D48483"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transporte y comunicación.</w:t>
      </w:r>
    </w:p>
    <w:p w14:paraId="730E5F51" w14:textId="01C790B5"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telecomunicación e Internet.</w:t>
      </w:r>
    </w:p>
    <w:p w14:paraId="368FBF35" w14:textId="235A556A"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Medios de comunicación.</w:t>
      </w:r>
    </w:p>
    <w:p w14:paraId="14BF7080" w14:textId="14562948"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Actividades financieras (excluyendo la consultoría, que estaría dentro del </w:t>
      </w:r>
      <w:hyperlink r:id="rId8">
        <w:r w:rsidRPr="009366AE">
          <w:rPr>
            <w:rStyle w:val="Hipervnculo"/>
            <w:rFonts w:ascii="Garamond" w:eastAsia="Garamond" w:hAnsi="Garamond" w:cs="Garamond"/>
            <w:sz w:val="24"/>
            <w:szCs w:val="24"/>
          </w:rPr>
          <w:t>sector cuaternario</w:t>
        </w:r>
      </w:hyperlink>
      <w:r w:rsidRPr="009366AE">
        <w:rPr>
          <w:rFonts w:ascii="Garamond" w:eastAsia="Garamond" w:hAnsi="Garamond" w:cs="Garamond"/>
          <w:color w:val="000000" w:themeColor="text1"/>
          <w:sz w:val="24"/>
          <w:szCs w:val="24"/>
        </w:rPr>
        <w:t>).</w:t>
      </w:r>
    </w:p>
    <w:p w14:paraId="066D6C2B" w14:textId="726086DB"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Turismo y hotelería.</w:t>
      </w:r>
    </w:p>
    <w:p w14:paraId="665171F9" w14:textId="40CBA624"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Actividad comercial y de distribución.</w:t>
      </w:r>
    </w:p>
    <w:p w14:paraId="34713A99" w14:textId="6C79C2DC"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salud y estéticos.</w:t>
      </w:r>
    </w:p>
    <w:p w14:paraId="5488C9E4" w14:textId="53221A70"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la administración pública.</w:t>
      </w:r>
    </w:p>
    <w:p w14:paraId="51D1914D" w14:textId="040F86B3"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públicos (seguridad y defensa, bomberos, entre otros).</w:t>
      </w:r>
    </w:p>
    <w:p w14:paraId="06ADC340" w14:textId="4B6F9907"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educativos.</w:t>
      </w:r>
    </w:p>
    <w:p w14:paraId="064F9CD3" w14:textId="457B4BA8"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ocio, deportes y espectáculos.</w:t>
      </w:r>
    </w:p>
    <w:p w14:paraId="53E96CAC" w14:textId="79AEDA74"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culturales (ejemplo: el teatro).</w:t>
      </w:r>
    </w:p>
    <w:p w14:paraId="49EAD26F" w14:textId="06774B4E"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informáticos y tecnológicos.</w:t>
      </w:r>
    </w:p>
    <w:p w14:paraId="57BDFBD9" w14:textId="1750741A"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jurídicos y legales.</w:t>
      </w:r>
    </w:p>
    <w:p w14:paraId="09A7C2C1" w14:textId="41CE0C57" w:rsidR="00A15C2A" w:rsidRPr="009366AE" w:rsidRDefault="051E9D02" w:rsidP="221F09AA">
      <w:pPr>
        <w:pStyle w:val="Prrafodelista"/>
        <w:numPr>
          <w:ilvl w:val="0"/>
          <w:numId w:val="13"/>
        </w:numPr>
        <w:spacing w:beforeAutospacing="1" w:afterAutospacing="1"/>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Servicios de mantenimiento y reparación de vehículos</w:t>
      </w:r>
    </w:p>
    <w:p w14:paraId="57A9ABB2" w14:textId="2C5E3EA8" w:rsidR="00A15C2A" w:rsidRPr="009366AE" w:rsidRDefault="051E9D02"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Gremios y Asociaciones que participan en el Sector.</w:t>
      </w:r>
    </w:p>
    <w:p w14:paraId="462863C3" w14:textId="11F83D7C" w:rsidR="00A15C2A" w:rsidRPr="009366AE" w:rsidRDefault="051E9D02"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N/A.</w:t>
      </w:r>
    </w:p>
    <w:p w14:paraId="1972D512" w14:textId="00774113" w:rsidR="00A15C2A" w:rsidRPr="009366AE" w:rsidRDefault="3149934F" w:rsidP="221F09AA">
      <w:pPr>
        <w:ind w:hanging="2"/>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Cifras totales de ventas y Perspectiva de crecimiento, inversión y ventas y Variables económicas que afectan el sector</w:t>
      </w:r>
    </w:p>
    <w:p w14:paraId="0996E3CF" w14:textId="6B240458"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Para analizar de manera completa cada sector debemos partir del marco de referencia nacional y global. Que puede ser leído desde los datos del PIB. </w:t>
      </w:r>
    </w:p>
    <w:p w14:paraId="23C806CD" w14:textId="182C3D2B"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La actividad económica mundial está experimentando una desaceleración generalizada y más acentuada de lo previsto, con la inflación más alta registrada en varios decenios. La crisis del costo de vida, el endurecimiento de las condiciones financieras en la mayoría de las regiones, la invasión </w:t>
      </w:r>
      <w:r w:rsidRPr="009366AE">
        <w:rPr>
          <w:rFonts w:ascii="Garamond" w:eastAsia="Garamond" w:hAnsi="Garamond" w:cs="Garamond"/>
          <w:color w:val="000000" w:themeColor="text1"/>
          <w:sz w:val="24"/>
          <w:szCs w:val="24"/>
        </w:rPr>
        <w:lastRenderedPageBreak/>
        <w:t>rusa de Ucrania y la persistencia de la pandemia de COVID-19 inciden notablemente en las perspectivas. Según los pronósticos, el crecimiento mundial se desacelerará de 6,0% en 2021 a 3,2% en 2022 y 2,7% en 2023. Exceptuando la crisis financiera mundial y la fase aguda de la pandemia de COVID-19, este es el perfil de crecimiento más flojo desde 2001.</w:t>
      </w:r>
    </w:p>
    <w:p w14:paraId="680ABE34" w14:textId="59CCCC58"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 pronostica que la inflación mundial aumente de 4,7% en 2021 a 8,8% en 2022, para luego descender a 6,5% en 2023 y 4,1% en 2024. Se debe mantener el curso de política monetaria para restaurar la estabilidad de precios, y la política fiscal debe procurar aliviar las presiones sobre el costo de vida, manteniendo una orientación lo suficientemente restrictiva para que esté alineada con la política monetaria. Para contribuir más a la lucha con la inflación se puede recurrir a reformas estructurales que mejoren la productividad y alivien las restricciones sobre la oferta, en tanto que la cooperación multilateral es necesaria para acelerar la transición a la energía verde y evitar la fragmentación.</w:t>
      </w:r>
    </w:p>
    <w:tbl>
      <w:tblPr>
        <w:tblW w:w="0" w:type="auto"/>
        <w:jc w:val="center"/>
        <w:tblLayout w:type="fixed"/>
        <w:tblLook w:val="04A0" w:firstRow="1" w:lastRow="0" w:firstColumn="1" w:lastColumn="0" w:noHBand="0" w:noVBand="1"/>
      </w:tblPr>
      <w:tblGrid>
        <w:gridCol w:w="3465"/>
        <w:gridCol w:w="1485"/>
        <w:gridCol w:w="1200"/>
        <w:gridCol w:w="1200"/>
      </w:tblGrid>
      <w:tr w:rsidR="221F09AA" w:rsidRPr="009366AE" w14:paraId="1422D053" w14:textId="77777777" w:rsidTr="221F09AA">
        <w:trPr>
          <w:trHeight w:val="270"/>
          <w:jc w:val="center"/>
        </w:trPr>
        <w:tc>
          <w:tcPr>
            <w:tcW w:w="3465" w:type="dxa"/>
            <w:vMerge w:val="restart"/>
            <w:tcBorders>
              <w:top w:val="single" w:sz="6" w:space="0" w:color="auto"/>
              <w:left w:val="single" w:sz="6" w:space="0" w:color="auto"/>
              <w:bottom w:val="single" w:sz="6" w:space="0" w:color="auto"/>
              <w:right w:val="single" w:sz="6" w:space="0" w:color="auto"/>
            </w:tcBorders>
            <w:vAlign w:val="center"/>
          </w:tcPr>
          <w:p w14:paraId="58331EFD" w14:textId="7586293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(PIB real, variación porcentual anual)</w:t>
            </w:r>
          </w:p>
        </w:tc>
        <w:tc>
          <w:tcPr>
            <w:tcW w:w="1485" w:type="dxa"/>
            <w:tcBorders>
              <w:top w:val="single" w:sz="6" w:space="0" w:color="auto"/>
              <w:left w:val="single" w:sz="6" w:space="0" w:color="auto"/>
              <w:bottom w:val="single" w:sz="6" w:space="0" w:color="auto"/>
              <w:right w:val="single" w:sz="6" w:space="0" w:color="auto"/>
            </w:tcBorders>
            <w:vAlign w:val="bottom"/>
          </w:tcPr>
          <w:p w14:paraId="1B7FC149" w14:textId="6216872A" w:rsidR="221F09AA" w:rsidRPr="009366AE" w:rsidRDefault="221F09AA" w:rsidP="221F09AA">
            <w:pPr>
              <w:rPr>
                <w:rFonts w:ascii="Garamond" w:eastAsia="Garamond" w:hAnsi="Garamond" w:cs="Garamond"/>
                <w:color w:val="000000" w:themeColor="text1"/>
                <w:sz w:val="24"/>
                <w:szCs w:val="24"/>
              </w:rPr>
            </w:pPr>
          </w:p>
        </w:tc>
        <w:tc>
          <w:tcPr>
            <w:tcW w:w="2400" w:type="dxa"/>
            <w:gridSpan w:val="2"/>
            <w:tcBorders>
              <w:top w:val="single" w:sz="6" w:space="0" w:color="auto"/>
              <w:left w:val="single" w:sz="6" w:space="0" w:color="auto"/>
              <w:bottom w:val="single" w:sz="6" w:space="0" w:color="auto"/>
              <w:right w:val="single" w:sz="6" w:space="0" w:color="auto"/>
            </w:tcBorders>
            <w:vAlign w:val="bottom"/>
          </w:tcPr>
          <w:p w14:paraId="5EB246C1" w14:textId="032605EB"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PROYECCIONES</w:t>
            </w:r>
          </w:p>
        </w:tc>
      </w:tr>
      <w:tr w:rsidR="221F09AA" w:rsidRPr="009366AE" w14:paraId="4EDC9FCF" w14:textId="77777777" w:rsidTr="221F09AA">
        <w:trPr>
          <w:trHeight w:val="270"/>
          <w:jc w:val="center"/>
        </w:trPr>
        <w:tc>
          <w:tcPr>
            <w:tcW w:w="3465" w:type="dxa"/>
            <w:vMerge/>
            <w:tcBorders>
              <w:left w:val="single" w:sz="0" w:space="0" w:color="auto"/>
              <w:bottom w:val="single" w:sz="0" w:space="0" w:color="auto"/>
              <w:right w:val="single" w:sz="0" w:space="0" w:color="auto"/>
            </w:tcBorders>
            <w:vAlign w:val="center"/>
          </w:tcPr>
          <w:p w14:paraId="79526E49" w14:textId="77777777" w:rsidR="00A15C2A" w:rsidRPr="009366AE" w:rsidRDefault="00A15C2A">
            <w:pPr>
              <w:rPr>
                <w:rFonts w:ascii="Garamond" w:hAnsi="Garamond"/>
                <w:sz w:val="24"/>
                <w:szCs w:val="24"/>
              </w:rPr>
            </w:pPr>
          </w:p>
        </w:tc>
        <w:tc>
          <w:tcPr>
            <w:tcW w:w="1485" w:type="dxa"/>
            <w:tcBorders>
              <w:top w:val="single" w:sz="6" w:space="0" w:color="auto"/>
              <w:left w:val="nil"/>
              <w:bottom w:val="single" w:sz="6" w:space="0" w:color="auto"/>
              <w:right w:val="single" w:sz="6" w:space="0" w:color="auto"/>
            </w:tcBorders>
            <w:vAlign w:val="bottom"/>
          </w:tcPr>
          <w:p w14:paraId="24F9AAD8" w14:textId="0BF82157"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2021</w:t>
            </w:r>
          </w:p>
        </w:tc>
        <w:tc>
          <w:tcPr>
            <w:tcW w:w="1200" w:type="dxa"/>
            <w:tcBorders>
              <w:top w:val="single" w:sz="6" w:space="0" w:color="auto"/>
              <w:left w:val="single" w:sz="6" w:space="0" w:color="auto"/>
              <w:bottom w:val="single" w:sz="6" w:space="0" w:color="auto"/>
              <w:right w:val="single" w:sz="6" w:space="0" w:color="auto"/>
            </w:tcBorders>
            <w:vAlign w:val="bottom"/>
          </w:tcPr>
          <w:p w14:paraId="264B4098" w14:textId="53093EF3"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2022</w:t>
            </w:r>
          </w:p>
        </w:tc>
        <w:tc>
          <w:tcPr>
            <w:tcW w:w="1200" w:type="dxa"/>
            <w:tcBorders>
              <w:top w:val="nil"/>
              <w:left w:val="single" w:sz="6" w:space="0" w:color="auto"/>
              <w:bottom w:val="single" w:sz="6" w:space="0" w:color="auto"/>
              <w:right w:val="single" w:sz="6" w:space="0" w:color="auto"/>
            </w:tcBorders>
            <w:vAlign w:val="bottom"/>
          </w:tcPr>
          <w:p w14:paraId="42ACED4C" w14:textId="07B095C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2023</w:t>
            </w:r>
          </w:p>
        </w:tc>
      </w:tr>
      <w:tr w:rsidR="221F09AA" w:rsidRPr="009366AE" w14:paraId="43060734" w14:textId="77777777" w:rsidTr="221F09AA">
        <w:trPr>
          <w:trHeight w:val="270"/>
          <w:jc w:val="center"/>
        </w:trPr>
        <w:tc>
          <w:tcPr>
            <w:tcW w:w="3465" w:type="dxa"/>
            <w:tcBorders>
              <w:top w:val="nil"/>
              <w:left w:val="single" w:sz="6" w:space="0" w:color="auto"/>
              <w:bottom w:val="single" w:sz="6" w:space="0" w:color="auto"/>
              <w:right w:val="single" w:sz="6" w:space="0" w:color="auto"/>
            </w:tcBorders>
            <w:shd w:val="clear" w:color="auto" w:fill="B4C6E7" w:themeFill="accent1" w:themeFillTint="66"/>
            <w:vAlign w:val="bottom"/>
          </w:tcPr>
          <w:p w14:paraId="2A842713" w14:textId="61D5E124"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Producto mundial</w:t>
            </w:r>
          </w:p>
        </w:tc>
        <w:tc>
          <w:tcPr>
            <w:tcW w:w="148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bottom"/>
          </w:tcPr>
          <w:p w14:paraId="3FEE43F6" w14:textId="73C5DF18"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6,0</w:t>
            </w:r>
          </w:p>
        </w:tc>
        <w:tc>
          <w:tcPr>
            <w:tcW w:w="12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bottom"/>
          </w:tcPr>
          <w:p w14:paraId="03BA876C" w14:textId="2052F744"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3,2</w:t>
            </w:r>
          </w:p>
        </w:tc>
        <w:tc>
          <w:tcPr>
            <w:tcW w:w="120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bottom"/>
          </w:tcPr>
          <w:p w14:paraId="6411E93C" w14:textId="1142750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2,7</w:t>
            </w:r>
          </w:p>
        </w:tc>
      </w:tr>
      <w:tr w:rsidR="221F09AA" w:rsidRPr="009366AE" w14:paraId="2FC3E344"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778C9FBE" w14:textId="7527CC05"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Economías avanzadas</w:t>
            </w:r>
          </w:p>
        </w:tc>
        <w:tc>
          <w:tcPr>
            <w:tcW w:w="1485"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275D2CE5" w14:textId="2CFCDF28"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5,2</w:t>
            </w:r>
          </w:p>
        </w:tc>
        <w:tc>
          <w:tcPr>
            <w:tcW w:w="1200"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439B5C02" w14:textId="4289F2D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2,4</w:t>
            </w:r>
          </w:p>
        </w:tc>
        <w:tc>
          <w:tcPr>
            <w:tcW w:w="1200"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4F7A3F24" w14:textId="2ED27AD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1,1</w:t>
            </w:r>
          </w:p>
        </w:tc>
      </w:tr>
      <w:tr w:rsidR="221F09AA" w:rsidRPr="009366AE" w14:paraId="4F66D147"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183EE337" w14:textId="04427AEB"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Estados Unidos</w:t>
            </w:r>
          </w:p>
        </w:tc>
        <w:tc>
          <w:tcPr>
            <w:tcW w:w="1485" w:type="dxa"/>
            <w:tcBorders>
              <w:top w:val="single" w:sz="6" w:space="0" w:color="auto"/>
              <w:left w:val="single" w:sz="6" w:space="0" w:color="auto"/>
              <w:bottom w:val="single" w:sz="6" w:space="0" w:color="auto"/>
              <w:right w:val="single" w:sz="6" w:space="0" w:color="auto"/>
            </w:tcBorders>
            <w:vAlign w:val="bottom"/>
          </w:tcPr>
          <w:p w14:paraId="7846BAE9" w14:textId="58549A41"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5,7</w:t>
            </w:r>
          </w:p>
        </w:tc>
        <w:tc>
          <w:tcPr>
            <w:tcW w:w="1200" w:type="dxa"/>
            <w:tcBorders>
              <w:top w:val="single" w:sz="6" w:space="0" w:color="auto"/>
              <w:left w:val="single" w:sz="6" w:space="0" w:color="auto"/>
              <w:bottom w:val="single" w:sz="6" w:space="0" w:color="auto"/>
              <w:right w:val="single" w:sz="6" w:space="0" w:color="auto"/>
            </w:tcBorders>
            <w:vAlign w:val="bottom"/>
          </w:tcPr>
          <w:p w14:paraId="505E431E" w14:textId="39212D3C"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1,6</w:t>
            </w:r>
          </w:p>
        </w:tc>
        <w:tc>
          <w:tcPr>
            <w:tcW w:w="1200" w:type="dxa"/>
            <w:tcBorders>
              <w:top w:val="single" w:sz="6" w:space="0" w:color="auto"/>
              <w:left w:val="single" w:sz="6" w:space="0" w:color="auto"/>
              <w:bottom w:val="single" w:sz="6" w:space="0" w:color="auto"/>
              <w:right w:val="single" w:sz="6" w:space="0" w:color="auto"/>
            </w:tcBorders>
            <w:vAlign w:val="bottom"/>
          </w:tcPr>
          <w:p w14:paraId="052E80CE" w14:textId="33BEAF55"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1,0</w:t>
            </w:r>
          </w:p>
        </w:tc>
      </w:tr>
      <w:tr w:rsidR="221F09AA" w:rsidRPr="009366AE" w14:paraId="1E3856FD"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FECDA83" w14:textId="0A6990A0"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Zona del euro</w:t>
            </w:r>
          </w:p>
        </w:tc>
        <w:tc>
          <w:tcPr>
            <w:tcW w:w="1485" w:type="dxa"/>
            <w:tcBorders>
              <w:top w:val="single" w:sz="6" w:space="0" w:color="auto"/>
              <w:left w:val="single" w:sz="6" w:space="0" w:color="auto"/>
              <w:bottom w:val="single" w:sz="6" w:space="0" w:color="auto"/>
              <w:right w:val="single" w:sz="6" w:space="0" w:color="auto"/>
            </w:tcBorders>
            <w:vAlign w:val="bottom"/>
          </w:tcPr>
          <w:p w14:paraId="2FC4B61D" w14:textId="717395A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5,2</w:t>
            </w:r>
          </w:p>
        </w:tc>
        <w:tc>
          <w:tcPr>
            <w:tcW w:w="1200" w:type="dxa"/>
            <w:tcBorders>
              <w:top w:val="single" w:sz="6" w:space="0" w:color="auto"/>
              <w:left w:val="single" w:sz="6" w:space="0" w:color="auto"/>
              <w:bottom w:val="single" w:sz="6" w:space="0" w:color="auto"/>
              <w:right w:val="single" w:sz="6" w:space="0" w:color="auto"/>
            </w:tcBorders>
            <w:vAlign w:val="bottom"/>
          </w:tcPr>
          <w:p w14:paraId="6276B3CB" w14:textId="10C5D92A"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3,1</w:t>
            </w:r>
          </w:p>
        </w:tc>
        <w:tc>
          <w:tcPr>
            <w:tcW w:w="1200" w:type="dxa"/>
            <w:tcBorders>
              <w:top w:val="single" w:sz="6" w:space="0" w:color="auto"/>
              <w:left w:val="single" w:sz="6" w:space="0" w:color="auto"/>
              <w:bottom w:val="single" w:sz="6" w:space="0" w:color="auto"/>
              <w:right w:val="single" w:sz="6" w:space="0" w:color="auto"/>
            </w:tcBorders>
            <w:vAlign w:val="bottom"/>
          </w:tcPr>
          <w:p w14:paraId="4AD941E7" w14:textId="58031F71"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0,5</w:t>
            </w:r>
          </w:p>
        </w:tc>
      </w:tr>
      <w:tr w:rsidR="221F09AA" w:rsidRPr="009366AE" w14:paraId="103C7683"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0DEF9CC" w14:textId="6DFCEFAB"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Alemania</w:t>
            </w:r>
          </w:p>
        </w:tc>
        <w:tc>
          <w:tcPr>
            <w:tcW w:w="1485" w:type="dxa"/>
            <w:tcBorders>
              <w:top w:val="single" w:sz="6" w:space="0" w:color="auto"/>
              <w:left w:val="single" w:sz="6" w:space="0" w:color="auto"/>
              <w:bottom w:val="single" w:sz="6" w:space="0" w:color="auto"/>
              <w:right w:val="single" w:sz="6" w:space="0" w:color="auto"/>
            </w:tcBorders>
            <w:vAlign w:val="bottom"/>
          </w:tcPr>
          <w:p w14:paraId="57218AE6" w14:textId="458371C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2,6</w:t>
            </w:r>
          </w:p>
        </w:tc>
        <w:tc>
          <w:tcPr>
            <w:tcW w:w="1200" w:type="dxa"/>
            <w:tcBorders>
              <w:top w:val="single" w:sz="6" w:space="0" w:color="auto"/>
              <w:left w:val="single" w:sz="6" w:space="0" w:color="auto"/>
              <w:bottom w:val="single" w:sz="6" w:space="0" w:color="auto"/>
              <w:right w:val="single" w:sz="6" w:space="0" w:color="auto"/>
            </w:tcBorders>
            <w:vAlign w:val="bottom"/>
          </w:tcPr>
          <w:p w14:paraId="1ED95DFE" w14:textId="08028D0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1,5</w:t>
            </w:r>
          </w:p>
        </w:tc>
        <w:tc>
          <w:tcPr>
            <w:tcW w:w="1200" w:type="dxa"/>
            <w:tcBorders>
              <w:top w:val="single" w:sz="6" w:space="0" w:color="auto"/>
              <w:left w:val="single" w:sz="6" w:space="0" w:color="auto"/>
              <w:bottom w:val="single" w:sz="6" w:space="0" w:color="auto"/>
              <w:right w:val="single" w:sz="6" w:space="0" w:color="auto"/>
            </w:tcBorders>
            <w:vAlign w:val="bottom"/>
          </w:tcPr>
          <w:p w14:paraId="5FAB700A" w14:textId="7267421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-0,3</w:t>
            </w:r>
          </w:p>
        </w:tc>
      </w:tr>
      <w:tr w:rsidR="221F09AA" w:rsidRPr="009366AE" w14:paraId="7115FAFE"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71E47228" w14:textId="6A34F2D4"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Francia</w:t>
            </w:r>
          </w:p>
        </w:tc>
        <w:tc>
          <w:tcPr>
            <w:tcW w:w="1485" w:type="dxa"/>
            <w:tcBorders>
              <w:top w:val="single" w:sz="6" w:space="0" w:color="auto"/>
              <w:left w:val="single" w:sz="6" w:space="0" w:color="auto"/>
              <w:bottom w:val="single" w:sz="6" w:space="0" w:color="auto"/>
              <w:right w:val="single" w:sz="6" w:space="0" w:color="auto"/>
            </w:tcBorders>
            <w:vAlign w:val="bottom"/>
          </w:tcPr>
          <w:p w14:paraId="1D33DD64" w14:textId="53CA79AA"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6,8</w:t>
            </w:r>
          </w:p>
        </w:tc>
        <w:tc>
          <w:tcPr>
            <w:tcW w:w="1200" w:type="dxa"/>
            <w:tcBorders>
              <w:top w:val="single" w:sz="6" w:space="0" w:color="auto"/>
              <w:left w:val="single" w:sz="6" w:space="0" w:color="auto"/>
              <w:bottom w:val="single" w:sz="6" w:space="0" w:color="auto"/>
              <w:right w:val="single" w:sz="6" w:space="0" w:color="auto"/>
            </w:tcBorders>
            <w:vAlign w:val="bottom"/>
          </w:tcPr>
          <w:p w14:paraId="019B5914" w14:textId="78F21C8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2,5</w:t>
            </w:r>
          </w:p>
        </w:tc>
        <w:tc>
          <w:tcPr>
            <w:tcW w:w="1200" w:type="dxa"/>
            <w:tcBorders>
              <w:top w:val="single" w:sz="6" w:space="0" w:color="auto"/>
              <w:left w:val="single" w:sz="6" w:space="0" w:color="auto"/>
              <w:bottom w:val="single" w:sz="6" w:space="0" w:color="auto"/>
              <w:right w:val="single" w:sz="6" w:space="0" w:color="auto"/>
            </w:tcBorders>
            <w:vAlign w:val="bottom"/>
          </w:tcPr>
          <w:p w14:paraId="42A376C5" w14:textId="519D104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0,7</w:t>
            </w:r>
          </w:p>
        </w:tc>
      </w:tr>
      <w:tr w:rsidR="221F09AA" w:rsidRPr="009366AE" w14:paraId="3084DAA3"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152E324E" w14:textId="1BC5ADBF"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Italia</w:t>
            </w:r>
          </w:p>
        </w:tc>
        <w:tc>
          <w:tcPr>
            <w:tcW w:w="1485" w:type="dxa"/>
            <w:tcBorders>
              <w:top w:val="single" w:sz="6" w:space="0" w:color="auto"/>
              <w:left w:val="single" w:sz="6" w:space="0" w:color="auto"/>
              <w:bottom w:val="single" w:sz="6" w:space="0" w:color="auto"/>
              <w:right w:val="single" w:sz="6" w:space="0" w:color="auto"/>
            </w:tcBorders>
            <w:vAlign w:val="bottom"/>
          </w:tcPr>
          <w:p w14:paraId="08D56151" w14:textId="73146CD7"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6,6</w:t>
            </w:r>
          </w:p>
        </w:tc>
        <w:tc>
          <w:tcPr>
            <w:tcW w:w="1200" w:type="dxa"/>
            <w:tcBorders>
              <w:top w:val="single" w:sz="6" w:space="0" w:color="auto"/>
              <w:left w:val="single" w:sz="6" w:space="0" w:color="auto"/>
              <w:bottom w:val="single" w:sz="6" w:space="0" w:color="auto"/>
              <w:right w:val="single" w:sz="6" w:space="0" w:color="auto"/>
            </w:tcBorders>
            <w:vAlign w:val="bottom"/>
          </w:tcPr>
          <w:p w14:paraId="36B5D82E" w14:textId="672FE38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3,2</w:t>
            </w:r>
          </w:p>
        </w:tc>
        <w:tc>
          <w:tcPr>
            <w:tcW w:w="1200" w:type="dxa"/>
            <w:tcBorders>
              <w:top w:val="single" w:sz="6" w:space="0" w:color="auto"/>
              <w:left w:val="single" w:sz="6" w:space="0" w:color="auto"/>
              <w:bottom w:val="single" w:sz="6" w:space="0" w:color="auto"/>
              <w:right w:val="single" w:sz="6" w:space="0" w:color="auto"/>
            </w:tcBorders>
            <w:vAlign w:val="bottom"/>
          </w:tcPr>
          <w:p w14:paraId="2A8C41B6" w14:textId="7A6F3E13"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-0,2</w:t>
            </w:r>
          </w:p>
        </w:tc>
      </w:tr>
      <w:tr w:rsidR="221F09AA" w:rsidRPr="009366AE" w14:paraId="743AE66B"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0FC4FC0C" w14:textId="6B7A8530"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España</w:t>
            </w:r>
          </w:p>
        </w:tc>
        <w:tc>
          <w:tcPr>
            <w:tcW w:w="1485" w:type="dxa"/>
            <w:tcBorders>
              <w:top w:val="single" w:sz="6" w:space="0" w:color="auto"/>
              <w:left w:val="single" w:sz="6" w:space="0" w:color="auto"/>
              <w:bottom w:val="single" w:sz="6" w:space="0" w:color="auto"/>
              <w:right w:val="single" w:sz="6" w:space="0" w:color="auto"/>
            </w:tcBorders>
            <w:vAlign w:val="bottom"/>
          </w:tcPr>
          <w:p w14:paraId="5150558E" w14:textId="0907BC5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5,1</w:t>
            </w:r>
          </w:p>
        </w:tc>
        <w:tc>
          <w:tcPr>
            <w:tcW w:w="1200" w:type="dxa"/>
            <w:tcBorders>
              <w:top w:val="single" w:sz="6" w:space="0" w:color="auto"/>
              <w:left w:val="single" w:sz="6" w:space="0" w:color="auto"/>
              <w:bottom w:val="single" w:sz="6" w:space="0" w:color="auto"/>
              <w:right w:val="single" w:sz="6" w:space="0" w:color="auto"/>
            </w:tcBorders>
            <w:vAlign w:val="bottom"/>
          </w:tcPr>
          <w:p w14:paraId="21D93BE7" w14:textId="4AC1C6D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4,3</w:t>
            </w:r>
          </w:p>
        </w:tc>
        <w:tc>
          <w:tcPr>
            <w:tcW w:w="1200" w:type="dxa"/>
            <w:tcBorders>
              <w:top w:val="single" w:sz="6" w:space="0" w:color="auto"/>
              <w:left w:val="single" w:sz="6" w:space="0" w:color="auto"/>
              <w:bottom w:val="single" w:sz="6" w:space="0" w:color="auto"/>
              <w:right w:val="single" w:sz="6" w:space="0" w:color="auto"/>
            </w:tcBorders>
            <w:vAlign w:val="bottom"/>
          </w:tcPr>
          <w:p w14:paraId="299BCBB6" w14:textId="0FE3B5B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1,2</w:t>
            </w:r>
          </w:p>
        </w:tc>
      </w:tr>
      <w:tr w:rsidR="221F09AA" w:rsidRPr="009366AE" w14:paraId="7446A062"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2B341FC4" w14:textId="546A74D4"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Japón</w:t>
            </w:r>
          </w:p>
        </w:tc>
        <w:tc>
          <w:tcPr>
            <w:tcW w:w="1485" w:type="dxa"/>
            <w:tcBorders>
              <w:top w:val="single" w:sz="6" w:space="0" w:color="auto"/>
              <w:left w:val="single" w:sz="6" w:space="0" w:color="auto"/>
              <w:bottom w:val="single" w:sz="6" w:space="0" w:color="auto"/>
              <w:right w:val="single" w:sz="6" w:space="0" w:color="auto"/>
            </w:tcBorders>
            <w:vAlign w:val="bottom"/>
          </w:tcPr>
          <w:p w14:paraId="005D5C58" w14:textId="18DC0AA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1,7</w:t>
            </w:r>
          </w:p>
        </w:tc>
        <w:tc>
          <w:tcPr>
            <w:tcW w:w="1200" w:type="dxa"/>
            <w:tcBorders>
              <w:top w:val="single" w:sz="6" w:space="0" w:color="auto"/>
              <w:left w:val="single" w:sz="6" w:space="0" w:color="auto"/>
              <w:bottom w:val="single" w:sz="6" w:space="0" w:color="auto"/>
              <w:right w:val="single" w:sz="6" w:space="0" w:color="auto"/>
            </w:tcBorders>
            <w:vAlign w:val="bottom"/>
          </w:tcPr>
          <w:p w14:paraId="30A438F6" w14:textId="420F9103"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1,7</w:t>
            </w:r>
          </w:p>
        </w:tc>
        <w:tc>
          <w:tcPr>
            <w:tcW w:w="1200" w:type="dxa"/>
            <w:tcBorders>
              <w:top w:val="single" w:sz="6" w:space="0" w:color="auto"/>
              <w:left w:val="single" w:sz="6" w:space="0" w:color="auto"/>
              <w:bottom w:val="single" w:sz="6" w:space="0" w:color="auto"/>
              <w:right w:val="single" w:sz="6" w:space="0" w:color="auto"/>
            </w:tcBorders>
            <w:vAlign w:val="bottom"/>
          </w:tcPr>
          <w:p w14:paraId="300B98C1" w14:textId="42255B2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1,6</w:t>
            </w:r>
          </w:p>
        </w:tc>
      </w:tr>
      <w:tr w:rsidR="221F09AA" w:rsidRPr="009366AE" w14:paraId="2C91E05A"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834A95A" w14:textId="01B32545"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Reino Unido</w:t>
            </w:r>
          </w:p>
        </w:tc>
        <w:tc>
          <w:tcPr>
            <w:tcW w:w="1485" w:type="dxa"/>
            <w:tcBorders>
              <w:top w:val="single" w:sz="6" w:space="0" w:color="auto"/>
              <w:left w:val="single" w:sz="6" w:space="0" w:color="auto"/>
              <w:bottom w:val="single" w:sz="6" w:space="0" w:color="auto"/>
              <w:right w:val="single" w:sz="6" w:space="0" w:color="auto"/>
            </w:tcBorders>
            <w:vAlign w:val="bottom"/>
          </w:tcPr>
          <w:p w14:paraId="38E01F3B" w14:textId="6D928F4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7,4</w:t>
            </w:r>
          </w:p>
        </w:tc>
        <w:tc>
          <w:tcPr>
            <w:tcW w:w="1200" w:type="dxa"/>
            <w:tcBorders>
              <w:top w:val="single" w:sz="6" w:space="0" w:color="auto"/>
              <w:left w:val="single" w:sz="6" w:space="0" w:color="auto"/>
              <w:bottom w:val="single" w:sz="6" w:space="0" w:color="auto"/>
              <w:right w:val="single" w:sz="6" w:space="0" w:color="auto"/>
            </w:tcBorders>
            <w:vAlign w:val="bottom"/>
          </w:tcPr>
          <w:p w14:paraId="5A675C71" w14:textId="6AD6709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c>
          <w:tcPr>
            <w:tcW w:w="1200" w:type="dxa"/>
            <w:tcBorders>
              <w:top w:val="single" w:sz="6" w:space="0" w:color="auto"/>
              <w:left w:val="single" w:sz="6" w:space="0" w:color="auto"/>
              <w:bottom w:val="single" w:sz="6" w:space="0" w:color="auto"/>
              <w:right w:val="single" w:sz="6" w:space="0" w:color="auto"/>
            </w:tcBorders>
            <w:vAlign w:val="bottom"/>
          </w:tcPr>
          <w:p w14:paraId="3B8849B4" w14:textId="67E5BB5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0,3</w:t>
            </w:r>
          </w:p>
        </w:tc>
      </w:tr>
      <w:tr w:rsidR="221F09AA" w:rsidRPr="009366AE" w14:paraId="2BC33EE6"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7E414CD9" w14:textId="3FC454CF"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Canadá</w:t>
            </w:r>
          </w:p>
        </w:tc>
        <w:tc>
          <w:tcPr>
            <w:tcW w:w="1485" w:type="dxa"/>
            <w:tcBorders>
              <w:top w:val="single" w:sz="6" w:space="0" w:color="auto"/>
              <w:left w:val="single" w:sz="6" w:space="0" w:color="auto"/>
              <w:bottom w:val="single" w:sz="6" w:space="0" w:color="auto"/>
              <w:right w:val="single" w:sz="6" w:space="0" w:color="auto"/>
            </w:tcBorders>
            <w:vAlign w:val="bottom"/>
          </w:tcPr>
          <w:p w14:paraId="697AC9E2" w14:textId="40C80EC7"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4,5</w:t>
            </w:r>
          </w:p>
        </w:tc>
        <w:tc>
          <w:tcPr>
            <w:tcW w:w="1200" w:type="dxa"/>
            <w:tcBorders>
              <w:top w:val="single" w:sz="6" w:space="0" w:color="auto"/>
              <w:left w:val="single" w:sz="6" w:space="0" w:color="auto"/>
              <w:bottom w:val="single" w:sz="6" w:space="0" w:color="auto"/>
              <w:right w:val="single" w:sz="6" w:space="0" w:color="auto"/>
            </w:tcBorders>
            <w:vAlign w:val="bottom"/>
          </w:tcPr>
          <w:p w14:paraId="3F830C59" w14:textId="444B437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3,3</w:t>
            </w:r>
          </w:p>
        </w:tc>
        <w:tc>
          <w:tcPr>
            <w:tcW w:w="1200" w:type="dxa"/>
            <w:tcBorders>
              <w:top w:val="single" w:sz="6" w:space="0" w:color="auto"/>
              <w:left w:val="single" w:sz="6" w:space="0" w:color="auto"/>
              <w:bottom w:val="single" w:sz="6" w:space="0" w:color="auto"/>
              <w:right w:val="single" w:sz="6" w:space="0" w:color="auto"/>
            </w:tcBorders>
            <w:vAlign w:val="bottom"/>
          </w:tcPr>
          <w:p w14:paraId="276E9E8F" w14:textId="4482E3F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1,5</w:t>
            </w:r>
          </w:p>
        </w:tc>
      </w:tr>
      <w:tr w:rsidR="221F09AA" w:rsidRPr="009366AE" w14:paraId="0DDC4916" w14:textId="77777777" w:rsidTr="221F09AA">
        <w:trPr>
          <w:trHeight w:val="5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AE7C313" w14:textId="04ABDFE9"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Otras economías avanzadas</w:t>
            </w:r>
          </w:p>
        </w:tc>
        <w:tc>
          <w:tcPr>
            <w:tcW w:w="1485" w:type="dxa"/>
            <w:tcBorders>
              <w:top w:val="single" w:sz="6" w:space="0" w:color="auto"/>
              <w:left w:val="single" w:sz="6" w:space="0" w:color="auto"/>
              <w:bottom w:val="single" w:sz="6" w:space="0" w:color="auto"/>
              <w:right w:val="single" w:sz="6" w:space="0" w:color="auto"/>
            </w:tcBorders>
            <w:vAlign w:val="bottom"/>
          </w:tcPr>
          <w:p w14:paraId="57076C6F" w14:textId="020584C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5,3</w:t>
            </w:r>
          </w:p>
        </w:tc>
        <w:tc>
          <w:tcPr>
            <w:tcW w:w="1200" w:type="dxa"/>
            <w:tcBorders>
              <w:top w:val="single" w:sz="6" w:space="0" w:color="auto"/>
              <w:left w:val="single" w:sz="6" w:space="0" w:color="auto"/>
              <w:bottom w:val="single" w:sz="6" w:space="0" w:color="auto"/>
              <w:right w:val="single" w:sz="6" w:space="0" w:color="auto"/>
            </w:tcBorders>
            <w:vAlign w:val="bottom"/>
          </w:tcPr>
          <w:p w14:paraId="08BD7D05" w14:textId="3713DCE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2,8</w:t>
            </w:r>
          </w:p>
        </w:tc>
        <w:tc>
          <w:tcPr>
            <w:tcW w:w="1200" w:type="dxa"/>
            <w:tcBorders>
              <w:top w:val="single" w:sz="6" w:space="0" w:color="auto"/>
              <w:left w:val="single" w:sz="6" w:space="0" w:color="auto"/>
              <w:bottom w:val="single" w:sz="6" w:space="0" w:color="auto"/>
              <w:right w:val="single" w:sz="6" w:space="0" w:color="auto"/>
            </w:tcBorders>
            <w:vAlign w:val="bottom"/>
          </w:tcPr>
          <w:p w14:paraId="5CFD1464" w14:textId="7B0A582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2,3</w:t>
            </w:r>
          </w:p>
        </w:tc>
      </w:tr>
      <w:tr w:rsidR="221F09AA" w:rsidRPr="009366AE" w14:paraId="6D5AF496" w14:textId="77777777" w:rsidTr="221F09AA">
        <w:trPr>
          <w:trHeight w:val="570"/>
          <w:jc w:val="center"/>
        </w:trPr>
        <w:tc>
          <w:tcPr>
            <w:tcW w:w="3465"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67D77CBD" w14:textId="289DCE8A"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Economías emergentes y en desarrollo</w:t>
            </w:r>
          </w:p>
        </w:tc>
        <w:tc>
          <w:tcPr>
            <w:tcW w:w="1485"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5F9063AD" w14:textId="4EF1F567"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6,6</w:t>
            </w:r>
          </w:p>
        </w:tc>
        <w:tc>
          <w:tcPr>
            <w:tcW w:w="1200"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3975C4DE" w14:textId="505CC728"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3,7</w:t>
            </w:r>
          </w:p>
        </w:tc>
        <w:tc>
          <w:tcPr>
            <w:tcW w:w="1200" w:type="dxa"/>
            <w:tcBorders>
              <w:top w:val="single" w:sz="6" w:space="0" w:color="auto"/>
              <w:left w:val="single" w:sz="6" w:space="0" w:color="auto"/>
              <w:bottom w:val="single" w:sz="6" w:space="0" w:color="auto"/>
              <w:right w:val="single" w:sz="6" w:space="0" w:color="auto"/>
            </w:tcBorders>
            <w:shd w:val="clear" w:color="auto" w:fill="AEAAAA" w:themeFill="background2" w:themeFillShade="BF"/>
            <w:vAlign w:val="bottom"/>
          </w:tcPr>
          <w:p w14:paraId="397CEBB2" w14:textId="3FCCA8EA"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3,7</w:t>
            </w:r>
          </w:p>
        </w:tc>
      </w:tr>
      <w:tr w:rsidR="221F09AA" w:rsidRPr="009366AE" w14:paraId="04E3A1C9" w14:textId="77777777" w:rsidTr="221F09AA">
        <w:trPr>
          <w:trHeight w:val="5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67CEE7A9" w14:textId="681F1F1B"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Economías emergentes y en desarrollo de Asia</w:t>
            </w:r>
          </w:p>
        </w:tc>
        <w:tc>
          <w:tcPr>
            <w:tcW w:w="1485" w:type="dxa"/>
            <w:tcBorders>
              <w:top w:val="single" w:sz="6" w:space="0" w:color="auto"/>
              <w:left w:val="single" w:sz="6" w:space="0" w:color="auto"/>
              <w:bottom w:val="single" w:sz="6" w:space="0" w:color="auto"/>
              <w:right w:val="single" w:sz="6" w:space="0" w:color="auto"/>
            </w:tcBorders>
            <w:vAlign w:val="bottom"/>
          </w:tcPr>
          <w:p w14:paraId="516611F2" w14:textId="54D7BE4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7,2</w:t>
            </w:r>
          </w:p>
        </w:tc>
        <w:tc>
          <w:tcPr>
            <w:tcW w:w="1200" w:type="dxa"/>
            <w:tcBorders>
              <w:top w:val="single" w:sz="6" w:space="0" w:color="auto"/>
              <w:left w:val="single" w:sz="6" w:space="0" w:color="auto"/>
              <w:bottom w:val="single" w:sz="6" w:space="0" w:color="auto"/>
              <w:right w:val="single" w:sz="6" w:space="0" w:color="auto"/>
            </w:tcBorders>
            <w:vAlign w:val="bottom"/>
          </w:tcPr>
          <w:p w14:paraId="0F1A99CD" w14:textId="1C0F841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4,4</w:t>
            </w:r>
          </w:p>
        </w:tc>
        <w:tc>
          <w:tcPr>
            <w:tcW w:w="1200" w:type="dxa"/>
            <w:tcBorders>
              <w:top w:val="single" w:sz="6" w:space="0" w:color="auto"/>
              <w:left w:val="single" w:sz="6" w:space="0" w:color="auto"/>
              <w:bottom w:val="single" w:sz="6" w:space="0" w:color="auto"/>
              <w:right w:val="single" w:sz="6" w:space="0" w:color="auto"/>
            </w:tcBorders>
            <w:vAlign w:val="bottom"/>
          </w:tcPr>
          <w:p w14:paraId="2194CE46" w14:textId="5F956F5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4,9</w:t>
            </w:r>
          </w:p>
        </w:tc>
      </w:tr>
      <w:tr w:rsidR="221F09AA" w:rsidRPr="009366AE" w14:paraId="70E0A932"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0D1E5089" w14:textId="27A41753"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China</w:t>
            </w:r>
          </w:p>
        </w:tc>
        <w:tc>
          <w:tcPr>
            <w:tcW w:w="1485" w:type="dxa"/>
            <w:tcBorders>
              <w:top w:val="single" w:sz="6" w:space="0" w:color="auto"/>
              <w:left w:val="single" w:sz="6" w:space="0" w:color="auto"/>
              <w:bottom w:val="single" w:sz="6" w:space="0" w:color="auto"/>
              <w:right w:val="single" w:sz="6" w:space="0" w:color="auto"/>
            </w:tcBorders>
            <w:vAlign w:val="bottom"/>
          </w:tcPr>
          <w:p w14:paraId="2920B110" w14:textId="19051E3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8,1</w:t>
            </w:r>
          </w:p>
        </w:tc>
        <w:tc>
          <w:tcPr>
            <w:tcW w:w="1200" w:type="dxa"/>
            <w:tcBorders>
              <w:top w:val="single" w:sz="6" w:space="0" w:color="auto"/>
              <w:left w:val="single" w:sz="6" w:space="0" w:color="auto"/>
              <w:bottom w:val="single" w:sz="6" w:space="0" w:color="auto"/>
              <w:right w:val="single" w:sz="6" w:space="0" w:color="auto"/>
            </w:tcBorders>
            <w:vAlign w:val="bottom"/>
          </w:tcPr>
          <w:p w14:paraId="130DDC5C" w14:textId="2E1102E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3,2</w:t>
            </w:r>
          </w:p>
        </w:tc>
        <w:tc>
          <w:tcPr>
            <w:tcW w:w="1200" w:type="dxa"/>
            <w:tcBorders>
              <w:top w:val="single" w:sz="6" w:space="0" w:color="auto"/>
              <w:left w:val="single" w:sz="6" w:space="0" w:color="auto"/>
              <w:bottom w:val="single" w:sz="6" w:space="0" w:color="auto"/>
              <w:right w:val="single" w:sz="6" w:space="0" w:color="auto"/>
            </w:tcBorders>
            <w:vAlign w:val="bottom"/>
          </w:tcPr>
          <w:p w14:paraId="295AFFA3" w14:textId="656AFF0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4,4</w:t>
            </w:r>
          </w:p>
        </w:tc>
      </w:tr>
      <w:tr w:rsidR="221F09AA" w:rsidRPr="009366AE" w14:paraId="3ECD3A96"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51F8A259" w14:textId="4B955C0E"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India</w:t>
            </w:r>
          </w:p>
        </w:tc>
        <w:tc>
          <w:tcPr>
            <w:tcW w:w="1485" w:type="dxa"/>
            <w:tcBorders>
              <w:top w:val="single" w:sz="6" w:space="0" w:color="auto"/>
              <w:left w:val="single" w:sz="6" w:space="0" w:color="auto"/>
              <w:bottom w:val="single" w:sz="6" w:space="0" w:color="auto"/>
              <w:right w:val="single" w:sz="6" w:space="0" w:color="auto"/>
            </w:tcBorders>
            <w:vAlign w:val="bottom"/>
          </w:tcPr>
          <w:p w14:paraId="123946B1" w14:textId="20685144"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8,7</w:t>
            </w:r>
          </w:p>
        </w:tc>
        <w:tc>
          <w:tcPr>
            <w:tcW w:w="1200" w:type="dxa"/>
            <w:tcBorders>
              <w:top w:val="single" w:sz="6" w:space="0" w:color="auto"/>
              <w:left w:val="single" w:sz="6" w:space="0" w:color="auto"/>
              <w:bottom w:val="single" w:sz="6" w:space="0" w:color="auto"/>
              <w:right w:val="single" w:sz="6" w:space="0" w:color="auto"/>
            </w:tcBorders>
            <w:vAlign w:val="bottom"/>
          </w:tcPr>
          <w:p w14:paraId="0D0FC541" w14:textId="4AD69364"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6,8</w:t>
            </w:r>
          </w:p>
        </w:tc>
        <w:tc>
          <w:tcPr>
            <w:tcW w:w="1200" w:type="dxa"/>
            <w:tcBorders>
              <w:top w:val="single" w:sz="6" w:space="0" w:color="auto"/>
              <w:left w:val="single" w:sz="6" w:space="0" w:color="auto"/>
              <w:bottom w:val="single" w:sz="6" w:space="0" w:color="auto"/>
              <w:right w:val="single" w:sz="6" w:space="0" w:color="auto"/>
            </w:tcBorders>
            <w:vAlign w:val="bottom"/>
          </w:tcPr>
          <w:p w14:paraId="5C781DF2" w14:textId="01B2D9B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6,1</w:t>
            </w:r>
          </w:p>
        </w:tc>
      </w:tr>
      <w:tr w:rsidR="221F09AA" w:rsidRPr="009366AE" w14:paraId="111A1CBF"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03979E8F" w14:textId="154783F5"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ASEAN-5</w:t>
            </w:r>
          </w:p>
        </w:tc>
        <w:tc>
          <w:tcPr>
            <w:tcW w:w="1485" w:type="dxa"/>
            <w:tcBorders>
              <w:top w:val="single" w:sz="6" w:space="0" w:color="auto"/>
              <w:left w:val="single" w:sz="6" w:space="0" w:color="auto"/>
              <w:bottom w:val="single" w:sz="6" w:space="0" w:color="auto"/>
              <w:right w:val="single" w:sz="6" w:space="0" w:color="auto"/>
            </w:tcBorders>
            <w:vAlign w:val="bottom"/>
          </w:tcPr>
          <w:p w14:paraId="12A92389" w14:textId="037CE0A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3,4</w:t>
            </w:r>
          </w:p>
        </w:tc>
        <w:tc>
          <w:tcPr>
            <w:tcW w:w="1200" w:type="dxa"/>
            <w:tcBorders>
              <w:top w:val="single" w:sz="6" w:space="0" w:color="auto"/>
              <w:left w:val="single" w:sz="6" w:space="0" w:color="auto"/>
              <w:bottom w:val="single" w:sz="6" w:space="0" w:color="auto"/>
              <w:right w:val="single" w:sz="6" w:space="0" w:color="auto"/>
            </w:tcBorders>
            <w:vAlign w:val="bottom"/>
          </w:tcPr>
          <w:p w14:paraId="3E923E5E" w14:textId="32F32EDC"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5,3</w:t>
            </w:r>
          </w:p>
        </w:tc>
        <w:tc>
          <w:tcPr>
            <w:tcW w:w="1200" w:type="dxa"/>
            <w:tcBorders>
              <w:top w:val="single" w:sz="6" w:space="0" w:color="auto"/>
              <w:left w:val="single" w:sz="6" w:space="0" w:color="auto"/>
              <w:bottom w:val="single" w:sz="6" w:space="0" w:color="auto"/>
              <w:right w:val="single" w:sz="6" w:space="0" w:color="auto"/>
            </w:tcBorders>
            <w:vAlign w:val="bottom"/>
          </w:tcPr>
          <w:p w14:paraId="25A703A7" w14:textId="4FC3C3E7"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4,9</w:t>
            </w:r>
          </w:p>
        </w:tc>
      </w:tr>
      <w:tr w:rsidR="221F09AA" w:rsidRPr="009366AE" w14:paraId="3AB5432B" w14:textId="77777777" w:rsidTr="221F09AA">
        <w:trPr>
          <w:trHeight w:val="5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1778C527" w14:textId="0190BF5B"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lastRenderedPageBreak/>
              <w:t>Economías emergentes y en desarrollo de Europa</w:t>
            </w:r>
          </w:p>
        </w:tc>
        <w:tc>
          <w:tcPr>
            <w:tcW w:w="1485" w:type="dxa"/>
            <w:tcBorders>
              <w:top w:val="single" w:sz="6" w:space="0" w:color="auto"/>
              <w:left w:val="single" w:sz="6" w:space="0" w:color="auto"/>
              <w:bottom w:val="single" w:sz="6" w:space="0" w:color="auto"/>
              <w:right w:val="single" w:sz="6" w:space="0" w:color="auto"/>
            </w:tcBorders>
            <w:vAlign w:val="bottom"/>
          </w:tcPr>
          <w:p w14:paraId="6205D734" w14:textId="68EEFD42"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6,8</w:t>
            </w:r>
          </w:p>
        </w:tc>
        <w:tc>
          <w:tcPr>
            <w:tcW w:w="1200" w:type="dxa"/>
            <w:tcBorders>
              <w:top w:val="single" w:sz="6" w:space="0" w:color="auto"/>
              <w:left w:val="single" w:sz="6" w:space="0" w:color="auto"/>
              <w:bottom w:val="single" w:sz="6" w:space="0" w:color="auto"/>
              <w:right w:val="single" w:sz="6" w:space="0" w:color="auto"/>
            </w:tcBorders>
            <w:vAlign w:val="bottom"/>
          </w:tcPr>
          <w:p w14:paraId="57C3F0AE" w14:textId="434FBE22"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0,0</w:t>
            </w:r>
          </w:p>
        </w:tc>
        <w:tc>
          <w:tcPr>
            <w:tcW w:w="1200" w:type="dxa"/>
            <w:tcBorders>
              <w:top w:val="single" w:sz="6" w:space="0" w:color="auto"/>
              <w:left w:val="single" w:sz="6" w:space="0" w:color="auto"/>
              <w:bottom w:val="single" w:sz="6" w:space="0" w:color="auto"/>
              <w:right w:val="single" w:sz="6" w:space="0" w:color="auto"/>
            </w:tcBorders>
            <w:vAlign w:val="bottom"/>
          </w:tcPr>
          <w:p w14:paraId="15212AF4" w14:textId="4050323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0,6</w:t>
            </w:r>
          </w:p>
        </w:tc>
      </w:tr>
      <w:tr w:rsidR="221F09AA" w:rsidRPr="009366AE" w14:paraId="7CCA8BAE"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6A9BDAC" w14:textId="33D3F4E8"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Rusia</w:t>
            </w:r>
          </w:p>
        </w:tc>
        <w:tc>
          <w:tcPr>
            <w:tcW w:w="1485" w:type="dxa"/>
            <w:tcBorders>
              <w:top w:val="single" w:sz="6" w:space="0" w:color="auto"/>
              <w:left w:val="single" w:sz="6" w:space="0" w:color="auto"/>
              <w:bottom w:val="single" w:sz="6" w:space="0" w:color="auto"/>
              <w:right w:val="single" w:sz="6" w:space="0" w:color="auto"/>
            </w:tcBorders>
            <w:vAlign w:val="bottom"/>
          </w:tcPr>
          <w:p w14:paraId="79D05D47" w14:textId="257E4C3A"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4,7</w:t>
            </w:r>
          </w:p>
        </w:tc>
        <w:tc>
          <w:tcPr>
            <w:tcW w:w="1200" w:type="dxa"/>
            <w:tcBorders>
              <w:top w:val="single" w:sz="6" w:space="0" w:color="auto"/>
              <w:left w:val="single" w:sz="6" w:space="0" w:color="auto"/>
              <w:bottom w:val="single" w:sz="6" w:space="0" w:color="auto"/>
              <w:right w:val="single" w:sz="6" w:space="0" w:color="auto"/>
            </w:tcBorders>
            <w:vAlign w:val="bottom"/>
          </w:tcPr>
          <w:p w14:paraId="3960A449" w14:textId="2E5268F2"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-3,4</w:t>
            </w:r>
          </w:p>
        </w:tc>
        <w:tc>
          <w:tcPr>
            <w:tcW w:w="1200" w:type="dxa"/>
            <w:tcBorders>
              <w:top w:val="single" w:sz="6" w:space="0" w:color="auto"/>
              <w:left w:val="single" w:sz="6" w:space="0" w:color="auto"/>
              <w:bottom w:val="single" w:sz="6" w:space="0" w:color="auto"/>
              <w:right w:val="single" w:sz="6" w:space="0" w:color="auto"/>
            </w:tcBorders>
            <w:vAlign w:val="bottom"/>
          </w:tcPr>
          <w:p w14:paraId="3DCF0055" w14:textId="3BE5432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-2,3</w:t>
            </w:r>
          </w:p>
        </w:tc>
      </w:tr>
      <w:tr w:rsidR="221F09AA" w:rsidRPr="009366AE" w14:paraId="313540EF"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5EA35967" w14:textId="36DBC430"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América Latina y el Caribe</w:t>
            </w:r>
          </w:p>
        </w:tc>
        <w:tc>
          <w:tcPr>
            <w:tcW w:w="1485" w:type="dxa"/>
            <w:tcBorders>
              <w:top w:val="single" w:sz="6" w:space="0" w:color="auto"/>
              <w:left w:val="single" w:sz="6" w:space="0" w:color="auto"/>
              <w:bottom w:val="single" w:sz="6" w:space="0" w:color="auto"/>
              <w:right w:val="single" w:sz="6" w:space="0" w:color="auto"/>
            </w:tcBorders>
            <w:vAlign w:val="bottom"/>
          </w:tcPr>
          <w:p w14:paraId="527D9659" w14:textId="2F50254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6,9</w:t>
            </w:r>
          </w:p>
        </w:tc>
        <w:tc>
          <w:tcPr>
            <w:tcW w:w="1200" w:type="dxa"/>
            <w:tcBorders>
              <w:top w:val="single" w:sz="6" w:space="0" w:color="auto"/>
              <w:left w:val="single" w:sz="6" w:space="0" w:color="auto"/>
              <w:bottom w:val="single" w:sz="6" w:space="0" w:color="auto"/>
              <w:right w:val="single" w:sz="6" w:space="0" w:color="auto"/>
            </w:tcBorders>
            <w:vAlign w:val="bottom"/>
          </w:tcPr>
          <w:p w14:paraId="75DCA5B2" w14:textId="4113663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3,5</w:t>
            </w:r>
          </w:p>
        </w:tc>
        <w:tc>
          <w:tcPr>
            <w:tcW w:w="1200" w:type="dxa"/>
            <w:tcBorders>
              <w:top w:val="single" w:sz="6" w:space="0" w:color="auto"/>
              <w:left w:val="single" w:sz="6" w:space="0" w:color="auto"/>
              <w:bottom w:val="single" w:sz="6" w:space="0" w:color="auto"/>
              <w:right w:val="single" w:sz="6" w:space="0" w:color="auto"/>
            </w:tcBorders>
            <w:vAlign w:val="bottom"/>
          </w:tcPr>
          <w:p w14:paraId="3B87CFCB" w14:textId="134927C1"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1,7</w:t>
            </w:r>
          </w:p>
        </w:tc>
      </w:tr>
      <w:tr w:rsidR="221F09AA" w:rsidRPr="009366AE" w14:paraId="32D503FE"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3C22182D" w14:textId="49C1749A"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Brasil</w:t>
            </w:r>
          </w:p>
        </w:tc>
        <w:tc>
          <w:tcPr>
            <w:tcW w:w="1485" w:type="dxa"/>
            <w:tcBorders>
              <w:top w:val="single" w:sz="6" w:space="0" w:color="auto"/>
              <w:left w:val="single" w:sz="6" w:space="0" w:color="auto"/>
              <w:bottom w:val="single" w:sz="6" w:space="0" w:color="auto"/>
              <w:right w:val="single" w:sz="6" w:space="0" w:color="auto"/>
            </w:tcBorders>
            <w:vAlign w:val="bottom"/>
          </w:tcPr>
          <w:p w14:paraId="29D04AEF" w14:textId="06FC263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4,6</w:t>
            </w:r>
          </w:p>
        </w:tc>
        <w:tc>
          <w:tcPr>
            <w:tcW w:w="1200" w:type="dxa"/>
            <w:tcBorders>
              <w:top w:val="single" w:sz="6" w:space="0" w:color="auto"/>
              <w:left w:val="single" w:sz="6" w:space="0" w:color="auto"/>
              <w:bottom w:val="single" w:sz="6" w:space="0" w:color="auto"/>
              <w:right w:val="single" w:sz="6" w:space="0" w:color="auto"/>
            </w:tcBorders>
            <w:vAlign w:val="bottom"/>
          </w:tcPr>
          <w:p w14:paraId="314CD69A" w14:textId="48B69621"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2,8</w:t>
            </w:r>
          </w:p>
        </w:tc>
        <w:tc>
          <w:tcPr>
            <w:tcW w:w="1200" w:type="dxa"/>
            <w:tcBorders>
              <w:top w:val="single" w:sz="6" w:space="0" w:color="auto"/>
              <w:left w:val="single" w:sz="6" w:space="0" w:color="auto"/>
              <w:bottom w:val="single" w:sz="6" w:space="0" w:color="auto"/>
              <w:right w:val="single" w:sz="6" w:space="0" w:color="auto"/>
            </w:tcBorders>
            <w:vAlign w:val="bottom"/>
          </w:tcPr>
          <w:p w14:paraId="1043185E" w14:textId="1445DBF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1,0</w:t>
            </w:r>
          </w:p>
        </w:tc>
      </w:tr>
      <w:tr w:rsidR="221F09AA" w:rsidRPr="009366AE" w14:paraId="434E3C81"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1AA76EEB" w14:textId="60505AF3"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México</w:t>
            </w:r>
          </w:p>
        </w:tc>
        <w:tc>
          <w:tcPr>
            <w:tcW w:w="1485" w:type="dxa"/>
            <w:tcBorders>
              <w:top w:val="single" w:sz="6" w:space="0" w:color="auto"/>
              <w:left w:val="single" w:sz="6" w:space="0" w:color="auto"/>
              <w:bottom w:val="single" w:sz="6" w:space="0" w:color="auto"/>
              <w:right w:val="single" w:sz="6" w:space="0" w:color="auto"/>
            </w:tcBorders>
            <w:vAlign w:val="bottom"/>
          </w:tcPr>
          <w:p w14:paraId="59F57072" w14:textId="41163AD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4,8</w:t>
            </w:r>
          </w:p>
        </w:tc>
        <w:tc>
          <w:tcPr>
            <w:tcW w:w="1200" w:type="dxa"/>
            <w:tcBorders>
              <w:top w:val="single" w:sz="6" w:space="0" w:color="auto"/>
              <w:left w:val="single" w:sz="6" w:space="0" w:color="auto"/>
              <w:bottom w:val="single" w:sz="6" w:space="0" w:color="auto"/>
              <w:right w:val="single" w:sz="6" w:space="0" w:color="auto"/>
            </w:tcBorders>
            <w:vAlign w:val="bottom"/>
          </w:tcPr>
          <w:p w14:paraId="2C766FD7" w14:textId="685874E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2,1</w:t>
            </w:r>
          </w:p>
        </w:tc>
        <w:tc>
          <w:tcPr>
            <w:tcW w:w="1200" w:type="dxa"/>
            <w:tcBorders>
              <w:top w:val="single" w:sz="6" w:space="0" w:color="auto"/>
              <w:left w:val="single" w:sz="6" w:space="0" w:color="auto"/>
              <w:bottom w:val="single" w:sz="6" w:space="0" w:color="auto"/>
              <w:right w:val="single" w:sz="6" w:space="0" w:color="auto"/>
            </w:tcBorders>
            <w:vAlign w:val="bottom"/>
          </w:tcPr>
          <w:p w14:paraId="66B8042A" w14:textId="741796D9"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1,2</w:t>
            </w:r>
          </w:p>
        </w:tc>
      </w:tr>
      <w:tr w:rsidR="221F09AA" w:rsidRPr="009366AE" w14:paraId="33D1D885"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6798C36E" w14:textId="4605C301"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Oriente Medio y Asia Central</w:t>
            </w:r>
          </w:p>
        </w:tc>
        <w:tc>
          <w:tcPr>
            <w:tcW w:w="1485" w:type="dxa"/>
            <w:tcBorders>
              <w:top w:val="single" w:sz="6" w:space="0" w:color="auto"/>
              <w:left w:val="single" w:sz="6" w:space="0" w:color="auto"/>
              <w:bottom w:val="single" w:sz="6" w:space="0" w:color="auto"/>
              <w:right w:val="single" w:sz="6" w:space="0" w:color="auto"/>
            </w:tcBorders>
            <w:vAlign w:val="bottom"/>
          </w:tcPr>
          <w:p w14:paraId="2B2F671E" w14:textId="27C9F6A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4,5</w:t>
            </w:r>
          </w:p>
        </w:tc>
        <w:tc>
          <w:tcPr>
            <w:tcW w:w="1200" w:type="dxa"/>
            <w:tcBorders>
              <w:top w:val="single" w:sz="6" w:space="0" w:color="auto"/>
              <w:left w:val="single" w:sz="6" w:space="0" w:color="auto"/>
              <w:bottom w:val="single" w:sz="6" w:space="0" w:color="auto"/>
              <w:right w:val="single" w:sz="6" w:space="0" w:color="auto"/>
            </w:tcBorders>
            <w:vAlign w:val="bottom"/>
          </w:tcPr>
          <w:p w14:paraId="01B055A3" w14:textId="1CBED7D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5,0</w:t>
            </w:r>
          </w:p>
        </w:tc>
        <w:tc>
          <w:tcPr>
            <w:tcW w:w="1200" w:type="dxa"/>
            <w:tcBorders>
              <w:top w:val="single" w:sz="6" w:space="0" w:color="auto"/>
              <w:left w:val="single" w:sz="6" w:space="0" w:color="auto"/>
              <w:bottom w:val="single" w:sz="6" w:space="0" w:color="auto"/>
              <w:right w:val="single" w:sz="6" w:space="0" w:color="auto"/>
            </w:tcBorders>
            <w:vAlign w:val="bottom"/>
          </w:tcPr>
          <w:p w14:paraId="47BEA326" w14:textId="0D5B616F"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r>
      <w:tr w:rsidR="221F09AA" w:rsidRPr="009366AE" w14:paraId="243FB7A9"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39E12D2E" w14:textId="7280F17F"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Arabia Saudita</w:t>
            </w:r>
          </w:p>
        </w:tc>
        <w:tc>
          <w:tcPr>
            <w:tcW w:w="1485" w:type="dxa"/>
            <w:tcBorders>
              <w:top w:val="single" w:sz="6" w:space="0" w:color="auto"/>
              <w:left w:val="single" w:sz="6" w:space="0" w:color="auto"/>
              <w:bottom w:val="single" w:sz="6" w:space="0" w:color="auto"/>
              <w:right w:val="single" w:sz="6" w:space="0" w:color="auto"/>
            </w:tcBorders>
            <w:vAlign w:val="bottom"/>
          </w:tcPr>
          <w:p w14:paraId="13F7A0E8" w14:textId="3F7AB884"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3,2</w:t>
            </w:r>
          </w:p>
        </w:tc>
        <w:tc>
          <w:tcPr>
            <w:tcW w:w="1200" w:type="dxa"/>
            <w:tcBorders>
              <w:top w:val="single" w:sz="6" w:space="0" w:color="auto"/>
              <w:left w:val="single" w:sz="6" w:space="0" w:color="auto"/>
              <w:bottom w:val="single" w:sz="6" w:space="0" w:color="auto"/>
              <w:right w:val="single" w:sz="6" w:space="0" w:color="auto"/>
            </w:tcBorders>
            <w:vAlign w:val="bottom"/>
          </w:tcPr>
          <w:p w14:paraId="65B27471" w14:textId="05B0768C"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7,6</w:t>
            </w:r>
          </w:p>
        </w:tc>
        <w:tc>
          <w:tcPr>
            <w:tcW w:w="1200" w:type="dxa"/>
            <w:tcBorders>
              <w:top w:val="single" w:sz="6" w:space="0" w:color="auto"/>
              <w:left w:val="single" w:sz="6" w:space="0" w:color="auto"/>
              <w:bottom w:val="single" w:sz="6" w:space="0" w:color="auto"/>
              <w:right w:val="single" w:sz="6" w:space="0" w:color="auto"/>
            </w:tcBorders>
            <w:vAlign w:val="bottom"/>
          </w:tcPr>
          <w:p w14:paraId="5DC628EB" w14:textId="75361ED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3,7</w:t>
            </w:r>
          </w:p>
        </w:tc>
      </w:tr>
      <w:tr w:rsidR="221F09AA" w:rsidRPr="009366AE" w14:paraId="1D3C3216"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35504B4" w14:textId="7EA48811"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África Subsahariana</w:t>
            </w:r>
          </w:p>
        </w:tc>
        <w:tc>
          <w:tcPr>
            <w:tcW w:w="1485" w:type="dxa"/>
            <w:tcBorders>
              <w:top w:val="single" w:sz="6" w:space="0" w:color="auto"/>
              <w:left w:val="single" w:sz="6" w:space="0" w:color="auto"/>
              <w:bottom w:val="single" w:sz="6" w:space="0" w:color="auto"/>
              <w:right w:val="single" w:sz="6" w:space="0" w:color="auto"/>
            </w:tcBorders>
            <w:vAlign w:val="bottom"/>
          </w:tcPr>
          <w:p w14:paraId="05307DEC" w14:textId="60DF6552"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4,7</w:t>
            </w:r>
          </w:p>
        </w:tc>
        <w:tc>
          <w:tcPr>
            <w:tcW w:w="1200" w:type="dxa"/>
            <w:tcBorders>
              <w:top w:val="single" w:sz="6" w:space="0" w:color="auto"/>
              <w:left w:val="single" w:sz="6" w:space="0" w:color="auto"/>
              <w:bottom w:val="single" w:sz="6" w:space="0" w:color="auto"/>
              <w:right w:val="single" w:sz="6" w:space="0" w:color="auto"/>
            </w:tcBorders>
            <w:vAlign w:val="bottom"/>
          </w:tcPr>
          <w:p w14:paraId="231FAA12" w14:textId="7657E361"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c>
          <w:tcPr>
            <w:tcW w:w="1200" w:type="dxa"/>
            <w:tcBorders>
              <w:top w:val="single" w:sz="6" w:space="0" w:color="auto"/>
              <w:left w:val="single" w:sz="6" w:space="0" w:color="auto"/>
              <w:bottom w:val="single" w:sz="6" w:space="0" w:color="auto"/>
              <w:right w:val="single" w:sz="6" w:space="0" w:color="auto"/>
            </w:tcBorders>
            <w:vAlign w:val="bottom"/>
          </w:tcPr>
          <w:p w14:paraId="3E809852" w14:textId="2ED61D2E"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3,7</w:t>
            </w:r>
          </w:p>
        </w:tc>
      </w:tr>
      <w:tr w:rsidR="221F09AA" w:rsidRPr="009366AE" w14:paraId="5D788CC9"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2015024F" w14:textId="7DC640F2"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Nigeria</w:t>
            </w:r>
          </w:p>
        </w:tc>
        <w:tc>
          <w:tcPr>
            <w:tcW w:w="1485" w:type="dxa"/>
            <w:tcBorders>
              <w:top w:val="single" w:sz="6" w:space="0" w:color="auto"/>
              <w:left w:val="single" w:sz="6" w:space="0" w:color="auto"/>
              <w:bottom w:val="single" w:sz="6" w:space="0" w:color="auto"/>
              <w:right w:val="single" w:sz="6" w:space="0" w:color="auto"/>
            </w:tcBorders>
            <w:vAlign w:val="bottom"/>
          </w:tcPr>
          <w:p w14:paraId="65BCDF21" w14:textId="0A68AA3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c>
          <w:tcPr>
            <w:tcW w:w="1200" w:type="dxa"/>
            <w:tcBorders>
              <w:top w:val="single" w:sz="6" w:space="0" w:color="auto"/>
              <w:left w:val="single" w:sz="6" w:space="0" w:color="auto"/>
              <w:bottom w:val="single" w:sz="6" w:space="0" w:color="auto"/>
              <w:right w:val="single" w:sz="6" w:space="0" w:color="auto"/>
            </w:tcBorders>
            <w:vAlign w:val="bottom"/>
          </w:tcPr>
          <w:p w14:paraId="5317A06D" w14:textId="066DA1B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3,2</w:t>
            </w:r>
          </w:p>
        </w:tc>
        <w:tc>
          <w:tcPr>
            <w:tcW w:w="1200" w:type="dxa"/>
            <w:tcBorders>
              <w:top w:val="single" w:sz="6" w:space="0" w:color="auto"/>
              <w:left w:val="single" w:sz="6" w:space="0" w:color="auto"/>
              <w:bottom w:val="single" w:sz="6" w:space="0" w:color="auto"/>
              <w:right w:val="single" w:sz="6" w:space="0" w:color="auto"/>
            </w:tcBorders>
            <w:vAlign w:val="bottom"/>
          </w:tcPr>
          <w:p w14:paraId="103E4114" w14:textId="7A29944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3,0</w:t>
            </w:r>
          </w:p>
        </w:tc>
      </w:tr>
      <w:tr w:rsidR="221F09AA" w:rsidRPr="009366AE" w14:paraId="6AFEF655" w14:textId="77777777" w:rsidTr="221F09AA">
        <w:trPr>
          <w:trHeight w:val="2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726AC741" w14:textId="3F2C9837"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Sudáfrica</w:t>
            </w:r>
          </w:p>
        </w:tc>
        <w:tc>
          <w:tcPr>
            <w:tcW w:w="1485" w:type="dxa"/>
            <w:tcBorders>
              <w:top w:val="single" w:sz="6" w:space="0" w:color="auto"/>
              <w:left w:val="single" w:sz="6" w:space="0" w:color="auto"/>
              <w:bottom w:val="single" w:sz="6" w:space="0" w:color="auto"/>
              <w:right w:val="single" w:sz="6" w:space="0" w:color="auto"/>
            </w:tcBorders>
            <w:vAlign w:val="bottom"/>
          </w:tcPr>
          <w:p w14:paraId="019B1562" w14:textId="159E2596"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4,9</w:t>
            </w:r>
          </w:p>
        </w:tc>
        <w:tc>
          <w:tcPr>
            <w:tcW w:w="1200" w:type="dxa"/>
            <w:tcBorders>
              <w:top w:val="single" w:sz="6" w:space="0" w:color="auto"/>
              <w:left w:val="single" w:sz="6" w:space="0" w:color="auto"/>
              <w:bottom w:val="single" w:sz="6" w:space="0" w:color="auto"/>
              <w:right w:val="single" w:sz="6" w:space="0" w:color="auto"/>
            </w:tcBorders>
            <w:vAlign w:val="bottom"/>
          </w:tcPr>
          <w:p w14:paraId="2DC35266" w14:textId="03FB536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2,1</w:t>
            </w:r>
          </w:p>
        </w:tc>
        <w:tc>
          <w:tcPr>
            <w:tcW w:w="1200" w:type="dxa"/>
            <w:tcBorders>
              <w:top w:val="single" w:sz="6" w:space="0" w:color="auto"/>
              <w:left w:val="single" w:sz="6" w:space="0" w:color="auto"/>
              <w:bottom w:val="single" w:sz="6" w:space="0" w:color="auto"/>
              <w:right w:val="single" w:sz="6" w:space="0" w:color="auto"/>
            </w:tcBorders>
            <w:vAlign w:val="bottom"/>
          </w:tcPr>
          <w:p w14:paraId="09D0FA78" w14:textId="43649632"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1,1</w:t>
            </w:r>
          </w:p>
        </w:tc>
      </w:tr>
      <w:tr w:rsidR="221F09AA" w:rsidRPr="009366AE" w14:paraId="58AE20C2" w14:textId="77777777" w:rsidTr="221F09AA">
        <w:trPr>
          <w:trHeight w:val="570"/>
          <w:jc w:val="center"/>
        </w:trPr>
        <w:tc>
          <w:tcPr>
            <w:tcW w:w="3465" w:type="dxa"/>
            <w:tcBorders>
              <w:top w:val="single" w:sz="6" w:space="0" w:color="auto"/>
              <w:left w:val="single" w:sz="6" w:space="0" w:color="auto"/>
              <w:bottom w:val="single" w:sz="6" w:space="0" w:color="auto"/>
              <w:right w:val="single" w:sz="6" w:space="0" w:color="auto"/>
            </w:tcBorders>
            <w:vAlign w:val="bottom"/>
          </w:tcPr>
          <w:p w14:paraId="4253FA86" w14:textId="53ADD318"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Economías emergentes y de mediano ingreso</w:t>
            </w:r>
          </w:p>
        </w:tc>
        <w:tc>
          <w:tcPr>
            <w:tcW w:w="1485" w:type="dxa"/>
            <w:tcBorders>
              <w:top w:val="single" w:sz="6" w:space="0" w:color="auto"/>
              <w:left w:val="single" w:sz="6" w:space="0" w:color="auto"/>
              <w:bottom w:val="single" w:sz="6" w:space="0" w:color="auto"/>
              <w:right w:val="single" w:sz="6" w:space="0" w:color="auto"/>
            </w:tcBorders>
            <w:vAlign w:val="bottom"/>
          </w:tcPr>
          <w:p w14:paraId="215D590C" w14:textId="226D4B08"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6,8</w:t>
            </w:r>
          </w:p>
        </w:tc>
        <w:tc>
          <w:tcPr>
            <w:tcW w:w="1200" w:type="dxa"/>
            <w:tcBorders>
              <w:top w:val="single" w:sz="6" w:space="0" w:color="auto"/>
              <w:left w:val="single" w:sz="6" w:space="0" w:color="auto"/>
              <w:bottom w:val="single" w:sz="6" w:space="0" w:color="auto"/>
              <w:right w:val="single" w:sz="6" w:space="0" w:color="auto"/>
            </w:tcBorders>
            <w:vAlign w:val="bottom"/>
          </w:tcPr>
          <w:p w14:paraId="7FF01B32" w14:textId="4354379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c>
          <w:tcPr>
            <w:tcW w:w="1200" w:type="dxa"/>
            <w:tcBorders>
              <w:top w:val="single" w:sz="6" w:space="0" w:color="auto"/>
              <w:left w:val="single" w:sz="6" w:space="0" w:color="auto"/>
              <w:bottom w:val="single" w:sz="6" w:space="0" w:color="auto"/>
              <w:right w:val="single" w:sz="6" w:space="0" w:color="auto"/>
            </w:tcBorders>
            <w:vAlign w:val="bottom"/>
          </w:tcPr>
          <w:p w14:paraId="2F344850" w14:textId="377DDAFD"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3,6</w:t>
            </w:r>
          </w:p>
        </w:tc>
      </w:tr>
      <w:tr w:rsidR="221F09AA" w:rsidRPr="009366AE" w14:paraId="6B086494" w14:textId="77777777" w:rsidTr="221F09AA">
        <w:trPr>
          <w:trHeight w:val="315"/>
          <w:jc w:val="center"/>
        </w:trPr>
        <w:tc>
          <w:tcPr>
            <w:tcW w:w="3465" w:type="dxa"/>
            <w:tcBorders>
              <w:top w:val="single" w:sz="6" w:space="0" w:color="auto"/>
              <w:left w:val="single" w:sz="6" w:space="0" w:color="auto"/>
              <w:bottom w:val="single" w:sz="6" w:space="0" w:color="auto"/>
              <w:right w:val="single" w:sz="6" w:space="0" w:color="auto"/>
            </w:tcBorders>
            <w:vAlign w:val="bottom"/>
          </w:tcPr>
          <w:p w14:paraId="5416AFA9" w14:textId="2675708B"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Países en desarrollo de bajo ingreso</w:t>
            </w:r>
          </w:p>
        </w:tc>
        <w:tc>
          <w:tcPr>
            <w:tcW w:w="1485" w:type="dxa"/>
            <w:tcBorders>
              <w:top w:val="single" w:sz="6" w:space="0" w:color="auto"/>
              <w:left w:val="single" w:sz="6" w:space="0" w:color="auto"/>
              <w:bottom w:val="single" w:sz="6" w:space="0" w:color="auto"/>
              <w:right w:val="single" w:sz="6" w:space="0" w:color="auto"/>
            </w:tcBorders>
            <w:vAlign w:val="bottom"/>
          </w:tcPr>
          <w:p w14:paraId="6464A23B" w14:textId="7CDFA85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4,1</w:t>
            </w:r>
          </w:p>
        </w:tc>
        <w:tc>
          <w:tcPr>
            <w:tcW w:w="1200" w:type="dxa"/>
            <w:tcBorders>
              <w:top w:val="single" w:sz="6" w:space="0" w:color="auto"/>
              <w:left w:val="single" w:sz="6" w:space="0" w:color="auto"/>
              <w:bottom w:val="single" w:sz="6" w:space="0" w:color="auto"/>
              <w:right w:val="single" w:sz="6" w:space="0" w:color="auto"/>
            </w:tcBorders>
            <w:vAlign w:val="bottom"/>
          </w:tcPr>
          <w:p w14:paraId="69848EC2" w14:textId="16C1042B"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4,8</w:t>
            </w:r>
          </w:p>
        </w:tc>
        <w:tc>
          <w:tcPr>
            <w:tcW w:w="1200" w:type="dxa"/>
            <w:tcBorders>
              <w:top w:val="single" w:sz="6" w:space="0" w:color="auto"/>
              <w:left w:val="single" w:sz="6" w:space="0" w:color="auto"/>
              <w:bottom w:val="single" w:sz="6" w:space="0" w:color="auto"/>
              <w:right w:val="single" w:sz="6" w:space="0" w:color="auto"/>
            </w:tcBorders>
            <w:vAlign w:val="bottom"/>
          </w:tcPr>
          <w:p w14:paraId="601C125B" w14:textId="61818730" w:rsidR="221F09AA" w:rsidRPr="009366AE" w:rsidRDefault="221F09AA" w:rsidP="221F09AA">
            <w:pPr>
              <w:jc w:val="right"/>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4,9</w:t>
            </w:r>
          </w:p>
        </w:tc>
      </w:tr>
    </w:tbl>
    <w:p w14:paraId="4D8CB468" w14:textId="262F110A" w:rsidR="00A15C2A" w:rsidRPr="009366AE" w:rsidRDefault="00A15C2A" w:rsidP="221F09AA">
      <w:pPr>
        <w:jc w:val="center"/>
        <w:rPr>
          <w:rFonts w:ascii="Garamond" w:eastAsia="Garamond" w:hAnsi="Garamond" w:cs="Garamond"/>
          <w:color w:val="000000" w:themeColor="text1"/>
          <w:sz w:val="24"/>
          <w:szCs w:val="24"/>
        </w:rPr>
      </w:pPr>
    </w:p>
    <w:p w14:paraId="25BF6233" w14:textId="210FC9FB" w:rsidR="00A15C2A" w:rsidRPr="009366AE" w:rsidRDefault="3149934F" w:rsidP="221F09AA">
      <w:pPr>
        <w:ind w:left="720" w:hanging="287"/>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Figura 1: Actualización de las perspectivas de la economía mundial – octubre 2022</w:t>
      </w:r>
    </w:p>
    <w:p w14:paraId="5465D505" w14:textId="71DF8EFF" w:rsidR="00A15C2A" w:rsidRPr="009366AE" w:rsidRDefault="3149934F" w:rsidP="221F09AA">
      <w:pPr>
        <w:ind w:left="720" w:hanging="287"/>
        <w:jc w:val="center"/>
        <w:rPr>
          <w:rFonts w:ascii="Garamond" w:eastAsia="Garamond" w:hAnsi="Garamond" w:cs="Garamond"/>
          <w:color w:val="000000" w:themeColor="text1"/>
          <w:sz w:val="24"/>
          <w:szCs w:val="24"/>
        </w:rPr>
      </w:pPr>
      <w:r w:rsidRPr="009366AE">
        <w:rPr>
          <w:rFonts w:ascii="Garamond" w:hAnsi="Garamond"/>
          <w:noProof/>
          <w:sz w:val="24"/>
          <w:szCs w:val="24"/>
          <w:lang w:val="es-CO" w:eastAsia="es-CO"/>
        </w:rPr>
        <w:drawing>
          <wp:inline distT="0" distB="0" distL="0" distR="0" wp14:anchorId="63262B82" wp14:editId="09C6EB89">
            <wp:extent cx="4572000" cy="2600325"/>
            <wp:effectExtent l="0" t="0" r="0" b="0"/>
            <wp:docPr id="574747966" name="Imagen 574747966" title="Insertando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2600325"/>
                    </a:xfrm>
                    <a:prstGeom prst="rect">
                      <a:avLst/>
                    </a:prstGeom>
                  </pic:spPr>
                </pic:pic>
              </a:graphicData>
            </a:graphic>
          </wp:inline>
        </w:drawing>
      </w:r>
    </w:p>
    <w:p w14:paraId="63594CFE" w14:textId="78E2BD6E" w:rsidR="00A15C2A" w:rsidRPr="009366AE" w:rsidRDefault="3149934F" w:rsidP="221F09AA">
      <w:pPr>
        <w:ind w:left="720" w:hanging="287"/>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Figura 2: actualización de las perspectivas de la economía mundial (proyecciones de crecimiento por región) – octubre 2022.</w:t>
      </w:r>
    </w:p>
    <w:p w14:paraId="09BC530E" w14:textId="3D6E20DF"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La desaceleración de la actividad económica mundial es de amplia base y más acentuada de lo previsto, con la inflación encaramada en niveles no registrados en décadas. Las perspectivas económicas dependen de la calibración adecuada de las políticas monetarias y financieras, la trayectoria de la guerra en Ucrania y las perspectivas de crecimiento en China. Persistentes riesgos inusitadamente importantes: la orientación que se adopte para la política monetaria podría no ser </w:t>
      </w:r>
      <w:r w:rsidRPr="009366AE">
        <w:rPr>
          <w:rFonts w:ascii="Garamond" w:eastAsia="Garamond" w:hAnsi="Garamond" w:cs="Garamond"/>
          <w:color w:val="000000" w:themeColor="text1"/>
          <w:sz w:val="24"/>
          <w:szCs w:val="24"/>
        </w:rPr>
        <w:lastRenderedPageBreak/>
        <w:t>la óptima para reducir la inflación; las trayectorias divergentes de las políticas en las principales economías podrían exacerbar la apreciación del dólar de EE.UU.; el financiamiento mundial más restrictivo podría generar tensiones de sobreendeudamiento en los mercados emergentes; y una agudización de la crisis del sector inmobiliario en China podría socavar el crecimiento. Las autoridades deben centrar la atención en restaurar la estabilidad de precios y aliviar las presiones sobre el costo de vida. La cooperación multilateral sigue siendo necesaria para agilizar la transición a la energía verde y evitar la fragmentación.</w:t>
      </w:r>
    </w:p>
    <w:p w14:paraId="00EFA9FB" w14:textId="727D5688"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La inflación ha alcanzado un máximo no registrado en 40 años en algunos países. Si bien hasta ahora el aumento de los salarios en general ha permanecido por debajo de la inflación, hay analistas que advierten que los precios y los salarios podrían empezar a interactuar entre sí, y que la inflación salarial y de los precios experimente un aumento permanente como consecuencia de una espiral sostenida entre salarios y precios. En este capítulo se examina la dinámica reciente de los salarios y se arroja luz sobre las perspectivas. En promedio, los episodios similares en el pasado no estuvieron seguidos de espirales de precios y salarios. El análisis destaca que, si las expectativas son de carácter más retrospectivo, el endurecimiento monetario que se necesitaría para reducir los riesgos de </w:t>
      </w:r>
      <w:proofErr w:type="spellStart"/>
      <w:r w:rsidRPr="009366AE">
        <w:rPr>
          <w:rFonts w:ascii="Garamond" w:eastAsia="Garamond" w:hAnsi="Garamond" w:cs="Garamond"/>
          <w:color w:val="000000" w:themeColor="text1"/>
          <w:sz w:val="24"/>
          <w:szCs w:val="24"/>
        </w:rPr>
        <w:t>desanclaje</w:t>
      </w:r>
      <w:proofErr w:type="spellEnd"/>
      <w:r w:rsidRPr="009366AE">
        <w:rPr>
          <w:rFonts w:ascii="Garamond" w:eastAsia="Garamond" w:hAnsi="Garamond" w:cs="Garamond"/>
          <w:color w:val="000000" w:themeColor="text1"/>
          <w:sz w:val="24"/>
          <w:szCs w:val="24"/>
        </w:rPr>
        <w:t xml:space="preserve"> de la inflación tendría que ser más intenso y concentrado en la etapa inicial. Los riesgos de una espiral de precios y salarios sostenida parecen ser limitados porque los shocks inflacionarios subyacentes tienen origen fuera del mercado laboral y el proceso de endurecimiento de la política monetaria es contundente.</w:t>
      </w:r>
    </w:p>
    <w:p w14:paraId="28679AEE" w14:textId="7D9D14A6"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Seguido a este análisis se revisará la dinámica del sector objeto del proceso.</w:t>
      </w:r>
    </w:p>
    <w:p w14:paraId="2610FC68" w14:textId="7C85AE1F" w:rsidR="00A15C2A" w:rsidRPr="009366AE" w:rsidRDefault="3149934F" w:rsidP="221F09AA">
      <w:pPr>
        <w:pStyle w:val="Prrafodelista"/>
        <w:numPr>
          <w:ilvl w:val="0"/>
          <w:numId w:val="12"/>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Producto Interno Bruto (PIB) </w:t>
      </w:r>
    </w:p>
    <w:p w14:paraId="65501053" w14:textId="5FD90763"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En el tercer trimestre de 2022pr, el Producto Interno Bruto, en su serie original, crece 7,0% respecto al mismo periodo de 2021pr (ver tabla 1). Las actividades económicas que más contribuyen a la dinámica del valor agregado son: </w:t>
      </w:r>
    </w:p>
    <w:p w14:paraId="57589DA0" w14:textId="6334702B" w:rsidR="00A15C2A" w:rsidRPr="009366AE" w:rsidRDefault="3149934F" w:rsidP="221F09AA">
      <w:pPr>
        <w:pStyle w:val="Prrafodelista"/>
        <w:numPr>
          <w:ilvl w:val="0"/>
          <w:numId w:val="11"/>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Comercio al por mayor y al por menor; Reparación de vehículos automotores y motocicletas; Transporte y almacenamiento; Alojamiento y servicios de comida crece 8,1% (contribuye 1,6 puntos porcentuales a la variación anual). </w:t>
      </w:r>
    </w:p>
    <w:p w14:paraId="1038D835" w14:textId="218718ED" w:rsidR="00A15C2A" w:rsidRPr="009366AE" w:rsidRDefault="3149934F" w:rsidP="221F09AA">
      <w:pPr>
        <w:pStyle w:val="Prrafodelista"/>
        <w:numPr>
          <w:ilvl w:val="0"/>
          <w:numId w:val="11"/>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36,9% (contribuye 1,1 puntos porcentuales a la variación anual). </w:t>
      </w:r>
    </w:p>
    <w:p w14:paraId="2A5F8132" w14:textId="1D15D29E" w:rsidR="00A15C2A" w:rsidRPr="009366AE" w:rsidRDefault="3149934F" w:rsidP="221F09AA">
      <w:pPr>
        <w:pStyle w:val="Prrafodelista"/>
        <w:numPr>
          <w:ilvl w:val="0"/>
          <w:numId w:val="11"/>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Industrias manufactureras crece 7,0% (contribuye 0,9 puntos porcentuales a la variación anual). </w:t>
      </w:r>
    </w:p>
    <w:p w14:paraId="7F23C4EE" w14:textId="3086BB5F"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En lo corrido del año 2022pr, respecto al mismo periodo del año anterior, el Producto Interno Bruto presenta un crecimiento 9,4%. Las actividades económicas que más contribuyen a la dinámica del valor agregado son:</w:t>
      </w:r>
    </w:p>
    <w:p w14:paraId="5FA756E4" w14:textId="150C7F6A" w:rsidR="00A15C2A" w:rsidRPr="009366AE" w:rsidRDefault="3149934F" w:rsidP="221F09AA">
      <w:pPr>
        <w:pStyle w:val="Prrafodelista"/>
        <w:numPr>
          <w:ilvl w:val="0"/>
          <w:numId w:val="10"/>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Comercio al por mayor y al por menor; Reparación de vehículos automotores y motocicletas; Transporte y almacenamiento; Alojamiento y servicios de comida crece 15,1% (contribuye 2,9 puntos porcentuales a la variación anual). </w:t>
      </w:r>
    </w:p>
    <w:p w14:paraId="5EF73C48" w14:textId="622B3B1C" w:rsidR="00A15C2A" w:rsidRPr="009366AE" w:rsidRDefault="3149934F" w:rsidP="221F09AA">
      <w:pPr>
        <w:pStyle w:val="Prrafodelista"/>
        <w:numPr>
          <w:ilvl w:val="0"/>
          <w:numId w:val="10"/>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Industrias manufactureras crece 12,6% (contribuye 1,6 puntos porcentuales a la variación anual). </w:t>
      </w:r>
    </w:p>
    <w:p w14:paraId="4548387C" w14:textId="2CE2316A" w:rsidR="00A15C2A" w:rsidRPr="009366AE" w:rsidRDefault="3149934F" w:rsidP="221F09AA">
      <w:pPr>
        <w:pStyle w:val="Prrafodelista"/>
        <w:numPr>
          <w:ilvl w:val="0"/>
          <w:numId w:val="10"/>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Actividades artísticas, de entretenimiento y recreación y otras actividades de servicios; Actividades de los hogares individuales en calidad de empleadores; Actividades no </w:t>
      </w:r>
      <w:r w:rsidRPr="009366AE">
        <w:rPr>
          <w:rFonts w:ascii="Garamond" w:eastAsia="Garamond" w:hAnsi="Garamond" w:cs="Garamond"/>
          <w:color w:val="000000" w:themeColor="text1"/>
          <w:sz w:val="24"/>
          <w:szCs w:val="24"/>
        </w:rPr>
        <w:lastRenderedPageBreak/>
        <w:t>diferenciadas de los hogares individuales como productores de bienes y servicios para uso propio crece 37,0% (contribuye 1,2 puntos porcentuales a la variación anual).</w:t>
      </w:r>
    </w:p>
    <w:p w14:paraId="3AB35888" w14:textId="7799381B" w:rsidR="00A15C2A"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Respecto al trimestre inmediatamente anterior, el Producto Interno Bruto en su serie ajustada por efecto estacional y calendario crece 1,6%. Esta variación se explica principalmente por la siguiente dinámica: </w:t>
      </w:r>
    </w:p>
    <w:p w14:paraId="0D1AD2E5" w14:textId="39F63377" w:rsidR="00A15C2A" w:rsidRPr="009366AE" w:rsidRDefault="3149934F" w:rsidP="221F09AA">
      <w:pPr>
        <w:pStyle w:val="Prrafodelista"/>
        <w:numPr>
          <w:ilvl w:val="0"/>
          <w:numId w:val="9"/>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7,5%. </w:t>
      </w:r>
    </w:p>
    <w:p w14:paraId="25E12E65" w14:textId="1E9B9DA2" w:rsidR="00A15C2A" w:rsidRPr="009366AE" w:rsidRDefault="3149934F" w:rsidP="221F09AA">
      <w:pPr>
        <w:pStyle w:val="Prrafodelista"/>
        <w:numPr>
          <w:ilvl w:val="0"/>
          <w:numId w:val="9"/>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Construcción crece 2,8%. </w:t>
      </w:r>
    </w:p>
    <w:p w14:paraId="34EC3C3C" w14:textId="1E1FE7A8" w:rsidR="00A15C2A" w:rsidRPr="009366AE" w:rsidRDefault="3149934F" w:rsidP="221F09AA">
      <w:pPr>
        <w:pStyle w:val="Prrafodelista"/>
        <w:numPr>
          <w:ilvl w:val="0"/>
          <w:numId w:val="9"/>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Explotación de minas y canteras crece 1,9%.</w:t>
      </w:r>
    </w:p>
    <w:p w14:paraId="51563AF7" w14:textId="3FECF061" w:rsidR="00A15C2A" w:rsidRPr="009366AE" w:rsidRDefault="3149934F" w:rsidP="221F09AA">
      <w:pPr>
        <w:jc w:val="center"/>
        <w:rPr>
          <w:rFonts w:ascii="Garamond" w:eastAsia="Calibri" w:hAnsi="Garamond" w:cs="Calibri"/>
          <w:color w:val="000000" w:themeColor="text1"/>
          <w:sz w:val="24"/>
          <w:szCs w:val="24"/>
        </w:rPr>
      </w:pPr>
      <w:r w:rsidRPr="009366AE">
        <w:rPr>
          <w:rFonts w:ascii="Garamond" w:hAnsi="Garamond"/>
          <w:noProof/>
          <w:sz w:val="24"/>
          <w:szCs w:val="24"/>
          <w:lang w:val="es-CO" w:eastAsia="es-CO"/>
        </w:rPr>
        <w:drawing>
          <wp:inline distT="0" distB="0" distL="0" distR="0" wp14:anchorId="0AD08964" wp14:editId="3963A13C">
            <wp:extent cx="4572000" cy="3857625"/>
            <wp:effectExtent l="0" t="0" r="0" b="0"/>
            <wp:docPr id="1592713829" name="Imagen 1592713829" title="Insertando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3857625"/>
                    </a:xfrm>
                    <a:prstGeom prst="rect">
                      <a:avLst/>
                    </a:prstGeom>
                  </pic:spPr>
                </pic:pic>
              </a:graphicData>
            </a:graphic>
          </wp:inline>
        </w:drawing>
      </w:r>
    </w:p>
    <w:p w14:paraId="5C1A07E2" w14:textId="18B8E0A7" w:rsidR="00A15C2A" w:rsidRPr="009366AE" w:rsidRDefault="3149934F" w:rsidP="221F09AA">
      <w:pPr>
        <w:rPr>
          <w:rFonts w:ascii="Garamond" w:eastAsia="Calibri" w:hAnsi="Garamond" w:cs="Calibri"/>
          <w:sz w:val="24"/>
          <w:szCs w:val="24"/>
        </w:rPr>
      </w:pPr>
      <w:r w:rsidRPr="009366AE">
        <w:rPr>
          <w:rFonts w:ascii="Garamond" w:eastAsia="Calibri" w:hAnsi="Garamond" w:cs="Calibri"/>
          <w:color w:val="000000" w:themeColor="text1"/>
          <w:sz w:val="24"/>
          <w:szCs w:val="24"/>
        </w:rPr>
        <w:t xml:space="preserve">                  </w:t>
      </w:r>
      <w:r w:rsidRPr="009366AE">
        <w:rPr>
          <w:rFonts w:ascii="Garamond" w:eastAsia="Garamond" w:hAnsi="Garamond" w:cs="Garamond"/>
          <w:color w:val="000000" w:themeColor="text1"/>
          <w:sz w:val="24"/>
          <w:szCs w:val="24"/>
        </w:rPr>
        <w:t>Tabla No. 1: Tasas de crecimiento anual en volumen</w:t>
      </w:r>
    </w:p>
    <w:p w14:paraId="7440B804" w14:textId="43C23DDF" w:rsidR="3149934F" w:rsidRPr="009366AE" w:rsidRDefault="3149934F" w:rsidP="221F09AA">
      <w:pPr>
        <w:contextualSpacing/>
        <w:jc w:val="center"/>
        <w:rPr>
          <w:rFonts w:ascii="Garamond" w:eastAsia="Calibri" w:hAnsi="Garamond" w:cs="Calibri"/>
          <w:color w:val="000000" w:themeColor="text1"/>
          <w:sz w:val="24"/>
          <w:szCs w:val="24"/>
        </w:rPr>
      </w:pPr>
      <w:r w:rsidRPr="009366AE">
        <w:rPr>
          <w:rFonts w:ascii="Garamond" w:hAnsi="Garamond"/>
          <w:noProof/>
          <w:sz w:val="24"/>
          <w:szCs w:val="24"/>
          <w:lang w:val="es-CO" w:eastAsia="es-CO"/>
        </w:rPr>
        <w:lastRenderedPageBreak/>
        <w:drawing>
          <wp:inline distT="0" distB="0" distL="0" distR="0" wp14:anchorId="7CBDF79A" wp14:editId="2FF15C33">
            <wp:extent cx="4572000" cy="2247900"/>
            <wp:effectExtent l="0" t="0" r="0" b="0"/>
            <wp:docPr id="1571224525" name="Imagen 1571224525" title="Insertando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r w:rsidRPr="009366AE">
        <w:rPr>
          <w:rFonts w:ascii="Garamond" w:hAnsi="Garamond"/>
          <w:sz w:val="24"/>
          <w:szCs w:val="24"/>
        </w:rPr>
        <w:br/>
      </w:r>
    </w:p>
    <w:p w14:paraId="6E7AD968" w14:textId="73763A52" w:rsidR="3149934F" w:rsidRPr="009366AE" w:rsidRDefault="3149934F" w:rsidP="221F09AA">
      <w:pPr>
        <w:contextualSpacing/>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Gráfico No. 2: Tasas de crecimiento anual en volumen</w:t>
      </w:r>
    </w:p>
    <w:p w14:paraId="4FF27DAD" w14:textId="2EB6C89E" w:rsidR="221F09AA" w:rsidRPr="009366AE" w:rsidRDefault="221F09AA" w:rsidP="221F09AA">
      <w:pPr>
        <w:jc w:val="center"/>
        <w:rPr>
          <w:rFonts w:ascii="Garamond" w:eastAsia="Garamond" w:hAnsi="Garamond" w:cs="Garamond"/>
          <w:color w:val="000000" w:themeColor="text1"/>
          <w:sz w:val="24"/>
          <w:szCs w:val="24"/>
        </w:rPr>
      </w:pPr>
    </w:p>
    <w:p w14:paraId="486FF926" w14:textId="5DF40A92" w:rsidR="3149934F" w:rsidRPr="009366AE" w:rsidRDefault="3149934F" w:rsidP="221F09AA">
      <w:pPr>
        <w:pStyle w:val="Prrafodelista"/>
        <w:numPr>
          <w:ilvl w:val="0"/>
          <w:numId w:val="8"/>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Inflación </w:t>
      </w:r>
    </w:p>
    <w:p w14:paraId="1E1E271F" w14:textId="4791291F" w:rsidR="3149934F"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La inflación volvió a sorprender a la media de analistas del mercado, ese incremento estuvo influenciado por la cifra de 13,12% con al que cerró en 2022, dato que ningún analista ni centro de estudios, ni académicos habían proyectado y que puso en alerta a las autoridades económicas y monetaria (Banco de la República). </w:t>
      </w:r>
    </w:p>
    <w:p w14:paraId="4C410C8A" w14:textId="762339C6" w:rsidR="3149934F" w:rsidRPr="009366AE" w:rsidRDefault="3149934F" w:rsidP="221F09AA">
      <w:pPr>
        <w:pStyle w:val="Prrafodelista"/>
        <w:numPr>
          <w:ilvl w:val="0"/>
          <w:numId w:val="8"/>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Índice de precios al consumidor IPC</w:t>
      </w:r>
    </w:p>
    <w:p w14:paraId="4961B066" w14:textId="1F776DF2" w:rsidR="3149934F"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En el mes de diciembre de 2022, el IPC registró una variación de 13,12% en comparación con diciembre de 2021. En el último año, las divisiones Alimentos y bebidas no alcohólicas (27,81%), Restaurantes y hoteles (18,54%) y, por último, Muebles, artículos para el hogar y para la conservación ordinaria del hogar (18,25%) se ubicaron por encima del promedio nacional (13,12%). Entre tanto, las divisiones Bienes y servicios diversos (13,09%), Transporte (11,59%), Prendas de vestir y calzado (11,22%), Salud (9,53%), Bebidas alcohólicas y tabaco (8,37%), Recreación y cultura (8,36%), Alojamiento, agua, electricidad, gas y otros combustibles (6,94%), Educación (5,98%) y, por último, Información y comunicación (0,25%) se ubicaron por debajo del promedio nacional.</w:t>
      </w:r>
    </w:p>
    <w:p w14:paraId="18E7E788" w14:textId="66165491" w:rsidR="3149934F"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Gráfico No. 3: Variación mensual, año corrido y anual del IPC Total nacional diciembre 2022</w:t>
      </w:r>
    </w:p>
    <w:p w14:paraId="25A6C2EF" w14:textId="129BDC88" w:rsidR="3149934F" w:rsidRPr="009366AE" w:rsidRDefault="3149934F" w:rsidP="221F09AA">
      <w:pPr>
        <w:jc w:val="center"/>
        <w:rPr>
          <w:rFonts w:ascii="Garamond" w:eastAsia="Calibri" w:hAnsi="Garamond" w:cs="Calibri"/>
          <w:color w:val="000000" w:themeColor="text1"/>
          <w:sz w:val="24"/>
          <w:szCs w:val="24"/>
        </w:rPr>
      </w:pPr>
      <w:r w:rsidRPr="009366AE">
        <w:rPr>
          <w:rFonts w:ascii="Garamond" w:hAnsi="Garamond"/>
          <w:noProof/>
          <w:sz w:val="24"/>
          <w:szCs w:val="24"/>
          <w:lang w:val="es-CO" w:eastAsia="es-CO"/>
        </w:rPr>
        <w:lastRenderedPageBreak/>
        <w:drawing>
          <wp:inline distT="0" distB="0" distL="0" distR="0" wp14:anchorId="3D3FC9E5" wp14:editId="3F6EBB35">
            <wp:extent cx="4572000" cy="2819400"/>
            <wp:effectExtent l="0" t="0" r="0" b="0"/>
            <wp:docPr id="1682040533" name="Imagen 1682040533" title="Insertando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819400"/>
                    </a:xfrm>
                    <a:prstGeom prst="rect">
                      <a:avLst/>
                    </a:prstGeom>
                  </pic:spPr>
                </pic:pic>
              </a:graphicData>
            </a:graphic>
          </wp:inline>
        </w:drawing>
      </w:r>
      <w:r w:rsidRPr="009366AE">
        <w:rPr>
          <w:rFonts w:ascii="Garamond" w:hAnsi="Garamond"/>
          <w:sz w:val="24"/>
          <w:szCs w:val="24"/>
        </w:rPr>
        <w:br/>
      </w:r>
    </w:p>
    <w:p w14:paraId="213AC6FF" w14:textId="150421C5" w:rsidR="221F09AA" w:rsidRPr="009366AE" w:rsidRDefault="221F09AA" w:rsidP="221F09AA">
      <w:pPr>
        <w:jc w:val="center"/>
        <w:rPr>
          <w:rFonts w:ascii="Garamond" w:eastAsia="Garamond" w:hAnsi="Garamond" w:cs="Garamond"/>
          <w:color w:val="000000" w:themeColor="text1"/>
          <w:sz w:val="24"/>
          <w:szCs w:val="24"/>
        </w:rPr>
      </w:pPr>
    </w:p>
    <w:p w14:paraId="7364FE0D" w14:textId="25F75486" w:rsidR="3149934F" w:rsidRPr="009366AE" w:rsidRDefault="3149934F" w:rsidP="221F09AA">
      <w:pPr>
        <w:pStyle w:val="Prrafodelista"/>
        <w:numPr>
          <w:ilvl w:val="0"/>
          <w:numId w:val="8"/>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Salario Mínimo Mensual Legal Vigente </w:t>
      </w:r>
    </w:p>
    <w:p w14:paraId="4621476D" w14:textId="3B3A88DD" w:rsidR="3149934F" w:rsidRPr="009366AE" w:rsidRDefault="3149934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El salario mínimo se define en Colombia, mediante Decreto Nacional, luego de las correspondientes deliberaciones entre el sector empresarial, gremio de trabajadores y el gobierno nacional.  Durante los últimos 10 años la variación anual se ubica en el promedio del 3,5% y 10%, respectivamente.</w:t>
      </w:r>
    </w:p>
    <w:tbl>
      <w:tblPr>
        <w:tblW w:w="0" w:type="auto"/>
        <w:tblLayout w:type="fixed"/>
        <w:tblLook w:val="0400" w:firstRow="0" w:lastRow="0" w:firstColumn="0" w:lastColumn="0" w:noHBand="0" w:noVBand="1"/>
      </w:tblPr>
      <w:tblGrid>
        <w:gridCol w:w="945"/>
        <w:gridCol w:w="1410"/>
        <w:gridCol w:w="2280"/>
        <w:gridCol w:w="4350"/>
      </w:tblGrid>
      <w:tr w:rsidR="221F09AA" w:rsidRPr="009366AE" w14:paraId="3972481E" w14:textId="77777777" w:rsidTr="221F09AA">
        <w:trPr>
          <w:trHeight w:val="585"/>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5DCE4" w:themeFill="text2" w:themeFillTint="33"/>
            <w:vAlign w:val="bottom"/>
          </w:tcPr>
          <w:p w14:paraId="4F92ED48" w14:textId="3D312A4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AÑO</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5DCE4" w:themeFill="text2" w:themeFillTint="33"/>
            <w:vAlign w:val="bottom"/>
          </w:tcPr>
          <w:p w14:paraId="62A8262B" w14:textId="2C9B4B59"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SMMLV</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5DCE4" w:themeFill="text2" w:themeFillTint="33"/>
            <w:vAlign w:val="bottom"/>
          </w:tcPr>
          <w:p w14:paraId="44EE3B17" w14:textId="227A7FE7"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VARIACION % ANUAL</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5DCE4" w:themeFill="text2" w:themeFillTint="33"/>
            <w:vAlign w:val="bottom"/>
          </w:tcPr>
          <w:p w14:paraId="04BD299F" w14:textId="2C75669F"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DECRETO DEL GOBIERNO NACIONAL</w:t>
            </w:r>
          </w:p>
        </w:tc>
      </w:tr>
      <w:tr w:rsidR="221F09AA" w:rsidRPr="009366AE" w14:paraId="043A430D" w14:textId="77777777" w:rsidTr="221F09AA">
        <w:trPr>
          <w:trHeight w:val="27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67C7BD3" w14:textId="6E1CC70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2010</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3B7B9E7" w14:textId="5609528B"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515.000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436A3C0" w14:textId="45F1A5C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3,60%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1A5F73" w14:textId="133D0258"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5053 del 30 de diciembre de 2009</w:t>
            </w:r>
          </w:p>
        </w:tc>
      </w:tr>
      <w:tr w:rsidR="221F09AA" w:rsidRPr="009366AE" w14:paraId="3443EE99" w14:textId="77777777" w:rsidTr="221F09AA">
        <w:trPr>
          <w:trHeight w:val="27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AA83421" w14:textId="3D022554"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2011</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2EB6345" w14:textId="2B89BAC2"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535.600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3D56BEC" w14:textId="1EAAEAF9"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4,00%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467F965" w14:textId="0FF148E7"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033 del 11 de enero de 2011</w:t>
            </w:r>
          </w:p>
        </w:tc>
      </w:tr>
      <w:tr w:rsidR="221F09AA" w:rsidRPr="009366AE" w14:paraId="770CDE0C" w14:textId="77777777" w:rsidTr="221F09AA">
        <w:trPr>
          <w:trHeight w:val="27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96DF7A6" w14:textId="7161BDF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2012</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572D338" w14:textId="1E17E1C9"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566.700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C3D4712" w14:textId="4B66437A"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5,80%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BC7481" w14:textId="1BC30A97"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4919 del 26 de diciembre de 2011</w:t>
            </w:r>
          </w:p>
        </w:tc>
      </w:tr>
      <w:tr w:rsidR="221F09AA" w:rsidRPr="009366AE" w14:paraId="1E64C2BB" w14:textId="77777777" w:rsidTr="221F09AA">
        <w:trPr>
          <w:trHeight w:val="27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35C488B" w14:textId="118EE548"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2013</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D77234A" w14:textId="1F89F36A"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589.500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C1C4373" w14:textId="3C3A0532"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4,02%</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3E0EE9" w14:textId="2042D366"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2738 del 28 de diciembre de 2012</w:t>
            </w:r>
          </w:p>
        </w:tc>
      </w:tr>
      <w:tr w:rsidR="221F09AA" w:rsidRPr="009366AE" w14:paraId="21856A92" w14:textId="77777777" w:rsidTr="221F09AA">
        <w:trPr>
          <w:trHeight w:val="27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3980FB0" w14:textId="4168E9B8"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2014</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837E71A" w14:textId="3F748884"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616.000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AC548DA" w14:textId="684935FF"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4,50%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515236E" w14:textId="64310431"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3068 del 30 de diciembre de 2013</w:t>
            </w:r>
          </w:p>
        </w:tc>
      </w:tr>
      <w:tr w:rsidR="221F09AA" w:rsidRPr="009366AE" w14:paraId="19E47F4C"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0495A99" w14:textId="4EFB15D5"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2015</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36D9A9A" w14:textId="277C6E2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644.350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257189A" w14:textId="1C32E0A8"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4,60%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24B9AD4" w14:textId="69530FD9"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2731 del 30 de diciembre de 2014</w:t>
            </w:r>
          </w:p>
        </w:tc>
      </w:tr>
      <w:tr w:rsidR="221F09AA" w:rsidRPr="009366AE" w14:paraId="593A56C3"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64678B9" w14:textId="6C82E2CE"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2016</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4A272A7" w14:textId="714444B2"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689.455</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2DF5CCC" w14:textId="29697811"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7,00%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05E7E50" w14:textId="022FECAC"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252 del 30 de diciembre de 2015</w:t>
            </w:r>
          </w:p>
        </w:tc>
      </w:tr>
      <w:tr w:rsidR="221F09AA" w:rsidRPr="009366AE" w14:paraId="72B5C964"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7016F03" w14:textId="72A4DDA6"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2017</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4095C87" w14:textId="326A6269"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737.717</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CC2798A" w14:textId="181F679B"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7,00%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42828ED" w14:textId="0AB49CEE"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2209 del 30 de diciembre de 2016</w:t>
            </w:r>
          </w:p>
        </w:tc>
      </w:tr>
      <w:tr w:rsidR="221F09AA" w:rsidRPr="009366AE" w14:paraId="7F3573A9"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93503BB" w14:textId="705DFF8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2018</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A6C68DF" w14:textId="7EC9E834"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781.242</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7DC2F7C" w14:textId="2D6140AE"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5,90%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07F330" w14:textId="757CFBE9" w:rsidR="221F09AA" w:rsidRPr="009366AE" w:rsidRDefault="221F09AA" w:rsidP="221F09AA">
            <w:pPr>
              <w:ind w:left="-10" w:right="211" w:hanging="20"/>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2269 del 30 de diciembre de 2017</w:t>
            </w:r>
          </w:p>
        </w:tc>
      </w:tr>
      <w:tr w:rsidR="221F09AA" w:rsidRPr="009366AE" w14:paraId="5B85AFAC"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E697098" w14:textId="2AB607CA"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2019</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CC9A5B2" w14:textId="02B4D7F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828.116</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D992D2A" w14:textId="7BB507A0"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6,00%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AD83817" w14:textId="33453A45" w:rsidR="221F09AA" w:rsidRPr="009366AE" w:rsidRDefault="221F09AA" w:rsidP="221F09AA">
            <w:pPr>
              <w:ind w:left="-10" w:right="211" w:hanging="20"/>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2451 del 27 de diciembre de 2018</w:t>
            </w:r>
          </w:p>
        </w:tc>
      </w:tr>
      <w:tr w:rsidR="221F09AA" w:rsidRPr="009366AE" w14:paraId="319C232A"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1E4C25E" w14:textId="3816E2FC"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2020</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61DEF2D" w14:textId="354D7818"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877.803</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C5B9B3D" w14:textId="6FB9155C"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6,00%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46E7C0B" w14:textId="5C34848F" w:rsidR="221F09AA" w:rsidRPr="009366AE" w:rsidRDefault="221F09AA" w:rsidP="221F09AA">
            <w:pPr>
              <w:ind w:left="-10" w:right="211" w:hanging="20"/>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2360 del 26 de diciembre de 2019</w:t>
            </w:r>
          </w:p>
        </w:tc>
      </w:tr>
      <w:tr w:rsidR="221F09AA" w:rsidRPr="009366AE" w14:paraId="29034286"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6DE71E1" w14:textId="26422EF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2021</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B4443D5" w14:textId="61F39BC1"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908.526</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0B51353" w14:textId="534B622B"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3.50%</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2646099" w14:textId="0DBC5571" w:rsidR="221F09AA" w:rsidRPr="009366AE" w:rsidRDefault="221F09AA" w:rsidP="221F09AA">
            <w:pPr>
              <w:ind w:left="-10" w:right="211" w:hanging="20"/>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1785 del 29 de diciembre de 2020</w:t>
            </w:r>
          </w:p>
        </w:tc>
      </w:tr>
      <w:tr w:rsidR="221F09AA" w:rsidRPr="009366AE" w14:paraId="47CEE9BF"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FB27CCF" w14:textId="5057FDC0"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lastRenderedPageBreak/>
              <w:t>2022</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B468D71" w14:textId="0B7D6DDC"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1.000.000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8BB7ABD" w14:textId="6AB2F5A6"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10,07%</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00E0576" w14:textId="5C15BB89" w:rsidR="221F09AA" w:rsidRPr="009366AE" w:rsidRDefault="221F09AA" w:rsidP="221F09AA">
            <w:pPr>
              <w:ind w:left="-10" w:right="211" w:hanging="20"/>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1724 del 15 de diciembre de 2021</w:t>
            </w:r>
          </w:p>
        </w:tc>
      </w:tr>
      <w:tr w:rsidR="221F09AA" w:rsidRPr="009366AE" w14:paraId="0C6C0DC6" w14:textId="77777777" w:rsidTr="221F09AA">
        <w:trPr>
          <w:trHeight w:val="300"/>
        </w:trPr>
        <w:tc>
          <w:tcPr>
            <w:tcW w:w="9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8C954E3" w14:textId="77A3D3F1"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2023</w:t>
            </w:r>
          </w:p>
        </w:tc>
        <w:tc>
          <w:tcPr>
            <w:tcW w:w="141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4F0243B7" w14:textId="3F164DAA"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1.160.000</w:t>
            </w:r>
          </w:p>
        </w:tc>
        <w:tc>
          <w:tcPr>
            <w:tcW w:w="228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A9A983E" w14:textId="625A2A13"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16%</w:t>
            </w:r>
          </w:p>
        </w:tc>
        <w:tc>
          <w:tcPr>
            <w:tcW w:w="435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058C3E" w14:textId="0D9371F5"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2613 del 28 de diciembre de 2022</w:t>
            </w:r>
          </w:p>
        </w:tc>
      </w:tr>
    </w:tbl>
    <w:p w14:paraId="034B3482" w14:textId="51A06E0D" w:rsidR="1C6BD333" w:rsidRPr="009366AE" w:rsidRDefault="1C6BD333"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Fuente: Ministerio del Trabajo</w:t>
      </w:r>
    </w:p>
    <w:p w14:paraId="606D2734" w14:textId="4D649E12" w:rsidR="1C6BD333" w:rsidRPr="009366AE" w:rsidRDefault="1C6BD333" w:rsidP="221F09AA">
      <w:pPr>
        <w:jc w:val="cente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Tabla 2: Variación del Salario Mínimo Mensual Legal Vigente 2010-2023</w:t>
      </w:r>
    </w:p>
    <w:p w14:paraId="2608B248" w14:textId="709CDA9F" w:rsidR="1C6BD333" w:rsidRPr="009366AE" w:rsidRDefault="1C6BD333"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El salario mínimo se define en Colombia, mediante Decreto Nacional, luego de las correspondientes deliberaciones entre el sector empresarial, gremio de trabajadores y el gobierno nacional. Durante los últimos 10 años la variación anual se ubica en el promedio del 3,6% y 7%, respectivamente.</w:t>
      </w:r>
    </w:p>
    <w:p w14:paraId="6B29C133" w14:textId="2D888AE6" w:rsidR="1C6BD333" w:rsidRPr="009366AE" w:rsidRDefault="1C6BD333" w:rsidP="221F09AA">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INCENTIVOS</w:t>
      </w:r>
    </w:p>
    <w:p w14:paraId="61DD0A62" w14:textId="0C4944BC" w:rsidR="1C6BD333" w:rsidRPr="009366AE" w:rsidRDefault="1C6BD333" w:rsidP="221F09AA">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PROMOCIÓN DEL ACCESO DE LAS MIPYMES AL MERCADO DE COMPRAS PÚBLICAS (artículo 33 de la Ley 2069 de 2020)</w:t>
      </w:r>
    </w:p>
    <w:p w14:paraId="6AE8C788" w14:textId="45F30C12" w:rsidR="1C6BD333" w:rsidRPr="009366AE" w:rsidRDefault="1C6BD333" w:rsidP="221F09AA">
      <w:pPr>
        <w:pStyle w:val="Default"/>
        <w:jc w:val="both"/>
        <w:rPr>
          <w:rFonts w:ascii="Garamond" w:eastAsia="Garamond" w:hAnsi="Garamond" w:cs="Garamond"/>
        </w:rPr>
      </w:pPr>
      <w:r w:rsidRPr="009366AE">
        <w:rPr>
          <w:rFonts w:ascii="Garamond" w:eastAsia="Garamond" w:hAnsi="Garamond" w:cs="Garamond"/>
          <w:b/>
          <w:bCs/>
        </w:rPr>
        <w:t>Identificación de MIPYMES en el Sector, como potenciales proveedores directos o indirectos</w:t>
      </w:r>
      <w:r w:rsidRPr="009366AE">
        <w:rPr>
          <w:rFonts w:ascii="Garamond" w:eastAsia="Garamond" w:hAnsi="Garamond" w:cs="Garamond"/>
        </w:rPr>
        <w:t>.</w:t>
      </w:r>
    </w:p>
    <w:p w14:paraId="27C9FF33" w14:textId="7CB0E6EB" w:rsidR="1C6BD333" w:rsidRPr="009366AE" w:rsidRDefault="1C6BD333" w:rsidP="221F09AA">
      <w:pPr>
        <w:contextualSpacing/>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En cumplimiento al </w:t>
      </w:r>
      <w:r w:rsidRPr="009366AE">
        <w:rPr>
          <w:rFonts w:ascii="Garamond" w:eastAsia="Garamond" w:hAnsi="Garamond" w:cs="Garamond"/>
          <w:b/>
          <w:bCs/>
          <w:color w:val="000000" w:themeColor="text1"/>
          <w:sz w:val="24"/>
          <w:szCs w:val="24"/>
        </w:rPr>
        <w:t>numeral 1 del artículo 33 de la Ley 2069 de 2020</w:t>
      </w:r>
      <w:r w:rsidRPr="009366AE">
        <w:rPr>
          <w:rFonts w:ascii="Garamond" w:eastAsia="Garamond" w:hAnsi="Garamond" w:cs="Garamond"/>
          <w:color w:val="000000" w:themeColor="text1"/>
          <w:sz w:val="24"/>
          <w:szCs w:val="24"/>
        </w:rPr>
        <w:t xml:space="preserve">, se realizó consulta en la página </w:t>
      </w:r>
      <w:hyperlink r:id="rId13" w:anchor="/massivereports">
        <w:r w:rsidRPr="009366AE">
          <w:rPr>
            <w:rStyle w:val="Hipervnculo"/>
            <w:rFonts w:ascii="Garamond" w:eastAsia="Garamond" w:hAnsi="Garamond" w:cs="Garamond"/>
            <w:sz w:val="24"/>
            <w:szCs w:val="24"/>
            <w:highlight w:val="darkGray"/>
          </w:rPr>
          <w:t>https://siis.ia.supersociedades.gov.co/#/massivereports</w:t>
        </w:r>
      </w:hyperlink>
      <w:r w:rsidRPr="009366AE">
        <w:rPr>
          <w:rFonts w:ascii="Garamond" w:eastAsia="Garamond" w:hAnsi="Garamond" w:cs="Garamond"/>
          <w:color w:val="000000" w:themeColor="text1"/>
          <w:sz w:val="24"/>
          <w:szCs w:val="24"/>
        </w:rPr>
        <w:t>, con el fin identificar las empresas categorizadas como MIPYMES y que podrían ser posibles proveedoras de bienes y/o servicios según el objeto del presente proceso de contratación, así:</w:t>
      </w:r>
    </w:p>
    <w:p w14:paraId="28A7728E" w14:textId="27DFF8D8" w:rsidR="221F09AA" w:rsidRPr="009366AE" w:rsidRDefault="221F09AA" w:rsidP="221F09AA">
      <w:pPr>
        <w:rPr>
          <w:rFonts w:ascii="Garamond" w:eastAsia="Garamond" w:hAnsi="Garamond" w:cs="Garamond"/>
          <w:color w:val="000000" w:themeColor="text1"/>
          <w:sz w:val="24"/>
          <w:szCs w:val="24"/>
        </w:rPr>
      </w:pPr>
    </w:p>
    <w:tbl>
      <w:tblPr>
        <w:tblW w:w="0" w:type="auto"/>
        <w:jc w:val="center"/>
        <w:tblLayout w:type="fixed"/>
        <w:tblLook w:val="04A0" w:firstRow="1" w:lastRow="0" w:firstColumn="1" w:lastColumn="0" w:noHBand="0" w:noVBand="1"/>
      </w:tblPr>
      <w:tblGrid>
        <w:gridCol w:w="1350"/>
        <w:gridCol w:w="4155"/>
        <w:gridCol w:w="1980"/>
      </w:tblGrid>
      <w:tr w:rsidR="221F09AA" w:rsidRPr="009366AE" w14:paraId="42D04AC2"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54CAA5F6" w14:textId="06AA6ABD"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lang w:val="es-CO"/>
              </w:rPr>
              <w:t>NIT</w:t>
            </w:r>
          </w:p>
        </w:tc>
        <w:tc>
          <w:tcPr>
            <w:tcW w:w="4155"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2103C82E" w14:textId="4B02CE34"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lang w:val="es-CO"/>
              </w:rPr>
              <w:t>Razón Social</w:t>
            </w:r>
          </w:p>
        </w:tc>
        <w:tc>
          <w:tcPr>
            <w:tcW w:w="1980" w:type="dxa"/>
            <w:tcBorders>
              <w:top w:val="single" w:sz="6" w:space="0" w:color="auto"/>
              <w:left w:val="single" w:sz="6" w:space="0" w:color="auto"/>
              <w:bottom w:val="single" w:sz="6" w:space="0" w:color="auto"/>
              <w:right w:val="single" w:sz="6" w:space="0" w:color="auto"/>
            </w:tcBorders>
            <w:shd w:val="clear" w:color="auto" w:fill="B4C6E7" w:themeFill="accent1" w:themeFillTint="66"/>
            <w:vAlign w:val="center"/>
          </w:tcPr>
          <w:p w14:paraId="17AF71CB" w14:textId="1649A45F" w:rsidR="221F09AA" w:rsidRPr="009366AE" w:rsidRDefault="221F09AA" w:rsidP="221F09AA">
            <w:pPr>
              <w:jc w:val="cente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lang w:val="es-CO"/>
              </w:rPr>
              <w:t>Departamento</w:t>
            </w:r>
          </w:p>
        </w:tc>
      </w:tr>
      <w:tr w:rsidR="221F09AA" w:rsidRPr="009366AE" w14:paraId="47206D82"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vAlign w:val="bottom"/>
          </w:tcPr>
          <w:p w14:paraId="673AE420" w14:textId="5C031A0E" w:rsidR="221F09AA" w:rsidRPr="009366AE" w:rsidRDefault="29737E85"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w:t>
            </w:r>
            <w:r w:rsidR="0433F391" w:rsidRPr="009366AE">
              <w:rPr>
                <w:rFonts w:ascii="Garamond" w:eastAsia="Garamond" w:hAnsi="Garamond" w:cs="Garamond"/>
                <w:color w:val="000000" w:themeColor="text1"/>
                <w:sz w:val="24"/>
                <w:szCs w:val="24"/>
              </w:rPr>
              <w:t>30010908</w:t>
            </w:r>
          </w:p>
        </w:tc>
        <w:tc>
          <w:tcPr>
            <w:tcW w:w="4155" w:type="dxa"/>
            <w:tcBorders>
              <w:top w:val="single" w:sz="6" w:space="0" w:color="auto"/>
              <w:left w:val="single" w:sz="6" w:space="0" w:color="auto"/>
              <w:bottom w:val="single" w:sz="6" w:space="0" w:color="auto"/>
              <w:right w:val="single" w:sz="6" w:space="0" w:color="auto"/>
            </w:tcBorders>
            <w:vAlign w:val="bottom"/>
          </w:tcPr>
          <w:p w14:paraId="1FA690D4" w14:textId="52075136" w:rsidR="2550313F" w:rsidRPr="009366AE" w:rsidRDefault="0433F391"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TAUROQUIMICA S.A.S</w:t>
            </w:r>
          </w:p>
        </w:tc>
        <w:tc>
          <w:tcPr>
            <w:tcW w:w="1980" w:type="dxa"/>
            <w:tcBorders>
              <w:top w:val="single" w:sz="6" w:space="0" w:color="auto"/>
              <w:left w:val="single" w:sz="6" w:space="0" w:color="auto"/>
              <w:bottom w:val="single" w:sz="6" w:space="0" w:color="auto"/>
              <w:right w:val="single" w:sz="6" w:space="0" w:color="auto"/>
            </w:tcBorders>
            <w:vAlign w:val="bottom"/>
          </w:tcPr>
          <w:p w14:paraId="740C8364" w14:textId="23F7AD4E"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BOGOTA D.C.</w:t>
            </w:r>
          </w:p>
        </w:tc>
      </w:tr>
      <w:tr w:rsidR="221F09AA" w:rsidRPr="009366AE" w14:paraId="599D25B9"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vAlign w:val="bottom"/>
          </w:tcPr>
          <w:p w14:paraId="2F4923BF" w14:textId="36E2F2CC" w:rsidR="68D1EE9E" w:rsidRPr="009366AE" w:rsidRDefault="280381F5" w:rsidP="221F09AA">
            <w:pPr>
              <w:spacing w:after="0"/>
              <w:rPr>
                <w:rFonts w:ascii="Garamond" w:hAnsi="Garamond"/>
                <w:sz w:val="24"/>
                <w:szCs w:val="24"/>
              </w:rPr>
            </w:pPr>
            <w:r w:rsidRPr="009366AE">
              <w:rPr>
                <w:rFonts w:ascii="Garamond" w:eastAsia="Garamond" w:hAnsi="Garamond" w:cs="Garamond"/>
                <w:color w:val="000000" w:themeColor="text1"/>
                <w:sz w:val="24"/>
                <w:szCs w:val="24"/>
              </w:rPr>
              <w:t>8</w:t>
            </w:r>
            <w:r w:rsidR="290AA298" w:rsidRPr="009366AE">
              <w:rPr>
                <w:rFonts w:ascii="Garamond" w:eastAsia="Garamond" w:hAnsi="Garamond" w:cs="Garamond"/>
                <w:color w:val="000000" w:themeColor="text1"/>
                <w:sz w:val="24"/>
                <w:szCs w:val="24"/>
              </w:rPr>
              <w:t>60006853</w:t>
            </w:r>
          </w:p>
        </w:tc>
        <w:tc>
          <w:tcPr>
            <w:tcW w:w="4155" w:type="dxa"/>
            <w:tcBorders>
              <w:top w:val="single" w:sz="6" w:space="0" w:color="auto"/>
              <w:left w:val="single" w:sz="6" w:space="0" w:color="auto"/>
              <w:bottom w:val="single" w:sz="6" w:space="0" w:color="auto"/>
              <w:right w:val="single" w:sz="6" w:space="0" w:color="auto"/>
            </w:tcBorders>
            <w:vAlign w:val="bottom"/>
          </w:tcPr>
          <w:p w14:paraId="2AEFE2F4" w14:textId="25CDBDFC" w:rsidR="221F09AA" w:rsidRPr="009366AE" w:rsidRDefault="290AA298" w:rsidP="39B57729">
            <w:pPr>
              <w:spacing w:after="0"/>
              <w:rPr>
                <w:rFonts w:ascii="Garamond" w:hAnsi="Garamond"/>
                <w:sz w:val="24"/>
                <w:szCs w:val="24"/>
              </w:rPr>
            </w:pPr>
            <w:r w:rsidRPr="009366AE">
              <w:rPr>
                <w:rFonts w:ascii="Garamond" w:eastAsia="Garamond" w:hAnsi="Garamond" w:cs="Garamond"/>
                <w:color w:val="000000" w:themeColor="text1"/>
                <w:sz w:val="24"/>
                <w:szCs w:val="24"/>
              </w:rPr>
              <w:t>CARBOQUUIMICA S.A.S</w:t>
            </w:r>
          </w:p>
        </w:tc>
        <w:tc>
          <w:tcPr>
            <w:tcW w:w="1980" w:type="dxa"/>
            <w:tcBorders>
              <w:top w:val="single" w:sz="6" w:space="0" w:color="auto"/>
              <w:left w:val="single" w:sz="6" w:space="0" w:color="auto"/>
              <w:bottom w:val="single" w:sz="6" w:space="0" w:color="auto"/>
              <w:right w:val="single" w:sz="6" w:space="0" w:color="auto"/>
            </w:tcBorders>
            <w:vAlign w:val="bottom"/>
          </w:tcPr>
          <w:p w14:paraId="0EDDD491" w14:textId="4131C811"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BOGOTA D.C.</w:t>
            </w:r>
          </w:p>
        </w:tc>
      </w:tr>
      <w:tr w:rsidR="221F09AA" w:rsidRPr="009366AE" w14:paraId="7DE896C6"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vAlign w:val="bottom"/>
          </w:tcPr>
          <w:p w14:paraId="3CDD1996" w14:textId="674C6885" w:rsidR="428850BE" w:rsidRPr="009366AE" w:rsidRDefault="309B6FA6"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w:t>
            </w:r>
            <w:r w:rsidR="65EF3361" w:rsidRPr="009366AE">
              <w:rPr>
                <w:rFonts w:ascii="Garamond" w:eastAsia="Garamond" w:hAnsi="Garamond" w:cs="Garamond"/>
                <w:color w:val="000000" w:themeColor="text1"/>
                <w:sz w:val="24"/>
                <w:szCs w:val="24"/>
              </w:rPr>
              <w:t>60044702</w:t>
            </w:r>
          </w:p>
        </w:tc>
        <w:tc>
          <w:tcPr>
            <w:tcW w:w="4155" w:type="dxa"/>
            <w:tcBorders>
              <w:top w:val="single" w:sz="6" w:space="0" w:color="auto"/>
              <w:left w:val="single" w:sz="6" w:space="0" w:color="auto"/>
              <w:bottom w:val="single" w:sz="6" w:space="0" w:color="auto"/>
              <w:right w:val="single" w:sz="6" w:space="0" w:color="auto"/>
            </w:tcBorders>
            <w:vAlign w:val="bottom"/>
          </w:tcPr>
          <w:p w14:paraId="3F44EC55" w14:textId="5F034068" w:rsidR="428850BE" w:rsidRPr="009366AE" w:rsidRDefault="65EF3361"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NCH COLOMBIA S.A</w:t>
            </w:r>
          </w:p>
        </w:tc>
        <w:tc>
          <w:tcPr>
            <w:tcW w:w="1980" w:type="dxa"/>
            <w:tcBorders>
              <w:top w:val="single" w:sz="6" w:space="0" w:color="auto"/>
              <w:left w:val="single" w:sz="6" w:space="0" w:color="auto"/>
              <w:bottom w:val="single" w:sz="6" w:space="0" w:color="auto"/>
              <w:right w:val="single" w:sz="6" w:space="0" w:color="auto"/>
            </w:tcBorders>
            <w:vAlign w:val="bottom"/>
          </w:tcPr>
          <w:p w14:paraId="6D4291AB" w14:textId="6C4F2C22"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BOGOTA D.C.</w:t>
            </w:r>
          </w:p>
        </w:tc>
      </w:tr>
      <w:tr w:rsidR="221F09AA" w:rsidRPr="009366AE" w14:paraId="4C4B34D0"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vAlign w:val="bottom"/>
          </w:tcPr>
          <w:p w14:paraId="462BE481" w14:textId="4EC15187" w:rsidR="221F09AA" w:rsidRPr="009366AE" w:rsidRDefault="7503543B"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800074176</w:t>
            </w:r>
          </w:p>
        </w:tc>
        <w:tc>
          <w:tcPr>
            <w:tcW w:w="4155" w:type="dxa"/>
            <w:tcBorders>
              <w:top w:val="single" w:sz="6" w:space="0" w:color="auto"/>
              <w:left w:val="single" w:sz="6" w:space="0" w:color="auto"/>
              <w:bottom w:val="single" w:sz="6" w:space="0" w:color="auto"/>
              <w:right w:val="single" w:sz="6" w:space="0" w:color="auto"/>
            </w:tcBorders>
            <w:vAlign w:val="bottom"/>
          </w:tcPr>
          <w:p w14:paraId="2E201C10" w14:textId="39D0D61A" w:rsidR="659786DF" w:rsidRPr="009366AE" w:rsidRDefault="7503543B"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QUIMICAPAN LIMITADA</w:t>
            </w:r>
          </w:p>
        </w:tc>
        <w:tc>
          <w:tcPr>
            <w:tcW w:w="1980" w:type="dxa"/>
            <w:tcBorders>
              <w:top w:val="single" w:sz="6" w:space="0" w:color="auto"/>
              <w:left w:val="single" w:sz="6" w:space="0" w:color="auto"/>
              <w:bottom w:val="single" w:sz="6" w:space="0" w:color="auto"/>
              <w:right w:val="single" w:sz="6" w:space="0" w:color="auto"/>
            </w:tcBorders>
            <w:vAlign w:val="bottom"/>
          </w:tcPr>
          <w:p w14:paraId="5E1CFDE5" w14:textId="3A5A47A2"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BOGOTA D.C.</w:t>
            </w:r>
          </w:p>
        </w:tc>
      </w:tr>
      <w:tr w:rsidR="221F09AA" w:rsidRPr="009366AE" w14:paraId="0A108D78" w14:textId="77777777" w:rsidTr="39B57729">
        <w:trPr>
          <w:trHeight w:val="285"/>
          <w:jc w:val="center"/>
        </w:trPr>
        <w:tc>
          <w:tcPr>
            <w:tcW w:w="1350" w:type="dxa"/>
            <w:tcBorders>
              <w:top w:val="single" w:sz="6" w:space="0" w:color="auto"/>
              <w:left w:val="single" w:sz="6" w:space="0" w:color="auto"/>
              <w:bottom w:val="single" w:sz="6" w:space="0" w:color="auto"/>
              <w:right w:val="single" w:sz="6" w:space="0" w:color="auto"/>
            </w:tcBorders>
            <w:vAlign w:val="bottom"/>
          </w:tcPr>
          <w:p w14:paraId="45B41DA8" w14:textId="2AEB8304" w:rsidR="661BB901" w:rsidRPr="009366AE" w:rsidRDefault="7FDC5251"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800247607</w:t>
            </w:r>
          </w:p>
        </w:tc>
        <w:tc>
          <w:tcPr>
            <w:tcW w:w="4155" w:type="dxa"/>
            <w:tcBorders>
              <w:top w:val="single" w:sz="6" w:space="0" w:color="auto"/>
              <w:left w:val="single" w:sz="6" w:space="0" w:color="auto"/>
              <w:bottom w:val="single" w:sz="6" w:space="0" w:color="auto"/>
              <w:right w:val="single" w:sz="6" w:space="0" w:color="auto"/>
            </w:tcBorders>
            <w:vAlign w:val="bottom"/>
          </w:tcPr>
          <w:p w14:paraId="77F65C04" w14:textId="25BAEF44" w:rsidR="661BB901" w:rsidRPr="009366AE" w:rsidRDefault="7FDC5251" w:rsidP="39B57729">
            <w:pPr>
              <w:spacing w:after="0"/>
              <w:rPr>
                <w:rFonts w:ascii="Garamond" w:hAnsi="Garamond"/>
                <w:sz w:val="24"/>
                <w:szCs w:val="24"/>
              </w:rPr>
            </w:pPr>
            <w:r w:rsidRPr="009366AE">
              <w:rPr>
                <w:rFonts w:ascii="Garamond" w:eastAsia="Garamond" w:hAnsi="Garamond" w:cs="Garamond"/>
                <w:color w:val="000000" w:themeColor="text1"/>
                <w:sz w:val="24"/>
                <w:szCs w:val="24"/>
              </w:rPr>
              <w:t>DINAMICA GRAFICA LTDA</w:t>
            </w:r>
          </w:p>
        </w:tc>
        <w:tc>
          <w:tcPr>
            <w:tcW w:w="1980" w:type="dxa"/>
            <w:tcBorders>
              <w:top w:val="single" w:sz="6" w:space="0" w:color="auto"/>
              <w:left w:val="single" w:sz="6" w:space="0" w:color="auto"/>
              <w:bottom w:val="single" w:sz="6" w:space="0" w:color="auto"/>
              <w:right w:val="single" w:sz="6" w:space="0" w:color="auto"/>
            </w:tcBorders>
            <w:vAlign w:val="bottom"/>
          </w:tcPr>
          <w:p w14:paraId="4A1D5F51" w14:textId="6427C4D7" w:rsidR="221F09AA" w:rsidRPr="009366AE" w:rsidRDefault="221F09AA" w:rsidP="221F09AA">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BOGOTA D.C.</w:t>
            </w:r>
          </w:p>
        </w:tc>
      </w:tr>
    </w:tbl>
    <w:p w14:paraId="2F996D97" w14:textId="490A6BB2" w:rsidR="221F09AA" w:rsidRPr="009366AE" w:rsidRDefault="221F09AA" w:rsidP="221F09AA">
      <w:pPr>
        <w:rPr>
          <w:rFonts w:ascii="Garamond" w:eastAsia="Garamond" w:hAnsi="Garamond" w:cs="Garamond"/>
          <w:color w:val="000000" w:themeColor="text1"/>
          <w:sz w:val="24"/>
          <w:szCs w:val="24"/>
        </w:rPr>
      </w:pPr>
    </w:p>
    <w:p w14:paraId="435CC63D" w14:textId="2BAA4281" w:rsidR="7E42E7BA" w:rsidRPr="009366AE" w:rsidRDefault="7E42E7BA" w:rsidP="221F09AA">
      <w:pPr>
        <w:contextualSpacing/>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Con respecto a la promoción del acceso de las </w:t>
      </w:r>
      <w:proofErr w:type="spellStart"/>
      <w:r w:rsidRPr="009366AE">
        <w:rPr>
          <w:rFonts w:ascii="Garamond" w:eastAsia="Garamond" w:hAnsi="Garamond" w:cs="Garamond"/>
          <w:color w:val="000000" w:themeColor="text1"/>
          <w:sz w:val="24"/>
          <w:szCs w:val="24"/>
        </w:rPr>
        <w:t>Mipyme</w:t>
      </w:r>
      <w:proofErr w:type="spellEnd"/>
      <w:r w:rsidRPr="009366AE">
        <w:rPr>
          <w:rFonts w:ascii="Garamond" w:eastAsia="Garamond" w:hAnsi="Garamond" w:cs="Garamond"/>
          <w:color w:val="000000" w:themeColor="text1"/>
          <w:sz w:val="24"/>
          <w:szCs w:val="24"/>
        </w:rPr>
        <w:t xml:space="preserve"> al mercado de compras públicas, según artículo 33 de la Ley 2069 de 2020, se determinan las siguientes reglas que permiten la promoción a participar, así:</w:t>
      </w:r>
    </w:p>
    <w:p w14:paraId="6D5627E8" w14:textId="442DD4A9" w:rsidR="221F09AA" w:rsidRPr="009366AE" w:rsidRDefault="221F09AA" w:rsidP="221F09AA">
      <w:pPr>
        <w:ind w:hanging="287"/>
        <w:contextualSpacing/>
        <w:jc w:val="both"/>
        <w:rPr>
          <w:rFonts w:ascii="Garamond" w:eastAsia="Garamond" w:hAnsi="Garamond" w:cs="Garamond"/>
          <w:color w:val="000000" w:themeColor="text1"/>
          <w:sz w:val="24"/>
          <w:szCs w:val="24"/>
        </w:rPr>
      </w:pPr>
    </w:p>
    <w:p w14:paraId="460F3F3A" w14:textId="675ECE82" w:rsidR="7E42E7BA" w:rsidRPr="009366AE" w:rsidRDefault="7E42E7BA" w:rsidP="221F09AA">
      <w:pPr>
        <w:pStyle w:val="Prrafodelista"/>
        <w:numPr>
          <w:ilvl w:val="0"/>
          <w:numId w:val="7"/>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La entidad organiza su demanda en el plan anual de adquisiciones, identificando la necesidad con el código UNSPSC.</w:t>
      </w:r>
    </w:p>
    <w:p w14:paraId="6E2A23FD" w14:textId="0544A817" w:rsidR="7E42E7BA" w:rsidRPr="009366AE" w:rsidRDefault="7E42E7BA" w:rsidP="221F09AA">
      <w:pPr>
        <w:pStyle w:val="Prrafodelista"/>
        <w:numPr>
          <w:ilvl w:val="0"/>
          <w:numId w:val="7"/>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En la determinación del código UNSPSC se tendrá en cuenta los segmentos de clasificación para bienes (materias primas, equipos industriales, componentes y suministros, productos de uso final, entre otros) y para servicios.</w:t>
      </w:r>
    </w:p>
    <w:p w14:paraId="710835B6" w14:textId="160BBA12" w:rsidR="7E42E7BA" w:rsidRPr="009366AE" w:rsidRDefault="7E42E7BA" w:rsidP="221F09AA">
      <w:pPr>
        <w:pStyle w:val="Prrafodelista"/>
        <w:numPr>
          <w:ilvl w:val="0"/>
          <w:numId w:val="7"/>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La entidad efectuara solicitud de cotización a través de la plataforma SECOP II creando el evento de “solicitud de información a proveedores”, efectuando la invitación todos los proveedores, buscándolos con el clasificador UNSPSC.</w:t>
      </w:r>
    </w:p>
    <w:p w14:paraId="0B01BB3C" w14:textId="7C4CFD45" w:rsidR="7E42E7BA" w:rsidRPr="009366AE" w:rsidRDefault="7E42E7BA" w:rsidP="221F09AA">
      <w:pPr>
        <w:pStyle w:val="Prrafodelista"/>
        <w:numPr>
          <w:ilvl w:val="0"/>
          <w:numId w:val="7"/>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lastRenderedPageBreak/>
        <w:t>De no ser posible la participación de cotizantes en el evento de “solicitud de información a proveedores la entidad solicitara mediante correo electrónico (usuario de la entidad) la cotización de los bienes y servicios a proveedores identificados en la plataforma SECOP II y/o a otros que no estén identificados en la plataforma SECOP II pero que puedan proveer el servicio o los productos, con el fin de motivar la participación al futuro proceso contractual.</w:t>
      </w:r>
    </w:p>
    <w:p w14:paraId="4E4838B8" w14:textId="4B8F3587" w:rsidR="7E42E7BA" w:rsidRPr="009366AE" w:rsidRDefault="7E42E7BA" w:rsidP="221F09AA">
      <w:pPr>
        <w:pStyle w:val="Prrafodelista"/>
        <w:numPr>
          <w:ilvl w:val="0"/>
          <w:numId w:val="7"/>
        </w:num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La entidad registrara en el estudio de mercado – análisis del sector- análisis de la oferta, las respuestas recibidas, la(s) cotización (es) y/o constancias de no ofrecimiento de cotizantes.</w:t>
      </w:r>
    </w:p>
    <w:p w14:paraId="151C9E0C" w14:textId="5C7DF950" w:rsidR="7E42E7BA" w:rsidRPr="009366AE" w:rsidRDefault="7E42E7BA" w:rsidP="221F09AA">
      <w:pPr>
        <w:contextualSpacing/>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De acuerdo a la pluralidad de </w:t>
      </w:r>
      <w:proofErr w:type="spellStart"/>
      <w:r w:rsidRPr="009366AE">
        <w:rPr>
          <w:rFonts w:ascii="Garamond" w:eastAsia="Garamond" w:hAnsi="Garamond" w:cs="Garamond"/>
          <w:color w:val="000000" w:themeColor="text1"/>
          <w:sz w:val="24"/>
          <w:szCs w:val="24"/>
        </w:rPr>
        <w:t>Mipymes</w:t>
      </w:r>
      <w:proofErr w:type="spellEnd"/>
      <w:r w:rsidRPr="009366AE">
        <w:rPr>
          <w:rFonts w:ascii="Garamond" w:eastAsia="Garamond" w:hAnsi="Garamond" w:cs="Garamond"/>
          <w:color w:val="000000" w:themeColor="text1"/>
          <w:sz w:val="24"/>
          <w:szCs w:val="24"/>
        </w:rPr>
        <w:t>, se tomó una muestra entre 285 proponentes, los cuales tienen sus activos totales por debajo de los 30 mil SMMLV.</w:t>
      </w:r>
    </w:p>
    <w:p w14:paraId="0B717B2C" w14:textId="17472378" w:rsidR="221F09AA" w:rsidRPr="009366AE" w:rsidRDefault="221F09AA" w:rsidP="221F09AA">
      <w:pPr>
        <w:contextualSpacing/>
        <w:jc w:val="both"/>
        <w:rPr>
          <w:rFonts w:ascii="Garamond" w:eastAsia="Garamond" w:hAnsi="Garamond" w:cs="Garamond"/>
          <w:color w:val="000000" w:themeColor="text1"/>
          <w:sz w:val="24"/>
          <w:szCs w:val="24"/>
        </w:rPr>
      </w:pPr>
    </w:p>
    <w:tbl>
      <w:tblPr>
        <w:tblW w:w="0" w:type="auto"/>
        <w:tblInd w:w="135" w:type="dxa"/>
        <w:tblLayout w:type="fixed"/>
        <w:tblLook w:val="04A0" w:firstRow="1" w:lastRow="0" w:firstColumn="1" w:lastColumn="0" w:noHBand="0" w:noVBand="1"/>
      </w:tblPr>
      <w:tblGrid>
        <w:gridCol w:w="6795"/>
        <w:gridCol w:w="1980"/>
      </w:tblGrid>
      <w:tr w:rsidR="221F09AA" w:rsidRPr="009366AE" w14:paraId="5C63065F" w14:textId="77777777" w:rsidTr="221F09AA">
        <w:trPr>
          <w:trHeight w:val="375"/>
        </w:trPr>
        <w:tc>
          <w:tcPr>
            <w:tcW w:w="6795" w:type="dxa"/>
            <w:tcBorders>
              <w:top w:val="single" w:sz="6" w:space="0" w:color="auto"/>
              <w:left w:val="single" w:sz="6" w:space="0" w:color="auto"/>
              <w:bottom w:val="single" w:sz="6" w:space="0" w:color="auto"/>
              <w:right w:val="single" w:sz="6" w:space="0" w:color="auto"/>
            </w:tcBorders>
          </w:tcPr>
          <w:p w14:paraId="54F99480" w14:textId="5CB0F823" w:rsidR="221F09AA" w:rsidRPr="009366AE" w:rsidRDefault="221F09AA" w:rsidP="221F09AA">
            <w:pPr>
              <w:pStyle w:val="Default"/>
              <w:jc w:val="center"/>
              <w:rPr>
                <w:rFonts w:ascii="Garamond" w:eastAsia="Garamond" w:hAnsi="Garamond" w:cs="Garamond"/>
              </w:rPr>
            </w:pPr>
            <w:r w:rsidRPr="009366AE">
              <w:rPr>
                <w:rFonts w:ascii="Garamond" w:eastAsia="Garamond" w:hAnsi="Garamond" w:cs="Garamond"/>
                <w:b/>
                <w:bCs/>
              </w:rPr>
              <w:t>CONDICIÓN</w:t>
            </w:r>
          </w:p>
        </w:tc>
        <w:tc>
          <w:tcPr>
            <w:tcW w:w="1980" w:type="dxa"/>
            <w:tcBorders>
              <w:top w:val="single" w:sz="6" w:space="0" w:color="auto"/>
              <w:left w:val="single" w:sz="6" w:space="0" w:color="auto"/>
              <w:bottom w:val="single" w:sz="6" w:space="0" w:color="auto"/>
              <w:right w:val="single" w:sz="6" w:space="0" w:color="auto"/>
            </w:tcBorders>
          </w:tcPr>
          <w:p w14:paraId="6EFD1418" w14:textId="5B77A79F" w:rsidR="221F09AA" w:rsidRPr="009366AE" w:rsidRDefault="221F09AA" w:rsidP="221F09AA">
            <w:pPr>
              <w:pStyle w:val="Default"/>
              <w:jc w:val="center"/>
              <w:rPr>
                <w:rFonts w:ascii="Garamond" w:eastAsia="Garamond" w:hAnsi="Garamond" w:cs="Garamond"/>
              </w:rPr>
            </w:pPr>
            <w:r w:rsidRPr="009366AE">
              <w:rPr>
                <w:rFonts w:ascii="Garamond" w:eastAsia="Garamond" w:hAnsi="Garamond" w:cs="Garamond"/>
                <w:b/>
                <w:bCs/>
              </w:rPr>
              <w:t>APLICA/ NO APLICA</w:t>
            </w:r>
          </w:p>
        </w:tc>
      </w:tr>
      <w:tr w:rsidR="221F09AA" w:rsidRPr="009366AE" w14:paraId="2CDA6DD0" w14:textId="77777777" w:rsidTr="221F09AA">
        <w:trPr>
          <w:trHeight w:val="375"/>
        </w:trPr>
        <w:tc>
          <w:tcPr>
            <w:tcW w:w="6795" w:type="dxa"/>
            <w:tcBorders>
              <w:top w:val="single" w:sz="6" w:space="0" w:color="auto"/>
              <w:left w:val="single" w:sz="6" w:space="0" w:color="auto"/>
              <w:bottom w:val="single" w:sz="6" w:space="0" w:color="auto"/>
              <w:right w:val="single" w:sz="6" w:space="0" w:color="auto"/>
            </w:tcBorders>
          </w:tcPr>
          <w:p w14:paraId="24009012" w14:textId="7A9C8848" w:rsidR="221F09AA" w:rsidRPr="009366AE" w:rsidRDefault="221F09AA" w:rsidP="221F09AA">
            <w:pPr>
              <w:pStyle w:val="Default"/>
              <w:jc w:val="both"/>
              <w:rPr>
                <w:rFonts w:ascii="Garamond" w:eastAsia="Garamond" w:hAnsi="Garamond" w:cs="Garamond"/>
              </w:rPr>
            </w:pPr>
            <w:r w:rsidRPr="009366AE">
              <w:rPr>
                <w:rFonts w:ascii="Garamond" w:eastAsia="Garamond" w:hAnsi="Garamond" w:cs="Garamond"/>
              </w:rPr>
              <w:t>Categoría de MIPYME según los rangos de clasificación empresarial establecidos con la Ley 590 de 2000 y el Decreto 1074 de 2015, o normas que lo modifiquen, sustituyan o complementen</w:t>
            </w:r>
          </w:p>
        </w:tc>
        <w:tc>
          <w:tcPr>
            <w:tcW w:w="1980" w:type="dxa"/>
            <w:tcBorders>
              <w:top w:val="single" w:sz="6" w:space="0" w:color="auto"/>
              <w:left w:val="single" w:sz="6" w:space="0" w:color="auto"/>
              <w:bottom w:val="single" w:sz="6" w:space="0" w:color="auto"/>
              <w:right w:val="single" w:sz="6" w:space="0" w:color="auto"/>
            </w:tcBorders>
          </w:tcPr>
          <w:p w14:paraId="4534297E" w14:textId="370A17D4" w:rsidR="221F09AA" w:rsidRPr="009366AE" w:rsidRDefault="221F09AA" w:rsidP="221F09AA">
            <w:pPr>
              <w:pStyle w:val="Default"/>
              <w:jc w:val="center"/>
              <w:rPr>
                <w:rFonts w:ascii="Garamond" w:eastAsia="Garamond" w:hAnsi="Garamond" w:cs="Garamond"/>
              </w:rPr>
            </w:pPr>
            <w:r w:rsidRPr="009366AE">
              <w:rPr>
                <w:rFonts w:ascii="Garamond" w:eastAsia="Garamond" w:hAnsi="Garamond" w:cs="Garamond"/>
                <w:b/>
                <w:bCs/>
              </w:rPr>
              <w:t xml:space="preserve">APLICA  </w:t>
            </w:r>
          </w:p>
        </w:tc>
      </w:tr>
    </w:tbl>
    <w:p w14:paraId="309A51D0" w14:textId="052B4077" w:rsidR="221F09AA" w:rsidRPr="009366AE" w:rsidRDefault="221F09AA" w:rsidP="221F09AA">
      <w:pPr>
        <w:contextualSpacing/>
        <w:jc w:val="both"/>
        <w:rPr>
          <w:rFonts w:ascii="Garamond" w:eastAsia="Garamond" w:hAnsi="Garamond" w:cs="Garamond"/>
          <w:color w:val="000000" w:themeColor="text1"/>
          <w:sz w:val="24"/>
          <w:szCs w:val="24"/>
        </w:rPr>
      </w:pPr>
    </w:p>
    <w:p w14:paraId="04BF8EF4" w14:textId="774B760B" w:rsidR="7E42E7BA" w:rsidRPr="009366AE" w:rsidRDefault="7E42E7BA" w:rsidP="221F09AA">
      <w:pPr>
        <w:tabs>
          <w:tab w:val="left" w:pos="2745"/>
          <w:tab w:val="center" w:pos="4489"/>
        </w:tabs>
        <w:jc w:val="both"/>
        <w:rPr>
          <w:rFonts w:ascii="Garamond" w:eastAsia="Garamond" w:hAnsi="Garamond" w:cs="Garamond"/>
          <w:color w:val="000000" w:themeColor="text1"/>
          <w:sz w:val="24"/>
          <w:szCs w:val="24"/>
        </w:rPr>
      </w:pPr>
      <w:r w:rsidRPr="009366AE">
        <w:rPr>
          <w:rStyle w:val="eop"/>
          <w:rFonts w:ascii="Garamond" w:eastAsia="Garamond" w:hAnsi="Garamond" w:cs="Garamond"/>
          <w:color w:val="000000" w:themeColor="text1"/>
          <w:sz w:val="24"/>
          <w:szCs w:val="24"/>
        </w:rPr>
        <w:t xml:space="preserve">Por lo cual, se determina que puede aplicarse criterios diferenciales para </w:t>
      </w:r>
      <w:proofErr w:type="spellStart"/>
      <w:r w:rsidRPr="009366AE">
        <w:rPr>
          <w:rStyle w:val="eop"/>
          <w:rFonts w:ascii="Garamond" w:eastAsia="Garamond" w:hAnsi="Garamond" w:cs="Garamond"/>
          <w:color w:val="000000" w:themeColor="text1"/>
          <w:sz w:val="24"/>
          <w:szCs w:val="24"/>
        </w:rPr>
        <w:t>Mipymes</w:t>
      </w:r>
      <w:proofErr w:type="spellEnd"/>
      <w:r w:rsidRPr="009366AE">
        <w:rPr>
          <w:rStyle w:val="eop"/>
          <w:rFonts w:ascii="Garamond" w:eastAsia="Garamond" w:hAnsi="Garamond" w:cs="Garamond"/>
          <w:color w:val="000000" w:themeColor="text1"/>
          <w:sz w:val="24"/>
          <w:szCs w:val="24"/>
        </w:rPr>
        <w:t>.</w:t>
      </w:r>
    </w:p>
    <w:p w14:paraId="20F2F797" w14:textId="633D528A" w:rsidR="2E556E0C" w:rsidRPr="009366AE" w:rsidRDefault="2E556E0C" w:rsidP="009366AE">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FOMENTO PARA POBLACIÓN EN POBREZA EXTREMA, DESPLAZADOS POR LA VIOLENCIA, PERSONAS EN PROCESO DE REINTEGRACIÓN O REINCORPORACIÓN Y SUJETOS DE ESPECIAL PROTECCIÓN CONSTITUCIONAL</w:t>
      </w:r>
      <w:r w:rsidR="738AA0FA" w:rsidRPr="009366AE">
        <w:rPr>
          <w:rFonts w:ascii="Garamond" w:eastAsia="Garamond" w:hAnsi="Garamond" w:cs="Garamond"/>
          <w:b/>
          <w:bCs/>
          <w:color w:val="000000" w:themeColor="text1"/>
          <w:sz w:val="24"/>
          <w:szCs w:val="24"/>
        </w:rPr>
        <w:t>.</w:t>
      </w:r>
    </w:p>
    <w:p w14:paraId="28B369CB" w14:textId="06E3521F" w:rsidR="2E556E0C" w:rsidRPr="009366AE" w:rsidRDefault="2E556E0C"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En aplicabilidad del numeral 2.2.1.2.4.2.16 del Decreto 1860  de 2021,  se  realizó consulta a las empresas cotizantes, con el fin de verificar si existen empresas que puedan ofrecer bienes y servicios por población en pobreza extrema, desplazados por la violencia, personas en proceso de reintegración o reincorporación y sujetos de especial protección constitucional, en un porcentaje que no será superior al diez por ciento (10%) ni inferior al cinco por ciento (5%) de los bienes o servicios requeridos para la ejecución del contrato. </w:t>
      </w:r>
    </w:p>
    <w:p w14:paraId="18F61D3D" w14:textId="758D74FE" w:rsidR="2E556E0C" w:rsidRDefault="2E556E0C"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Teniendo en cuenta lo anterior, se realizó la consulta en repositorios de bases de datos donde no se tuvo éxito con la identificación de </w:t>
      </w:r>
      <w:proofErr w:type="spellStart"/>
      <w:r w:rsidRPr="009366AE">
        <w:rPr>
          <w:rFonts w:ascii="Garamond" w:eastAsia="Garamond" w:hAnsi="Garamond" w:cs="Garamond"/>
          <w:color w:val="000000" w:themeColor="text1"/>
          <w:sz w:val="24"/>
          <w:szCs w:val="24"/>
        </w:rPr>
        <w:t>Mipymes</w:t>
      </w:r>
      <w:proofErr w:type="spellEnd"/>
      <w:r w:rsidRPr="009366AE">
        <w:rPr>
          <w:rFonts w:ascii="Garamond" w:eastAsia="Garamond" w:hAnsi="Garamond" w:cs="Garamond"/>
          <w:color w:val="000000" w:themeColor="text1"/>
          <w:sz w:val="24"/>
          <w:szCs w:val="24"/>
        </w:rPr>
        <w:t xml:space="preserve"> con población en pobreza extrema, desplazados por la violencia, personan en procesos de reintegración o reincorporación.</w:t>
      </w:r>
    </w:p>
    <w:p w14:paraId="4ECE2172" w14:textId="77777777" w:rsidR="009366AE" w:rsidRPr="009366AE" w:rsidRDefault="009366AE" w:rsidP="39B57729">
      <w:pPr>
        <w:rPr>
          <w:rFonts w:ascii="Garamond" w:eastAsia="Garamond" w:hAnsi="Garamond" w:cs="Garamond"/>
          <w:color w:val="000000" w:themeColor="text1"/>
          <w:sz w:val="24"/>
          <w:szCs w:val="24"/>
        </w:rPr>
      </w:pPr>
    </w:p>
    <w:tbl>
      <w:tblPr>
        <w:tblStyle w:val="Tablaconcuadrcula"/>
        <w:tblW w:w="0" w:type="auto"/>
        <w:tblInd w:w="135" w:type="dxa"/>
        <w:tblLayout w:type="fixed"/>
        <w:tblLook w:val="04A0" w:firstRow="1" w:lastRow="0" w:firstColumn="1" w:lastColumn="0" w:noHBand="0" w:noVBand="1"/>
      </w:tblPr>
      <w:tblGrid>
        <w:gridCol w:w="6795"/>
        <w:gridCol w:w="1980"/>
      </w:tblGrid>
      <w:tr w:rsidR="221F09AA" w:rsidRPr="009366AE" w14:paraId="6DEAB6BB" w14:textId="77777777" w:rsidTr="39B57729">
        <w:trPr>
          <w:trHeight w:val="375"/>
        </w:trPr>
        <w:tc>
          <w:tcPr>
            <w:tcW w:w="6795" w:type="dxa"/>
          </w:tcPr>
          <w:p w14:paraId="458ADCF1" w14:textId="02B848A9" w:rsidR="221F09AA" w:rsidRPr="009366AE" w:rsidRDefault="221F09AA" w:rsidP="221F09AA">
            <w:pPr>
              <w:pStyle w:val="Default"/>
              <w:jc w:val="both"/>
              <w:rPr>
                <w:rFonts w:ascii="Garamond" w:eastAsia="Garamond" w:hAnsi="Garamond" w:cs="Garamond"/>
              </w:rPr>
            </w:pPr>
            <w:r w:rsidRPr="009366AE">
              <w:rPr>
                <w:rFonts w:ascii="Garamond" w:eastAsia="Garamond" w:hAnsi="Garamond" w:cs="Garamond"/>
                <w:b/>
                <w:bCs/>
                <w:lang w:val="es-CO"/>
              </w:rPr>
              <w:t>POBLACIÓN EN POBREZA EXTREMA, DESPLAZADOS POR LA VIOLENCIA, PERSONAS EN PROCESO DE REINTEGRACIÓN O REINCORPORACIÓN Y SUJETOS DE ESPECIAL PROTECCIÓN (ARTÍCULO 2.2.1.2.4.2.14)</w:t>
            </w:r>
          </w:p>
        </w:tc>
        <w:tc>
          <w:tcPr>
            <w:tcW w:w="1980" w:type="dxa"/>
          </w:tcPr>
          <w:p w14:paraId="02B1F2D6" w14:textId="7E54190D" w:rsidR="221F09AA" w:rsidRPr="009366AE" w:rsidRDefault="221F09AA" w:rsidP="221F09AA">
            <w:pPr>
              <w:pStyle w:val="Default"/>
              <w:jc w:val="center"/>
              <w:rPr>
                <w:rFonts w:ascii="Garamond" w:eastAsia="Garamond" w:hAnsi="Garamond" w:cs="Garamond"/>
              </w:rPr>
            </w:pPr>
            <w:r w:rsidRPr="009366AE">
              <w:rPr>
                <w:rFonts w:ascii="Garamond" w:eastAsia="Garamond" w:hAnsi="Garamond" w:cs="Garamond"/>
                <w:b/>
                <w:bCs/>
              </w:rPr>
              <w:t>SI/ NO APLICA</w:t>
            </w:r>
          </w:p>
        </w:tc>
      </w:tr>
      <w:tr w:rsidR="221F09AA" w:rsidRPr="009366AE" w14:paraId="2C2F1B68" w14:textId="77777777" w:rsidTr="39B57729">
        <w:trPr>
          <w:trHeight w:val="375"/>
        </w:trPr>
        <w:tc>
          <w:tcPr>
            <w:tcW w:w="6795" w:type="dxa"/>
          </w:tcPr>
          <w:p w14:paraId="1CAC49D0" w14:textId="112268E7" w:rsidR="221F09AA" w:rsidRPr="009366AE" w:rsidRDefault="221F09AA" w:rsidP="221F09AA">
            <w:pPr>
              <w:pStyle w:val="Default"/>
              <w:jc w:val="both"/>
              <w:rPr>
                <w:rFonts w:ascii="Garamond" w:eastAsia="Garamond" w:hAnsi="Garamond" w:cs="Garamond"/>
              </w:rPr>
            </w:pPr>
            <w:r w:rsidRPr="009366AE">
              <w:rPr>
                <w:rFonts w:ascii="Garamond" w:eastAsia="Garamond" w:hAnsi="Garamond" w:cs="Garamond"/>
                <w:lang w:val="es-CO"/>
              </w:rPr>
              <w:t xml:space="preserve">Al respecto, es importante tener en cuenta que, previo análisis de oportunidad y conveniencia sobre la inclusión de la participación de población en pobreza extrema, desplazados por la violencia, personas en proceso de reintegración o reincorporación y sujetos de especial protección constitucional en la ejecución del contrato que surja del presente contrato, se observa que no resulta aplicable el fomento a la participación de los sujetos mencionados, toda vez que el contrato a </w:t>
            </w:r>
            <w:r w:rsidRPr="009366AE">
              <w:rPr>
                <w:rFonts w:ascii="Garamond" w:eastAsia="Garamond" w:hAnsi="Garamond" w:cs="Garamond"/>
                <w:lang w:val="es-CO"/>
              </w:rPr>
              <w:lastRenderedPageBreak/>
              <w:t>celebrar no exige un número mínimo de personal para ejecutar el contrato, esto implica que el FDLUSA no podrá realizar el seguimiento y verificación del cumplimiento respecto de las personas vinculadas al inicio y durante la ejecución del contrato pertenezcan a los grupos poblacionales enunciados anteriormente</w:t>
            </w:r>
          </w:p>
        </w:tc>
        <w:tc>
          <w:tcPr>
            <w:tcW w:w="1980" w:type="dxa"/>
          </w:tcPr>
          <w:p w14:paraId="32CBCCB9" w14:textId="4D20AF03" w:rsidR="221F09AA" w:rsidRPr="009366AE" w:rsidRDefault="221F09AA" w:rsidP="221F09AA">
            <w:pPr>
              <w:spacing w:line="259" w:lineRule="auto"/>
              <w:rPr>
                <w:rFonts w:ascii="Garamond" w:eastAsia="Garamond" w:hAnsi="Garamond" w:cs="Garamond"/>
                <w:color w:val="000000" w:themeColor="text1"/>
                <w:sz w:val="24"/>
                <w:szCs w:val="24"/>
              </w:rPr>
            </w:pPr>
          </w:p>
          <w:p w14:paraId="57D079FF" w14:textId="1415EB0D" w:rsidR="221F09AA" w:rsidRPr="009366AE" w:rsidRDefault="221F09AA" w:rsidP="221F09AA">
            <w:pPr>
              <w:spacing w:line="259" w:lineRule="auto"/>
              <w:rPr>
                <w:rFonts w:ascii="Garamond" w:eastAsia="Garamond" w:hAnsi="Garamond" w:cs="Garamond"/>
                <w:color w:val="000000" w:themeColor="text1"/>
                <w:sz w:val="24"/>
                <w:szCs w:val="24"/>
              </w:rPr>
            </w:pPr>
          </w:p>
          <w:p w14:paraId="7882130E" w14:textId="7372352B" w:rsidR="221F09AA" w:rsidRPr="009366AE" w:rsidRDefault="7A26D984" w:rsidP="39B57729">
            <w:pPr>
              <w:pStyle w:val="Default"/>
              <w:jc w:val="center"/>
              <w:rPr>
                <w:rFonts w:ascii="Garamond" w:eastAsia="Garamond" w:hAnsi="Garamond" w:cs="Garamond"/>
                <w:b/>
                <w:bCs/>
              </w:rPr>
            </w:pPr>
            <w:r w:rsidRPr="009366AE">
              <w:rPr>
                <w:rFonts w:ascii="Garamond" w:eastAsia="Garamond" w:hAnsi="Garamond" w:cs="Garamond"/>
                <w:b/>
                <w:bCs/>
              </w:rPr>
              <w:t>NO</w:t>
            </w:r>
          </w:p>
        </w:tc>
      </w:tr>
    </w:tbl>
    <w:p w14:paraId="613A9E14" w14:textId="778A12AE" w:rsidR="221F09AA" w:rsidRPr="009366AE" w:rsidRDefault="221F09AA" w:rsidP="221F09AA">
      <w:pPr>
        <w:rPr>
          <w:rFonts w:ascii="Garamond" w:eastAsia="Garamond" w:hAnsi="Garamond" w:cs="Garamond"/>
          <w:color w:val="000000" w:themeColor="text1"/>
          <w:sz w:val="24"/>
          <w:szCs w:val="24"/>
        </w:rPr>
      </w:pPr>
    </w:p>
    <w:p w14:paraId="445DE3BE" w14:textId="00868724" w:rsidR="0DB19DDF" w:rsidRPr="009366AE" w:rsidRDefault="0DB19DDF" w:rsidP="221F09AA">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Aspectos Tributarios</w:t>
      </w:r>
    </w:p>
    <w:p w14:paraId="4B2258CC" w14:textId="327E1603" w:rsidR="0DB19DDF" w:rsidRPr="009366AE" w:rsidRDefault="0DB19DD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Para el presente proceso de contratación se identificó en el artículo 424 (Bienes que no causan el impuesto) del Estatuto Tributario, que los bienes requeridos para el presente proceso NO se encuentran incluidos. Por esta razón, son gravados con el Impuesto al Valor Agregado – IVA.</w:t>
      </w:r>
    </w:p>
    <w:p w14:paraId="6CBD2645" w14:textId="1DB642D2" w:rsidR="0DB19DDF" w:rsidRPr="009366AE" w:rsidRDefault="0DB19DDF" w:rsidP="221F09AA">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Regulación Ambiental</w:t>
      </w:r>
    </w:p>
    <w:p w14:paraId="624A8DCA" w14:textId="6F838A47" w:rsidR="0DB19DDF" w:rsidRPr="009366AE" w:rsidRDefault="0DB19DDF" w:rsidP="221F09AA">
      <w:pPr>
        <w:pStyle w:val="Standard"/>
        <w:jc w:val="both"/>
        <w:rPr>
          <w:rFonts w:ascii="Garamond" w:eastAsia="Garamond" w:hAnsi="Garamond" w:cs="Garamond"/>
          <w:color w:val="000000" w:themeColor="text1"/>
          <w:sz w:val="24"/>
          <w:szCs w:val="24"/>
          <w:lang w:val="es-ES"/>
        </w:rPr>
      </w:pPr>
      <w:r w:rsidRPr="009366AE">
        <w:rPr>
          <w:rFonts w:ascii="Garamond" w:eastAsia="Garamond" w:hAnsi="Garamond" w:cs="Garamond"/>
          <w:color w:val="000000" w:themeColor="text1"/>
          <w:sz w:val="24"/>
          <w:szCs w:val="24"/>
        </w:rPr>
        <w:t xml:space="preserve">El FDLUSA-, cumple la normatividad ambiental, mejora continuamente sus procesos para liderar, prevenir, mitigar, proteger, conservar y hacer uso racional de los recursos naturales y del medio ambiente, siendo modelo de responsabilidad ambiental en la Gestión Pública. </w:t>
      </w:r>
    </w:p>
    <w:p w14:paraId="78319E10" w14:textId="468F9431" w:rsidR="0DB19DDF" w:rsidRPr="009366AE" w:rsidRDefault="0DB19DDF" w:rsidP="221F09AA">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La política ambiental operativa del FDLUSA forma parte del Sistema Integrado de Gestión la entidad y está orientada por la norma ISO 14001 de 2004. En consecuencia, la entidad desarrolla los lineamientos sectoriales contenidos en plan Institucional de Gestión Ambiental – PIGA, que se concreta a través de programas de gestión de residuos, agua, energía, condiciones internas, buenas prácticas y gestión contractual. Dichos programas están sujetos al mejoramiento continuo por parte de la entidad, para beneficio general. Asimismo, la alcaldía promueve las compras sostenibles a través de la guía de contratación sostenible de la Secretaría Distrital de Gobierno (SDG).</w:t>
      </w:r>
    </w:p>
    <w:p w14:paraId="53AAF796" w14:textId="3271A7DB" w:rsidR="221F09AA" w:rsidRPr="009366AE" w:rsidRDefault="2303845E"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Para este proceso es aplicable la ficha</w:t>
      </w:r>
      <w:r w:rsidR="241F6F6D" w:rsidRPr="009366AE">
        <w:rPr>
          <w:rFonts w:ascii="Garamond" w:eastAsia="Garamond" w:hAnsi="Garamond" w:cs="Garamond"/>
          <w:color w:val="000000" w:themeColor="text1"/>
          <w:sz w:val="24"/>
          <w:szCs w:val="24"/>
        </w:rPr>
        <w:t xml:space="preserve"> 8</w:t>
      </w:r>
      <w:r w:rsidRPr="009366AE">
        <w:rPr>
          <w:rFonts w:ascii="Garamond" w:eastAsia="Garamond" w:hAnsi="Garamond" w:cs="Garamond"/>
          <w:color w:val="000000" w:themeColor="text1"/>
          <w:sz w:val="24"/>
          <w:szCs w:val="24"/>
        </w:rPr>
        <w:t xml:space="preserve"> de </w:t>
      </w:r>
      <w:r w:rsidR="2106D1F5" w:rsidRPr="009366AE">
        <w:rPr>
          <w:rFonts w:ascii="Garamond" w:eastAsia="Garamond" w:hAnsi="Garamond" w:cs="Garamond"/>
          <w:sz w:val="24"/>
          <w:szCs w:val="24"/>
        </w:rPr>
        <w:t>Mantenimiento preventivo y correctivo de extintores</w:t>
      </w:r>
    </w:p>
    <w:p w14:paraId="6D083FA6" w14:textId="5CF182E9"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Mercado</w:t>
      </w:r>
    </w:p>
    <w:p w14:paraId="389AF077" w14:textId="533A2728" w:rsidR="221F09AA" w:rsidRPr="009366AE" w:rsidRDefault="723429E2" w:rsidP="791B1547">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El proceso de contratación, así como el Contrato que del se derive, están sujetos a lo establecido en el régimen legal colombiano vigente, y a las buenas prácticas contractuales, regidas por la lealtad y buena fe entre las partes; disposiciones de las cuales se hace mención enunciativa así: </w:t>
      </w:r>
    </w:p>
    <w:p w14:paraId="419B43B5" w14:textId="1B81F3A2" w:rsidR="221F09AA" w:rsidRPr="009366AE" w:rsidRDefault="723429E2" w:rsidP="791B1547">
      <w:pPr>
        <w:pStyle w:val="Prrafodelista"/>
        <w:numPr>
          <w:ilvl w:val="0"/>
          <w:numId w:val="5"/>
        </w:num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Constitución Política de Colombia. </w:t>
      </w:r>
    </w:p>
    <w:p w14:paraId="6191C2B0" w14:textId="07BA088A" w:rsidR="221F09AA" w:rsidRPr="009366AE" w:rsidRDefault="723429E2" w:rsidP="791B1547">
      <w:pPr>
        <w:pStyle w:val="Prrafodelista"/>
        <w:numPr>
          <w:ilvl w:val="0"/>
          <w:numId w:val="5"/>
        </w:num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Ley 1098 de 2006, modificada por el art. 36, decreto nacional 126 de 2010, en lo relativo a las multas, reglamentada parcialmente por el decreto nacional 860 de 2010, por la cual se expide el Código de la Infancia y la Adolescencia, y demás normas que los reglamentan, modifican o adicionan. </w:t>
      </w:r>
    </w:p>
    <w:p w14:paraId="6E08A245" w14:textId="520483A6" w:rsidR="221F09AA" w:rsidRPr="009366AE" w:rsidRDefault="723429E2" w:rsidP="791B1547">
      <w:pPr>
        <w:pStyle w:val="Prrafodelista"/>
        <w:numPr>
          <w:ilvl w:val="0"/>
          <w:numId w:val="5"/>
        </w:num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El Estatuto General de Contratación de la Administración Pública contenido en la Ley 80 de 1993, la Ley 1150 de 2007, el Decreto 1082 de 2015, y demás normas que los reglamentan, modifican o adicionan. </w:t>
      </w:r>
    </w:p>
    <w:p w14:paraId="37F57836" w14:textId="347958BF" w:rsidR="221F09AA" w:rsidRPr="009366AE" w:rsidRDefault="723429E2" w:rsidP="791B1547">
      <w:pPr>
        <w:pStyle w:val="Prrafodelista"/>
        <w:numPr>
          <w:ilvl w:val="0"/>
          <w:numId w:val="5"/>
        </w:num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El Estatuto Anticorrupción contenido en la ley 1474 de 2011, y demás normas que los reglamentan, modifican o adicionan </w:t>
      </w:r>
    </w:p>
    <w:p w14:paraId="005BA7A2" w14:textId="44104AA2" w:rsidR="221F09AA" w:rsidRPr="009366AE" w:rsidRDefault="723429E2" w:rsidP="791B1547">
      <w:pPr>
        <w:pStyle w:val="Prrafodelista"/>
        <w:numPr>
          <w:ilvl w:val="0"/>
          <w:numId w:val="5"/>
        </w:num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El Estatuto de Supresión de Trámites contenido en el Decreto ley 019 de 2012, y demás normas que los reglamentan, modifican o adicionan</w:t>
      </w:r>
    </w:p>
    <w:p w14:paraId="00FF2F21" w14:textId="64315AFA"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Precios</w:t>
      </w:r>
    </w:p>
    <w:p w14:paraId="50F80430" w14:textId="758F998B"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En relación con los precios del proceso de contratación que se pretende adelantar encontró la entidad que </w:t>
      </w:r>
      <w:r w:rsidRPr="009366AE">
        <w:rPr>
          <w:rFonts w:ascii="Garamond" w:eastAsia="Garamond" w:hAnsi="Garamond" w:cs="Garamond"/>
          <w:color w:val="000000" w:themeColor="text1"/>
          <w:sz w:val="24"/>
          <w:szCs w:val="24"/>
          <w:highlight w:val="darkGray"/>
        </w:rPr>
        <w:t>NO</w:t>
      </w:r>
      <w:r w:rsidRPr="009366AE">
        <w:rPr>
          <w:rFonts w:ascii="Garamond" w:eastAsia="Garamond" w:hAnsi="Garamond" w:cs="Garamond"/>
          <w:color w:val="000000" w:themeColor="text1"/>
          <w:sz w:val="24"/>
          <w:szCs w:val="24"/>
        </w:rPr>
        <w:t xml:space="preserve"> se encuentran regulados. </w:t>
      </w:r>
    </w:p>
    <w:p w14:paraId="07F47BAF" w14:textId="325075EC"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lastRenderedPageBreak/>
        <w:t>Normas Técnicas colombianas aplicables al proceso de contratación</w:t>
      </w:r>
    </w:p>
    <w:p w14:paraId="1E814E2C" w14:textId="1108D9DE"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Entre las normas generales de calidad se encuentran: </w:t>
      </w:r>
    </w:p>
    <w:p w14:paraId="0C9421AB" w14:textId="22B8BFE9"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NTC – ISO 9000-1 : Normas para la administración de la calidad y aseguramiento de la calidad. Parte 1 : Directrices para su selección y uso.</w:t>
      </w:r>
    </w:p>
    <w:p w14:paraId="2ABE4F78" w14:textId="5E4787A6"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NTC – ISO 9001: Sistemas de calidad. Modelo para aseguramiento de la calidad en diseño, desarrollo, producción, instalación y servicio post – venta.</w:t>
      </w:r>
    </w:p>
    <w:p w14:paraId="2B6F0578" w14:textId="7E2C30FB"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NTC – ISO 9002: Sistemas de calidad. Modelo para aseguramiento de la calidad en producción, instalación y servicio post – venta</w:t>
      </w:r>
    </w:p>
    <w:p w14:paraId="7CF80641" w14:textId="03B89CDA" w:rsidR="221F09AA" w:rsidRPr="009366AE" w:rsidRDefault="723429E2"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E internacionalmente la norma CE. </w:t>
      </w:r>
      <w:r w:rsidRPr="009366AE">
        <w:rPr>
          <w:rFonts w:ascii="Garamond" w:eastAsia="Garamond" w:hAnsi="Garamond" w:cs="Garamond"/>
          <w:i/>
          <w:iCs/>
          <w:color w:val="000000" w:themeColor="text1"/>
          <w:sz w:val="24"/>
          <w:szCs w:val="24"/>
        </w:rPr>
        <w:t>“El marcado CE es el proceso mediante el cual el fabricante/importador informa a los usuarios y autoridades competentes de que el equipo comercializado cumple con la legislación obligatoria en materia de requisitos esenciales”</w:t>
      </w:r>
    </w:p>
    <w:p w14:paraId="2F651D23" w14:textId="2F8AE707" w:rsidR="221F09AA" w:rsidRPr="009366AE" w:rsidRDefault="3BF0D6E6" w:rsidP="791B1547">
      <w:pPr>
        <w:pStyle w:val="Prrafodelista"/>
        <w:numPr>
          <w:ilvl w:val="0"/>
          <w:numId w:val="4"/>
        </w:num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ESTUDIO DE LA OFERTA</w:t>
      </w:r>
    </w:p>
    <w:p w14:paraId="6A4A4363" w14:textId="67F4383E" w:rsidR="221F09AA" w:rsidRPr="009366AE" w:rsidRDefault="3BF0D6E6" w:rsidP="791B1547">
      <w:pPr>
        <w:ind w:hanging="2"/>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B.1. ¿Quién vende el servicio que se pretende adquirir?</w:t>
      </w:r>
    </w:p>
    <w:p w14:paraId="6C883D36" w14:textId="467546CE" w:rsidR="221F09AA" w:rsidRPr="009366AE" w:rsidRDefault="3BF0D6E6"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color w:val="333333"/>
          <w:sz w:val="24"/>
          <w:szCs w:val="24"/>
          <w:lang w:val="es-CO"/>
        </w:rPr>
        <w:t>El FDLUSA identificó los proveedores en el mercado del bien, obra o servicio, así como sus principales características como tamaño empresarial, ubicación, esquemas de producción y comportamiento financiero así:</w:t>
      </w:r>
    </w:p>
    <w:p w14:paraId="17378442" w14:textId="3D946640" w:rsidR="221F09AA" w:rsidRPr="009366AE" w:rsidRDefault="3BF0D6E6"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b/>
          <w:bCs/>
          <w:color w:val="333333"/>
          <w:sz w:val="24"/>
          <w:szCs w:val="24"/>
          <w:lang w:val="es-CO"/>
        </w:rPr>
        <w:t>Tamaño Empresarial</w:t>
      </w:r>
    </w:p>
    <w:p w14:paraId="773565A7" w14:textId="0C7E3245" w:rsidR="221F09AA" w:rsidRPr="009366AE" w:rsidRDefault="3BF0D6E6" w:rsidP="791B1547">
      <w:pPr>
        <w:jc w:val="both"/>
        <w:rPr>
          <w:rFonts w:ascii="Garamond" w:eastAsia="Garamond" w:hAnsi="Garamond" w:cs="Garamond"/>
          <w:color w:val="000000" w:themeColor="text1"/>
          <w:sz w:val="24"/>
          <w:szCs w:val="24"/>
        </w:rPr>
      </w:pPr>
      <w:r w:rsidRPr="009366AE">
        <w:rPr>
          <w:rStyle w:val="eop"/>
          <w:rFonts w:ascii="Garamond" w:eastAsia="Garamond" w:hAnsi="Garamond" w:cs="Garamond"/>
          <w:color w:val="000000" w:themeColor="text1"/>
          <w:sz w:val="24"/>
          <w:szCs w:val="24"/>
        </w:rPr>
        <w:t>Los servicios requeridos dentro del territorio nacional son prestados por personas naturales o jurídicas que se encuentren debidamente constituidas.</w:t>
      </w:r>
    </w:p>
    <w:p w14:paraId="211975B5" w14:textId="4916EB5B" w:rsidR="221F09AA" w:rsidRDefault="3BF0D6E6" w:rsidP="39B57729">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Por otro lado, de acuerdo con la revisión del FDLUSA en el SECOP II, se encontraron </w:t>
      </w:r>
      <w:r w:rsidR="35F461CD" w:rsidRPr="009366AE">
        <w:rPr>
          <w:rFonts w:ascii="Garamond" w:eastAsia="Garamond" w:hAnsi="Garamond" w:cs="Garamond"/>
          <w:color w:val="000000" w:themeColor="text1"/>
          <w:sz w:val="24"/>
          <w:szCs w:val="24"/>
        </w:rPr>
        <w:t>343</w:t>
      </w:r>
      <w:r w:rsidRPr="009366AE">
        <w:rPr>
          <w:rFonts w:ascii="Garamond" w:eastAsia="Garamond" w:hAnsi="Garamond" w:cs="Garamond"/>
          <w:color w:val="000000" w:themeColor="text1"/>
          <w:sz w:val="24"/>
          <w:szCs w:val="24"/>
        </w:rPr>
        <w:t xml:space="preserve"> empresas que contienen los códigos UNSPC que se observan a continuación:</w:t>
      </w:r>
    </w:p>
    <w:p w14:paraId="0F4FCB6B" w14:textId="77777777" w:rsidR="009366AE" w:rsidRPr="009366AE" w:rsidRDefault="009366AE" w:rsidP="39B57729">
      <w:pPr>
        <w:jc w:val="both"/>
        <w:rPr>
          <w:rFonts w:ascii="Garamond" w:eastAsia="Garamond" w:hAnsi="Garamond" w:cs="Garamond"/>
          <w:color w:val="000000" w:themeColor="text1"/>
          <w:sz w:val="24"/>
          <w:szCs w:val="24"/>
        </w:rPr>
      </w:pPr>
    </w:p>
    <w:tbl>
      <w:tblPr>
        <w:tblW w:w="917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02"/>
        <w:gridCol w:w="1718"/>
        <w:gridCol w:w="1531"/>
        <w:gridCol w:w="1304"/>
        <w:gridCol w:w="1524"/>
      </w:tblGrid>
      <w:tr w:rsidR="009366AE" w:rsidRPr="0087188D" w14:paraId="39531090" w14:textId="77777777" w:rsidTr="00E358B1">
        <w:trPr>
          <w:trHeight w:val="60"/>
        </w:trPr>
        <w:tc>
          <w:tcPr>
            <w:tcW w:w="3102" w:type="dxa"/>
            <w:shd w:val="clear" w:color="000000" w:fill="D9D9D9"/>
            <w:vAlign w:val="center"/>
            <w:hideMark/>
          </w:tcPr>
          <w:p w14:paraId="01F3EAA5" w14:textId="77777777" w:rsidR="009366AE" w:rsidRPr="0087188D" w:rsidRDefault="009366AE" w:rsidP="00E358B1">
            <w:pPr>
              <w:jc w:val="center"/>
              <w:rPr>
                <w:rFonts w:ascii="Garamond" w:hAnsi="Garamond" w:cs="Calibri"/>
                <w:b/>
                <w:bCs/>
                <w:color w:val="000000"/>
                <w:lang w:val="es-CO" w:eastAsia="es-CO"/>
              </w:rPr>
            </w:pPr>
            <w:r w:rsidRPr="0087188D">
              <w:rPr>
                <w:rFonts w:ascii="Garamond" w:hAnsi="Garamond" w:cs="Arial"/>
                <w:b/>
                <w:bCs/>
                <w:color w:val="000000"/>
                <w:lang w:eastAsia="es-CO"/>
              </w:rPr>
              <w:t>CLASIFICACIÓN UNSPSC</w:t>
            </w:r>
          </w:p>
        </w:tc>
        <w:tc>
          <w:tcPr>
            <w:tcW w:w="1718" w:type="dxa"/>
            <w:shd w:val="clear" w:color="000000" w:fill="D9D9D9"/>
            <w:vAlign w:val="center"/>
            <w:hideMark/>
          </w:tcPr>
          <w:p w14:paraId="057D7D48" w14:textId="77777777" w:rsidR="009366AE" w:rsidRPr="0087188D" w:rsidRDefault="009366AE" w:rsidP="00E358B1">
            <w:pPr>
              <w:jc w:val="center"/>
              <w:rPr>
                <w:rFonts w:ascii="Garamond" w:hAnsi="Garamond" w:cs="Calibri"/>
                <w:b/>
                <w:bCs/>
                <w:color w:val="000000"/>
                <w:lang w:val="es-CO" w:eastAsia="es-CO"/>
              </w:rPr>
            </w:pPr>
            <w:r w:rsidRPr="0087188D">
              <w:rPr>
                <w:rFonts w:ascii="Garamond" w:hAnsi="Garamond" w:cs="Arial"/>
                <w:b/>
                <w:bCs/>
                <w:color w:val="000000"/>
                <w:lang w:eastAsia="es-CO"/>
              </w:rPr>
              <w:t>SEGMENTO</w:t>
            </w:r>
          </w:p>
        </w:tc>
        <w:tc>
          <w:tcPr>
            <w:tcW w:w="1531" w:type="dxa"/>
            <w:shd w:val="clear" w:color="000000" w:fill="D9D9D9"/>
            <w:vAlign w:val="center"/>
            <w:hideMark/>
          </w:tcPr>
          <w:p w14:paraId="3A3BF59F" w14:textId="77777777" w:rsidR="009366AE" w:rsidRPr="0087188D" w:rsidRDefault="009366AE" w:rsidP="00E358B1">
            <w:pPr>
              <w:jc w:val="center"/>
              <w:rPr>
                <w:rFonts w:ascii="Garamond" w:hAnsi="Garamond" w:cs="Calibri"/>
                <w:b/>
                <w:bCs/>
                <w:color w:val="000000"/>
                <w:lang w:val="es-CO" w:eastAsia="es-CO"/>
              </w:rPr>
            </w:pPr>
            <w:r w:rsidRPr="0087188D">
              <w:rPr>
                <w:rFonts w:ascii="Garamond" w:hAnsi="Garamond" w:cs="Arial"/>
                <w:b/>
                <w:bCs/>
                <w:color w:val="000000"/>
                <w:lang w:eastAsia="es-CO"/>
              </w:rPr>
              <w:t>FAMILIA</w:t>
            </w:r>
          </w:p>
        </w:tc>
        <w:tc>
          <w:tcPr>
            <w:tcW w:w="1304" w:type="dxa"/>
            <w:shd w:val="clear" w:color="000000" w:fill="D9D9D9"/>
            <w:vAlign w:val="center"/>
            <w:hideMark/>
          </w:tcPr>
          <w:p w14:paraId="294AA3A7" w14:textId="77777777" w:rsidR="009366AE" w:rsidRPr="0087188D" w:rsidRDefault="009366AE" w:rsidP="00E358B1">
            <w:pPr>
              <w:jc w:val="center"/>
              <w:rPr>
                <w:rFonts w:ascii="Garamond" w:hAnsi="Garamond" w:cs="Calibri"/>
                <w:b/>
                <w:bCs/>
                <w:color w:val="000000"/>
                <w:lang w:val="es-CO" w:eastAsia="es-CO"/>
              </w:rPr>
            </w:pPr>
            <w:r w:rsidRPr="0087188D">
              <w:rPr>
                <w:rFonts w:ascii="Garamond" w:hAnsi="Garamond" w:cs="Arial"/>
                <w:b/>
                <w:bCs/>
                <w:color w:val="000000"/>
                <w:lang w:eastAsia="es-CO"/>
              </w:rPr>
              <w:t>CLASE</w:t>
            </w:r>
          </w:p>
        </w:tc>
        <w:tc>
          <w:tcPr>
            <w:tcW w:w="1524" w:type="dxa"/>
            <w:shd w:val="clear" w:color="000000" w:fill="D9D9D9"/>
            <w:vAlign w:val="center"/>
            <w:hideMark/>
          </w:tcPr>
          <w:p w14:paraId="2F75127D" w14:textId="77777777" w:rsidR="009366AE" w:rsidRPr="0087188D" w:rsidRDefault="009366AE" w:rsidP="00E358B1">
            <w:pPr>
              <w:jc w:val="center"/>
              <w:rPr>
                <w:rFonts w:ascii="Garamond" w:hAnsi="Garamond" w:cs="Calibri"/>
                <w:b/>
                <w:bCs/>
                <w:color w:val="000000"/>
                <w:lang w:val="es-CO" w:eastAsia="es-CO"/>
              </w:rPr>
            </w:pPr>
            <w:r w:rsidRPr="0087188D">
              <w:rPr>
                <w:rFonts w:ascii="Garamond" w:hAnsi="Garamond" w:cs="Arial"/>
                <w:b/>
                <w:bCs/>
                <w:color w:val="000000"/>
                <w:lang w:eastAsia="es-CO"/>
              </w:rPr>
              <w:t>PRODUCTO</w:t>
            </w:r>
          </w:p>
        </w:tc>
      </w:tr>
      <w:tr w:rsidR="009366AE" w:rsidRPr="0087188D" w14:paraId="4EB1F739" w14:textId="77777777" w:rsidTr="00E358B1">
        <w:trPr>
          <w:trHeight w:val="60"/>
        </w:trPr>
        <w:tc>
          <w:tcPr>
            <w:tcW w:w="3102" w:type="dxa"/>
            <w:shd w:val="clear" w:color="auto" w:fill="auto"/>
            <w:vAlign w:val="center"/>
            <w:hideMark/>
          </w:tcPr>
          <w:p w14:paraId="42AF4545"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Extintor</w:t>
            </w:r>
          </w:p>
        </w:tc>
        <w:tc>
          <w:tcPr>
            <w:tcW w:w="1718" w:type="dxa"/>
            <w:shd w:val="clear" w:color="auto" w:fill="auto"/>
            <w:vAlign w:val="center"/>
            <w:hideMark/>
          </w:tcPr>
          <w:p w14:paraId="5901438D"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46000000</w:t>
            </w:r>
          </w:p>
        </w:tc>
        <w:tc>
          <w:tcPr>
            <w:tcW w:w="1531" w:type="dxa"/>
            <w:shd w:val="clear" w:color="auto" w:fill="auto"/>
            <w:vAlign w:val="center"/>
            <w:hideMark/>
          </w:tcPr>
          <w:p w14:paraId="2089701C"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46190000</w:t>
            </w:r>
          </w:p>
        </w:tc>
        <w:tc>
          <w:tcPr>
            <w:tcW w:w="1304" w:type="dxa"/>
            <w:shd w:val="clear" w:color="auto" w:fill="auto"/>
            <w:vAlign w:val="center"/>
            <w:hideMark/>
          </w:tcPr>
          <w:p w14:paraId="539EADA0"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46191600</w:t>
            </w:r>
          </w:p>
        </w:tc>
        <w:tc>
          <w:tcPr>
            <w:tcW w:w="1524" w:type="dxa"/>
            <w:shd w:val="clear" w:color="auto" w:fill="auto"/>
            <w:vAlign w:val="center"/>
            <w:hideMark/>
          </w:tcPr>
          <w:p w14:paraId="0977A999"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46191601</w:t>
            </w:r>
          </w:p>
        </w:tc>
      </w:tr>
      <w:tr w:rsidR="009366AE" w:rsidRPr="0087188D" w14:paraId="67E03120" w14:textId="77777777" w:rsidTr="00E358B1">
        <w:trPr>
          <w:trHeight w:val="70"/>
        </w:trPr>
        <w:tc>
          <w:tcPr>
            <w:tcW w:w="3102" w:type="dxa"/>
            <w:shd w:val="clear" w:color="auto" w:fill="auto"/>
            <w:vAlign w:val="center"/>
            <w:hideMark/>
          </w:tcPr>
          <w:p w14:paraId="1C6618BB"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Componentes de señalización</w:t>
            </w:r>
          </w:p>
        </w:tc>
        <w:tc>
          <w:tcPr>
            <w:tcW w:w="1718" w:type="dxa"/>
            <w:shd w:val="clear" w:color="auto" w:fill="auto"/>
            <w:vAlign w:val="center"/>
            <w:hideMark/>
          </w:tcPr>
          <w:p w14:paraId="13CF7B4E"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55000000</w:t>
            </w:r>
          </w:p>
        </w:tc>
        <w:tc>
          <w:tcPr>
            <w:tcW w:w="1531" w:type="dxa"/>
            <w:shd w:val="clear" w:color="auto" w:fill="auto"/>
            <w:vAlign w:val="center"/>
            <w:hideMark/>
          </w:tcPr>
          <w:p w14:paraId="19BA09BF"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55120000</w:t>
            </w:r>
          </w:p>
        </w:tc>
        <w:tc>
          <w:tcPr>
            <w:tcW w:w="1304" w:type="dxa"/>
            <w:shd w:val="clear" w:color="auto" w:fill="auto"/>
            <w:vAlign w:val="center"/>
            <w:hideMark/>
          </w:tcPr>
          <w:p w14:paraId="1114B6E3"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55121700</w:t>
            </w:r>
          </w:p>
        </w:tc>
        <w:tc>
          <w:tcPr>
            <w:tcW w:w="1524" w:type="dxa"/>
            <w:shd w:val="clear" w:color="auto" w:fill="auto"/>
            <w:vAlign w:val="center"/>
            <w:hideMark/>
          </w:tcPr>
          <w:p w14:paraId="62B8D56A"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Arial"/>
                <w:color w:val="000000"/>
                <w:lang w:eastAsia="es-CO"/>
              </w:rPr>
              <w:t>55121719</w:t>
            </w:r>
          </w:p>
        </w:tc>
      </w:tr>
      <w:tr w:rsidR="009366AE" w:rsidRPr="0087188D" w14:paraId="01315EB8" w14:textId="77777777" w:rsidTr="00E358B1">
        <w:trPr>
          <w:trHeight w:val="70"/>
        </w:trPr>
        <w:tc>
          <w:tcPr>
            <w:tcW w:w="3102" w:type="dxa"/>
            <w:shd w:val="clear" w:color="auto" w:fill="auto"/>
            <w:vAlign w:val="center"/>
            <w:hideMark/>
          </w:tcPr>
          <w:p w14:paraId="1EC98EDD"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Servicio de mantenimiento o reparación de equipos y sistemas de protección contra incendios</w:t>
            </w:r>
          </w:p>
        </w:tc>
        <w:tc>
          <w:tcPr>
            <w:tcW w:w="1718" w:type="dxa"/>
            <w:shd w:val="clear" w:color="auto" w:fill="auto"/>
            <w:vAlign w:val="center"/>
            <w:hideMark/>
          </w:tcPr>
          <w:p w14:paraId="357A7FE4"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72000000</w:t>
            </w:r>
          </w:p>
        </w:tc>
        <w:tc>
          <w:tcPr>
            <w:tcW w:w="1531" w:type="dxa"/>
            <w:shd w:val="clear" w:color="auto" w:fill="auto"/>
            <w:vAlign w:val="center"/>
            <w:hideMark/>
          </w:tcPr>
          <w:p w14:paraId="37890BDF"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72100000</w:t>
            </w:r>
          </w:p>
        </w:tc>
        <w:tc>
          <w:tcPr>
            <w:tcW w:w="1304" w:type="dxa"/>
            <w:shd w:val="clear" w:color="auto" w:fill="auto"/>
            <w:vAlign w:val="center"/>
            <w:hideMark/>
          </w:tcPr>
          <w:p w14:paraId="1F992CC6"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72101500</w:t>
            </w:r>
          </w:p>
        </w:tc>
        <w:tc>
          <w:tcPr>
            <w:tcW w:w="1524" w:type="dxa"/>
            <w:shd w:val="clear" w:color="auto" w:fill="auto"/>
            <w:vAlign w:val="center"/>
            <w:hideMark/>
          </w:tcPr>
          <w:p w14:paraId="52577BB3"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72101509</w:t>
            </w:r>
          </w:p>
        </w:tc>
      </w:tr>
      <w:tr w:rsidR="009366AE" w:rsidRPr="0087188D" w14:paraId="32963FB6" w14:textId="77777777" w:rsidTr="00E358B1">
        <w:trPr>
          <w:trHeight w:val="70"/>
        </w:trPr>
        <w:tc>
          <w:tcPr>
            <w:tcW w:w="3102" w:type="dxa"/>
            <w:shd w:val="clear" w:color="auto" w:fill="auto"/>
            <w:vAlign w:val="center"/>
            <w:hideMark/>
          </w:tcPr>
          <w:p w14:paraId="5E0B6068"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 xml:space="preserve">Servicio de inspección, mantenimiento o reparación de extintores de fuego </w:t>
            </w:r>
          </w:p>
        </w:tc>
        <w:tc>
          <w:tcPr>
            <w:tcW w:w="1718" w:type="dxa"/>
            <w:shd w:val="clear" w:color="auto" w:fill="auto"/>
            <w:vAlign w:val="center"/>
            <w:hideMark/>
          </w:tcPr>
          <w:p w14:paraId="757E4C06"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72000000</w:t>
            </w:r>
          </w:p>
        </w:tc>
        <w:tc>
          <w:tcPr>
            <w:tcW w:w="1531" w:type="dxa"/>
            <w:shd w:val="clear" w:color="auto" w:fill="auto"/>
            <w:vAlign w:val="center"/>
            <w:hideMark/>
          </w:tcPr>
          <w:p w14:paraId="09376A1C"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72100000</w:t>
            </w:r>
          </w:p>
        </w:tc>
        <w:tc>
          <w:tcPr>
            <w:tcW w:w="1304" w:type="dxa"/>
            <w:shd w:val="clear" w:color="auto" w:fill="auto"/>
            <w:vAlign w:val="center"/>
            <w:hideMark/>
          </w:tcPr>
          <w:p w14:paraId="2DEE6540"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72101500</w:t>
            </w:r>
          </w:p>
        </w:tc>
        <w:tc>
          <w:tcPr>
            <w:tcW w:w="1524" w:type="dxa"/>
            <w:shd w:val="clear" w:color="auto" w:fill="auto"/>
            <w:vAlign w:val="center"/>
            <w:hideMark/>
          </w:tcPr>
          <w:p w14:paraId="2DAF211E" w14:textId="77777777" w:rsidR="009366AE" w:rsidRPr="0087188D" w:rsidRDefault="009366AE" w:rsidP="00E358B1">
            <w:pPr>
              <w:jc w:val="both"/>
              <w:rPr>
                <w:rFonts w:ascii="Garamond" w:hAnsi="Garamond" w:cs="Calibri"/>
                <w:color w:val="000000"/>
                <w:lang w:val="es-CO" w:eastAsia="es-CO"/>
              </w:rPr>
            </w:pPr>
            <w:r w:rsidRPr="0087188D">
              <w:rPr>
                <w:rFonts w:ascii="Garamond" w:hAnsi="Garamond" w:cs="Calibri"/>
                <w:color w:val="000000"/>
                <w:lang w:val="es-CO" w:eastAsia="es-CO"/>
              </w:rPr>
              <w:t>72101516</w:t>
            </w:r>
          </w:p>
        </w:tc>
      </w:tr>
    </w:tbl>
    <w:p w14:paraId="0E474825" w14:textId="1D1C522B"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b/>
          <w:bCs/>
          <w:color w:val="333333"/>
          <w:sz w:val="24"/>
          <w:szCs w:val="24"/>
          <w:lang w:val="es-CO"/>
        </w:rPr>
        <w:t>Ubicación</w:t>
      </w:r>
    </w:p>
    <w:p w14:paraId="465B04A2" w14:textId="5397B7C2"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color w:val="333333"/>
          <w:sz w:val="24"/>
          <w:szCs w:val="24"/>
          <w:lang w:val="es-CO"/>
        </w:rPr>
        <w:t>De acuerdo con el análisis del sector efectuado, se toma como referencia la ubicación del sector en Colombia, Sur América.</w:t>
      </w:r>
    </w:p>
    <w:p w14:paraId="283600F8" w14:textId="244AF361" w:rsidR="221F09AA" w:rsidRPr="009366AE" w:rsidRDefault="50ACA982" w:rsidP="791B1547">
      <w:pPr>
        <w:pStyle w:val="Prrafodelista"/>
        <w:numPr>
          <w:ilvl w:val="0"/>
          <w:numId w:val="3"/>
        </w:num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b/>
          <w:bCs/>
          <w:color w:val="333333"/>
          <w:sz w:val="24"/>
          <w:szCs w:val="24"/>
          <w:lang w:val="es-CO"/>
        </w:rPr>
        <w:lastRenderedPageBreak/>
        <w:t>ESTUDIO DE LA DEMANDA</w:t>
      </w:r>
    </w:p>
    <w:p w14:paraId="1B01CE3F" w14:textId="4BD659FD"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b/>
          <w:bCs/>
          <w:color w:val="333333"/>
          <w:sz w:val="24"/>
          <w:szCs w:val="24"/>
          <w:lang w:val="es-CO"/>
        </w:rPr>
        <w:t xml:space="preserve">C.1. ¿Cómo ha adquirido el FDLUSA en el pasado este bien, obra o servicio? </w:t>
      </w:r>
    </w:p>
    <w:p w14:paraId="0A34FAE2" w14:textId="2DF9D704"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color w:val="333333"/>
          <w:sz w:val="24"/>
          <w:szCs w:val="24"/>
          <w:lang w:val="es-CO"/>
        </w:rPr>
        <w:t xml:space="preserve">El FDLUSA analizó el comportamiento de sus adquisiciones anteriores del bien, obra o servicio, teniendo en cuenta:  </w:t>
      </w:r>
    </w:p>
    <w:p w14:paraId="61DAB696" w14:textId="727C1098" w:rsidR="221F09AA" w:rsidRPr="009366AE" w:rsidRDefault="50ACA982" w:rsidP="001A0881">
      <w:pPr>
        <w:spacing w:before="100" w:beforeAutospacing="1" w:after="100" w:afterAutospacing="1"/>
        <w:jc w:val="both"/>
        <w:rPr>
          <w:rFonts w:ascii="Garamond" w:eastAsia="Garamond" w:hAnsi="Garamond" w:cs="Garamond"/>
          <w:color w:val="333333"/>
          <w:sz w:val="24"/>
          <w:szCs w:val="24"/>
        </w:rPr>
      </w:pPr>
      <w:r w:rsidRPr="009366AE">
        <w:rPr>
          <w:rFonts w:ascii="Garamond" w:eastAsia="Garamond" w:hAnsi="Garamond" w:cs="Garamond"/>
          <w:color w:val="333333"/>
          <w:sz w:val="24"/>
          <w:szCs w:val="24"/>
          <w:lang w:val="es-CO"/>
        </w:rPr>
        <w:t xml:space="preserve">La modalidad de selección del contratista; Objeto del contrato; Cantidad del bien, obra o servicio; Autorizaciones, permisos y licencias requeridas para su ejecución, y cuando el contrato incluye diseño y construcción, los documentos técnicos para el desarrollo del proyecto; Valor de los contratos y forma de pago; Número de contratos suscritos para el efecto y vigencias de los mismos; Presupuesto con cargo al cual han sido ejecutados los contratos (inversión o funcionamiento) y si ha habido lugar a vigencias futuras; Oferentes que han participado en los procesos de selección y contratistas. Comportamiento de los contratistas e imposición de sanciones. Condiciones de pago establecidas en los contratos; Cronogramas; tiempos y lugares de entrega acordados y Garantías exigidas y siniestros. </w:t>
      </w:r>
    </w:p>
    <w:p w14:paraId="141A931A" w14:textId="69802340" w:rsidR="221F09AA" w:rsidRPr="009366AE" w:rsidRDefault="50ACA982" w:rsidP="791B1547">
      <w:pPr>
        <w:pStyle w:val="Standard"/>
        <w:jc w:val="both"/>
        <w:rPr>
          <w:rFonts w:ascii="Garamond" w:eastAsia="Garamond" w:hAnsi="Garamond" w:cs="Garamond"/>
          <w:color w:val="000000" w:themeColor="text1"/>
          <w:sz w:val="24"/>
          <w:szCs w:val="24"/>
          <w:lang w:val="es-ES"/>
        </w:rPr>
      </w:pPr>
      <w:r w:rsidRPr="009366AE">
        <w:rPr>
          <w:rFonts w:ascii="Garamond" w:eastAsia="Garamond" w:hAnsi="Garamond" w:cs="Garamond"/>
          <w:color w:val="000000" w:themeColor="text1"/>
          <w:sz w:val="24"/>
          <w:szCs w:val="24"/>
          <w:lang w:val="es-ES"/>
        </w:rPr>
        <w:t>Para el presente estudio, se identificaron los siguientes procesos adelantados por los Fondos de Desarrollo Local del Distrito Capital, durante los últimos años relacionados al objeto del presente contrato.  A continuación, se identifican la siguiente matriz los principales aspectos tenidos en cuenta para el análisis.</w:t>
      </w:r>
    </w:p>
    <w:tbl>
      <w:tblPr>
        <w:tblW w:w="0" w:type="auto"/>
        <w:tblLayout w:type="fixed"/>
        <w:tblLook w:val="04A0" w:firstRow="1" w:lastRow="0" w:firstColumn="1" w:lastColumn="0" w:noHBand="0" w:noVBand="1"/>
      </w:tblPr>
      <w:tblGrid>
        <w:gridCol w:w="1545"/>
        <w:gridCol w:w="2220"/>
        <w:gridCol w:w="2415"/>
        <w:gridCol w:w="1395"/>
        <w:gridCol w:w="1395"/>
      </w:tblGrid>
      <w:tr w:rsidR="791B1547" w:rsidRPr="009366AE" w14:paraId="1D2299BD" w14:textId="77777777" w:rsidTr="39B57729">
        <w:trPr>
          <w:trHeight w:val="315"/>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1F5C69" w14:textId="60812566"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PROCESO</w:t>
            </w:r>
          </w:p>
        </w:tc>
        <w:tc>
          <w:tcPr>
            <w:tcW w:w="22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987C0A" w14:textId="0A21B70A"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ENTIDAD</w:t>
            </w:r>
          </w:p>
        </w:tc>
        <w:tc>
          <w:tcPr>
            <w:tcW w:w="24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D8808D" w14:textId="5ED12660"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OBJETO</w:t>
            </w: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1BD7D7" w14:textId="51DD5D95"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CUANTÍA</w:t>
            </w: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FA392E9" w14:textId="078049AD"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SELECCIÓN</w:t>
            </w:r>
          </w:p>
        </w:tc>
      </w:tr>
      <w:tr w:rsidR="791B1547" w:rsidRPr="009366AE" w14:paraId="1F129CD8" w14:textId="77777777" w:rsidTr="39B57729">
        <w:trPr>
          <w:trHeight w:val="900"/>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EE7721" w14:textId="38D26674" w:rsidR="7AFF80F6" w:rsidRPr="009366AE" w:rsidRDefault="7AFF80F6"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FDLUSA-MC-017-2022</w:t>
            </w:r>
          </w:p>
          <w:p w14:paraId="44CE96EC" w14:textId="717EC150" w:rsidR="791B1547" w:rsidRPr="009366AE" w:rsidRDefault="791B1547" w:rsidP="39B57729">
            <w:pPr>
              <w:rPr>
                <w:rFonts w:ascii="Garamond" w:eastAsia="Garamond" w:hAnsi="Garamond" w:cs="Garamond"/>
                <w:color w:val="000000" w:themeColor="text1"/>
                <w:sz w:val="24"/>
                <w:szCs w:val="24"/>
              </w:rPr>
            </w:pPr>
          </w:p>
        </w:tc>
        <w:tc>
          <w:tcPr>
            <w:tcW w:w="22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EA30D86" w14:textId="35EFB935" w:rsidR="791B1547" w:rsidRPr="009366AE" w:rsidRDefault="09434419" w:rsidP="39B57729">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ALCALDÍA LOCAL DE USAQUÉN</w:t>
            </w:r>
          </w:p>
        </w:tc>
        <w:tc>
          <w:tcPr>
            <w:tcW w:w="24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BDEB83" w14:textId="67D0E36F" w:rsidR="36622F6A" w:rsidRPr="009366AE" w:rsidRDefault="36622F6A"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CONTRATAR LOS SERVICIOS DE RECARGA, MANTENIMIENTO Y COMPRA DE EXTINTORES, SOPORTES</w:t>
            </w:r>
          </w:p>
          <w:p w14:paraId="539E337F" w14:textId="3B124584" w:rsidR="791B1547" w:rsidRPr="009366AE" w:rsidRDefault="791B1547" w:rsidP="39B57729">
            <w:pPr>
              <w:jc w:val="both"/>
              <w:rPr>
                <w:rFonts w:ascii="Garamond" w:eastAsia="Garamond" w:hAnsi="Garamond" w:cs="Garamond"/>
                <w:color w:val="000000" w:themeColor="text1"/>
                <w:sz w:val="24"/>
                <w:szCs w:val="24"/>
              </w:rPr>
            </w:pP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81C3002" w14:textId="794BCB47" w:rsidR="791B1547" w:rsidRPr="009366AE" w:rsidRDefault="09434419"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w:t>
            </w:r>
            <w:r w:rsidR="6A75701F" w:rsidRPr="009366AE">
              <w:rPr>
                <w:rFonts w:ascii="Garamond" w:eastAsia="Garamond" w:hAnsi="Garamond" w:cs="Garamond"/>
                <w:color w:val="000000" w:themeColor="text1"/>
                <w:sz w:val="24"/>
                <w:szCs w:val="24"/>
              </w:rPr>
              <w:t>4.946.442</w:t>
            </w:r>
          </w:p>
          <w:p w14:paraId="7A34CDAC" w14:textId="6FF218D7" w:rsidR="791B1547" w:rsidRPr="009366AE" w:rsidRDefault="791B1547" w:rsidP="39B57729">
            <w:pPr>
              <w:rPr>
                <w:rFonts w:ascii="Garamond" w:eastAsia="Garamond" w:hAnsi="Garamond" w:cs="Garamond"/>
                <w:color w:val="000000" w:themeColor="text1"/>
                <w:sz w:val="24"/>
                <w:szCs w:val="24"/>
              </w:rPr>
            </w:pP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55288AA" w14:textId="5B2A18CA" w:rsidR="6877495D" w:rsidRPr="009366AE" w:rsidRDefault="457E9824" w:rsidP="39B57729">
            <w:pPr>
              <w:spacing w:after="0"/>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MÍNIMA CUANTÍA</w:t>
            </w:r>
          </w:p>
        </w:tc>
      </w:tr>
      <w:tr w:rsidR="791B1547" w:rsidRPr="009366AE" w14:paraId="7F03CCFA" w14:textId="77777777" w:rsidTr="39B57729">
        <w:trPr>
          <w:trHeight w:val="900"/>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31B2743" w14:textId="5B4C6DE3" w:rsidR="6877495D" w:rsidRPr="009366AE" w:rsidRDefault="457E9824"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FDLUSA-MC-0</w:t>
            </w:r>
            <w:r w:rsidR="4472A19A" w:rsidRPr="009366AE">
              <w:rPr>
                <w:rFonts w:ascii="Garamond" w:eastAsia="Garamond" w:hAnsi="Garamond" w:cs="Garamond"/>
                <w:color w:val="000000" w:themeColor="text1"/>
                <w:sz w:val="24"/>
                <w:szCs w:val="24"/>
              </w:rPr>
              <w:t>31</w:t>
            </w:r>
            <w:r w:rsidRPr="009366AE">
              <w:rPr>
                <w:rFonts w:ascii="Garamond" w:eastAsia="Garamond" w:hAnsi="Garamond" w:cs="Garamond"/>
                <w:color w:val="000000" w:themeColor="text1"/>
                <w:sz w:val="24"/>
                <w:szCs w:val="24"/>
              </w:rPr>
              <w:t>-2021</w:t>
            </w:r>
          </w:p>
        </w:tc>
        <w:tc>
          <w:tcPr>
            <w:tcW w:w="22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94D3D7F" w14:textId="5DC10707" w:rsidR="791B1547" w:rsidRPr="009366AE" w:rsidRDefault="09434419"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ALCALDIA LOCAL DE USAQUEN</w:t>
            </w:r>
          </w:p>
        </w:tc>
        <w:tc>
          <w:tcPr>
            <w:tcW w:w="24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7F924D" w14:textId="1DED870E" w:rsidR="2F892313" w:rsidRPr="009366AE" w:rsidRDefault="3F9C33E2"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CONTRATAR LOS SERVICIOS DE RECARGA Y COMPRA DE EXTINTORES, SOPORTES Y SEÑALIZACIÓN PARA EL FONDO DE DESARROLLO LOCAL DE USAQUÉN</w:t>
            </w: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CC6D7E" w14:textId="618FF8E6" w:rsidR="791B1547" w:rsidRPr="009366AE" w:rsidRDefault="09434419" w:rsidP="39B57729">
            <w:pPr>
              <w:spacing w:before="53"/>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w:t>
            </w:r>
            <w:r w:rsidR="19D8E6E0" w:rsidRPr="009366AE">
              <w:rPr>
                <w:rFonts w:ascii="Garamond" w:eastAsia="Garamond" w:hAnsi="Garamond" w:cs="Garamond"/>
                <w:color w:val="000000" w:themeColor="text1"/>
                <w:sz w:val="24"/>
                <w:szCs w:val="24"/>
              </w:rPr>
              <w:t>3.310.433</w:t>
            </w: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A115B1" w14:textId="5B2A18CA" w:rsidR="13405683" w:rsidRPr="009366AE" w:rsidRDefault="54F3C16F" w:rsidP="39B57729">
            <w:pPr>
              <w:spacing w:after="0"/>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MÍNIMA CUANTÍA</w:t>
            </w:r>
          </w:p>
          <w:p w14:paraId="26E55FF5" w14:textId="11DC8C62" w:rsidR="791B1547" w:rsidRPr="009366AE" w:rsidRDefault="791B1547" w:rsidP="39B57729">
            <w:pPr>
              <w:pStyle w:val="TableParagraph"/>
              <w:jc w:val="both"/>
              <w:rPr>
                <w:rFonts w:ascii="Garamond" w:eastAsia="Garamond" w:hAnsi="Garamond" w:cs="Garamond"/>
                <w:color w:val="000000" w:themeColor="text1"/>
                <w:sz w:val="24"/>
                <w:szCs w:val="24"/>
              </w:rPr>
            </w:pPr>
          </w:p>
        </w:tc>
      </w:tr>
      <w:tr w:rsidR="791B1547" w:rsidRPr="009366AE" w14:paraId="3A4FA3B5" w14:textId="77777777" w:rsidTr="39B57729">
        <w:trPr>
          <w:trHeight w:val="900"/>
        </w:trPr>
        <w:tc>
          <w:tcPr>
            <w:tcW w:w="154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ACC368" w14:textId="002F3802" w:rsidR="2F04F0F1" w:rsidRPr="009366AE" w:rsidRDefault="12A5ABD5"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lastRenderedPageBreak/>
              <w:t>FDLUSA-MC-01</w:t>
            </w:r>
            <w:r w:rsidR="06C63021" w:rsidRPr="009366AE">
              <w:rPr>
                <w:rFonts w:ascii="Garamond" w:eastAsia="Garamond" w:hAnsi="Garamond" w:cs="Garamond"/>
                <w:color w:val="000000" w:themeColor="text1"/>
                <w:sz w:val="24"/>
                <w:szCs w:val="24"/>
              </w:rPr>
              <w:t>2</w:t>
            </w:r>
            <w:r w:rsidRPr="009366AE">
              <w:rPr>
                <w:rFonts w:ascii="Garamond" w:eastAsia="Garamond" w:hAnsi="Garamond" w:cs="Garamond"/>
                <w:color w:val="000000" w:themeColor="text1"/>
                <w:sz w:val="24"/>
                <w:szCs w:val="24"/>
              </w:rPr>
              <w:t>-2020</w:t>
            </w:r>
          </w:p>
        </w:tc>
        <w:tc>
          <w:tcPr>
            <w:tcW w:w="22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480B99" w14:textId="1FEF2CA3" w:rsidR="791B1547" w:rsidRPr="009366AE" w:rsidRDefault="09434419"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ALCALDÍA LOCAL DE USAQUÉN</w:t>
            </w:r>
          </w:p>
          <w:p w14:paraId="6172A2AF" w14:textId="5CF65702" w:rsidR="791B1547" w:rsidRPr="009366AE" w:rsidRDefault="791B1547" w:rsidP="39B57729">
            <w:pPr>
              <w:spacing w:after="0"/>
              <w:rPr>
                <w:rFonts w:ascii="Garamond" w:eastAsia="Garamond" w:hAnsi="Garamond" w:cs="Garamond"/>
                <w:color w:val="000000" w:themeColor="text1"/>
                <w:sz w:val="24"/>
                <w:szCs w:val="24"/>
                <w:lang w:val="es-CO"/>
              </w:rPr>
            </w:pPr>
          </w:p>
        </w:tc>
        <w:tc>
          <w:tcPr>
            <w:tcW w:w="241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F953FA" w14:textId="68D35B89" w:rsidR="6A7DA77D" w:rsidRPr="009366AE" w:rsidRDefault="395F246F" w:rsidP="39B57729">
            <w:pPr>
              <w:spacing w:after="0"/>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PRESTAR LOS SERVICIOS DE MATENIMIENTO, RECARGA Y COMPRA DE EXTINTORES, SOPORTES Y SEÑALIZACIÓN PARA EL FONDO DE DESARROLLO LOCAL DE USAQUÉN</w:t>
            </w: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86F32AA" w14:textId="79DD14D5" w:rsidR="791B1547" w:rsidRPr="009366AE" w:rsidRDefault="09434419"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w:t>
            </w:r>
            <w:r w:rsidR="033C2DAC" w:rsidRPr="009366AE">
              <w:rPr>
                <w:rFonts w:ascii="Garamond" w:eastAsia="Garamond" w:hAnsi="Garamond" w:cs="Garamond"/>
                <w:color w:val="000000" w:themeColor="text1"/>
                <w:sz w:val="24"/>
                <w:szCs w:val="24"/>
              </w:rPr>
              <w:t>907.098</w:t>
            </w:r>
          </w:p>
          <w:p w14:paraId="228B456D" w14:textId="27026237" w:rsidR="791B1547" w:rsidRPr="009366AE" w:rsidRDefault="791B1547" w:rsidP="39B57729">
            <w:pPr>
              <w:spacing w:after="0"/>
              <w:rPr>
                <w:rFonts w:ascii="Garamond" w:eastAsia="Garamond" w:hAnsi="Garamond" w:cs="Garamond"/>
                <w:color w:val="000000" w:themeColor="text1"/>
                <w:sz w:val="24"/>
                <w:szCs w:val="24"/>
              </w:rPr>
            </w:pPr>
          </w:p>
        </w:tc>
        <w:tc>
          <w:tcPr>
            <w:tcW w:w="139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769C6D6" w14:textId="5B2A18CA" w:rsidR="633EB797" w:rsidRPr="009366AE" w:rsidRDefault="4EAD77E9" w:rsidP="39B57729">
            <w:pPr>
              <w:spacing w:after="0"/>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MÍNIMA CUANTÍA</w:t>
            </w:r>
          </w:p>
          <w:p w14:paraId="3A949D4B" w14:textId="6592D59F" w:rsidR="791B1547" w:rsidRPr="009366AE" w:rsidRDefault="791B1547" w:rsidP="39B57729">
            <w:pPr>
              <w:spacing w:after="0"/>
              <w:rPr>
                <w:rFonts w:ascii="Garamond" w:eastAsia="Garamond" w:hAnsi="Garamond" w:cs="Garamond"/>
                <w:color w:val="000000" w:themeColor="text1"/>
                <w:sz w:val="24"/>
                <w:szCs w:val="24"/>
                <w:lang w:val="es-CO"/>
              </w:rPr>
            </w:pPr>
          </w:p>
          <w:p w14:paraId="55E9987E" w14:textId="424878FD" w:rsidR="791B1547" w:rsidRPr="009366AE" w:rsidRDefault="791B1547" w:rsidP="39B57729">
            <w:pPr>
              <w:rPr>
                <w:rFonts w:ascii="Garamond" w:eastAsia="Garamond" w:hAnsi="Garamond" w:cs="Garamond"/>
                <w:color w:val="000000" w:themeColor="text1"/>
                <w:sz w:val="24"/>
                <w:szCs w:val="24"/>
                <w:lang w:val="es-CO"/>
              </w:rPr>
            </w:pPr>
          </w:p>
        </w:tc>
      </w:tr>
    </w:tbl>
    <w:p w14:paraId="6F650A33" w14:textId="19E7393B"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b/>
          <w:bCs/>
          <w:color w:val="000000" w:themeColor="text1"/>
          <w:sz w:val="24"/>
          <w:szCs w:val="24"/>
          <w:lang w:val="es-CO"/>
        </w:rPr>
        <w:t xml:space="preserve">C.2. </w:t>
      </w:r>
      <w:r w:rsidRPr="009366AE">
        <w:rPr>
          <w:rFonts w:ascii="Garamond" w:eastAsia="Garamond" w:hAnsi="Garamond" w:cs="Garamond"/>
          <w:b/>
          <w:bCs/>
          <w:color w:val="333333"/>
          <w:sz w:val="24"/>
          <w:szCs w:val="24"/>
          <w:lang w:val="es-CO"/>
        </w:rPr>
        <w:t xml:space="preserve">¿CÓMO ADQUIEREN LAS ENTIDADES ESTATALES Y LAS EMPRESAS PRIVADAS ESTE BIEN, OBRA O SERVICIO? </w:t>
      </w:r>
    </w:p>
    <w:p w14:paraId="4D0FF607" w14:textId="0AFD7B8F" w:rsidR="221F09AA" w:rsidRPr="009366AE" w:rsidRDefault="50ACA982" w:rsidP="791B1547">
      <w:pPr>
        <w:spacing w:beforeAutospacing="1" w:afterAutospacing="1"/>
        <w:jc w:val="both"/>
        <w:rPr>
          <w:rFonts w:ascii="Garamond" w:eastAsia="Garamond" w:hAnsi="Garamond" w:cs="Garamond"/>
          <w:color w:val="333333"/>
          <w:sz w:val="24"/>
          <w:szCs w:val="24"/>
        </w:rPr>
      </w:pPr>
      <w:r w:rsidRPr="009366AE">
        <w:rPr>
          <w:rFonts w:ascii="Garamond" w:eastAsia="Garamond" w:hAnsi="Garamond" w:cs="Garamond"/>
          <w:color w:val="333333"/>
          <w:sz w:val="24"/>
          <w:szCs w:val="24"/>
          <w:lang w:val="es-CO"/>
        </w:rPr>
        <w:t>Para el efecto, el Sistema Electrónico de Contratación Pública –SECOP– ofrece la posibilidad de consultar Procesos de Contratación de otras Entidades Estatales en los cuales el FDLUSA pudo observar entre otros aspectos, las especificaciones técnicas, requisitos habilitantes, método de evaluación de ofertas y las modalidades de contratación utilizadas así:</w:t>
      </w:r>
    </w:p>
    <w:tbl>
      <w:tblPr>
        <w:tblW w:w="0" w:type="auto"/>
        <w:tblLayout w:type="fixed"/>
        <w:tblLook w:val="04A0" w:firstRow="1" w:lastRow="0" w:firstColumn="1" w:lastColumn="0" w:noHBand="0" w:noVBand="1"/>
      </w:tblPr>
      <w:tblGrid>
        <w:gridCol w:w="1560"/>
        <w:gridCol w:w="2235"/>
        <w:gridCol w:w="2430"/>
        <w:gridCol w:w="1260"/>
        <w:gridCol w:w="1320"/>
      </w:tblGrid>
      <w:tr w:rsidR="791B1547" w:rsidRPr="009366AE" w14:paraId="3BA56831" w14:textId="77777777" w:rsidTr="39B57729">
        <w:trPr>
          <w:trHeight w:val="31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AAE19AB" w14:textId="42153218"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PROCESO</w:t>
            </w:r>
          </w:p>
        </w:tc>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BC594DE" w14:textId="43484C6C"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ENTIDAD</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E0FB831" w14:textId="3FCE0E05"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OBJETO</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F8AC526" w14:textId="61E706B5"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CUANTÍA</w:t>
            </w:r>
          </w:p>
        </w:tc>
        <w:tc>
          <w:tcPr>
            <w:tcW w:w="13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1F3835A" w14:textId="1FDBE9F0" w:rsidR="791B1547" w:rsidRPr="009366AE" w:rsidRDefault="791B1547" w:rsidP="791B1547">
            <w:pPr>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SELECCIÓN</w:t>
            </w:r>
          </w:p>
        </w:tc>
      </w:tr>
      <w:tr w:rsidR="791B1547" w:rsidRPr="009366AE" w14:paraId="4159B5D7" w14:textId="77777777" w:rsidTr="39B57729">
        <w:trPr>
          <w:trHeight w:val="9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ACCE541" w14:textId="7AE1CAF1" w:rsidR="1B0C8A47" w:rsidRPr="009366AE" w:rsidRDefault="3644D506"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FDLSF-MC-009-2022</w:t>
            </w:r>
          </w:p>
        </w:tc>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1F9028" w14:textId="6ABE4722" w:rsidR="68B09FBB" w:rsidRPr="009366AE" w:rsidRDefault="78FAEF6A"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ALCALDIA LOCAL DE SANTAFE</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CC4663" w14:textId="397F9722" w:rsidR="5471CB98" w:rsidRPr="009366AE" w:rsidRDefault="78FAEF6A"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PRESTAR SERVICIOS DE RECARGA, REVISIÓN, INSPECCIÓN Y MANTENIMIENTO DE LOS EXTINTORES PROPIEDAD DEL FONDO DE DESARROLLO LOCAL DE SANTA FE, UBICADOS EN LAS DISTINTAS SEDES Y PUNTOS DE LA ALCALDÍA LOCAL DE SANTA FE</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50D0F2" w14:textId="1C0E19D3" w:rsidR="791B1547" w:rsidRPr="009366AE" w:rsidRDefault="09434419" w:rsidP="39B57729">
            <w:pPr>
              <w:spacing w:after="0"/>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 $</w:t>
            </w:r>
            <w:r w:rsidR="5B902BB6" w:rsidRPr="009366AE">
              <w:rPr>
                <w:rFonts w:ascii="Garamond" w:eastAsia="Garamond" w:hAnsi="Garamond" w:cs="Garamond"/>
                <w:color w:val="000000" w:themeColor="text1"/>
                <w:sz w:val="24"/>
                <w:szCs w:val="24"/>
              </w:rPr>
              <w:t>1.910.580</w:t>
            </w:r>
          </w:p>
        </w:tc>
        <w:tc>
          <w:tcPr>
            <w:tcW w:w="13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CD7E81" w14:textId="5B2A18CA" w:rsidR="5BC0083A" w:rsidRPr="009366AE" w:rsidRDefault="5B902BB6" w:rsidP="39B57729">
            <w:pPr>
              <w:spacing w:after="0"/>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MÍNIMA CUANTÍA</w:t>
            </w:r>
          </w:p>
          <w:p w14:paraId="79F412EB" w14:textId="3E0753F4" w:rsidR="5BC0083A" w:rsidRPr="009366AE" w:rsidRDefault="5BC0083A" w:rsidP="39B57729">
            <w:pPr>
              <w:spacing w:before="53" w:after="0"/>
              <w:ind w:left="107"/>
              <w:jc w:val="both"/>
              <w:rPr>
                <w:rFonts w:ascii="Garamond" w:eastAsia="Garamond" w:hAnsi="Garamond" w:cs="Garamond"/>
                <w:color w:val="000000" w:themeColor="text1"/>
                <w:sz w:val="24"/>
                <w:szCs w:val="24"/>
              </w:rPr>
            </w:pPr>
          </w:p>
        </w:tc>
      </w:tr>
      <w:tr w:rsidR="791B1547" w:rsidRPr="009366AE" w14:paraId="7BAA8602" w14:textId="77777777" w:rsidTr="39B57729">
        <w:trPr>
          <w:trHeight w:val="1575"/>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7BE75BA" w14:textId="3B81F9AA" w:rsidR="32B470C0" w:rsidRPr="009366AE" w:rsidRDefault="5B902BB6" w:rsidP="39B57729">
            <w:pPr>
              <w:spacing w:before="53" w:after="0"/>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FDLSMC-9-2022</w:t>
            </w:r>
          </w:p>
        </w:tc>
        <w:tc>
          <w:tcPr>
            <w:tcW w:w="22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29BDC3D" w14:textId="31C4CA70" w:rsidR="791B1547" w:rsidRPr="009366AE" w:rsidRDefault="791B1547" w:rsidP="39B57729">
            <w:pPr>
              <w:rPr>
                <w:rFonts w:ascii="Garamond" w:eastAsia="Garamond" w:hAnsi="Garamond" w:cs="Garamond"/>
                <w:color w:val="000000" w:themeColor="text1"/>
                <w:sz w:val="24"/>
                <w:szCs w:val="24"/>
              </w:rPr>
            </w:pPr>
            <w:r w:rsidRPr="009366AE">
              <w:rPr>
                <w:rFonts w:ascii="Garamond" w:hAnsi="Garamond"/>
                <w:sz w:val="24"/>
                <w:szCs w:val="24"/>
              </w:rPr>
              <w:br/>
            </w:r>
            <w:r w:rsidR="09434419" w:rsidRPr="009366AE">
              <w:rPr>
                <w:rFonts w:ascii="Garamond" w:eastAsia="Garamond" w:hAnsi="Garamond" w:cs="Garamond"/>
                <w:color w:val="000000" w:themeColor="text1"/>
                <w:sz w:val="24"/>
                <w:szCs w:val="24"/>
              </w:rPr>
              <w:t>ALCALDÍA LOCAL DE SUBA</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95CAAC" w14:textId="34AED5C2" w:rsidR="53E63049" w:rsidRPr="009366AE" w:rsidRDefault="60165ECC" w:rsidP="39B57729">
            <w:pPr>
              <w:spacing w:before="53" w:after="0"/>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 xml:space="preserve">MANTENIMIENTO PREVENTIVO Y/O CORRECTIVO, Y COMPRA DE EXTINTORES </w:t>
            </w:r>
            <w:r w:rsidRPr="009366AE">
              <w:rPr>
                <w:rFonts w:ascii="Garamond" w:eastAsia="Garamond" w:hAnsi="Garamond" w:cs="Garamond"/>
                <w:color w:val="000000" w:themeColor="text1"/>
                <w:sz w:val="24"/>
                <w:szCs w:val="24"/>
              </w:rPr>
              <w:lastRenderedPageBreak/>
              <w:t>PARA LAS DIFERENTES SEDES DEL FONDO DE DESARROLLO LOCAL DE SUBA</w:t>
            </w:r>
          </w:p>
        </w:tc>
        <w:tc>
          <w:tcPr>
            <w:tcW w:w="126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FF65216" w14:textId="0A830287" w:rsidR="791B1547" w:rsidRPr="009366AE" w:rsidRDefault="09434419" w:rsidP="39B57729">
            <w:pPr>
              <w:spacing w:before="53" w:after="0"/>
              <w:ind w:left="107"/>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lastRenderedPageBreak/>
              <w:t>$</w:t>
            </w:r>
            <w:r w:rsidR="4DEAFFE4" w:rsidRPr="009366AE">
              <w:rPr>
                <w:rFonts w:ascii="Garamond" w:eastAsia="Garamond" w:hAnsi="Garamond" w:cs="Garamond"/>
                <w:color w:val="000000" w:themeColor="text1"/>
                <w:sz w:val="24"/>
                <w:szCs w:val="24"/>
              </w:rPr>
              <w:t>8.000.000</w:t>
            </w:r>
          </w:p>
        </w:tc>
        <w:tc>
          <w:tcPr>
            <w:tcW w:w="13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859312C" w14:textId="5B2A18CA" w:rsidR="4DEAFFE4" w:rsidRPr="009366AE" w:rsidRDefault="4DEAFFE4" w:rsidP="39B57729">
            <w:pPr>
              <w:spacing w:after="0"/>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MÍNIMA CUANTÍA</w:t>
            </w:r>
          </w:p>
          <w:p w14:paraId="24C16C8E" w14:textId="21C5F6F2" w:rsidR="39B57729" w:rsidRPr="009366AE" w:rsidRDefault="39B57729" w:rsidP="39B57729">
            <w:pPr>
              <w:spacing w:before="53" w:after="0"/>
              <w:ind w:left="107"/>
              <w:jc w:val="both"/>
              <w:rPr>
                <w:rFonts w:ascii="Garamond" w:eastAsia="Garamond" w:hAnsi="Garamond" w:cs="Garamond"/>
                <w:color w:val="000000" w:themeColor="text1"/>
                <w:sz w:val="24"/>
                <w:szCs w:val="24"/>
              </w:rPr>
            </w:pPr>
          </w:p>
          <w:p w14:paraId="598CCC29" w14:textId="74A7DA3C" w:rsidR="791B1547" w:rsidRPr="009366AE" w:rsidRDefault="791B1547" w:rsidP="39B57729">
            <w:pPr>
              <w:spacing w:before="53" w:after="0"/>
              <w:ind w:left="107"/>
              <w:jc w:val="both"/>
              <w:rPr>
                <w:rFonts w:ascii="Garamond" w:eastAsia="Garamond" w:hAnsi="Garamond" w:cs="Garamond"/>
                <w:color w:val="000000" w:themeColor="text1"/>
                <w:sz w:val="24"/>
                <w:szCs w:val="24"/>
              </w:rPr>
            </w:pPr>
          </w:p>
        </w:tc>
      </w:tr>
    </w:tbl>
    <w:p w14:paraId="5DD66819" w14:textId="051B1550" w:rsidR="221F09AA" w:rsidRPr="009366AE" w:rsidRDefault="221F09AA" w:rsidP="791B1547">
      <w:pPr>
        <w:rPr>
          <w:rFonts w:ascii="Garamond" w:eastAsia="Garamond" w:hAnsi="Garamond" w:cs="Garamond"/>
          <w:color w:val="000000" w:themeColor="text1"/>
          <w:sz w:val="24"/>
          <w:szCs w:val="24"/>
        </w:rPr>
      </w:pPr>
    </w:p>
    <w:p w14:paraId="2EBD5E8F" w14:textId="6E34800A" w:rsidR="2F7AE9F9" w:rsidRPr="009366AE" w:rsidRDefault="2F7AE9F9" w:rsidP="791B1547">
      <w:pPr>
        <w:pStyle w:val="Prrafodelista"/>
        <w:numPr>
          <w:ilvl w:val="0"/>
          <w:numId w:val="2"/>
        </w:num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RIESGOS ASOCIADOS AL PROCESO DE CONTRATACIÓN</w:t>
      </w:r>
    </w:p>
    <w:p w14:paraId="29E7FF98" w14:textId="3CF2FB63" w:rsidR="2F7AE9F9" w:rsidRPr="009366AE" w:rsidRDefault="2F7AE9F9" w:rsidP="791B1547">
      <w:pPr>
        <w:jc w:val="both"/>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Con base en el contexto expuesto en los literales anteriores, el FDLUSA para reducir la exposición del Proceso de Contratación frente a los diferentes Riesgos que se pueden presentar, estructuró el sistema de administración de Riesgos teniendo en cuenta, entre otros, los siguientes aspectos: (a) los eventos que impidan la adjudicación y firma del contrato como resultado del Proceso de Contratación; (b) los eventos que alteren la ejecución del contrato; (c) el equilibrio económico del contrato; (d) la eficacia del Proceso de Contratación, es decir, que el FDLUSA pueda satisfacer la necesidad que motivó el Proceso de Contratación. </w:t>
      </w:r>
    </w:p>
    <w:p w14:paraId="39C88A9D" w14:textId="5DAC858F" w:rsidR="2F7AE9F9" w:rsidRPr="009366AE" w:rsidRDefault="2F7AE9F9" w:rsidP="791B1547">
      <w:pPr>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lang w:val="es-CO"/>
        </w:rPr>
        <w:t xml:space="preserve">Ver </w:t>
      </w:r>
      <w:r w:rsidRPr="009366AE">
        <w:rPr>
          <w:rFonts w:ascii="Garamond" w:eastAsia="Garamond" w:hAnsi="Garamond" w:cs="Garamond"/>
          <w:b/>
          <w:bCs/>
          <w:color w:val="000000" w:themeColor="text1"/>
          <w:sz w:val="24"/>
          <w:szCs w:val="24"/>
          <w:lang w:val="es-CO"/>
        </w:rPr>
        <w:t>Anexo</w:t>
      </w:r>
      <w:r w:rsidRPr="009366AE">
        <w:rPr>
          <w:rFonts w:ascii="Garamond" w:eastAsia="Garamond" w:hAnsi="Garamond" w:cs="Garamond"/>
          <w:color w:val="000000" w:themeColor="text1"/>
          <w:sz w:val="24"/>
          <w:szCs w:val="24"/>
          <w:lang w:val="es-CO"/>
        </w:rPr>
        <w:t xml:space="preserve"> Matriz de Riesgos.</w:t>
      </w:r>
    </w:p>
    <w:p w14:paraId="169680D4" w14:textId="4A111577" w:rsidR="2F7AE9F9" w:rsidRPr="009366AE" w:rsidRDefault="2F7AE9F9" w:rsidP="791B1547">
      <w:pPr>
        <w:pStyle w:val="Prrafodelista"/>
        <w:numPr>
          <w:ilvl w:val="0"/>
          <w:numId w:val="1"/>
        </w:numPr>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rPr>
        <w:t>CONCLUSIÓN</w:t>
      </w:r>
    </w:p>
    <w:p w14:paraId="4F08F634" w14:textId="406D384C" w:rsidR="791B1547" w:rsidRDefault="2F7AE9F9" w:rsidP="39B57729">
      <w:pPr>
        <w:spacing w:before="11"/>
        <w:jc w:val="both"/>
        <w:rPr>
          <w:rFonts w:ascii="Garamond" w:eastAsia="Garamond" w:hAnsi="Garamond" w:cs="Garamond"/>
          <w:color w:val="000000" w:themeColor="text1"/>
          <w:sz w:val="24"/>
          <w:szCs w:val="24"/>
          <w:lang w:val="es-CO"/>
        </w:rPr>
      </w:pPr>
      <w:r w:rsidRPr="009366AE">
        <w:rPr>
          <w:rFonts w:ascii="Garamond" w:eastAsia="Garamond" w:hAnsi="Garamond" w:cs="Garamond"/>
          <w:color w:val="000000" w:themeColor="text1"/>
          <w:sz w:val="24"/>
          <w:szCs w:val="24"/>
          <w:lang w:val="es-CO"/>
        </w:rPr>
        <w:t xml:space="preserve"> El sector objeto del presente estudio presenta un comportamiento positivo a nivel nacional e internacional, siendo compuesto por diferentes subsectores. Por otro lado, existe un número considerable de proveedores, tanto mayoristas como minoristas, donde se presenta libre competencia, no hay una posición dominante que manipule los precios, asimismo, se evidencia la suficiente demanda de los servicios y en consecuencia, las leyes de oferta y demanda, costos y precios eficientes, sin necesidad de intervención del Gobierno. Se considera entonces que, el sector puede cumplir con lo requerido en el proyecto objeto del presente análisis, siempre y cuando los oferentes cumplan con los requisitos habilitantes.</w:t>
      </w:r>
    </w:p>
    <w:p w14:paraId="1AF80284" w14:textId="77777777" w:rsidR="009366AE" w:rsidRPr="009366AE" w:rsidRDefault="009366AE" w:rsidP="39B57729">
      <w:pPr>
        <w:spacing w:before="11"/>
        <w:jc w:val="both"/>
        <w:rPr>
          <w:rFonts w:ascii="Garamond" w:eastAsia="Garamond" w:hAnsi="Garamond" w:cs="Garamond"/>
          <w:color w:val="000000" w:themeColor="text1"/>
          <w:sz w:val="24"/>
          <w:szCs w:val="24"/>
        </w:rPr>
      </w:pPr>
    </w:p>
    <w:tbl>
      <w:tblPr>
        <w:tblStyle w:val="Tablaconcuadrcula"/>
        <w:tblW w:w="0" w:type="auto"/>
        <w:tblLayout w:type="fixed"/>
        <w:tblLook w:val="04A0" w:firstRow="1" w:lastRow="0" w:firstColumn="1" w:lastColumn="0" w:noHBand="0" w:noVBand="1"/>
      </w:tblPr>
      <w:tblGrid>
        <w:gridCol w:w="1245"/>
        <w:gridCol w:w="4095"/>
        <w:gridCol w:w="3660"/>
      </w:tblGrid>
      <w:tr w:rsidR="791B1547" w:rsidRPr="009366AE" w14:paraId="14DEB463" w14:textId="77777777" w:rsidTr="791B1547">
        <w:trPr>
          <w:trHeight w:val="705"/>
        </w:trPr>
        <w:tc>
          <w:tcPr>
            <w:tcW w:w="1245" w:type="dxa"/>
          </w:tcPr>
          <w:p w14:paraId="6BAABE1D" w14:textId="1321CF66" w:rsidR="791B1547" w:rsidRPr="009366AE" w:rsidRDefault="791B1547" w:rsidP="791B1547">
            <w:pPr>
              <w:spacing w:before="11" w:line="259" w:lineRule="auto"/>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lang w:val="es-CO"/>
              </w:rPr>
              <w:t>Elaboró</w:t>
            </w:r>
            <w:r w:rsidRPr="009366AE">
              <w:rPr>
                <w:rFonts w:ascii="Garamond" w:eastAsia="Garamond" w:hAnsi="Garamond" w:cs="Garamond"/>
                <w:b/>
                <w:bCs/>
                <w:color w:val="000000" w:themeColor="text1"/>
                <w:sz w:val="24"/>
                <w:szCs w:val="24"/>
              </w:rPr>
              <w:t xml:space="preserve">: </w:t>
            </w:r>
          </w:p>
        </w:tc>
        <w:tc>
          <w:tcPr>
            <w:tcW w:w="4095" w:type="dxa"/>
          </w:tcPr>
          <w:p w14:paraId="3E08B6DE" w14:textId="40EB4B67" w:rsidR="791B1547" w:rsidRPr="009366AE" w:rsidRDefault="791B1547" w:rsidP="791B1547">
            <w:pPr>
              <w:spacing w:before="11" w:line="259" w:lineRule="auto"/>
              <w:rPr>
                <w:rFonts w:ascii="Garamond" w:eastAsia="Garamond" w:hAnsi="Garamond" w:cs="Garamond"/>
                <w:color w:val="000000" w:themeColor="text1"/>
                <w:sz w:val="24"/>
                <w:szCs w:val="24"/>
              </w:rPr>
            </w:pPr>
            <w:r w:rsidRPr="009366AE">
              <w:rPr>
                <w:rFonts w:ascii="Garamond" w:eastAsia="Garamond" w:hAnsi="Garamond" w:cs="Garamond"/>
                <w:color w:val="000000" w:themeColor="text1"/>
                <w:sz w:val="24"/>
                <w:szCs w:val="24"/>
              </w:rPr>
              <w:t>SANTIAGO OSORIO BEDOYA</w:t>
            </w:r>
          </w:p>
        </w:tc>
        <w:tc>
          <w:tcPr>
            <w:tcW w:w="3660" w:type="dxa"/>
          </w:tcPr>
          <w:p w14:paraId="1579A220" w14:textId="252918C2" w:rsidR="791B1547" w:rsidRPr="009366AE" w:rsidRDefault="791B1547" w:rsidP="791B1547">
            <w:pPr>
              <w:spacing w:before="11" w:line="259" w:lineRule="auto"/>
              <w:jc w:val="both"/>
              <w:rPr>
                <w:rFonts w:ascii="Garamond" w:eastAsia="Garamond" w:hAnsi="Garamond" w:cs="Garamond"/>
                <w:color w:val="000000" w:themeColor="text1"/>
                <w:sz w:val="24"/>
                <w:szCs w:val="24"/>
              </w:rPr>
            </w:pPr>
            <w:r w:rsidRPr="009366AE">
              <w:rPr>
                <w:rFonts w:ascii="Garamond" w:hAnsi="Garamond"/>
                <w:noProof/>
                <w:sz w:val="24"/>
                <w:szCs w:val="24"/>
                <w:lang w:val="es-CO" w:eastAsia="es-CO"/>
              </w:rPr>
              <w:drawing>
                <wp:inline distT="0" distB="0" distL="0" distR="0" wp14:anchorId="34E48402" wp14:editId="01520A1D">
                  <wp:extent cx="2019300" cy="428625"/>
                  <wp:effectExtent l="0" t="0" r="0" b="0"/>
                  <wp:docPr id="1730251892" name="Imagen 173025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19300" cy="428625"/>
                          </a:xfrm>
                          <a:prstGeom prst="rect">
                            <a:avLst/>
                          </a:prstGeom>
                        </pic:spPr>
                      </pic:pic>
                    </a:graphicData>
                  </a:graphic>
                </wp:inline>
              </w:drawing>
            </w:r>
          </w:p>
        </w:tc>
      </w:tr>
      <w:tr w:rsidR="791B1547" w:rsidRPr="009366AE" w14:paraId="69F9531A" w14:textId="77777777" w:rsidTr="791B1547">
        <w:trPr>
          <w:trHeight w:val="675"/>
        </w:trPr>
        <w:tc>
          <w:tcPr>
            <w:tcW w:w="1245" w:type="dxa"/>
          </w:tcPr>
          <w:p w14:paraId="685D6A78" w14:textId="5DEC901F" w:rsidR="791B1547" w:rsidRPr="009366AE" w:rsidRDefault="791B1547" w:rsidP="791B1547">
            <w:pPr>
              <w:spacing w:before="11" w:line="259" w:lineRule="auto"/>
              <w:jc w:val="both"/>
              <w:rPr>
                <w:rFonts w:ascii="Garamond" w:eastAsia="Garamond" w:hAnsi="Garamond" w:cs="Garamond"/>
                <w:color w:val="000000" w:themeColor="text1"/>
                <w:sz w:val="24"/>
                <w:szCs w:val="24"/>
              </w:rPr>
            </w:pPr>
            <w:r w:rsidRPr="009366AE">
              <w:rPr>
                <w:rFonts w:ascii="Garamond" w:eastAsia="Garamond" w:hAnsi="Garamond" w:cs="Garamond"/>
                <w:b/>
                <w:bCs/>
                <w:color w:val="000000" w:themeColor="text1"/>
                <w:sz w:val="24"/>
                <w:szCs w:val="24"/>
                <w:lang w:val="es-CO"/>
              </w:rPr>
              <w:t>Revisó</w:t>
            </w:r>
          </w:p>
        </w:tc>
        <w:tc>
          <w:tcPr>
            <w:tcW w:w="4095" w:type="dxa"/>
          </w:tcPr>
          <w:p w14:paraId="606C09C2" w14:textId="2AE76C88" w:rsidR="791B1547" w:rsidRPr="009366AE" w:rsidRDefault="002714DA" w:rsidP="791B1547">
            <w:pPr>
              <w:spacing w:before="11" w:line="259" w:lineRule="auto"/>
              <w:rPr>
                <w:rFonts w:ascii="Garamond" w:eastAsia="Garamond" w:hAnsi="Garamond" w:cs="Garamond"/>
                <w:color w:val="000000" w:themeColor="text1"/>
                <w:sz w:val="24"/>
                <w:szCs w:val="24"/>
              </w:rPr>
            </w:pPr>
            <w:r>
              <w:rPr>
                <w:rFonts w:ascii="Garamond" w:eastAsia="Garamond" w:hAnsi="Garamond" w:cs="Garamond"/>
                <w:color w:val="000000" w:themeColor="text1"/>
                <w:sz w:val="24"/>
                <w:szCs w:val="24"/>
              </w:rPr>
              <w:t>ANDRÉS FELIPE CRUZ CONTRERAS</w:t>
            </w:r>
          </w:p>
        </w:tc>
        <w:tc>
          <w:tcPr>
            <w:tcW w:w="3660" w:type="dxa"/>
          </w:tcPr>
          <w:p w14:paraId="201F104A" w14:textId="035D5D6F" w:rsidR="791B1547" w:rsidRPr="009366AE" w:rsidRDefault="002714DA" w:rsidP="002714DA">
            <w:pPr>
              <w:spacing w:before="11" w:line="259" w:lineRule="auto"/>
              <w:jc w:val="center"/>
              <w:rPr>
                <w:rFonts w:ascii="Garamond" w:eastAsia="Calibri" w:hAnsi="Garamond" w:cs="Calibri"/>
                <w:sz w:val="24"/>
                <w:szCs w:val="24"/>
              </w:rPr>
            </w:pPr>
            <w:r>
              <w:rPr>
                <w:rFonts w:ascii="Garamond" w:eastAsia="Calibri" w:hAnsi="Garamond" w:cs="Calibri"/>
                <w:noProof/>
                <w:sz w:val="24"/>
                <w:szCs w:val="24"/>
              </w:rPr>
              <w:drawing>
                <wp:inline distT="0" distB="0" distL="0" distR="0" wp14:anchorId="2FD61A3B" wp14:editId="6D506630">
                  <wp:extent cx="683895" cy="427435"/>
                  <wp:effectExtent l="0" t="0" r="1905"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16112" cy="447571"/>
                          </a:xfrm>
                          <a:prstGeom prst="rect">
                            <a:avLst/>
                          </a:prstGeom>
                        </pic:spPr>
                      </pic:pic>
                    </a:graphicData>
                  </a:graphic>
                </wp:inline>
              </w:drawing>
            </w:r>
          </w:p>
        </w:tc>
      </w:tr>
    </w:tbl>
    <w:p w14:paraId="1EC60EE0" w14:textId="7BAF099E" w:rsidR="791B1547" w:rsidRPr="009366AE" w:rsidRDefault="791B1547" w:rsidP="791B1547">
      <w:pPr>
        <w:rPr>
          <w:rFonts w:ascii="Garamond" w:eastAsia="Calibri" w:hAnsi="Garamond" w:cs="Calibri"/>
          <w:color w:val="000000" w:themeColor="text1"/>
          <w:sz w:val="24"/>
          <w:szCs w:val="24"/>
        </w:rPr>
      </w:pPr>
    </w:p>
    <w:p w14:paraId="07BBD4AF" w14:textId="13BE7538" w:rsidR="791B1547" w:rsidRPr="009366AE" w:rsidRDefault="791B1547" w:rsidP="791B1547">
      <w:pPr>
        <w:rPr>
          <w:rFonts w:ascii="Garamond" w:eastAsia="Garamond" w:hAnsi="Garamond" w:cs="Garamond"/>
          <w:color w:val="000000" w:themeColor="text1"/>
          <w:sz w:val="24"/>
          <w:szCs w:val="24"/>
        </w:rPr>
      </w:pPr>
    </w:p>
    <w:sectPr w:rsidR="791B1547" w:rsidRPr="009366A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Times New Roman">
    <w:altName w:val="Times New Roman"/>
    <w:panose1 w:val="020B06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B3F4E"/>
    <w:multiLevelType w:val="hybridMultilevel"/>
    <w:tmpl w:val="FCB09E6C"/>
    <w:lvl w:ilvl="0" w:tplc="19065174">
      <w:start w:val="4"/>
      <w:numFmt w:val="upperLetter"/>
      <w:lvlText w:val="%1."/>
      <w:lvlJc w:val="left"/>
      <w:pPr>
        <w:ind w:left="645" w:hanging="360"/>
      </w:pPr>
      <w:rPr>
        <w:rFonts w:ascii="Garamond" w:hAnsi="Garamond" w:hint="default"/>
      </w:rPr>
    </w:lvl>
    <w:lvl w:ilvl="1" w:tplc="32A2D286">
      <w:start w:val="1"/>
      <w:numFmt w:val="lowerLetter"/>
      <w:lvlText w:val="%2."/>
      <w:lvlJc w:val="left"/>
      <w:pPr>
        <w:ind w:left="1440" w:hanging="360"/>
      </w:pPr>
    </w:lvl>
    <w:lvl w:ilvl="2" w:tplc="FC54E15C">
      <w:start w:val="1"/>
      <w:numFmt w:val="lowerRoman"/>
      <w:lvlText w:val="%3."/>
      <w:lvlJc w:val="right"/>
      <w:pPr>
        <w:ind w:left="2160" w:hanging="180"/>
      </w:pPr>
    </w:lvl>
    <w:lvl w:ilvl="3" w:tplc="3E8AA148">
      <w:start w:val="1"/>
      <w:numFmt w:val="decimal"/>
      <w:lvlText w:val="%4."/>
      <w:lvlJc w:val="left"/>
      <w:pPr>
        <w:ind w:left="2880" w:hanging="360"/>
      </w:pPr>
    </w:lvl>
    <w:lvl w:ilvl="4" w:tplc="E5A46634">
      <w:start w:val="1"/>
      <w:numFmt w:val="lowerLetter"/>
      <w:lvlText w:val="%5."/>
      <w:lvlJc w:val="left"/>
      <w:pPr>
        <w:ind w:left="3600" w:hanging="360"/>
      </w:pPr>
    </w:lvl>
    <w:lvl w:ilvl="5" w:tplc="72628986">
      <w:start w:val="1"/>
      <w:numFmt w:val="lowerRoman"/>
      <w:lvlText w:val="%6."/>
      <w:lvlJc w:val="right"/>
      <w:pPr>
        <w:ind w:left="4320" w:hanging="180"/>
      </w:pPr>
    </w:lvl>
    <w:lvl w:ilvl="6" w:tplc="58A2D56E">
      <w:start w:val="1"/>
      <w:numFmt w:val="decimal"/>
      <w:lvlText w:val="%7."/>
      <w:lvlJc w:val="left"/>
      <w:pPr>
        <w:ind w:left="5040" w:hanging="360"/>
      </w:pPr>
    </w:lvl>
    <w:lvl w:ilvl="7" w:tplc="628E4848">
      <w:start w:val="1"/>
      <w:numFmt w:val="lowerLetter"/>
      <w:lvlText w:val="%8."/>
      <w:lvlJc w:val="left"/>
      <w:pPr>
        <w:ind w:left="5760" w:hanging="360"/>
      </w:pPr>
    </w:lvl>
    <w:lvl w:ilvl="8" w:tplc="63201CFE">
      <w:start w:val="1"/>
      <w:numFmt w:val="lowerRoman"/>
      <w:lvlText w:val="%9."/>
      <w:lvlJc w:val="right"/>
      <w:pPr>
        <w:ind w:left="6480" w:hanging="180"/>
      </w:pPr>
    </w:lvl>
  </w:abstractNum>
  <w:abstractNum w:abstractNumId="1" w15:restartNumberingAfterBreak="0">
    <w:nsid w:val="1ACEFAB0"/>
    <w:multiLevelType w:val="hybridMultilevel"/>
    <w:tmpl w:val="212A8B88"/>
    <w:lvl w:ilvl="0" w:tplc="6CBE5620">
      <w:start w:val="1"/>
      <w:numFmt w:val="bullet"/>
      <w:lvlText w:val=""/>
      <w:lvlJc w:val="left"/>
      <w:pPr>
        <w:ind w:left="720" w:hanging="360"/>
      </w:pPr>
      <w:rPr>
        <w:rFonts w:ascii="Symbol" w:hAnsi="Symbol" w:hint="default"/>
      </w:rPr>
    </w:lvl>
    <w:lvl w:ilvl="1" w:tplc="8FDA2708">
      <w:start w:val="1"/>
      <w:numFmt w:val="bullet"/>
      <w:lvlText w:val="o"/>
      <w:lvlJc w:val="left"/>
      <w:pPr>
        <w:ind w:left="1440" w:hanging="360"/>
      </w:pPr>
      <w:rPr>
        <w:rFonts w:ascii="Courier New" w:hAnsi="Courier New" w:hint="default"/>
      </w:rPr>
    </w:lvl>
    <w:lvl w:ilvl="2" w:tplc="E5FCAF3A">
      <w:start w:val="1"/>
      <w:numFmt w:val="bullet"/>
      <w:lvlText w:val=""/>
      <w:lvlJc w:val="left"/>
      <w:pPr>
        <w:ind w:left="2160" w:hanging="360"/>
      </w:pPr>
      <w:rPr>
        <w:rFonts w:ascii="Wingdings" w:hAnsi="Wingdings" w:hint="default"/>
      </w:rPr>
    </w:lvl>
    <w:lvl w:ilvl="3" w:tplc="F7B6B5AE">
      <w:start w:val="1"/>
      <w:numFmt w:val="bullet"/>
      <w:lvlText w:val=""/>
      <w:lvlJc w:val="left"/>
      <w:pPr>
        <w:ind w:left="2880" w:hanging="360"/>
      </w:pPr>
      <w:rPr>
        <w:rFonts w:ascii="Symbol" w:hAnsi="Symbol" w:hint="default"/>
      </w:rPr>
    </w:lvl>
    <w:lvl w:ilvl="4" w:tplc="6A26AEAA">
      <w:start w:val="1"/>
      <w:numFmt w:val="bullet"/>
      <w:lvlText w:val="o"/>
      <w:lvlJc w:val="left"/>
      <w:pPr>
        <w:ind w:left="3600" w:hanging="360"/>
      </w:pPr>
      <w:rPr>
        <w:rFonts w:ascii="Courier New" w:hAnsi="Courier New" w:hint="default"/>
      </w:rPr>
    </w:lvl>
    <w:lvl w:ilvl="5" w:tplc="482C1FA0">
      <w:start w:val="1"/>
      <w:numFmt w:val="bullet"/>
      <w:lvlText w:val=""/>
      <w:lvlJc w:val="left"/>
      <w:pPr>
        <w:ind w:left="4320" w:hanging="360"/>
      </w:pPr>
      <w:rPr>
        <w:rFonts w:ascii="Wingdings" w:hAnsi="Wingdings" w:hint="default"/>
      </w:rPr>
    </w:lvl>
    <w:lvl w:ilvl="6" w:tplc="99D629BA">
      <w:start w:val="1"/>
      <w:numFmt w:val="bullet"/>
      <w:lvlText w:val=""/>
      <w:lvlJc w:val="left"/>
      <w:pPr>
        <w:ind w:left="5040" w:hanging="360"/>
      </w:pPr>
      <w:rPr>
        <w:rFonts w:ascii="Symbol" w:hAnsi="Symbol" w:hint="default"/>
      </w:rPr>
    </w:lvl>
    <w:lvl w:ilvl="7" w:tplc="22240E80">
      <w:start w:val="1"/>
      <w:numFmt w:val="bullet"/>
      <w:lvlText w:val="o"/>
      <w:lvlJc w:val="left"/>
      <w:pPr>
        <w:ind w:left="5760" w:hanging="360"/>
      </w:pPr>
      <w:rPr>
        <w:rFonts w:ascii="Courier New" w:hAnsi="Courier New" w:hint="default"/>
      </w:rPr>
    </w:lvl>
    <w:lvl w:ilvl="8" w:tplc="A5EE496A">
      <w:start w:val="1"/>
      <w:numFmt w:val="bullet"/>
      <w:lvlText w:val=""/>
      <w:lvlJc w:val="left"/>
      <w:pPr>
        <w:ind w:left="6480" w:hanging="360"/>
      </w:pPr>
      <w:rPr>
        <w:rFonts w:ascii="Wingdings" w:hAnsi="Wingdings" w:hint="default"/>
      </w:rPr>
    </w:lvl>
  </w:abstractNum>
  <w:abstractNum w:abstractNumId="2" w15:restartNumberingAfterBreak="0">
    <w:nsid w:val="1FB600F9"/>
    <w:multiLevelType w:val="hybridMultilevel"/>
    <w:tmpl w:val="C78CB95A"/>
    <w:lvl w:ilvl="0" w:tplc="2828EFF0">
      <w:start w:val="1"/>
      <w:numFmt w:val="bullet"/>
      <w:lvlText w:val=""/>
      <w:lvlJc w:val="left"/>
      <w:pPr>
        <w:ind w:left="778" w:hanging="360"/>
      </w:pPr>
      <w:rPr>
        <w:rFonts w:ascii="Symbol" w:hAnsi="Symbol" w:hint="default"/>
      </w:rPr>
    </w:lvl>
    <w:lvl w:ilvl="1" w:tplc="5D0E67F4">
      <w:start w:val="1"/>
      <w:numFmt w:val="bullet"/>
      <w:lvlText w:val="o"/>
      <w:lvlJc w:val="left"/>
      <w:pPr>
        <w:ind w:left="1440" w:hanging="360"/>
      </w:pPr>
      <w:rPr>
        <w:rFonts w:ascii="Courier New" w:hAnsi="Courier New" w:hint="default"/>
      </w:rPr>
    </w:lvl>
    <w:lvl w:ilvl="2" w:tplc="5FCC9160">
      <w:start w:val="1"/>
      <w:numFmt w:val="bullet"/>
      <w:lvlText w:val=""/>
      <w:lvlJc w:val="left"/>
      <w:pPr>
        <w:ind w:left="2160" w:hanging="360"/>
      </w:pPr>
      <w:rPr>
        <w:rFonts w:ascii="Wingdings" w:hAnsi="Wingdings" w:hint="default"/>
      </w:rPr>
    </w:lvl>
    <w:lvl w:ilvl="3" w:tplc="79261A1A">
      <w:start w:val="1"/>
      <w:numFmt w:val="bullet"/>
      <w:lvlText w:val=""/>
      <w:lvlJc w:val="left"/>
      <w:pPr>
        <w:ind w:left="2880" w:hanging="360"/>
      </w:pPr>
      <w:rPr>
        <w:rFonts w:ascii="Symbol" w:hAnsi="Symbol" w:hint="default"/>
      </w:rPr>
    </w:lvl>
    <w:lvl w:ilvl="4" w:tplc="E14E03E4">
      <w:start w:val="1"/>
      <w:numFmt w:val="bullet"/>
      <w:lvlText w:val="o"/>
      <w:lvlJc w:val="left"/>
      <w:pPr>
        <w:ind w:left="3600" w:hanging="360"/>
      </w:pPr>
      <w:rPr>
        <w:rFonts w:ascii="Courier New" w:hAnsi="Courier New" w:hint="default"/>
      </w:rPr>
    </w:lvl>
    <w:lvl w:ilvl="5" w:tplc="BEAE9314">
      <w:start w:val="1"/>
      <w:numFmt w:val="bullet"/>
      <w:lvlText w:val=""/>
      <w:lvlJc w:val="left"/>
      <w:pPr>
        <w:ind w:left="4320" w:hanging="360"/>
      </w:pPr>
      <w:rPr>
        <w:rFonts w:ascii="Wingdings" w:hAnsi="Wingdings" w:hint="default"/>
      </w:rPr>
    </w:lvl>
    <w:lvl w:ilvl="6" w:tplc="E724150A">
      <w:start w:val="1"/>
      <w:numFmt w:val="bullet"/>
      <w:lvlText w:val=""/>
      <w:lvlJc w:val="left"/>
      <w:pPr>
        <w:ind w:left="5040" w:hanging="360"/>
      </w:pPr>
      <w:rPr>
        <w:rFonts w:ascii="Symbol" w:hAnsi="Symbol" w:hint="default"/>
      </w:rPr>
    </w:lvl>
    <w:lvl w:ilvl="7" w:tplc="9208AAEA">
      <w:start w:val="1"/>
      <w:numFmt w:val="bullet"/>
      <w:lvlText w:val="o"/>
      <w:lvlJc w:val="left"/>
      <w:pPr>
        <w:ind w:left="5760" w:hanging="360"/>
      </w:pPr>
      <w:rPr>
        <w:rFonts w:ascii="Courier New" w:hAnsi="Courier New" w:hint="default"/>
      </w:rPr>
    </w:lvl>
    <w:lvl w:ilvl="8" w:tplc="8012A906">
      <w:start w:val="1"/>
      <w:numFmt w:val="bullet"/>
      <w:lvlText w:val=""/>
      <w:lvlJc w:val="left"/>
      <w:pPr>
        <w:ind w:left="6480" w:hanging="360"/>
      </w:pPr>
      <w:rPr>
        <w:rFonts w:ascii="Wingdings" w:hAnsi="Wingdings" w:hint="default"/>
      </w:rPr>
    </w:lvl>
  </w:abstractNum>
  <w:abstractNum w:abstractNumId="3" w15:restartNumberingAfterBreak="0">
    <w:nsid w:val="1FDA7562"/>
    <w:multiLevelType w:val="hybridMultilevel"/>
    <w:tmpl w:val="197AD432"/>
    <w:lvl w:ilvl="0" w:tplc="29504F36">
      <w:start w:val="1"/>
      <w:numFmt w:val="bullet"/>
      <w:lvlText w:val=""/>
      <w:lvlJc w:val="left"/>
      <w:pPr>
        <w:ind w:left="720" w:hanging="360"/>
      </w:pPr>
      <w:rPr>
        <w:rFonts w:ascii="Symbol" w:hAnsi="Symbol" w:hint="default"/>
      </w:rPr>
    </w:lvl>
    <w:lvl w:ilvl="1" w:tplc="5E7C2BE0">
      <w:start w:val="1"/>
      <w:numFmt w:val="bullet"/>
      <w:lvlText w:val="o"/>
      <w:lvlJc w:val="left"/>
      <w:pPr>
        <w:ind w:left="1440" w:hanging="360"/>
      </w:pPr>
      <w:rPr>
        <w:rFonts w:ascii="Courier New" w:hAnsi="Courier New" w:hint="default"/>
      </w:rPr>
    </w:lvl>
    <w:lvl w:ilvl="2" w:tplc="9806CC72">
      <w:start w:val="1"/>
      <w:numFmt w:val="bullet"/>
      <w:lvlText w:val=""/>
      <w:lvlJc w:val="left"/>
      <w:pPr>
        <w:ind w:left="2160" w:hanging="360"/>
      </w:pPr>
      <w:rPr>
        <w:rFonts w:ascii="Wingdings" w:hAnsi="Wingdings" w:hint="default"/>
      </w:rPr>
    </w:lvl>
    <w:lvl w:ilvl="3" w:tplc="BF885866">
      <w:start w:val="1"/>
      <w:numFmt w:val="bullet"/>
      <w:lvlText w:val=""/>
      <w:lvlJc w:val="left"/>
      <w:pPr>
        <w:ind w:left="2880" w:hanging="360"/>
      </w:pPr>
      <w:rPr>
        <w:rFonts w:ascii="Symbol" w:hAnsi="Symbol" w:hint="default"/>
      </w:rPr>
    </w:lvl>
    <w:lvl w:ilvl="4" w:tplc="ABE4E2E0">
      <w:start w:val="1"/>
      <w:numFmt w:val="bullet"/>
      <w:lvlText w:val="o"/>
      <w:lvlJc w:val="left"/>
      <w:pPr>
        <w:ind w:left="3600" w:hanging="360"/>
      </w:pPr>
      <w:rPr>
        <w:rFonts w:ascii="Courier New" w:hAnsi="Courier New" w:hint="default"/>
      </w:rPr>
    </w:lvl>
    <w:lvl w:ilvl="5" w:tplc="27F2EBBC">
      <w:start w:val="1"/>
      <w:numFmt w:val="bullet"/>
      <w:lvlText w:val=""/>
      <w:lvlJc w:val="left"/>
      <w:pPr>
        <w:ind w:left="4320" w:hanging="360"/>
      </w:pPr>
      <w:rPr>
        <w:rFonts w:ascii="Wingdings" w:hAnsi="Wingdings" w:hint="default"/>
      </w:rPr>
    </w:lvl>
    <w:lvl w:ilvl="6" w:tplc="24B48A04">
      <w:start w:val="1"/>
      <w:numFmt w:val="bullet"/>
      <w:lvlText w:val=""/>
      <w:lvlJc w:val="left"/>
      <w:pPr>
        <w:ind w:left="5040" w:hanging="360"/>
      </w:pPr>
      <w:rPr>
        <w:rFonts w:ascii="Symbol" w:hAnsi="Symbol" w:hint="default"/>
      </w:rPr>
    </w:lvl>
    <w:lvl w:ilvl="7" w:tplc="2D00C604">
      <w:start w:val="1"/>
      <w:numFmt w:val="bullet"/>
      <w:lvlText w:val="o"/>
      <w:lvlJc w:val="left"/>
      <w:pPr>
        <w:ind w:left="5760" w:hanging="360"/>
      </w:pPr>
      <w:rPr>
        <w:rFonts w:ascii="Courier New" w:hAnsi="Courier New" w:hint="default"/>
      </w:rPr>
    </w:lvl>
    <w:lvl w:ilvl="8" w:tplc="02EA3D10">
      <w:start w:val="1"/>
      <w:numFmt w:val="bullet"/>
      <w:lvlText w:val=""/>
      <w:lvlJc w:val="left"/>
      <w:pPr>
        <w:ind w:left="6480" w:hanging="360"/>
      </w:pPr>
      <w:rPr>
        <w:rFonts w:ascii="Wingdings" w:hAnsi="Wingdings" w:hint="default"/>
      </w:rPr>
    </w:lvl>
  </w:abstractNum>
  <w:abstractNum w:abstractNumId="4" w15:restartNumberingAfterBreak="0">
    <w:nsid w:val="2C19EF2D"/>
    <w:multiLevelType w:val="hybridMultilevel"/>
    <w:tmpl w:val="E8DAB5B4"/>
    <w:lvl w:ilvl="0" w:tplc="71D8DDCE">
      <w:start w:val="1"/>
      <w:numFmt w:val="bullet"/>
      <w:lvlText w:val=""/>
      <w:lvlJc w:val="left"/>
      <w:pPr>
        <w:ind w:left="720" w:hanging="360"/>
      </w:pPr>
      <w:rPr>
        <w:rFonts w:ascii="Symbol" w:hAnsi="Symbol" w:hint="default"/>
      </w:rPr>
    </w:lvl>
    <w:lvl w:ilvl="1" w:tplc="CD6E68E2">
      <w:start w:val="1"/>
      <w:numFmt w:val="bullet"/>
      <w:lvlText w:val="o"/>
      <w:lvlJc w:val="left"/>
      <w:pPr>
        <w:ind w:left="1440" w:hanging="360"/>
      </w:pPr>
      <w:rPr>
        <w:rFonts w:ascii="Courier New" w:hAnsi="Courier New" w:hint="default"/>
      </w:rPr>
    </w:lvl>
    <w:lvl w:ilvl="2" w:tplc="1910BFB4">
      <w:start w:val="1"/>
      <w:numFmt w:val="bullet"/>
      <w:lvlText w:val=""/>
      <w:lvlJc w:val="left"/>
      <w:pPr>
        <w:ind w:left="2160" w:hanging="360"/>
      </w:pPr>
      <w:rPr>
        <w:rFonts w:ascii="Wingdings" w:hAnsi="Wingdings" w:hint="default"/>
      </w:rPr>
    </w:lvl>
    <w:lvl w:ilvl="3" w:tplc="EAD48878">
      <w:start w:val="1"/>
      <w:numFmt w:val="bullet"/>
      <w:lvlText w:val=""/>
      <w:lvlJc w:val="left"/>
      <w:pPr>
        <w:ind w:left="2880" w:hanging="360"/>
      </w:pPr>
      <w:rPr>
        <w:rFonts w:ascii="Symbol" w:hAnsi="Symbol" w:hint="default"/>
      </w:rPr>
    </w:lvl>
    <w:lvl w:ilvl="4" w:tplc="D5129270">
      <w:start w:val="1"/>
      <w:numFmt w:val="bullet"/>
      <w:lvlText w:val="o"/>
      <w:lvlJc w:val="left"/>
      <w:pPr>
        <w:ind w:left="3600" w:hanging="360"/>
      </w:pPr>
      <w:rPr>
        <w:rFonts w:ascii="Courier New" w:hAnsi="Courier New" w:hint="default"/>
      </w:rPr>
    </w:lvl>
    <w:lvl w:ilvl="5" w:tplc="61D6DDDA">
      <w:start w:val="1"/>
      <w:numFmt w:val="bullet"/>
      <w:lvlText w:val=""/>
      <w:lvlJc w:val="left"/>
      <w:pPr>
        <w:ind w:left="4320" w:hanging="360"/>
      </w:pPr>
      <w:rPr>
        <w:rFonts w:ascii="Wingdings" w:hAnsi="Wingdings" w:hint="default"/>
      </w:rPr>
    </w:lvl>
    <w:lvl w:ilvl="6" w:tplc="87928B9E">
      <w:start w:val="1"/>
      <w:numFmt w:val="bullet"/>
      <w:lvlText w:val=""/>
      <w:lvlJc w:val="left"/>
      <w:pPr>
        <w:ind w:left="5040" w:hanging="360"/>
      </w:pPr>
      <w:rPr>
        <w:rFonts w:ascii="Symbol" w:hAnsi="Symbol" w:hint="default"/>
      </w:rPr>
    </w:lvl>
    <w:lvl w:ilvl="7" w:tplc="A258A106">
      <w:start w:val="1"/>
      <w:numFmt w:val="bullet"/>
      <w:lvlText w:val="o"/>
      <w:lvlJc w:val="left"/>
      <w:pPr>
        <w:ind w:left="5760" w:hanging="360"/>
      </w:pPr>
      <w:rPr>
        <w:rFonts w:ascii="Courier New" w:hAnsi="Courier New" w:hint="default"/>
      </w:rPr>
    </w:lvl>
    <w:lvl w:ilvl="8" w:tplc="E3EC975C">
      <w:start w:val="1"/>
      <w:numFmt w:val="bullet"/>
      <w:lvlText w:val=""/>
      <w:lvlJc w:val="left"/>
      <w:pPr>
        <w:ind w:left="6480" w:hanging="360"/>
      </w:pPr>
      <w:rPr>
        <w:rFonts w:ascii="Wingdings" w:hAnsi="Wingdings" w:hint="default"/>
      </w:rPr>
    </w:lvl>
  </w:abstractNum>
  <w:abstractNum w:abstractNumId="5" w15:restartNumberingAfterBreak="0">
    <w:nsid w:val="3449CF3D"/>
    <w:multiLevelType w:val="hybridMultilevel"/>
    <w:tmpl w:val="92C40DB0"/>
    <w:lvl w:ilvl="0" w:tplc="94528472">
      <w:start w:val="3"/>
      <w:numFmt w:val="upperLetter"/>
      <w:lvlText w:val="%1."/>
      <w:lvlJc w:val="left"/>
      <w:pPr>
        <w:ind w:left="645" w:hanging="360"/>
      </w:pPr>
      <w:rPr>
        <w:rFonts w:ascii="Garamond,Times New Roman" w:hAnsi="Garamond,Times New Roman" w:hint="default"/>
      </w:rPr>
    </w:lvl>
    <w:lvl w:ilvl="1" w:tplc="687E2634">
      <w:start w:val="1"/>
      <w:numFmt w:val="lowerLetter"/>
      <w:lvlText w:val="%2."/>
      <w:lvlJc w:val="left"/>
      <w:pPr>
        <w:ind w:left="1440" w:hanging="360"/>
      </w:pPr>
    </w:lvl>
    <w:lvl w:ilvl="2" w:tplc="F0627B7C">
      <w:start w:val="1"/>
      <w:numFmt w:val="lowerRoman"/>
      <w:lvlText w:val="%3."/>
      <w:lvlJc w:val="right"/>
      <w:pPr>
        <w:ind w:left="2160" w:hanging="180"/>
      </w:pPr>
    </w:lvl>
    <w:lvl w:ilvl="3" w:tplc="E7042F58">
      <w:start w:val="1"/>
      <w:numFmt w:val="decimal"/>
      <w:lvlText w:val="%4."/>
      <w:lvlJc w:val="left"/>
      <w:pPr>
        <w:ind w:left="2880" w:hanging="360"/>
      </w:pPr>
    </w:lvl>
    <w:lvl w:ilvl="4" w:tplc="B1E67206">
      <w:start w:val="1"/>
      <w:numFmt w:val="lowerLetter"/>
      <w:lvlText w:val="%5."/>
      <w:lvlJc w:val="left"/>
      <w:pPr>
        <w:ind w:left="3600" w:hanging="360"/>
      </w:pPr>
    </w:lvl>
    <w:lvl w:ilvl="5" w:tplc="D5E2BF34">
      <w:start w:val="1"/>
      <w:numFmt w:val="lowerRoman"/>
      <w:lvlText w:val="%6."/>
      <w:lvlJc w:val="right"/>
      <w:pPr>
        <w:ind w:left="4320" w:hanging="180"/>
      </w:pPr>
    </w:lvl>
    <w:lvl w:ilvl="6" w:tplc="D980BD4C">
      <w:start w:val="1"/>
      <w:numFmt w:val="decimal"/>
      <w:lvlText w:val="%7."/>
      <w:lvlJc w:val="left"/>
      <w:pPr>
        <w:ind w:left="5040" w:hanging="360"/>
      </w:pPr>
    </w:lvl>
    <w:lvl w:ilvl="7" w:tplc="B24EE6BC">
      <w:start w:val="1"/>
      <w:numFmt w:val="lowerLetter"/>
      <w:lvlText w:val="%8."/>
      <w:lvlJc w:val="left"/>
      <w:pPr>
        <w:ind w:left="5760" w:hanging="360"/>
      </w:pPr>
    </w:lvl>
    <w:lvl w:ilvl="8" w:tplc="67A49196">
      <w:start w:val="1"/>
      <w:numFmt w:val="lowerRoman"/>
      <w:lvlText w:val="%9."/>
      <w:lvlJc w:val="right"/>
      <w:pPr>
        <w:ind w:left="6480" w:hanging="180"/>
      </w:pPr>
    </w:lvl>
  </w:abstractNum>
  <w:abstractNum w:abstractNumId="6" w15:restartNumberingAfterBreak="0">
    <w:nsid w:val="43227911"/>
    <w:multiLevelType w:val="hybridMultilevel"/>
    <w:tmpl w:val="D84C7C3E"/>
    <w:lvl w:ilvl="0" w:tplc="E80E0630">
      <w:start w:val="1"/>
      <w:numFmt w:val="bullet"/>
      <w:lvlText w:val=""/>
      <w:lvlJc w:val="left"/>
      <w:pPr>
        <w:ind w:left="720" w:hanging="360"/>
      </w:pPr>
      <w:rPr>
        <w:rFonts w:ascii="Wingdings" w:hAnsi="Wingdings" w:hint="default"/>
      </w:rPr>
    </w:lvl>
    <w:lvl w:ilvl="1" w:tplc="98CEBDEC">
      <w:start w:val="1"/>
      <w:numFmt w:val="bullet"/>
      <w:lvlText w:val="o"/>
      <w:lvlJc w:val="left"/>
      <w:pPr>
        <w:ind w:left="1440" w:hanging="360"/>
      </w:pPr>
      <w:rPr>
        <w:rFonts w:ascii="Courier New" w:hAnsi="Courier New" w:hint="default"/>
      </w:rPr>
    </w:lvl>
    <w:lvl w:ilvl="2" w:tplc="B7F8384A">
      <w:start w:val="1"/>
      <w:numFmt w:val="bullet"/>
      <w:lvlText w:val=""/>
      <w:lvlJc w:val="left"/>
      <w:pPr>
        <w:ind w:left="2160" w:hanging="360"/>
      </w:pPr>
      <w:rPr>
        <w:rFonts w:ascii="Wingdings" w:hAnsi="Wingdings" w:hint="default"/>
      </w:rPr>
    </w:lvl>
    <w:lvl w:ilvl="3" w:tplc="C9EAB182">
      <w:start w:val="1"/>
      <w:numFmt w:val="bullet"/>
      <w:lvlText w:val=""/>
      <w:lvlJc w:val="left"/>
      <w:pPr>
        <w:ind w:left="2880" w:hanging="360"/>
      </w:pPr>
      <w:rPr>
        <w:rFonts w:ascii="Symbol" w:hAnsi="Symbol" w:hint="default"/>
      </w:rPr>
    </w:lvl>
    <w:lvl w:ilvl="4" w:tplc="7EF88810">
      <w:start w:val="1"/>
      <w:numFmt w:val="bullet"/>
      <w:lvlText w:val="o"/>
      <w:lvlJc w:val="left"/>
      <w:pPr>
        <w:ind w:left="3600" w:hanging="360"/>
      </w:pPr>
      <w:rPr>
        <w:rFonts w:ascii="Courier New" w:hAnsi="Courier New" w:hint="default"/>
      </w:rPr>
    </w:lvl>
    <w:lvl w:ilvl="5" w:tplc="5442FEE4">
      <w:start w:val="1"/>
      <w:numFmt w:val="bullet"/>
      <w:lvlText w:val=""/>
      <w:lvlJc w:val="left"/>
      <w:pPr>
        <w:ind w:left="4320" w:hanging="360"/>
      </w:pPr>
      <w:rPr>
        <w:rFonts w:ascii="Wingdings" w:hAnsi="Wingdings" w:hint="default"/>
      </w:rPr>
    </w:lvl>
    <w:lvl w:ilvl="6" w:tplc="3A8A1D3C">
      <w:start w:val="1"/>
      <w:numFmt w:val="bullet"/>
      <w:lvlText w:val=""/>
      <w:lvlJc w:val="left"/>
      <w:pPr>
        <w:ind w:left="5040" w:hanging="360"/>
      </w:pPr>
      <w:rPr>
        <w:rFonts w:ascii="Symbol" w:hAnsi="Symbol" w:hint="default"/>
      </w:rPr>
    </w:lvl>
    <w:lvl w:ilvl="7" w:tplc="C8C85766">
      <w:start w:val="1"/>
      <w:numFmt w:val="bullet"/>
      <w:lvlText w:val="o"/>
      <w:lvlJc w:val="left"/>
      <w:pPr>
        <w:ind w:left="5760" w:hanging="360"/>
      </w:pPr>
      <w:rPr>
        <w:rFonts w:ascii="Courier New" w:hAnsi="Courier New" w:hint="default"/>
      </w:rPr>
    </w:lvl>
    <w:lvl w:ilvl="8" w:tplc="4894B854">
      <w:start w:val="1"/>
      <w:numFmt w:val="bullet"/>
      <w:lvlText w:val=""/>
      <w:lvlJc w:val="left"/>
      <w:pPr>
        <w:ind w:left="6480" w:hanging="360"/>
      </w:pPr>
      <w:rPr>
        <w:rFonts w:ascii="Wingdings" w:hAnsi="Wingdings" w:hint="default"/>
      </w:rPr>
    </w:lvl>
  </w:abstractNum>
  <w:abstractNum w:abstractNumId="7" w15:restartNumberingAfterBreak="0">
    <w:nsid w:val="4E650368"/>
    <w:multiLevelType w:val="hybridMultilevel"/>
    <w:tmpl w:val="47422D24"/>
    <w:lvl w:ilvl="0" w:tplc="0E2E6FE2">
      <w:start w:val="1"/>
      <w:numFmt w:val="bullet"/>
      <w:lvlText w:val=""/>
      <w:lvlJc w:val="left"/>
      <w:pPr>
        <w:ind w:left="720" w:hanging="360"/>
      </w:pPr>
      <w:rPr>
        <w:rFonts w:ascii="Symbol" w:hAnsi="Symbol" w:hint="default"/>
      </w:rPr>
    </w:lvl>
    <w:lvl w:ilvl="1" w:tplc="93D250C4">
      <w:start w:val="1"/>
      <w:numFmt w:val="bullet"/>
      <w:lvlText w:val="o"/>
      <w:lvlJc w:val="left"/>
      <w:pPr>
        <w:ind w:left="1440" w:hanging="360"/>
      </w:pPr>
      <w:rPr>
        <w:rFonts w:ascii="Courier New" w:hAnsi="Courier New" w:hint="default"/>
      </w:rPr>
    </w:lvl>
    <w:lvl w:ilvl="2" w:tplc="C186CAA2">
      <w:start w:val="1"/>
      <w:numFmt w:val="bullet"/>
      <w:lvlText w:val=""/>
      <w:lvlJc w:val="left"/>
      <w:pPr>
        <w:ind w:left="2160" w:hanging="360"/>
      </w:pPr>
      <w:rPr>
        <w:rFonts w:ascii="Wingdings" w:hAnsi="Wingdings" w:hint="default"/>
      </w:rPr>
    </w:lvl>
    <w:lvl w:ilvl="3" w:tplc="32E2579A">
      <w:start w:val="1"/>
      <w:numFmt w:val="bullet"/>
      <w:lvlText w:val=""/>
      <w:lvlJc w:val="left"/>
      <w:pPr>
        <w:ind w:left="2880" w:hanging="360"/>
      </w:pPr>
      <w:rPr>
        <w:rFonts w:ascii="Symbol" w:hAnsi="Symbol" w:hint="default"/>
      </w:rPr>
    </w:lvl>
    <w:lvl w:ilvl="4" w:tplc="05909EE8">
      <w:start w:val="1"/>
      <w:numFmt w:val="bullet"/>
      <w:lvlText w:val="o"/>
      <w:lvlJc w:val="left"/>
      <w:pPr>
        <w:ind w:left="3600" w:hanging="360"/>
      </w:pPr>
      <w:rPr>
        <w:rFonts w:ascii="Courier New" w:hAnsi="Courier New" w:hint="default"/>
      </w:rPr>
    </w:lvl>
    <w:lvl w:ilvl="5" w:tplc="CEFA07A4">
      <w:start w:val="1"/>
      <w:numFmt w:val="bullet"/>
      <w:lvlText w:val=""/>
      <w:lvlJc w:val="left"/>
      <w:pPr>
        <w:ind w:left="4320" w:hanging="360"/>
      </w:pPr>
      <w:rPr>
        <w:rFonts w:ascii="Wingdings" w:hAnsi="Wingdings" w:hint="default"/>
      </w:rPr>
    </w:lvl>
    <w:lvl w:ilvl="6" w:tplc="9050FB0E">
      <w:start w:val="1"/>
      <w:numFmt w:val="bullet"/>
      <w:lvlText w:val=""/>
      <w:lvlJc w:val="left"/>
      <w:pPr>
        <w:ind w:left="5040" w:hanging="360"/>
      </w:pPr>
      <w:rPr>
        <w:rFonts w:ascii="Symbol" w:hAnsi="Symbol" w:hint="default"/>
      </w:rPr>
    </w:lvl>
    <w:lvl w:ilvl="7" w:tplc="F2AE8916">
      <w:start w:val="1"/>
      <w:numFmt w:val="bullet"/>
      <w:lvlText w:val="o"/>
      <w:lvlJc w:val="left"/>
      <w:pPr>
        <w:ind w:left="5760" w:hanging="360"/>
      </w:pPr>
      <w:rPr>
        <w:rFonts w:ascii="Courier New" w:hAnsi="Courier New" w:hint="default"/>
      </w:rPr>
    </w:lvl>
    <w:lvl w:ilvl="8" w:tplc="A6626E8A">
      <w:start w:val="1"/>
      <w:numFmt w:val="bullet"/>
      <w:lvlText w:val=""/>
      <w:lvlJc w:val="left"/>
      <w:pPr>
        <w:ind w:left="6480" w:hanging="360"/>
      </w:pPr>
      <w:rPr>
        <w:rFonts w:ascii="Wingdings" w:hAnsi="Wingdings" w:hint="default"/>
      </w:rPr>
    </w:lvl>
  </w:abstractNum>
  <w:abstractNum w:abstractNumId="8" w15:restartNumberingAfterBreak="0">
    <w:nsid w:val="51B3A97B"/>
    <w:multiLevelType w:val="hybridMultilevel"/>
    <w:tmpl w:val="55A4F5BA"/>
    <w:lvl w:ilvl="0" w:tplc="8F74E060">
      <w:start w:val="1"/>
      <w:numFmt w:val="lowerLetter"/>
      <w:lvlText w:val="%1."/>
      <w:lvlJc w:val="left"/>
      <w:pPr>
        <w:ind w:left="720" w:hanging="360"/>
      </w:pPr>
    </w:lvl>
    <w:lvl w:ilvl="1" w:tplc="4A54CA5E">
      <w:start w:val="1"/>
      <w:numFmt w:val="lowerLetter"/>
      <w:lvlText w:val="%2."/>
      <w:lvlJc w:val="left"/>
      <w:pPr>
        <w:ind w:left="1440" w:hanging="360"/>
      </w:pPr>
    </w:lvl>
    <w:lvl w:ilvl="2" w:tplc="270679F4">
      <w:start w:val="1"/>
      <w:numFmt w:val="lowerRoman"/>
      <w:lvlText w:val="%3."/>
      <w:lvlJc w:val="right"/>
      <w:pPr>
        <w:ind w:left="2160" w:hanging="180"/>
      </w:pPr>
    </w:lvl>
    <w:lvl w:ilvl="3" w:tplc="29EEF1F0">
      <w:start w:val="1"/>
      <w:numFmt w:val="decimal"/>
      <w:lvlText w:val="%4."/>
      <w:lvlJc w:val="left"/>
      <w:pPr>
        <w:ind w:left="2880" w:hanging="360"/>
      </w:pPr>
    </w:lvl>
    <w:lvl w:ilvl="4" w:tplc="0AF80D48">
      <w:start w:val="1"/>
      <w:numFmt w:val="lowerLetter"/>
      <w:lvlText w:val="%5."/>
      <w:lvlJc w:val="left"/>
      <w:pPr>
        <w:ind w:left="3600" w:hanging="360"/>
      </w:pPr>
    </w:lvl>
    <w:lvl w:ilvl="5" w:tplc="E9FE77B2">
      <w:start w:val="1"/>
      <w:numFmt w:val="lowerRoman"/>
      <w:lvlText w:val="%6."/>
      <w:lvlJc w:val="right"/>
      <w:pPr>
        <w:ind w:left="4320" w:hanging="180"/>
      </w:pPr>
    </w:lvl>
    <w:lvl w:ilvl="6" w:tplc="5CDCDA9A">
      <w:start w:val="1"/>
      <w:numFmt w:val="decimal"/>
      <w:lvlText w:val="%7."/>
      <w:lvlJc w:val="left"/>
      <w:pPr>
        <w:ind w:left="5040" w:hanging="360"/>
      </w:pPr>
    </w:lvl>
    <w:lvl w:ilvl="7" w:tplc="03FA0558">
      <w:start w:val="1"/>
      <w:numFmt w:val="lowerLetter"/>
      <w:lvlText w:val="%8."/>
      <w:lvlJc w:val="left"/>
      <w:pPr>
        <w:ind w:left="5760" w:hanging="360"/>
      </w:pPr>
    </w:lvl>
    <w:lvl w:ilvl="8" w:tplc="3AD21074">
      <w:start w:val="1"/>
      <w:numFmt w:val="lowerRoman"/>
      <w:lvlText w:val="%9."/>
      <w:lvlJc w:val="right"/>
      <w:pPr>
        <w:ind w:left="6480" w:hanging="180"/>
      </w:pPr>
    </w:lvl>
  </w:abstractNum>
  <w:abstractNum w:abstractNumId="9" w15:restartNumberingAfterBreak="0">
    <w:nsid w:val="56A3B53E"/>
    <w:multiLevelType w:val="hybridMultilevel"/>
    <w:tmpl w:val="B5BC8D4C"/>
    <w:lvl w:ilvl="0" w:tplc="179AE412">
      <w:start w:val="1"/>
      <w:numFmt w:val="upperLetter"/>
      <w:lvlText w:val="%1."/>
      <w:lvlJc w:val="left"/>
      <w:pPr>
        <w:ind w:left="720" w:hanging="360"/>
      </w:pPr>
      <w:rPr>
        <w:rFonts w:ascii="Garamond" w:hAnsi="Garamond" w:hint="default"/>
      </w:rPr>
    </w:lvl>
    <w:lvl w:ilvl="1" w:tplc="1270AB94">
      <w:start w:val="1"/>
      <w:numFmt w:val="lowerLetter"/>
      <w:lvlText w:val="%2."/>
      <w:lvlJc w:val="left"/>
      <w:pPr>
        <w:ind w:left="1440" w:hanging="360"/>
      </w:pPr>
    </w:lvl>
    <w:lvl w:ilvl="2" w:tplc="F21818FC">
      <w:start w:val="1"/>
      <w:numFmt w:val="lowerRoman"/>
      <w:lvlText w:val="%3."/>
      <w:lvlJc w:val="right"/>
      <w:pPr>
        <w:ind w:left="2160" w:hanging="180"/>
      </w:pPr>
    </w:lvl>
    <w:lvl w:ilvl="3" w:tplc="0472D0B6">
      <w:start w:val="1"/>
      <w:numFmt w:val="decimal"/>
      <w:lvlText w:val="%4."/>
      <w:lvlJc w:val="left"/>
      <w:pPr>
        <w:ind w:left="2880" w:hanging="360"/>
      </w:pPr>
    </w:lvl>
    <w:lvl w:ilvl="4" w:tplc="75E68A50">
      <w:start w:val="1"/>
      <w:numFmt w:val="lowerLetter"/>
      <w:lvlText w:val="%5."/>
      <w:lvlJc w:val="left"/>
      <w:pPr>
        <w:ind w:left="3600" w:hanging="360"/>
      </w:pPr>
    </w:lvl>
    <w:lvl w:ilvl="5" w:tplc="A9B65AB8">
      <w:start w:val="1"/>
      <w:numFmt w:val="lowerRoman"/>
      <w:lvlText w:val="%6."/>
      <w:lvlJc w:val="right"/>
      <w:pPr>
        <w:ind w:left="4320" w:hanging="180"/>
      </w:pPr>
    </w:lvl>
    <w:lvl w:ilvl="6" w:tplc="CA3607FC">
      <w:start w:val="1"/>
      <w:numFmt w:val="decimal"/>
      <w:lvlText w:val="%7."/>
      <w:lvlJc w:val="left"/>
      <w:pPr>
        <w:ind w:left="5040" w:hanging="360"/>
      </w:pPr>
    </w:lvl>
    <w:lvl w:ilvl="7" w:tplc="9BF23F70">
      <w:start w:val="1"/>
      <w:numFmt w:val="lowerLetter"/>
      <w:lvlText w:val="%8."/>
      <w:lvlJc w:val="left"/>
      <w:pPr>
        <w:ind w:left="5760" w:hanging="360"/>
      </w:pPr>
    </w:lvl>
    <w:lvl w:ilvl="8" w:tplc="00ECCF52">
      <w:start w:val="1"/>
      <w:numFmt w:val="lowerRoman"/>
      <w:lvlText w:val="%9."/>
      <w:lvlJc w:val="right"/>
      <w:pPr>
        <w:ind w:left="6480" w:hanging="180"/>
      </w:pPr>
    </w:lvl>
  </w:abstractNum>
  <w:abstractNum w:abstractNumId="10" w15:restartNumberingAfterBreak="0">
    <w:nsid w:val="5E34DB8A"/>
    <w:multiLevelType w:val="hybridMultilevel"/>
    <w:tmpl w:val="B8B4540E"/>
    <w:lvl w:ilvl="0" w:tplc="28B4F5A0">
      <w:start w:val="1"/>
      <w:numFmt w:val="bullet"/>
      <w:lvlText w:val=""/>
      <w:lvlJc w:val="left"/>
      <w:pPr>
        <w:ind w:left="720" w:hanging="360"/>
      </w:pPr>
      <w:rPr>
        <w:rFonts w:ascii="Wingdings" w:hAnsi="Wingdings" w:hint="default"/>
      </w:rPr>
    </w:lvl>
    <w:lvl w:ilvl="1" w:tplc="A206383A">
      <w:start w:val="1"/>
      <w:numFmt w:val="bullet"/>
      <w:lvlText w:val="o"/>
      <w:lvlJc w:val="left"/>
      <w:pPr>
        <w:ind w:left="1440" w:hanging="360"/>
      </w:pPr>
      <w:rPr>
        <w:rFonts w:ascii="Courier New" w:hAnsi="Courier New" w:hint="default"/>
      </w:rPr>
    </w:lvl>
    <w:lvl w:ilvl="2" w:tplc="88C20382">
      <w:start w:val="1"/>
      <w:numFmt w:val="bullet"/>
      <w:lvlText w:val=""/>
      <w:lvlJc w:val="left"/>
      <w:pPr>
        <w:ind w:left="2160" w:hanging="360"/>
      </w:pPr>
      <w:rPr>
        <w:rFonts w:ascii="Wingdings" w:hAnsi="Wingdings" w:hint="default"/>
      </w:rPr>
    </w:lvl>
    <w:lvl w:ilvl="3" w:tplc="EC90EE8A">
      <w:start w:val="1"/>
      <w:numFmt w:val="bullet"/>
      <w:lvlText w:val=""/>
      <w:lvlJc w:val="left"/>
      <w:pPr>
        <w:ind w:left="2880" w:hanging="360"/>
      </w:pPr>
      <w:rPr>
        <w:rFonts w:ascii="Symbol" w:hAnsi="Symbol" w:hint="default"/>
      </w:rPr>
    </w:lvl>
    <w:lvl w:ilvl="4" w:tplc="DEE225D8">
      <w:start w:val="1"/>
      <w:numFmt w:val="bullet"/>
      <w:lvlText w:val="o"/>
      <w:lvlJc w:val="left"/>
      <w:pPr>
        <w:ind w:left="3600" w:hanging="360"/>
      </w:pPr>
      <w:rPr>
        <w:rFonts w:ascii="Courier New" w:hAnsi="Courier New" w:hint="default"/>
      </w:rPr>
    </w:lvl>
    <w:lvl w:ilvl="5" w:tplc="2D40496A">
      <w:start w:val="1"/>
      <w:numFmt w:val="bullet"/>
      <w:lvlText w:val=""/>
      <w:lvlJc w:val="left"/>
      <w:pPr>
        <w:ind w:left="4320" w:hanging="360"/>
      </w:pPr>
      <w:rPr>
        <w:rFonts w:ascii="Wingdings" w:hAnsi="Wingdings" w:hint="default"/>
      </w:rPr>
    </w:lvl>
    <w:lvl w:ilvl="6" w:tplc="C37E44B0">
      <w:start w:val="1"/>
      <w:numFmt w:val="bullet"/>
      <w:lvlText w:val=""/>
      <w:lvlJc w:val="left"/>
      <w:pPr>
        <w:ind w:left="5040" w:hanging="360"/>
      </w:pPr>
      <w:rPr>
        <w:rFonts w:ascii="Symbol" w:hAnsi="Symbol" w:hint="default"/>
      </w:rPr>
    </w:lvl>
    <w:lvl w:ilvl="7" w:tplc="9CFA957E">
      <w:start w:val="1"/>
      <w:numFmt w:val="bullet"/>
      <w:lvlText w:val="o"/>
      <w:lvlJc w:val="left"/>
      <w:pPr>
        <w:ind w:left="5760" w:hanging="360"/>
      </w:pPr>
      <w:rPr>
        <w:rFonts w:ascii="Courier New" w:hAnsi="Courier New" w:hint="default"/>
      </w:rPr>
    </w:lvl>
    <w:lvl w:ilvl="8" w:tplc="65AC0116">
      <w:start w:val="1"/>
      <w:numFmt w:val="bullet"/>
      <w:lvlText w:val=""/>
      <w:lvlJc w:val="left"/>
      <w:pPr>
        <w:ind w:left="6480" w:hanging="360"/>
      </w:pPr>
      <w:rPr>
        <w:rFonts w:ascii="Wingdings" w:hAnsi="Wingdings" w:hint="default"/>
      </w:rPr>
    </w:lvl>
  </w:abstractNum>
  <w:abstractNum w:abstractNumId="11" w15:restartNumberingAfterBreak="0">
    <w:nsid w:val="63BEF8AE"/>
    <w:multiLevelType w:val="hybridMultilevel"/>
    <w:tmpl w:val="2DBE3034"/>
    <w:lvl w:ilvl="0" w:tplc="AD02B490">
      <w:start w:val="1"/>
      <w:numFmt w:val="decimal"/>
      <w:lvlText w:val="%1."/>
      <w:lvlJc w:val="left"/>
      <w:pPr>
        <w:ind w:left="720" w:hanging="360"/>
      </w:pPr>
    </w:lvl>
    <w:lvl w:ilvl="1" w:tplc="997A7AF4">
      <w:start w:val="1"/>
      <w:numFmt w:val="lowerLetter"/>
      <w:lvlText w:val="%2."/>
      <w:lvlJc w:val="left"/>
      <w:pPr>
        <w:ind w:left="1440" w:hanging="360"/>
      </w:pPr>
    </w:lvl>
    <w:lvl w:ilvl="2" w:tplc="5B68258C">
      <w:start w:val="1"/>
      <w:numFmt w:val="lowerRoman"/>
      <w:lvlText w:val="%3."/>
      <w:lvlJc w:val="right"/>
      <w:pPr>
        <w:ind w:left="2160" w:hanging="180"/>
      </w:pPr>
    </w:lvl>
    <w:lvl w:ilvl="3" w:tplc="BFE4187E">
      <w:start w:val="1"/>
      <w:numFmt w:val="decimal"/>
      <w:lvlText w:val="%4."/>
      <w:lvlJc w:val="left"/>
      <w:pPr>
        <w:ind w:left="2880" w:hanging="360"/>
      </w:pPr>
    </w:lvl>
    <w:lvl w:ilvl="4" w:tplc="F9DE759A">
      <w:start w:val="1"/>
      <w:numFmt w:val="lowerLetter"/>
      <w:lvlText w:val="%5."/>
      <w:lvlJc w:val="left"/>
      <w:pPr>
        <w:ind w:left="3600" w:hanging="360"/>
      </w:pPr>
    </w:lvl>
    <w:lvl w:ilvl="5" w:tplc="2B166BE2">
      <w:start w:val="1"/>
      <w:numFmt w:val="lowerRoman"/>
      <w:lvlText w:val="%6."/>
      <w:lvlJc w:val="right"/>
      <w:pPr>
        <w:ind w:left="4320" w:hanging="180"/>
      </w:pPr>
    </w:lvl>
    <w:lvl w:ilvl="6" w:tplc="2E468C80">
      <w:start w:val="1"/>
      <w:numFmt w:val="decimal"/>
      <w:lvlText w:val="%7."/>
      <w:lvlJc w:val="left"/>
      <w:pPr>
        <w:ind w:left="5040" w:hanging="360"/>
      </w:pPr>
    </w:lvl>
    <w:lvl w:ilvl="7" w:tplc="7FF07742">
      <w:start w:val="1"/>
      <w:numFmt w:val="lowerLetter"/>
      <w:lvlText w:val="%8."/>
      <w:lvlJc w:val="left"/>
      <w:pPr>
        <w:ind w:left="5760" w:hanging="360"/>
      </w:pPr>
    </w:lvl>
    <w:lvl w:ilvl="8" w:tplc="A8DC8986">
      <w:start w:val="1"/>
      <w:numFmt w:val="lowerRoman"/>
      <w:lvlText w:val="%9."/>
      <w:lvlJc w:val="right"/>
      <w:pPr>
        <w:ind w:left="6480" w:hanging="180"/>
      </w:pPr>
    </w:lvl>
  </w:abstractNum>
  <w:abstractNum w:abstractNumId="12" w15:restartNumberingAfterBreak="0">
    <w:nsid w:val="68BD8E3D"/>
    <w:multiLevelType w:val="hybridMultilevel"/>
    <w:tmpl w:val="16EEFD50"/>
    <w:lvl w:ilvl="0" w:tplc="A5ECDADA">
      <w:start w:val="1"/>
      <w:numFmt w:val="decimal"/>
      <w:lvlText w:val="%1."/>
      <w:lvlJc w:val="left"/>
      <w:pPr>
        <w:ind w:left="720" w:hanging="360"/>
      </w:pPr>
    </w:lvl>
    <w:lvl w:ilvl="1" w:tplc="82BE1ACA">
      <w:start w:val="1"/>
      <w:numFmt w:val="lowerLetter"/>
      <w:lvlText w:val="%2."/>
      <w:lvlJc w:val="left"/>
      <w:pPr>
        <w:ind w:left="1440" w:hanging="360"/>
      </w:pPr>
    </w:lvl>
    <w:lvl w:ilvl="2" w:tplc="177A275C">
      <w:start w:val="1"/>
      <w:numFmt w:val="lowerRoman"/>
      <w:lvlText w:val="%3."/>
      <w:lvlJc w:val="right"/>
      <w:pPr>
        <w:ind w:left="2160" w:hanging="180"/>
      </w:pPr>
    </w:lvl>
    <w:lvl w:ilvl="3" w:tplc="64CEB760">
      <w:start w:val="1"/>
      <w:numFmt w:val="decimal"/>
      <w:lvlText w:val="%4."/>
      <w:lvlJc w:val="left"/>
      <w:pPr>
        <w:ind w:left="2880" w:hanging="360"/>
      </w:pPr>
    </w:lvl>
    <w:lvl w:ilvl="4" w:tplc="51361A06">
      <w:start w:val="1"/>
      <w:numFmt w:val="lowerLetter"/>
      <w:lvlText w:val="%5."/>
      <w:lvlJc w:val="left"/>
      <w:pPr>
        <w:ind w:left="3600" w:hanging="360"/>
      </w:pPr>
    </w:lvl>
    <w:lvl w:ilvl="5" w:tplc="C73E4B52">
      <w:start w:val="1"/>
      <w:numFmt w:val="lowerRoman"/>
      <w:lvlText w:val="%6."/>
      <w:lvlJc w:val="right"/>
      <w:pPr>
        <w:ind w:left="4320" w:hanging="180"/>
      </w:pPr>
    </w:lvl>
    <w:lvl w:ilvl="6" w:tplc="02AA78CC">
      <w:start w:val="1"/>
      <w:numFmt w:val="decimal"/>
      <w:lvlText w:val="%7."/>
      <w:lvlJc w:val="left"/>
      <w:pPr>
        <w:ind w:left="5040" w:hanging="360"/>
      </w:pPr>
    </w:lvl>
    <w:lvl w:ilvl="7" w:tplc="CB064362">
      <w:start w:val="1"/>
      <w:numFmt w:val="lowerLetter"/>
      <w:lvlText w:val="%8."/>
      <w:lvlJc w:val="left"/>
      <w:pPr>
        <w:ind w:left="5760" w:hanging="360"/>
      </w:pPr>
    </w:lvl>
    <w:lvl w:ilvl="8" w:tplc="5A12E2B8">
      <w:start w:val="1"/>
      <w:numFmt w:val="lowerRoman"/>
      <w:lvlText w:val="%9."/>
      <w:lvlJc w:val="right"/>
      <w:pPr>
        <w:ind w:left="6480" w:hanging="180"/>
      </w:pPr>
    </w:lvl>
  </w:abstractNum>
  <w:abstractNum w:abstractNumId="13" w15:restartNumberingAfterBreak="0">
    <w:nsid w:val="73407DC9"/>
    <w:multiLevelType w:val="hybridMultilevel"/>
    <w:tmpl w:val="C5DADC8C"/>
    <w:lvl w:ilvl="0" w:tplc="A782CC50">
      <w:start w:val="5"/>
      <w:numFmt w:val="upperLetter"/>
      <w:lvlText w:val="%1."/>
      <w:lvlJc w:val="left"/>
      <w:pPr>
        <w:ind w:left="645" w:hanging="360"/>
      </w:pPr>
      <w:rPr>
        <w:rFonts w:ascii="Garamond" w:hAnsi="Garamond" w:hint="default"/>
      </w:rPr>
    </w:lvl>
    <w:lvl w:ilvl="1" w:tplc="BBF8889A">
      <w:start w:val="1"/>
      <w:numFmt w:val="lowerLetter"/>
      <w:lvlText w:val="%2."/>
      <w:lvlJc w:val="left"/>
      <w:pPr>
        <w:ind w:left="1440" w:hanging="360"/>
      </w:pPr>
    </w:lvl>
    <w:lvl w:ilvl="2" w:tplc="FF8054D8">
      <w:start w:val="1"/>
      <w:numFmt w:val="lowerRoman"/>
      <w:lvlText w:val="%3."/>
      <w:lvlJc w:val="right"/>
      <w:pPr>
        <w:ind w:left="2160" w:hanging="180"/>
      </w:pPr>
    </w:lvl>
    <w:lvl w:ilvl="3" w:tplc="50C6399C">
      <w:start w:val="1"/>
      <w:numFmt w:val="decimal"/>
      <w:lvlText w:val="%4."/>
      <w:lvlJc w:val="left"/>
      <w:pPr>
        <w:ind w:left="2880" w:hanging="360"/>
      </w:pPr>
    </w:lvl>
    <w:lvl w:ilvl="4" w:tplc="A73C5A82">
      <w:start w:val="1"/>
      <w:numFmt w:val="lowerLetter"/>
      <w:lvlText w:val="%5."/>
      <w:lvlJc w:val="left"/>
      <w:pPr>
        <w:ind w:left="3600" w:hanging="360"/>
      </w:pPr>
    </w:lvl>
    <w:lvl w:ilvl="5" w:tplc="7E90C45E">
      <w:start w:val="1"/>
      <w:numFmt w:val="lowerRoman"/>
      <w:lvlText w:val="%6."/>
      <w:lvlJc w:val="right"/>
      <w:pPr>
        <w:ind w:left="4320" w:hanging="180"/>
      </w:pPr>
    </w:lvl>
    <w:lvl w:ilvl="6" w:tplc="D682B68E">
      <w:start w:val="1"/>
      <w:numFmt w:val="decimal"/>
      <w:lvlText w:val="%7."/>
      <w:lvlJc w:val="left"/>
      <w:pPr>
        <w:ind w:left="5040" w:hanging="360"/>
      </w:pPr>
    </w:lvl>
    <w:lvl w:ilvl="7" w:tplc="124EB706">
      <w:start w:val="1"/>
      <w:numFmt w:val="lowerLetter"/>
      <w:lvlText w:val="%8."/>
      <w:lvlJc w:val="left"/>
      <w:pPr>
        <w:ind w:left="5760" w:hanging="360"/>
      </w:pPr>
    </w:lvl>
    <w:lvl w:ilvl="8" w:tplc="F640B05A">
      <w:start w:val="1"/>
      <w:numFmt w:val="lowerRoman"/>
      <w:lvlText w:val="%9."/>
      <w:lvlJc w:val="right"/>
      <w:pPr>
        <w:ind w:left="6480" w:hanging="180"/>
      </w:pPr>
    </w:lvl>
  </w:abstractNum>
  <w:abstractNum w:abstractNumId="14" w15:restartNumberingAfterBreak="0">
    <w:nsid w:val="7F3536C3"/>
    <w:multiLevelType w:val="hybridMultilevel"/>
    <w:tmpl w:val="C980AE92"/>
    <w:lvl w:ilvl="0" w:tplc="BF5EF8A0">
      <w:start w:val="2"/>
      <w:numFmt w:val="upperLetter"/>
      <w:lvlText w:val="%1."/>
      <w:lvlJc w:val="left"/>
      <w:pPr>
        <w:ind w:left="645" w:hanging="360"/>
      </w:pPr>
      <w:rPr>
        <w:rFonts w:ascii="Garamond" w:hAnsi="Garamond" w:hint="default"/>
      </w:rPr>
    </w:lvl>
    <w:lvl w:ilvl="1" w:tplc="D30C2B42">
      <w:start w:val="1"/>
      <w:numFmt w:val="lowerLetter"/>
      <w:lvlText w:val="%2."/>
      <w:lvlJc w:val="left"/>
      <w:pPr>
        <w:ind w:left="1440" w:hanging="360"/>
      </w:pPr>
    </w:lvl>
    <w:lvl w:ilvl="2" w:tplc="FAD46286">
      <w:start w:val="1"/>
      <w:numFmt w:val="lowerRoman"/>
      <w:lvlText w:val="%3."/>
      <w:lvlJc w:val="right"/>
      <w:pPr>
        <w:ind w:left="2160" w:hanging="180"/>
      </w:pPr>
    </w:lvl>
    <w:lvl w:ilvl="3" w:tplc="037E411E">
      <w:start w:val="1"/>
      <w:numFmt w:val="decimal"/>
      <w:lvlText w:val="%4."/>
      <w:lvlJc w:val="left"/>
      <w:pPr>
        <w:ind w:left="2880" w:hanging="360"/>
      </w:pPr>
    </w:lvl>
    <w:lvl w:ilvl="4" w:tplc="A3B01602">
      <w:start w:val="1"/>
      <w:numFmt w:val="lowerLetter"/>
      <w:lvlText w:val="%5."/>
      <w:lvlJc w:val="left"/>
      <w:pPr>
        <w:ind w:left="3600" w:hanging="360"/>
      </w:pPr>
    </w:lvl>
    <w:lvl w:ilvl="5" w:tplc="AB56B3E0">
      <w:start w:val="1"/>
      <w:numFmt w:val="lowerRoman"/>
      <w:lvlText w:val="%6."/>
      <w:lvlJc w:val="right"/>
      <w:pPr>
        <w:ind w:left="4320" w:hanging="180"/>
      </w:pPr>
    </w:lvl>
    <w:lvl w:ilvl="6" w:tplc="2070DE8C">
      <w:start w:val="1"/>
      <w:numFmt w:val="decimal"/>
      <w:lvlText w:val="%7."/>
      <w:lvlJc w:val="left"/>
      <w:pPr>
        <w:ind w:left="5040" w:hanging="360"/>
      </w:pPr>
    </w:lvl>
    <w:lvl w:ilvl="7" w:tplc="1AFC90D6">
      <w:start w:val="1"/>
      <w:numFmt w:val="lowerLetter"/>
      <w:lvlText w:val="%8."/>
      <w:lvlJc w:val="left"/>
      <w:pPr>
        <w:ind w:left="5760" w:hanging="360"/>
      </w:pPr>
    </w:lvl>
    <w:lvl w:ilvl="8" w:tplc="04046570">
      <w:start w:val="1"/>
      <w:numFmt w:val="lowerRoman"/>
      <w:lvlText w:val="%9."/>
      <w:lvlJc w:val="right"/>
      <w:pPr>
        <w:ind w:left="6480" w:hanging="180"/>
      </w:pPr>
    </w:lvl>
  </w:abstractNum>
  <w:num w:numId="1">
    <w:abstractNumId w:val="13"/>
  </w:num>
  <w:num w:numId="2">
    <w:abstractNumId w:val="0"/>
  </w:num>
  <w:num w:numId="3">
    <w:abstractNumId w:val="5"/>
  </w:num>
  <w:num w:numId="4">
    <w:abstractNumId w:val="14"/>
  </w:num>
  <w:num w:numId="5">
    <w:abstractNumId w:val="12"/>
  </w:num>
  <w:num w:numId="6">
    <w:abstractNumId w:val="11"/>
  </w:num>
  <w:num w:numId="7">
    <w:abstractNumId w:val="8"/>
  </w:num>
  <w:num w:numId="8">
    <w:abstractNumId w:val="10"/>
  </w:num>
  <w:num w:numId="9">
    <w:abstractNumId w:val="4"/>
  </w:num>
  <w:num w:numId="10">
    <w:abstractNumId w:val="7"/>
  </w:num>
  <w:num w:numId="11">
    <w:abstractNumId w:val="3"/>
  </w:num>
  <w:num w:numId="12">
    <w:abstractNumId w:val="6"/>
  </w:num>
  <w:num w:numId="13">
    <w:abstractNumId w:val="1"/>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D646AD"/>
    <w:rsid w:val="001A0881"/>
    <w:rsid w:val="002714DA"/>
    <w:rsid w:val="003E50B5"/>
    <w:rsid w:val="009366AE"/>
    <w:rsid w:val="009E62F5"/>
    <w:rsid w:val="00A15C2A"/>
    <w:rsid w:val="00B9454A"/>
    <w:rsid w:val="00C62FCD"/>
    <w:rsid w:val="00D76ACB"/>
    <w:rsid w:val="00DE2B47"/>
    <w:rsid w:val="033C2DAC"/>
    <w:rsid w:val="0433F391"/>
    <w:rsid w:val="04E8E3C2"/>
    <w:rsid w:val="051E9D02"/>
    <w:rsid w:val="056E8F7E"/>
    <w:rsid w:val="06A6C21C"/>
    <w:rsid w:val="06BF1C99"/>
    <w:rsid w:val="06C63021"/>
    <w:rsid w:val="09434419"/>
    <w:rsid w:val="0B47313C"/>
    <w:rsid w:val="0C3E483A"/>
    <w:rsid w:val="0C7E83EC"/>
    <w:rsid w:val="0D8F2E1B"/>
    <w:rsid w:val="0DA3F09B"/>
    <w:rsid w:val="0DB19DDF"/>
    <w:rsid w:val="0E0C2FDF"/>
    <w:rsid w:val="0EF9FC2D"/>
    <w:rsid w:val="0F02A356"/>
    <w:rsid w:val="109C7DBD"/>
    <w:rsid w:val="113BB37F"/>
    <w:rsid w:val="120965EF"/>
    <w:rsid w:val="12A5ABD5"/>
    <w:rsid w:val="13405683"/>
    <w:rsid w:val="1408F63F"/>
    <w:rsid w:val="14A5F3E3"/>
    <w:rsid w:val="152289E3"/>
    <w:rsid w:val="15C276F1"/>
    <w:rsid w:val="177B5FE9"/>
    <w:rsid w:val="17EBCB9D"/>
    <w:rsid w:val="17FE9A0B"/>
    <w:rsid w:val="18EA7B81"/>
    <w:rsid w:val="19D8E6E0"/>
    <w:rsid w:val="1AC41F1E"/>
    <w:rsid w:val="1AFCB0F0"/>
    <w:rsid w:val="1B0C8A47"/>
    <w:rsid w:val="1C48E3A6"/>
    <w:rsid w:val="1C6BD333"/>
    <w:rsid w:val="1CCD7E9C"/>
    <w:rsid w:val="1CE4D29B"/>
    <w:rsid w:val="1F9CDE8B"/>
    <w:rsid w:val="2049A7B9"/>
    <w:rsid w:val="2106D1F5"/>
    <w:rsid w:val="21868AEE"/>
    <w:rsid w:val="221F09AA"/>
    <w:rsid w:val="2276B774"/>
    <w:rsid w:val="22B8252A"/>
    <w:rsid w:val="2303845E"/>
    <w:rsid w:val="241F6F6D"/>
    <w:rsid w:val="24350FA5"/>
    <w:rsid w:val="24ABFC44"/>
    <w:rsid w:val="25368C32"/>
    <w:rsid w:val="2550313F"/>
    <w:rsid w:val="26D646AD"/>
    <w:rsid w:val="27CF0830"/>
    <w:rsid w:val="280381F5"/>
    <w:rsid w:val="290AA298"/>
    <w:rsid w:val="292084CD"/>
    <w:rsid w:val="292DFB34"/>
    <w:rsid w:val="29737E85"/>
    <w:rsid w:val="299A43FC"/>
    <w:rsid w:val="2A7AEB0F"/>
    <w:rsid w:val="2AA9526F"/>
    <w:rsid w:val="2B370E4D"/>
    <w:rsid w:val="2B5B74E9"/>
    <w:rsid w:val="2B8AC760"/>
    <w:rsid w:val="2BDD6828"/>
    <w:rsid w:val="2C66F4F6"/>
    <w:rsid w:val="2CF09CC1"/>
    <w:rsid w:val="2E02C557"/>
    <w:rsid w:val="2E556E0C"/>
    <w:rsid w:val="2EA20EA1"/>
    <w:rsid w:val="2F04F0F1"/>
    <w:rsid w:val="2F7AE9F9"/>
    <w:rsid w:val="2F892313"/>
    <w:rsid w:val="306B853F"/>
    <w:rsid w:val="309B6FA6"/>
    <w:rsid w:val="30E4551F"/>
    <w:rsid w:val="3149934F"/>
    <w:rsid w:val="314F2C6E"/>
    <w:rsid w:val="325FCD16"/>
    <w:rsid w:val="32ABE1D1"/>
    <w:rsid w:val="32B470C0"/>
    <w:rsid w:val="342C420C"/>
    <w:rsid w:val="35F461CD"/>
    <w:rsid w:val="362A315F"/>
    <w:rsid w:val="3644D506"/>
    <w:rsid w:val="36622F6A"/>
    <w:rsid w:val="36AB06BA"/>
    <w:rsid w:val="36AF02C9"/>
    <w:rsid w:val="36ED8E30"/>
    <w:rsid w:val="374BBB22"/>
    <w:rsid w:val="37661FFF"/>
    <w:rsid w:val="395F246F"/>
    <w:rsid w:val="39B57729"/>
    <w:rsid w:val="3A1982AD"/>
    <w:rsid w:val="3B1C781E"/>
    <w:rsid w:val="3B5425AD"/>
    <w:rsid w:val="3B87BE9F"/>
    <w:rsid w:val="3BF0D6E6"/>
    <w:rsid w:val="3C26D2BD"/>
    <w:rsid w:val="3D3E5DF1"/>
    <w:rsid w:val="3D431C23"/>
    <w:rsid w:val="3DE22149"/>
    <w:rsid w:val="3E3280BD"/>
    <w:rsid w:val="3F1D25F0"/>
    <w:rsid w:val="3F8A9D1B"/>
    <w:rsid w:val="3F9C33E2"/>
    <w:rsid w:val="428850BE"/>
    <w:rsid w:val="42EF8C0A"/>
    <w:rsid w:val="43949A83"/>
    <w:rsid w:val="44682067"/>
    <w:rsid w:val="4472A19A"/>
    <w:rsid w:val="447C0C2C"/>
    <w:rsid w:val="457E9824"/>
    <w:rsid w:val="46E39698"/>
    <w:rsid w:val="471E9A75"/>
    <w:rsid w:val="477C86A3"/>
    <w:rsid w:val="48B38E5A"/>
    <w:rsid w:val="498489F9"/>
    <w:rsid w:val="4D0FEAA5"/>
    <w:rsid w:val="4DEAFFE4"/>
    <w:rsid w:val="4DEBC827"/>
    <w:rsid w:val="4EAD77E9"/>
    <w:rsid w:val="4EEF4C35"/>
    <w:rsid w:val="4F7C84CF"/>
    <w:rsid w:val="505FB313"/>
    <w:rsid w:val="50ACA982"/>
    <w:rsid w:val="510FAE07"/>
    <w:rsid w:val="514A9106"/>
    <w:rsid w:val="51BC94AE"/>
    <w:rsid w:val="5267B669"/>
    <w:rsid w:val="53859386"/>
    <w:rsid w:val="53D55DEF"/>
    <w:rsid w:val="53E63049"/>
    <w:rsid w:val="5471CB98"/>
    <w:rsid w:val="54BFAF4B"/>
    <w:rsid w:val="54E216A3"/>
    <w:rsid w:val="54F3C16F"/>
    <w:rsid w:val="5578E905"/>
    <w:rsid w:val="571D9F02"/>
    <w:rsid w:val="588B470C"/>
    <w:rsid w:val="59C97583"/>
    <w:rsid w:val="5B15C872"/>
    <w:rsid w:val="5B902BB6"/>
    <w:rsid w:val="5BC0083A"/>
    <w:rsid w:val="5E70DBFC"/>
    <w:rsid w:val="5E7A8EEF"/>
    <w:rsid w:val="5EB6BC76"/>
    <w:rsid w:val="60165ECC"/>
    <w:rsid w:val="60840DAC"/>
    <w:rsid w:val="61417A39"/>
    <w:rsid w:val="61526E43"/>
    <w:rsid w:val="62EE4C85"/>
    <w:rsid w:val="633EB797"/>
    <w:rsid w:val="63569EB6"/>
    <w:rsid w:val="639D3D79"/>
    <w:rsid w:val="63D8846D"/>
    <w:rsid w:val="644CC55B"/>
    <w:rsid w:val="646C25B8"/>
    <w:rsid w:val="659786DF"/>
    <w:rsid w:val="65EF3361"/>
    <w:rsid w:val="661BB901"/>
    <w:rsid w:val="67004826"/>
    <w:rsid w:val="670AD2F2"/>
    <w:rsid w:val="67BACDE6"/>
    <w:rsid w:val="6877495D"/>
    <w:rsid w:val="689C1887"/>
    <w:rsid w:val="68A9062F"/>
    <w:rsid w:val="68B09FBB"/>
    <w:rsid w:val="68D1EE9E"/>
    <w:rsid w:val="6A75701F"/>
    <w:rsid w:val="6A7DA77D"/>
    <w:rsid w:val="6AF26EA8"/>
    <w:rsid w:val="6BE38EC8"/>
    <w:rsid w:val="6C13ADFD"/>
    <w:rsid w:val="6D8F8E36"/>
    <w:rsid w:val="6D9D2297"/>
    <w:rsid w:val="6DAF036F"/>
    <w:rsid w:val="6E7D9EE6"/>
    <w:rsid w:val="6F46C4F9"/>
    <w:rsid w:val="7060DC19"/>
    <w:rsid w:val="70F2A88E"/>
    <w:rsid w:val="715C7394"/>
    <w:rsid w:val="71A31B46"/>
    <w:rsid w:val="723429E2"/>
    <w:rsid w:val="72A3B75F"/>
    <w:rsid w:val="72EE0C1E"/>
    <w:rsid w:val="738AA0FA"/>
    <w:rsid w:val="74CF386F"/>
    <w:rsid w:val="7503543B"/>
    <w:rsid w:val="75440F4A"/>
    <w:rsid w:val="7687B8B5"/>
    <w:rsid w:val="77AF6D89"/>
    <w:rsid w:val="78FAEF6A"/>
    <w:rsid w:val="791B1547"/>
    <w:rsid w:val="7A17806D"/>
    <w:rsid w:val="7A19E85C"/>
    <w:rsid w:val="7A26D984"/>
    <w:rsid w:val="7A608504"/>
    <w:rsid w:val="7AFF80F6"/>
    <w:rsid w:val="7B06B154"/>
    <w:rsid w:val="7DE6016C"/>
    <w:rsid w:val="7E42E7BA"/>
    <w:rsid w:val="7F1ACDCA"/>
    <w:rsid w:val="7FDC5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9965"/>
  <w15:chartTrackingRefBased/>
  <w15:docId w15:val="{1A0F743D-5496-4CDB-95AD-A97BFE96C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basedOn w:val="Normal"/>
    <w:link w:val="StandardCar"/>
    <w:uiPriority w:val="1"/>
    <w:qFormat/>
    <w:rsid w:val="221F09AA"/>
    <w:rPr>
      <w:rFonts w:ascii="Times New Roman" w:eastAsia="Times New Roman" w:hAnsi="Times New Roman" w:cs="Times New Roman"/>
      <w:sz w:val="20"/>
      <w:szCs w:val="20"/>
      <w:lang w:val="es-CO" w:eastAsia="zh-CN"/>
    </w:rPr>
  </w:style>
  <w:style w:type="character" w:customStyle="1" w:styleId="StandardCar">
    <w:name w:val="Standard Car"/>
    <w:basedOn w:val="Fuentedeprrafopredeter"/>
    <w:link w:val="Standard"/>
    <w:uiPriority w:val="1"/>
    <w:rsid w:val="221F09AA"/>
    <w:rPr>
      <w:rFonts w:ascii="Times New Roman" w:eastAsia="Times New Roman" w:hAnsi="Times New Roman" w:cs="Times New Roman"/>
      <w:sz w:val="20"/>
      <w:szCs w:val="20"/>
      <w:lang w:val="es-CO" w:eastAsia="zh-CN"/>
    </w:rPr>
  </w:style>
  <w:style w:type="paragraph" w:customStyle="1" w:styleId="Default">
    <w:name w:val="Default"/>
    <w:basedOn w:val="Normal"/>
    <w:link w:val="DefaultCar"/>
    <w:uiPriority w:val="1"/>
    <w:rsid w:val="221F09AA"/>
    <w:rPr>
      <w:rFonts w:ascii="Arial" w:eastAsia="Times New Roman" w:hAnsi="Arial" w:cs="Arial"/>
      <w:color w:val="000000" w:themeColor="text1"/>
      <w:sz w:val="24"/>
      <w:szCs w:val="24"/>
      <w:lang w:eastAsia="es-ES"/>
    </w:rPr>
  </w:style>
  <w:style w:type="character" w:customStyle="1" w:styleId="DefaultCar">
    <w:name w:val="Default Car"/>
    <w:basedOn w:val="Fuentedeprrafopredeter"/>
    <w:link w:val="Default"/>
    <w:uiPriority w:val="1"/>
    <w:rsid w:val="221F09AA"/>
    <w:rPr>
      <w:rFonts w:ascii="Arial" w:eastAsia="Times New Roman" w:hAnsi="Arial" w:cs="Arial"/>
      <w:color w:val="000000" w:themeColor="text1"/>
      <w:sz w:val="24"/>
      <w:szCs w:val="24"/>
      <w:lang w:val="es-ES" w:eastAsia="es-ES"/>
    </w:rPr>
  </w:style>
  <w:style w:type="character" w:customStyle="1" w:styleId="eop">
    <w:name w:val="eop"/>
    <w:basedOn w:val="Fuentedeprrafopredeter"/>
    <w:uiPriority w:val="1"/>
    <w:rsid w:val="221F09AA"/>
  </w:style>
  <w:style w:type="character" w:customStyle="1" w:styleId="Ttulo2Car">
    <w:name w:val="Título 2 Car"/>
    <w:basedOn w:val="Fuentedeprrafopredeter"/>
    <w:link w:val="Ttulo2"/>
    <w:uiPriority w:val="9"/>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791B1547"/>
    <w:pPr>
      <w:widowControl w:val="0"/>
      <w:spacing w:before="53"/>
      <w:ind w:left="107"/>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pedia.com/definiciones/sector-cuaternario.html" TargetMode="External"/><Relationship Id="rId13" Type="http://schemas.openxmlformats.org/officeDocument/2006/relationships/hyperlink" Target="https://siis.ia.supersociedades.gov.co/" TargetMode="External"/><Relationship Id="rId3" Type="http://schemas.openxmlformats.org/officeDocument/2006/relationships/settings" Target="settings.xml"/><Relationship Id="rId7" Type="http://schemas.openxmlformats.org/officeDocument/2006/relationships/hyperlink" Target="https://economipedia.com/definiciones/inversion.html"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conomipedia.com/definiciones/ahorro.html" TargetMode="External"/><Relationship Id="rId11" Type="http://schemas.openxmlformats.org/officeDocument/2006/relationships/image" Target="media/image3.png"/><Relationship Id="rId5" Type="http://schemas.openxmlformats.org/officeDocument/2006/relationships/hyperlink" Target="https://economipedia.com/definiciones/consumidor.html" TargetMode="External"/><Relationship Id="rId15" Type="http://schemas.openxmlformats.org/officeDocument/2006/relationships/image" Target="media/image6.jpe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15</Pages>
  <Words>4447</Words>
  <Characters>24461</Characters>
  <Application>Microsoft Office Word</Application>
  <DocSecurity>0</DocSecurity>
  <Lines>203</Lines>
  <Paragraphs>57</Paragraphs>
  <ScaleCrop>false</ScaleCrop>
  <Company/>
  <LinksUpToDate>false</LinksUpToDate>
  <CharactersWithSpaces>28851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Osorio Bedoya</dc:creator>
  <cp:keywords/>
  <dc:description/>
  <cp:lastModifiedBy>Diaz Consultores</cp:lastModifiedBy>
  <cp:revision>9</cp:revision>
  <dcterms:created xsi:type="dcterms:W3CDTF">2023-01-19T14:10:00Z</dcterms:created>
  <dcterms:modified xsi:type="dcterms:W3CDTF">2023-03-06T22:36:00Z</dcterms:modified>
</cp:coreProperties>
</file>