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15C5A" w:rsidRDefault="0077727E" w:rsidP="0077727E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D15C5A">
        <w:rPr>
          <w:rFonts w:ascii="Century Gothic" w:hAnsi="Century Gothic" w:cs="Arial"/>
          <w:b/>
          <w:sz w:val="20"/>
          <w:szCs w:val="20"/>
        </w:rPr>
        <w:t>MATRIZ 3</w:t>
      </w:r>
      <w:r w:rsidR="00136C78" w:rsidRPr="00D15C5A">
        <w:rPr>
          <w:rFonts w:ascii="Century Gothic" w:hAnsi="Century Gothic" w:cs="Arial"/>
          <w:b/>
          <w:sz w:val="20"/>
          <w:szCs w:val="20"/>
        </w:rPr>
        <w:t xml:space="preserve"> - </w:t>
      </w:r>
      <w:r w:rsidRPr="00D15C5A">
        <w:rPr>
          <w:rFonts w:ascii="Century Gothic" w:hAnsi="Century Gothic" w:cs="Arial"/>
          <w:b/>
          <w:sz w:val="20"/>
          <w:szCs w:val="20"/>
        </w:rPr>
        <w:t>RIESGOS</w:t>
      </w:r>
    </w:p>
    <w:p w14:paraId="3146EDED" w14:textId="77777777" w:rsidR="00B81B1F" w:rsidRPr="00D15C5A" w:rsidRDefault="00B81B1F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</w:p>
    <w:p w14:paraId="0822FEEB" w14:textId="04312752" w:rsidR="00D70D7B" w:rsidRPr="00D15C5A" w:rsidRDefault="00D70D7B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Para el </w:t>
      </w:r>
      <w:r w:rsidR="00580AAA" w:rsidRPr="00D15C5A">
        <w:rPr>
          <w:rFonts w:ascii="Century Gothic" w:hAnsi="Century Gothic" w:cs="Arial"/>
          <w:sz w:val="20"/>
          <w:szCs w:val="20"/>
          <w:lang w:val="es-ES_tradnl" w:eastAsia="es-CO"/>
        </w:rPr>
        <w:t>P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roceso </w:t>
      </w:r>
      <w:r w:rsidR="00580AAA" w:rsidRPr="00D15C5A">
        <w:rPr>
          <w:rFonts w:ascii="Century Gothic" w:hAnsi="Century Gothic" w:cs="Arial"/>
          <w:sz w:val="20"/>
          <w:szCs w:val="20"/>
          <w:lang w:val="es-ES_tradnl" w:eastAsia="es-CO"/>
        </w:rPr>
        <w:t>C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ontractual, en atención </w:t>
      </w:r>
      <w:r w:rsidR="00B81B1F" w:rsidRPr="00D15C5A">
        <w:rPr>
          <w:rFonts w:ascii="Century Gothic" w:hAnsi="Century Gothic" w:cs="Arial"/>
          <w:sz w:val="20"/>
          <w:szCs w:val="20"/>
          <w:lang w:val="es-ES_tradnl" w:eastAsia="es-CO"/>
        </w:rPr>
        <w:t>a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lo dispuesto en</w:t>
      </w:r>
      <w:r w:rsidR="00B81B1F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la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Ley 1150 de 2007 y</w:t>
      </w:r>
      <w:r w:rsidR="00357BA7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en 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>los artículos 2.2.1.1.1.3.1 y 2.2.1.1.1.6.</w:t>
      </w:r>
      <w:r w:rsidR="00B81B1F" w:rsidRPr="00D15C5A">
        <w:rPr>
          <w:rFonts w:ascii="Century Gothic" w:hAnsi="Century Gothic" w:cs="Arial"/>
          <w:sz w:val="20"/>
          <w:szCs w:val="20"/>
          <w:lang w:val="es-ES_tradnl" w:eastAsia="es-CO"/>
        </w:rPr>
        <w:t>3. del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Decreto </w:t>
      </w:r>
      <w:r w:rsidR="00B81B1F" w:rsidRPr="00D15C5A">
        <w:rPr>
          <w:rFonts w:ascii="Century Gothic" w:hAnsi="Century Gothic" w:cs="Arial"/>
          <w:sz w:val="20"/>
          <w:szCs w:val="20"/>
          <w:lang w:val="es-ES_tradnl" w:eastAsia="es-CO"/>
        </w:rPr>
        <w:t>1082 de</w:t>
      </w:r>
      <w:r w:rsidR="006E6D9B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2015, entiéndase por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Riesgo 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Proceso de Contratación y el 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desarrollo </w:t>
      </w:r>
      <w:r w:rsidR="001F774B" w:rsidRPr="00D15C5A">
        <w:rPr>
          <w:rFonts w:ascii="Century Gothic" w:hAnsi="Century Gothic" w:cs="Arial"/>
          <w:sz w:val="20"/>
          <w:szCs w:val="20"/>
          <w:lang w:val="es-ES_tradnl" w:eastAsia="es-CO"/>
        </w:rPr>
        <w:t>de</w:t>
      </w:r>
      <w:r w:rsidR="00B923A4" w:rsidRPr="00D15C5A">
        <w:rPr>
          <w:rFonts w:ascii="Century Gothic" w:hAnsi="Century Gothic" w:cs="Arial"/>
          <w:sz w:val="20"/>
          <w:szCs w:val="20"/>
          <w:lang w:val="es-ES_tradnl" w:eastAsia="es-CO"/>
        </w:rPr>
        <w:t>l contrato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D15C5A">
        <w:rPr>
          <w:rFonts w:ascii="Century Gothic" w:hAnsi="Century Gothic" w:cs="Arial"/>
          <w:sz w:val="20"/>
          <w:szCs w:val="20"/>
          <w:lang w:val="es-ES_tradnl" w:eastAsia="es-CO"/>
        </w:rPr>
        <w:t>como con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las actividades a desarrollar en la ejecución contractua</w:t>
      </w:r>
      <w:r w:rsidR="00205D70">
        <w:rPr>
          <w:rFonts w:ascii="Century Gothic" w:hAnsi="Century Gothic" w:cs="Arial"/>
          <w:sz w:val="20"/>
          <w:szCs w:val="20"/>
          <w:lang w:val="es-ES_tradnl" w:eastAsia="es-CO"/>
        </w:rPr>
        <w:t>l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>.</w:t>
      </w:r>
    </w:p>
    <w:p w14:paraId="419A2FA6" w14:textId="77777777" w:rsidR="00B81B1F" w:rsidRPr="00D15C5A" w:rsidRDefault="00B81B1F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</w:p>
    <w:p w14:paraId="5322C892" w14:textId="56A29DFB" w:rsidR="00D70D7B" w:rsidRPr="00D15C5A" w:rsidRDefault="00D70D7B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Corresponderá al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Contratista 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>la asunción de</w:t>
      </w:r>
      <w:r w:rsidR="006E6D9B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l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Riesgo 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 w:rsidRPr="00D15C5A">
        <w:rPr>
          <w:rFonts w:ascii="Century Gothic" w:hAnsi="Century Gothic" w:cs="Arial"/>
          <w:sz w:val="20"/>
          <w:szCs w:val="20"/>
          <w:lang w:val="es-ES_tradnl" w:eastAsia="es-CO"/>
        </w:rPr>
        <w:t>incluyendo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>asignado a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la Entidad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Estatal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en el </w:t>
      </w:r>
      <w:r w:rsidR="005100C3" w:rsidRPr="00D15C5A">
        <w:rPr>
          <w:rFonts w:ascii="Century Gothic" w:hAnsi="Century Gothic" w:cs="Arial"/>
          <w:sz w:val="20"/>
          <w:szCs w:val="20"/>
          <w:lang w:val="es-ES_tradnl" w:eastAsia="es-CO"/>
        </w:rPr>
        <w:t>c</w:t>
      </w:r>
      <w:r w:rsidR="006830E6" w:rsidRPr="00D15C5A">
        <w:rPr>
          <w:rFonts w:ascii="Century Gothic" w:hAnsi="Century Gothic" w:cs="Arial"/>
          <w:sz w:val="20"/>
          <w:szCs w:val="20"/>
          <w:lang w:val="es-ES_tradnl" w:eastAsia="es-CO"/>
        </w:rPr>
        <w:t>ontrato</w:t>
      </w: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D15C5A" w:rsidRDefault="00B81B1F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</w:p>
    <w:p w14:paraId="4E6FB498" w14:textId="1711978F" w:rsidR="00545461" w:rsidRPr="00D15C5A" w:rsidRDefault="006E6D9B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De acuerdo con </w:t>
      </w:r>
      <w:r w:rsidR="00AF41A0" w:rsidRPr="00D15C5A">
        <w:rPr>
          <w:rFonts w:ascii="Century Gothic" w:hAnsi="Century Gothic" w:cs="Arial"/>
          <w:sz w:val="20"/>
          <w:szCs w:val="20"/>
          <w:lang w:val="es-ES_tradnl" w:eastAsia="es-CO"/>
        </w:rPr>
        <w:t>procedimiento</w:t>
      </w:r>
      <w:r w:rsidR="0054546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de la referencia, </w:t>
      </w:r>
      <w:r w:rsidR="00845529" w:rsidRPr="00D15C5A">
        <w:rPr>
          <w:rFonts w:ascii="Century Gothic" w:hAnsi="Century Gothic" w:cs="Arial"/>
          <w:sz w:val="20"/>
          <w:szCs w:val="20"/>
          <w:lang w:val="es-ES_tradnl" w:eastAsia="es-CO"/>
        </w:rPr>
        <w:t>se establece</w:t>
      </w:r>
      <w:r w:rsidR="0054546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Riesgos </w:t>
      </w:r>
      <w:r w:rsidR="0054546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Proceso </w:t>
      </w:r>
      <w:r w:rsidR="000460C5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de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>Contr</w:t>
      </w:r>
      <w:r w:rsidR="007E3D57" w:rsidRPr="00D15C5A">
        <w:rPr>
          <w:rFonts w:ascii="Century Gothic" w:hAnsi="Century Gothic" w:cs="Arial"/>
          <w:sz w:val="20"/>
          <w:szCs w:val="20"/>
          <w:lang w:val="es-ES_tradnl" w:eastAsia="es-CO"/>
        </w:rPr>
        <w:t>ata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>c</w:t>
      </w:r>
      <w:r w:rsidR="000460C5" w:rsidRPr="00D15C5A">
        <w:rPr>
          <w:rFonts w:ascii="Century Gothic" w:hAnsi="Century Gothic" w:cs="Arial"/>
          <w:sz w:val="20"/>
          <w:szCs w:val="20"/>
          <w:lang w:val="es-ES_tradnl" w:eastAsia="es-CO"/>
        </w:rPr>
        <w:t>ión</w:t>
      </w:r>
      <w:r w:rsidR="00545461" w:rsidRPr="00D15C5A">
        <w:rPr>
          <w:rFonts w:ascii="Century Gothic" w:hAnsi="Century Gothic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D15C5A" w:rsidRDefault="00545461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</w:p>
    <w:p w14:paraId="1B145B66" w14:textId="18F006B1" w:rsidR="00D70D7B" w:rsidRPr="00D15C5A" w:rsidRDefault="00017FCD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  <w:r w:rsidRPr="00D15C5A">
        <w:rPr>
          <w:rFonts w:ascii="Century Gothic" w:hAnsi="Century Gothic" w:cs="Arial"/>
          <w:sz w:val="20"/>
          <w:szCs w:val="20"/>
          <w:lang w:val="es-ES_tradnl" w:eastAsia="es-CO"/>
        </w:rPr>
        <w:t>La</w:t>
      </w:r>
      <w:r w:rsidR="00D70D7B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Riesgos </w:t>
      </w:r>
      <w:r w:rsidR="00D70D7B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que puedan afectar el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Proceso </w:t>
      </w:r>
      <w:r w:rsidR="00D70D7B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de </w:t>
      </w:r>
      <w:r w:rsidR="00D55C91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Contratación </w:t>
      </w:r>
      <w:r w:rsidR="00D70D7B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o la ejecución del </w:t>
      </w:r>
      <w:r w:rsidR="005E730D" w:rsidRPr="00D15C5A">
        <w:rPr>
          <w:rFonts w:ascii="Century Gothic" w:hAnsi="Century Gothic" w:cs="Arial"/>
          <w:sz w:val="20"/>
          <w:szCs w:val="20"/>
          <w:lang w:val="es-ES_tradnl" w:eastAsia="es-CO"/>
        </w:rPr>
        <w:t>c</w:t>
      </w:r>
      <w:r w:rsidR="00D70D7B" w:rsidRPr="00D15C5A">
        <w:rPr>
          <w:rFonts w:ascii="Century Gothic" w:hAnsi="Century Gothic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D15C5A">
        <w:rPr>
          <w:rFonts w:ascii="Century Gothic" w:hAnsi="Century Gothic" w:cs="Arial"/>
          <w:sz w:val="20"/>
          <w:szCs w:val="20"/>
          <w:lang w:val="es-ES_tradnl" w:eastAsia="es-CO"/>
        </w:rPr>
        <w:t>ONPES</w:t>
      </w:r>
      <w:r w:rsidR="00D70D7B" w:rsidRPr="00D15C5A">
        <w:rPr>
          <w:rFonts w:ascii="Century Gothic" w:hAnsi="Century Gothic" w:cs="Arial"/>
          <w:sz w:val="20"/>
          <w:szCs w:val="20"/>
          <w:lang w:val="es-ES_tradnl" w:eastAsia="es-CO"/>
        </w:rPr>
        <w:t xml:space="preserve"> 3714 de 2011</w:t>
      </w:r>
      <w:r w:rsidR="006E6D9B" w:rsidRPr="00D15C5A">
        <w:rPr>
          <w:rFonts w:ascii="Century Gothic" w:hAnsi="Century Gothic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D15C5A" w:rsidRDefault="0058222E" w:rsidP="007C702A">
      <w:pPr>
        <w:rPr>
          <w:rFonts w:ascii="Century Gothic" w:hAnsi="Century Gothic" w:cs="Arial"/>
          <w:sz w:val="20"/>
          <w:szCs w:val="20"/>
          <w:lang w:val="es-ES_tradnl" w:eastAsia="es-CO"/>
        </w:rPr>
      </w:pPr>
    </w:p>
    <w:p w14:paraId="4D84E88B" w14:textId="7A09FB5C" w:rsidR="0058222E" w:rsidRPr="00D15C5A" w:rsidRDefault="00815604" w:rsidP="00D70D7B">
      <w:pPr>
        <w:spacing w:after="100" w:afterAutospacing="1"/>
        <w:rPr>
          <w:rFonts w:ascii="Century Gothic" w:eastAsia="SimSun" w:hAnsi="Century Gothic" w:cs="Arial"/>
          <w:kern w:val="3"/>
          <w:sz w:val="20"/>
          <w:szCs w:val="20"/>
          <w:lang w:eastAsia="zh-CN" w:bidi="hi-IN"/>
        </w:rPr>
      </w:pPr>
      <w:r w:rsidRPr="00D15C5A">
        <w:rPr>
          <w:rFonts w:ascii="Century Gothic" w:eastAsia="SimSun" w:hAnsi="Century Gothic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D15C5A">
        <w:rPr>
          <w:rFonts w:ascii="Century Gothic" w:eastAsia="SimSun" w:hAnsi="Century Gothic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D15C5A">
        <w:rPr>
          <w:rFonts w:ascii="Century Gothic" w:eastAsia="SimSun" w:hAnsi="Century Gothic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Pr="00D15C5A" w:rsidRDefault="00815604" w:rsidP="00D70D7B">
      <w:pPr>
        <w:spacing w:after="100" w:afterAutospacing="1"/>
        <w:rPr>
          <w:rFonts w:ascii="Century Gothic" w:eastAsia="SimSun" w:hAnsi="Century Gothic" w:cs="Arial"/>
          <w:kern w:val="3"/>
          <w:sz w:val="20"/>
          <w:szCs w:val="20"/>
          <w:lang w:eastAsia="zh-CN" w:bidi="hi-IN"/>
        </w:rPr>
      </w:pPr>
    </w:p>
    <w:tbl>
      <w:tblPr>
        <w:tblW w:w="11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17"/>
        <w:gridCol w:w="284"/>
        <w:gridCol w:w="284"/>
        <w:gridCol w:w="356"/>
        <w:gridCol w:w="1197"/>
        <w:gridCol w:w="714"/>
        <w:gridCol w:w="283"/>
        <w:gridCol w:w="283"/>
        <w:gridCol w:w="426"/>
        <w:gridCol w:w="318"/>
        <w:gridCol w:w="425"/>
        <w:gridCol w:w="816"/>
        <w:gridCol w:w="377"/>
        <w:gridCol w:w="236"/>
        <w:gridCol w:w="236"/>
        <w:gridCol w:w="285"/>
        <w:gridCol w:w="425"/>
        <w:gridCol w:w="705"/>
        <w:gridCol w:w="425"/>
        <w:gridCol w:w="851"/>
        <w:gridCol w:w="846"/>
        <w:gridCol w:w="850"/>
      </w:tblGrid>
      <w:tr w:rsidR="00D15C5A" w:rsidRPr="00F10070" w14:paraId="7860EC7F" w14:textId="77777777" w:rsidTr="00A50B2E">
        <w:trPr>
          <w:cantSplit/>
          <w:trHeight w:val="1134"/>
          <w:tblHeader/>
          <w:jc w:val="center"/>
        </w:trPr>
        <w:tc>
          <w:tcPr>
            <w:tcW w:w="392" w:type="dxa"/>
            <w:vMerge w:val="restart"/>
            <w:shd w:val="clear" w:color="auto" w:fill="auto"/>
            <w:textDirection w:val="btLr"/>
            <w:vAlign w:val="center"/>
          </w:tcPr>
          <w:p w14:paraId="0A72CF3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Nº</w:t>
            </w:r>
          </w:p>
        </w:tc>
        <w:tc>
          <w:tcPr>
            <w:tcW w:w="317" w:type="dxa"/>
            <w:vMerge w:val="restart"/>
            <w:shd w:val="clear" w:color="auto" w:fill="auto"/>
            <w:textDirection w:val="btLr"/>
            <w:vAlign w:val="center"/>
          </w:tcPr>
          <w:p w14:paraId="718403C9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Clase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</w:tcPr>
          <w:p w14:paraId="7092268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Fuente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</w:tcPr>
          <w:p w14:paraId="31DE358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Etapa</w:t>
            </w:r>
          </w:p>
        </w:tc>
        <w:tc>
          <w:tcPr>
            <w:tcW w:w="356" w:type="dxa"/>
            <w:vMerge w:val="restart"/>
            <w:shd w:val="clear" w:color="auto" w:fill="auto"/>
            <w:textDirection w:val="btLr"/>
            <w:vAlign w:val="center"/>
          </w:tcPr>
          <w:p w14:paraId="34B9814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Tipo</w:t>
            </w:r>
          </w:p>
        </w:tc>
        <w:tc>
          <w:tcPr>
            <w:tcW w:w="1197" w:type="dxa"/>
            <w:vMerge w:val="restart"/>
            <w:shd w:val="clear" w:color="auto" w:fill="auto"/>
            <w:textDirection w:val="btLr"/>
            <w:vAlign w:val="center"/>
          </w:tcPr>
          <w:p w14:paraId="4BA20BFD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Descripción</w:t>
            </w:r>
          </w:p>
        </w:tc>
        <w:tc>
          <w:tcPr>
            <w:tcW w:w="714" w:type="dxa"/>
            <w:vMerge w:val="restart"/>
            <w:shd w:val="clear" w:color="auto" w:fill="auto"/>
            <w:textDirection w:val="btLr"/>
            <w:vAlign w:val="center"/>
          </w:tcPr>
          <w:p w14:paraId="22B2B869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Consecuencia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vAlign w:val="center"/>
          </w:tcPr>
          <w:p w14:paraId="3D59634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Probabilidad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vAlign w:val="center"/>
          </w:tcPr>
          <w:p w14:paraId="294220B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Impacto</w:t>
            </w:r>
          </w:p>
        </w:tc>
        <w:tc>
          <w:tcPr>
            <w:tcW w:w="426" w:type="dxa"/>
            <w:vMerge w:val="restart"/>
            <w:shd w:val="clear" w:color="auto" w:fill="auto"/>
            <w:textDirection w:val="btLr"/>
            <w:vAlign w:val="center"/>
          </w:tcPr>
          <w:p w14:paraId="68EDCD5E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Valoración</w:t>
            </w:r>
          </w:p>
        </w:tc>
        <w:tc>
          <w:tcPr>
            <w:tcW w:w="318" w:type="dxa"/>
            <w:vMerge w:val="restart"/>
            <w:shd w:val="clear" w:color="auto" w:fill="auto"/>
            <w:textDirection w:val="btLr"/>
            <w:vAlign w:val="center"/>
          </w:tcPr>
          <w:p w14:paraId="05EC7488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Categoría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</w:tcPr>
          <w:p w14:paraId="5B3F2FA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¿A quién se le asigna?</w:t>
            </w:r>
          </w:p>
        </w:tc>
        <w:tc>
          <w:tcPr>
            <w:tcW w:w="816" w:type="dxa"/>
            <w:vMerge w:val="restart"/>
            <w:shd w:val="clear" w:color="auto" w:fill="auto"/>
            <w:textDirection w:val="btLr"/>
            <w:vAlign w:val="center"/>
          </w:tcPr>
          <w:p w14:paraId="221477A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Tratamientos/ controles para ser implementados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</w:tcPr>
          <w:p w14:paraId="06402FC5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Impacto después del Tratamiento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</w:tcPr>
          <w:p w14:paraId="67755F1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Equilibrio económico</w:t>
            </w:r>
          </w:p>
        </w:tc>
        <w:tc>
          <w:tcPr>
            <w:tcW w:w="705" w:type="dxa"/>
            <w:vMerge w:val="restart"/>
            <w:shd w:val="clear" w:color="auto" w:fill="auto"/>
            <w:textDirection w:val="btLr"/>
            <w:vAlign w:val="center"/>
          </w:tcPr>
          <w:p w14:paraId="1CCD32D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Persona</w:t>
            </w:r>
          </w:p>
          <w:p w14:paraId="072370BE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responsable por implementar el tratamiento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</w:tcPr>
          <w:p w14:paraId="75A8E351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Fecha estimada en que se inicia el tratamiento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</w:tcPr>
          <w:p w14:paraId="6B25806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Fecha estimada en que se completa el tratamiento</w:t>
            </w:r>
          </w:p>
        </w:tc>
        <w:tc>
          <w:tcPr>
            <w:tcW w:w="1696" w:type="dxa"/>
            <w:gridSpan w:val="2"/>
            <w:shd w:val="clear" w:color="auto" w:fill="auto"/>
            <w:vAlign w:val="center"/>
          </w:tcPr>
          <w:p w14:paraId="18BBD180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Monitoreo</w:t>
            </w:r>
          </w:p>
        </w:tc>
      </w:tr>
      <w:tr w:rsidR="00D15C5A" w:rsidRPr="00F10070" w14:paraId="0FC21CA9" w14:textId="77777777" w:rsidTr="00A50B2E">
        <w:trPr>
          <w:cantSplit/>
          <w:trHeight w:val="964"/>
          <w:tblHeader/>
          <w:jc w:val="center"/>
        </w:trPr>
        <w:tc>
          <w:tcPr>
            <w:tcW w:w="392" w:type="dxa"/>
            <w:vMerge/>
            <w:shd w:val="clear" w:color="auto" w:fill="auto"/>
            <w:textDirection w:val="btLr"/>
            <w:vAlign w:val="center"/>
          </w:tcPr>
          <w:p w14:paraId="395DAB8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317" w:type="dxa"/>
            <w:vMerge/>
            <w:shd w:val="clear" w:color="auto" w:fill="auto"/>
            <w:textDirection w:val="btLr"/>
            <w:vAlign w:val="center"/>
          </w:tcPr>
          <w:p w14:paraId="598A9A1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  <w:vAlign w:val="center"/>
          </w:tcPr>
          <w:p w14:paraId="35460660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  <w:vAlign w:val="center"/>
          </w:tcPr>
          <w:p w14:paraId="5A6F562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356" w:type="dxa"/>
            <w:vMerge/>
            <w:shd w:val="clear" w:color="auto" w:fill="auto"/>
            <w:textDirection w:val="btLr"/>
            <w:vAlign w:val="center"/>
          </w:tcPr>
          <w:p w14:paraId="7C4A239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1197" w:type="dxa"/>
            <w:vMerge/>
            <w:shd w:val="clear" w:color="auto" w:fill="auto"/>
            <w:textDirection w:val="btLr"/>
            <w:vAlign w:val="center"/>
          </w:tcPr>
          <w:p w14:paraId="43441B84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714" w:type="dxa"/>
            <w:vMerge/>
            <w:shd w:val="clear" w:color="auto" w:fill="auto"/>
            <w:textDirection w:val="btLr"/>
            <w:vAlign w:val="center"/>
          </w:tcPr>
          <w:p w14:paraId="26E071B1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283" w:type="dxa"/>
            <w:vMerge/>
            <w:shd w:val="clear" w:color="auto" w:fill="auto"/>
            <w:textDirection w:val="btLr"/>
            <w:vAlign w:val="center"/>
          </w:tcPr>
          <w:p w14:paraId="0B766BD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283" w:type="dxa"/>
            <w:vMerge/>
            <w:shd w:val="clear" w:color="auto" w:fill="auto"/>
            <w:textDirection w:val="btLr"/>
            <w:vAlign w:val="center"/>
          </w:tcPr>
          <w:p w14:paraId="5914F1F3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426" w:type="dxa"/>
            <w:vMerge/>
            <w:shd w:val="clear" w:color="auto" w:fill="auto"/>
            <w:textDirection w:val="btLr"/>
            <w:vAlign w:val="center"/>
          </w:tcPr>
          <w:p w14:paraId="1392CA00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318" w:type="dxa"/>
            <w:vMerge/>
            <w:shd w:val="clear" w:color="auto" w:fill="auto"/>
            <w:textDirection w:val="btLr"/>
            <w:vAlign w:val="center"/>
          </w:tcPr>
          <w:p w14:paraId="015C29D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btLr"/>
            <w:vAlign w:val="center"/>
          </w:tcPr>
          <w:p w14:paraId="47BE97D1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816" w:type="dxa"/>
            <w:vMerge/>
            <w:shd w:val="clear" w:color="auto" w:fill="auto"/>
            <w:textDirection w:val="btLr"/>
            <w:vAlign w:val="center"/>
          </w:tcPr>
          <w:p w14:paraId="75D2FDE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14:paraId="3A64399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Probabilidad</w:t>
            </w:r>
          </w:p>
        </w:tc>
        <w:tc>
          <w:tcPr>
            <w:tcW w:w="236" w:type="dxa"/>
            <w:shd w:val="clear" w:color="auto" w:fill="auto"/>
            <w:textDirection w:val="btLr"/>
            <w:vAlign w:val="center"/>
          </w:tcPr>
          <w:p w14:paraId="32028DF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Impacto</w:t>
            </w:r>
          </w:p>
        </w:tc>
        <w:tc>
          <w:tcPr>
            <w:tcW w:w="236" w:type="dxa"/>
            <w:shd w:val="clear" w:color="auto" w:fill="auto"/>
            <w:textDirection w:val="btLr"/>
            <w:vAlign w:val="center"/>
          </w:tcPr>
          <w:p w14:paraId="270CAEA5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Calificación</w:t>
            </w:r>
          </w:p>
        </w:tc>
        <w:tc>
          <w:tcPr>
            <w:tcW w:w="285" w:type="dxa"/>
            <w:shd w:val="clear" w:color="auto" w:fill="auto"/>
            <w:textDirection w:val="btLr"/>
            <w:vAlign w:val="center"/>
          </w:tcPr>
          <w:p w14:paraId="2C94C41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Calificación Total</w:t>
            </w:r>
          </w:p>
        </w:tc>
        <w:tc>
          <w:tcPr>
            <w:tcW w:w="425" w:type="dxa"/>
            <w:vMerge/>
            <w:shd w:val="clear" w:color="auto" w:fill="auto"/>
            <w:textDirection w:val="btLr"/>
            <w:vAlign w:val="center"/>
          </w:tcPr>
          <w:p w14:paraId="62335928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705" w:type="dxa"/>
            <w:vMerge/>
            <w:shd w:val="clear" w:color="auto" w:fill="auto"/>
            <w:textDirection w:val="btLr"/>
            <w:vAlign w:val="center"/>
          </w:tcPr>
          <w:p w14:paraId="66F0333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btLr"/>
            <w:vAlign w:val="center"/>
          </w:tcPr>
          <w:p w14:paraId="27E99D19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851" w:type="dxa"/>
            <w:vMerge/>
            <w:shd w:val="clear" w:color="auto" w:fill="auto"/>
            <w:textDirection w:val="btLr"/>
            <w:vAlign w:val="center"/>
          </w:tcPr>
          <w:p w14:paraId="483C92E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</w:p>
        </w:tc>
        <w:tc>
          <w:tcPr>
            <w:tcW w:w="846" w:type="dxa"/>
            <w:shd w:val="clear" w:color="auto" w:fill="auto"/>
            <w:textDirection w:val="btLr"/>
            <w:vAlign w:val="center"/>
          </w:tcPr>
          <w:p w14:paraId="56DDC64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¿Cómo se realiza el monitoreo?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150C310B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t>Periodicidad</w:t>
            </w:r>
            <w:r w:rsidRPr="00F10070">
              <w:rPr>
                <w:rFonts w:ascii="Century Gothic" w:eastAsia="Times New Roman" w:hAnsi="Century Gothic" w:cs="Arial"/>
                <w:b/>
                <w:sz w:val="14"/>
              </w:rPr>
              <w:br/>
              <w:t>¿Cuándo?</w:t>
            </w:r>
          </w:p>
        </w:tc>
      </w:tr>
      <w:tr w:rsidR="00D15C5A" w:rsidRPr="00F10070" w14:paraId="18464DD2" w14:textId="77777777" w:rsidTr="00A50B2E">
        <w:trPr>
          <w:cantSplit/>
          <w:trHeight w:val="2400"/>
          <w:jc w:val="center"/>
        </w:trPr>
        <w:tc>
          <w:tcPr>
            <w:tcW w:w="392" w:type="dxa"/>
            <w:shd w:val="clear" w:color="auto" w:fill="auto"/>
            <w:vAlign w:val="center"/>
          </w:tcPr>
          <w:p w14:paraId="24D23293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1</w:t>
            </w:r>
          </w:p>
        </w:tc>
        <w:tc>
          <w:tcPr>
            <w:tcW w:w="317" w:type="dxa"/>
            <w:shd w:val="clear" w:color="auto" w:fill="auto"/>
            <w:textDirection w:val="btLr"/>
            <w:vAlign w:val="center"/>
          </w:tcPr>
          <w:p w14:paraId="2EEAE734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Específico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4B47968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AA2312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Planeación</w:t>
            </w:r>
          </w:p>
        </w:tc>
        <w:tc>
          <w:tcPr>
            <w:tcW w:w="356" w:type="dxa"/>
            <w:shd w:val="clear" w:color="auto" w:fill="auto"/>
            <w:textDirection w:val="btLr"/>
            <w:vAlign w:val="center"/>
          </w:tcPr>
          <w:p w14:paraId="5B44324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Operacional</w:t>
            </w:r>
          </w:p>
        </w:tc>
        <w:tc>
          <w:tcPr>
            <w:tcW w:w="1197" w:type="dxa"/>
            <w:shd w:val="clear" w:color="auto" w:fill="auto"/>
            <w:textDirection w:val="btLr"/>
            <w:vAlign w:val="center"/>
          </w:tcPr>
          <w:p w14:paraId="6249C5D4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Estudios y Diseños Incompletos, inconclusos o mal elaborados.</w:t>
            </w:r>
          </w:p>
        </w:tc>
        <w:tc>
          <w:tcPr>
            <w:tcW w:w="714" w:type="dxa"/>
            <w:shd w:val="clear" w:color="auto" w:fill="auto"/>
            <w:textDirection w:val="btLr"/>
            <w:vAlign w:val="center"/>
          </w:tcPr>
          <w:p w14:paraId="43372F68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tiempos de ejecución del Proyecto, incremento en los costos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722770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03C537B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655B61A9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5</w:t>
            </w:r>
          </w:p>
        </w:tc>
        <w:tc>
          <w:tcPr>
            <w:tcW w:w="318" w:type="dxa"/>
            <w:shd w:val="clear" w:color="auto" w:fill="auto"/>
            <w:textDirection w:val="btLr"/>
            <w:vAlign w:val="center"/>
          </w:tcPr>
          <w:p w14:paraId="7DBE714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E0C8551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Contratista</w:t>
            </w:r>
          </w:p>
        </w:tc>
        <w:tc>
          <w:tcPr>
            <w:tcW w:w="816" w:type="dxa"/>
            <w:shd w:val="clear" w:color="auto" w:fill="auto"/>
            <w:textDirection w:val="btLr"/>
            <w:vAlign w:val="center"/>
          </w:tcPr>
          <w:p w14:paraId="116323B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Transferir el Riesgo, Verificación de los estudios y Diseños antes de iniciar la ejecución con el Supervisor e interventor.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235DA1D6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1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5A16425E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2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22FCEFC2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285" w:type="dxa"/>
            <w:shd w:val="clear" w:color="auto" w:fill="auto"/>
            <w:textDirection w:val="btLr"/>
            <w:vAlign w:val="center"/>
          </w:tcPr>
          <w:p w14:paraId="5C86B69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718E71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NO</w:t>
            </w:r>
          </w:p>
        </w:tc>
        <w:tc>
          <w:tcPr>
            <w:tcW w:w="705" w:type="dxa"/>
            <w:shd w:val="clear" w:color="auto" w:fill="auto"/>
            <w:textDirection w:val="btLr"/>
            <w:vAlign w:val="center"/>
          </w:tcPr>
          <w:p w14:paraId="5166952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Secretario de Desarrollo y Obras Publicas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774E8A9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Fecha sujeta al acta de Inicio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14:paraId="0B0E800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Un mes</w:t>
            </w:r>
          </w:p>
          <w:p w14:paraId="46523DD9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después de la fecha de inicio, y durante la ejecución de la</w:t>
            </w:r>
          </w:p>
        </w:tc>
        <w:tc>
          <w:tcPr>
            <w:tcW w:w="846" w:type="dxa"/>
            <w:shd w:val="clear" w:color="auto" w:fill="auto"/>
            <w:textDirection w:val="btLr"/>
            <w:vAlign w:val="center"/>
          </w:tcPr>
          <w:p w14:paraId="5C1B753D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Mediante comité técnico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246D82F9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Mensual</w:t>
            </w:r>
          </w:p>
        </w:tc>
      </w:tr>
      <w:tr w:rsidR="00D15C5A" w:rsidRPr="00F10070" w14:paraId="5F0846F5" w14:textId="77777777" w:rsidTr="00A50B2E">
        <w:trPr>
          <w:cantSplit/>
          <w:trHeight w:val="3113"/>
          <w:jc w:val="center"/>
        </w:trPr>
        <w:tc>
          <w:tcPr>
            <w:tcW w:w="392" w:type="dxa"/>
            <w:shd w:val="clear" w:color="auto" w:fill="auto"/>
            <w:vAlign w:val="center"/>
          </w:tcPr>
          <w:p w14:paraId="5C243014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lastRenderedPageBreak/>
              <w:t>2</w:t>
            </w:r>
          </w:p>
        </w:tc>
        <w:tc>
          <w:tcPr>
            <w:tcW w:w="317" w:type="dxa"/>
            <w:shd w:val="clear" w:color="auto" w:fill="auto"/>
            <w:textDirection w:val="btLr"/>
            <w:vAlign w:val="center"/>
          </w:tcPr>
          <w:p w14:paraId="73555158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B1E944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F2A620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Selección</w:t>
            </w:r>
          </w:p>
        </w:tc>
        <w:tc>
          <w:tcPr>
            <w:tcW w:w="356" w:type="dxa"/>
            <w:shd w:val="clear" w:color="auto" w:fill="auto"/>
            <w:textDirection w:val="btLr"/>
            <w:vAlign w:val="center"/>
          </w:tcPr>
          <w:p w14:paraId="2800376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Operacional</w:t>
            </w:r>
          </w:p>
        </w:tc>
        <w:tc>
          <w:tcPr>
            <w:tcW w:w="1197" w:type="dxa"/>
            <w:shd w:val="clear" w:color="auto" w:fill="auto"/>
            <w:textDirection w:val="btLr"/>
            <w:vAlign w:val="center"/>
          </w:tcPr>
          <w:p w14:paraId="2B5B655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no se presenten</w:t>
            </w:r>
          </w:p>
          <w:p w14:paraId="6C4B36B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 xml:space="preserve">Oferentes o que se presenten y no cumplan con la totalidad de los requisitos habilitantes o se encuentren incursos en alguna inhabilidad o </w:t>
            </w:r>
            <w:proofErr w:type="spellStart"/>
            <w:r w:rsidRPr="00F10070">
              <w:rPr>
                <w:rFonts w:ascii="Century Gothic" w:eastAsia="Times New Roman" w:hAnsi="Century Gothic" w:cs="Arial"/>
                <w:sz w:val="14"/>
              </w:rPr>
              <w:t>incomtibilidad</w:t>
            </w:r>
            <w:proofErr w:type="spellEnd"/>
            <w:r w:rsidRPr="00F10070">
              <w:rPr>
                <w:rFonts w:ascii="Century Gothic" w:eastAsia="Times New Roman" w:hAnsi="Century Gothic" w:cs="Arial"/>
                <w:sz w:val="14"/>
              </w:rPr>
              <w:t>.</w:t>
            </w:r>
          </w:p>
        </w:tc>
        <w:tc>
          <w:tcPr>
            <w:tcW w:w="714" w:type="dxa"/>
            <w:shd w:val="clear" w:color="auto" w:fill="auto"/>
            <w:textDirection w:val="btLr"/>
            <w:vAlign w:val="center"/>
          </w:tcPr>
          <w:p w14:paraId="1C7EACE0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Declaración desierta del Proceso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2BACF3D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3AD240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744C550B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6</w:t>
            </w:r>
          </w:p>
        </w:tc>
        <w:tc>
          <w:tcPr>
            <w:tcW w:w="318" w:type="dxa"/>
            <w:shd w:val="clear" w:color="auto" w:fill="auto"/>
            <w:textDirection w:val="btLr"/>
            <w:vAlign w:val="center"/>
          </w:tcPr>
          <w:p w14:paraId="2F6776C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F44FD8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Alcaldía de Sincelejo</w:t>
            </w:r>
          </w:p>
        </w:tc>
        <w:tc>
          <w:tcPr>
            <w:tcW w:w="816" w:type="dxa"/>
            <w:shd w:val="clear" w:color="auto" w:fill="auto"/>
            <w:textDirection w:val="btLr"/>
            <w:vAlign w:val="center"/>
          </w:tcPr>
          <w:p w14:paraId="04BEC4DE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Reducir la probabilidad de la ocurrencia del evento, publicar oportunamente los documentos que exige la ley para el Proceso.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25931B31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1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1786F687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2FAC56B6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4</w:t>
            </w:r>
          </w:p>
        </w:tc>
        <w:tc>
          <w:tcPr>
            <w:tcW w:w="285" w:type="dxa"/>
            <w:shd w:val="clear" w:color="auto" w:fill="auto"/>
            <w:textDirection w:val="btLr"/>
            <w:vAlign w:val="center"/>
          </w:tcPr>
          <w:p w14:paraId="01874A6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E3E136E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NO</w:t>
            </w:r>
          </w:p>
        </w:tc>
        <w:tc>
          <w:tcPr>
            <w:tcW w:w="705" w:type="dxa"/>
            <w:shd w:val="clear" w:color="auto" w:fill="auto"/>
            <w:textDirection w:val="btLr"/>
            <w:vAlign w:val="center"/>
          </w:tcPr>
          <w:p w14:paraId="6E7C3DC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Secretaria General y/</w:t>
            </w:r>
            <w:proofErr w:type="spellStart"/>
            <w:r w:rsidRPr="00F10070">
              <w:rPr>
                <w:rFonts w:ascii="Century Gothic" w:eastAsia="Times New Roman" w:hAnsi="Century Gothic" w:cs="Arial"/>
                <w:sz w:val="14"/>
              </w:rPr>
              <w:t>o</w:t>
            </w:r>
            <w:proofErr w:type="spellEnd"/>
            <w:r w:rsidRPr="00F10070">
              <w:rPr>
                <w:rFonts w:ascii="Century Gothic" w:eastAsia="Times New Roman" w:hAnsi="Century Gothic" w:cs="Arial"/>
                <w:sz w:val="14"/>
              </w:rPr>
              <w:t xml:space="preserve"> Oficina Jurídica.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F5ABFEE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Fecha del aviso de</w:t>
            </w:r>
          </w:p>
          <w:p w14:paraId="4781CF9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Convocatoria.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14:paraId="5A06EF83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Fecha de adjudicación</w:t>
            </w:r>
          </w:p>
        </w:tc>
        <w:tc>
          <w:tcPr>
            <w:tcW w:w="846" w:type="dxa"/>
            <w:shd w:val="clear" w:color="auto" w:fill="auto"/>
            <w:textDirection w:val="btLr"/>
            <w:vAlign w:val="center"/>
          </w:tcPr>
          <w:p w14:paraId="571F4BE1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SECOP II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66AEE80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Diariamente</w:t>
            </w:r>
          </w:p>
        </w:tc>
      </w:tr>
      <w:tr w:rsidR="00D15C5A" w:rsidRPr="00F10070" w14:paraId="67660661" w14:textId="77777777" w:rsidTr="00A50B2E">
        <w:trPr>
          <w:cantSplit/>
          <w:trHeight w:val="2535"/>
          <w:jc w:val="center"/>
        </w:trPr>
        <w:tc>
          <w:tcPr>
            <w:tcW w:w="392" w:type="dxa"/>
            <w:shd w:val="clear" w:color="auto" w:fill="auto"/>
            <w:vAlign w:val="center"/>
          </w:tcPr>
          <w:p w14:paraId="5B970CDA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317" w:type="dxa"/>
            <w:shd w:val="clear" w:color="auto" w:fill="auto"/>
            <w:textDirection w:val="btLr"/>
            <w:vAlign w:val="center"/>
          </w:tcPr>
          <w:p w14:paraId="4CD4FDF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21F760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BFF8BBD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Contratación</w:t>
            </w:r>
          </w:p>
        </w:tc>
        <w:tc>
          <w:tcPr>
            <w:tcW w:w="356" w:type="dxa"/>
            <w:shd w:val="clear" w:color="auto" w:fill="auto"/>
            <w:textDirection w:val="btLr"/>
            <w:vAlign w:val="center"/>
          </w:tcPr>
          <w:p w14:paraId="05A0970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Operacional</w:t>
            </w:r>
          </w:p>
        </w:tc>
        <w:tc>
          <w:tcPr>
            <w:tcW w:w="1197" w:type="dxa"/>
            <w:shd w:val="clear" w:color="auto" w:fill="auto"/>
            <w:textDirection w:val="btLr"/>
            <w:vAlign w:val="center"/>
          </w:tcPr>
          <w:p w14:paraId="7CCF6279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Reclamos de terceros sobre la selección del oferente</w:t>
            </w:r>
          </w:p>
        </w:tc>
        <w:tc>
          <w:tcPr>
            <w:tcW w:w="714" w:type="dxa"/>
            <w:shd w:val="clear" w:color="auto" w:fill="auto"/>
            <w:textDirection w:val="btLr"/>
            <w:vAlign w:val="center"/>
          </w:tcPr>
          <w:p w14:paraId="3B01C839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Retrasen el perfeccionamiento del contrato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E6B0DB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BFB267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6CFF610B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5</w:t>
            </w:r>
          </w:p>
        </w:tc>
        <w:tc>
          <w:tcPr>
            <w:tcW w:w="318" w:type="dxa"/>
            <w:shd w:val="clear" w:color="auto" w:fill="auto"/>
            <w:textDirection w:val="btLr"/>
            <w:vAlign w:val="center"/>
          </w:tcPr>
          <w:p w14:paraId="1C3ADDA8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95636D9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Alcaldía de Sincelejo</w:t>
            </w:r>
          </w:p>
        </w:tc>
        <w:tc>
          <w:tcPr>
            <w:tcW w:w="816" w:type="dxa"/>
            <w:shd w:val="clear" w:color="auto" w:fill="auto"/>
            <w:textDirection w:val="btLr"/>
            <w:vAlign w:val="center"/>
          </w:tcPr>
          <w:p w14:paraId="1B82DAE2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probabilidad de</w:t>
            </w:r>
          </w:p>
          <w:p w14:paraId="0613BE7C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la ocurrencia del evento, publicar oportunamente las respuestas objetivas y bien fundamentadas a las observaciones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E7F5F3B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1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37753F83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28125FB4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4</w:t>
            </w:r>
          </w:p>
        </w:tc>
        <w:tc>
          <w:tcPr>
            <w:tcW w:w="285" w:type="dxa"/>
            <w:shd w:val="clear" w:color="auto" w:fill="auto"/>
            <w:textDirection w:val="btLr"/>
            <w:vAlign w:val="center"/>
          </w:tcPr>
          <w:p w14:paraId="63EE516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8B6EF6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NO</w:t>
            </w:r>
          </w:p>
        </w:tc>
        <w:tc>
          <w:tcPr>
            <w:tcW w:w="705" w:type="dxa"/>
            <w:shd w:val="clear" w:color="auto" w:fill="auto"/>
            <w:textDirection w:val="btLr"/>
            <w:vAlign w:val="center"/>
          </w:tcPr>
          <w:p w14:paraId="2D0A573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Secretaria General y/</w:t>
            </w:r>
            <w:proofErr w:type="spellStart"/>
            <w:r w:rsidRPr="00F10070">
              <w:rPr>
                <w:rFonts w:ascii="Century Gothic" w:eastAsia="Times New Roman" w:hAnsi="Century Gothic" w:cs="Arial"/>
                <w:sz w:val="14"/>
              </w:rPr>
              <w:t>o</w:t>
            </w:r>
            <w:proofErr w:type="spellEnd"/>
            <w:r w:rsidRPr="00F10070">
              <w:rPr>
                <w:rFonts w:ascii="Century Gothic" w:eastAsia="Times New Roman" w:hAnsi="Century Gothic" w:cs="Arial"/>
                <w:sz w:val="14"/>
              </w:rPr>
              <w:t xml:space="preserve"> Oficina Jurídica.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0BFF5C8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Fecha del aviso de Convocatoria.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14:paraId="5F449A40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Fecha de adjudicación</w:t>
            </w:r>
          </w:p>
        </w:tc>
        <w:tc>
          <w:tcPr>
            <w:tcW w:w="846" w:type="dxa"/>
            <w:shd w:val="clear" w:color="auto" w:fill="auto"/>
            <w:textDirection w:val="btLr"/>
            <w:vAlign w:val="center"/>
          </w:tcPr>
          <w:p w14:paraId="65DE639D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SECOP II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1FA0659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Diariamente</w:t>
            </w:r>
          </w:p>
        </w:tc>
      </w:tr>
      <w:tr w:rsidR="00D15C5A" w:rsidRPr="00F10070" w14:paraId="0BB82048" w14:textId="77777777" w:rsidTr="00A50B2E">
        <w:trPr>
          <w:cantSplit/>
          <w:trHeight w:val="2541"/>
          <w:jc w:val="center"/>
        </w:trPr>
        <w:tc>
          <w:tcPr>
            <w:tcW w:w="392" w:type="dxa"/>
            <w:shd w:val="clear" w:color="auto" w:fill="auto"/>
            <w:vAlign w:val="center"/>
          </w:tcPr>
          <w:p w14:paraId="500F9DBD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4</w:t>
            </w:r>
          </w:p>
        </w:tc>
        <w:tc>
          <w:tcPr>
            <w:tcW w:w="317" w:type="dxa"/>
            <w:shd w:val="clear" w:color="auto" w:fill="auto"/>
            <w:textDirection w:val="btLr"/>
            <w:vAlign w:val="center"/>
          </w:tcPr>
          <w:p w14:paraId="02234816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Específico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E91211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0AFA343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Ejecución</w:t>
            </w:r>
          </w:p>
        </w:tc>
        <w:tc>
          <w:tcPr>
            <w:tcW w:w="356" w:type="dxa"/>
            <w:shd w:val="clear" w:color="auto" w:fill="auto"/>
            <w:textDirection w:val="btLr"/>
            <w:vAlign w:val="center"/>
          </w:tcPr>
          <w:p w14:paraId="2D171064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Operacional</w:t>
            </w:r>
          </w:p>
        </w:tc>
        <w:tc>
          <w:tcPr>
            <w:tcW w:w="1197" w:type="dxa"/>
            <w:shd w:val="clear" w:color="auto" w:fill="auto"/>
            <w:textDirection w:val="btLr"/>
            <w:vAlign w:val="center"/>
          </w:tcPr>
          <w:p w14:paraId="68DC9801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Necesidad de reposición redes de Servicios públicos ya sea por la antigüedad de los materiales o por afectación en el normal ejecución del contrato</w:t>
            </w:r>
          </w:p>
        </w:tc>
        <w:tc>
          <w:tcPr>
            <w:tcW w:w="714" w:type="dxa"/>
            <w:shd w:val="clear" w:color="auto" w:fill="auto"/>
            <w:textDirection w:val="btLr"/>
            <w:vAlign w:val="center"/>
          </w:tcPr>
          <w:p w14:paraId="71C049BC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tiempos de ejecución del Proyecto, incremento en los costos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8D9964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E67DC1E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01744424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7</w:t>
            </w:r>
          </w:p>
        </w:tc>
        <w:tc>
          <w:tcPr>
            <w:tcW w:w="318" w:type="dxa"/>
            <w:shd w:val="clear" w:color="auto" w:fill="auto"/>
            <w:textDirection w:val="btLr"/>
            <w:vAlign w:val="center"/>
          </w:tcPr>
          <w:p w14:paraId="6466D95D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8ADBF25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Contratista</w:t>
            </w:r>
          </w:p>
        </w:tc>
        <w:tc>
          <w:tcPr>
            <w:tcW w:w="816" w:type="dxa"/>
            <w:shd w:val="clear" w:color="auto" w:fill="auto"/>
            <w:textDirection w:val="btLr"/>
            <w:vAlign w:val="center"/>
          </w:tcPr>
          <w:p w14:paraId="1C8AC523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Transferir el Riesgo, Verificar el estado actual de las redes de Servicios Públicos con las empresas prestadoras de los mimos para intervenirlas.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2B98943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2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72D395FF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3A2E3C7E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5</w:t>
            </w:r>
          </w:p>
        </w:tc>
        <w:tc>
          <w:tcPr>
            <w:tcW w:w="285" w:type="dxa"/>
            <w:shd w:val="clear" w:color="auto" w:fill="auto"/>
            <w:textDirection w:val="btLr"/>
            <w:vAlign w:val="center"/>
          </w:tcPr>
          <w:p w14:paraId="1AD3742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1B0555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NO</w:t>
            </w:r>
          </w:p>
        </w:tc>
        <w:tc>
          <w:tcPr>
            <w:tcW w:w="705" w:type="dxa"/>
            <w:shd w:val="clear" w:color="auto" w:fill="auto"/>
            <w:textDirection w:val="btLr"/>
            <w:vAlign w:val="center"/>
          </w:tcPr>
          <w:p w14:paraId="50A8649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Secretario de Infraestructura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72714F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Fecha sujeta al acta de Inicio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14:paraId="615B74E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Durante la ejecución de la Obra</w:t>
            </w:r>
          </w:p>
        </w:tc>
        <w:tc>
          <w:tcPr>
            <w:tcW w:w="846" w:type="dxa"/>
            <w:shd w:val="clear" w:color="auto" w:fill="auto"/>
            <w:textDirection w:val="btLr"/>
            <w:vAlign w:val="center"/>
          </w:tcPr>
          <w:p w14:paraId="0CA1D9AE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Mediante comité técnico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3828AE6B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Mensual</w:t>
            </w:r>
          </w:p>
        </w:tc>
      </w:tr>
      <w:tr w:rsidR="00D15C5A" w:rsidRPr="00F10070" w14:paraId="4FF3AD14" w14:textId="77777777" w:rsidTr="00A50B2E">
        <w:trPr>
          <w:cantSplit/>
          <w:trHeight w:val="2264"/>
          <w:jc w:val="center"/>
        </w:trPr>
        <w:tc>
          <w:tcPr>
            <w:tcW w:w="392" w:type="dxa"/>
            <w:shd w:val="clear" w:color="auto" w:fill="auto"/>
            <w:vAlign w:val="center"/>
          </w:tcPr>
          <w:p w14:paraId="31BB22BA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lastRenderedPageBreak/>
              <w:t>5</w:t>
            </w:r>
          </w:p>
        </w:tc>
        <w:tc>
          <w:tcPr>
            <w:tcW w:w="317" w:type="dxa"/>
            <w:shd w:val="clear" w:color="auto" w:fill="auto"/>
            <w:textDirection w:val="btLr"/>
            <w:vAlign w:val="center"/>
          </w:tcPr>
          <w:p w14:paraId="733018B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Específico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7318BA3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C6ADA0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Ejecución</w:t>
            </w:r>
          </w:p>
        </w:tc>
        <w:tc>
          <w:tcPr>
            <w:tcW w:w="356" w:type="dxa"/>
            <w:shd w:val="clear" w:color="auto" w:fill="auto"/>
            <w:textDirection w:val="btLr"/>
            <w:vAlign w:val="center"/>
          </w:tcPr>
          <w:p w14:paraId="7AFFC2EA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Natural</w:t>
            </w:r>
          </w:p>
        </w:tc>
        <w:tc>
          <w:tcPr>
            <w:tcW w:w="1197" w:type="dxa"/>
            <w:shd w:val="clear" w:color="auto" w:fill="auto"/>
            <w:textDirection w:val="btLr"/>
            <w:vAlign w:val="center"/>
          </w:tcPr>
          <w:p w14:paraId="40E58B83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Presencia de fuertes Lluvias</w:t>
            </w:r>
          </w:p>
        </w:tc>
        <w:tc>
          <w:tcPr>
            <w:tcW w:w="714" w:type="dxa"/>
            <w:shd w:val="clear" w:color="auto" w:fill="auto"/>
            <w:textDirection w:val="btLr"/>
            <w:vAlign w:val="center"/>
          </w:tcPr>
          <w:p w14:paraId="4125E7D9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Perdida de materiales y atrasos en la elección de la Obra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63C3FB4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064CE5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264D5D7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7</w:t>
            </w:r>
          </w:p>
        </w:tc>
        <w:tc>
          <w:tcPr>
            <w:tcW w:w="318" w:type="dxa"/>
            <w:shd w:val="clear" w:color="auto" w:fill="auto"/>
            <w:textDirection w:val="btLr"/>
            <w:vAlign w:val="center"/>
          </w:tcPr>
          <w:p w14:paraId="010760FF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320C40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Contratista</w:t>
            </w:r>
          </w:p>
        </w:tc>
        <w:tc>
          <w:tcPr>
            <w:tcW w:w="816" w:type="dxa"/>
            <w:shd w:val="clear" w:color="auto" w:fill="auto"/>
            <w:textDirection w:val="btLr"/>
            <w:vAlign w:val="center"/>
          </w:tcPr>
          <w:p w14:paraId="6B0DB6AE" w14:textId="77777777" w:rsidR="00D15C5A" w:rsidRPr="00F10070" w:rsidRDefault="00D15C5A" w:rsidP="00A50B2E">
            <w:pPr>
              <w:spacing w:line="0" w:lineRule="atLeast"/>
              <w:ind w:left="113" w:right="113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Riesgo, Permanente revisión de los informes de Climas del IDEAM para verificar las programaciones de las actividades de obras.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8263101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2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3C32B1EE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3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7FE0C4A2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5</w:t>
            </w:r>
          </w:p>
        </w:tc>
        <w:tc>
          <w:tcPr>
            <w:tcW w:w="285" w:type="dxa"/>
            <w:shd w:val="clear" w:color="auto" w:fill="auto"/>
            <w:textDirection w:val="btLr"/>
            <w:vAlign w:val="center"/>
          </w:tcPr>
          <w:p w14:paraId="6CE47E80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Riesgo 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D5D3E3" w14:textId="77777777" w:rsidR="00D15C5A" w:rsidRPr="00F10070" w:rsidRDefault="00D15C5A" w:rsidP="00A50B2E">
            <w:pPr>
              <w:spacing w:line="0" w:lineRule="atLeast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NO</w:t>
            </w:r>
          </w:p>
        </w:tc>
        <w:tc>
          <w:tcPr>
            <w:tcW w:w="705" w:type="dxa"/>
            <w:shd w:val="clear" w:color="auto" w:fill="auto"/>
            <w:textDirection w:val="btLr"/>
            <w:vAlign w:val="center"/>
          </w:tcPr>
          <w:p w14:paraId="6A2E67C8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Secretario de Infraestructura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15045F7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Fecha sujeta al acta de Inicio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14:paraId="4F98D432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Durante la ejecución de la Obra</w:t>
            </w:r>
          </w:p>
        </w:tc>
        <w:tc>
          <w:tcPr>
            <w:tcW w:w="846" w:type="dxa"/>
            <w:shd w:val="clear" w:color="auto" w:fill="auto"/>
            <w:textDirection w:val="btLr"/>
            <w:vAlign w:val="center"/>
          </w:tcPr>
          <w:p w14:paraId="3511563C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Mediante comité técnico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75260DFE" w14:textId="77777777" w:rsidR="00D15C5A" w:rsidRPr="00F10070" w:rsidRDefault="00D15C5A" w:rsidP="00A50B2E">
            <w:pPr>
              <w:spacing w:line="0" w:lineRule="atLeast"/>
              <w:ind w:left="113" w:right="113"/>
              <w:jc w:val="center"/>
              <w:rPr>
                <w:rFonts w:ascii="Century Gothic" w:eastAsia="Times New Roman" w:hAnsi="Century Gothic" w:cs="Arial"/>
                <w:sz w:val="14"/>
              </w:rPr>
            </w:pPr>
            <w:r w:rsidRPr="00F10070">
              <w:rPr>
                <w:rFonts w:ascii="Century Gothic" w:eastAsia="Times New Roman" w:hAnsi="Century Gothic" w:cs="Arial"/>
                <w:sz w:val="14"/>
              </w:rPr>
              <w:t>Mensual</w:t>
            </w:r>
          </w:p>
        </w:tc>
      </w:tr>
    </w:tbl>
    <w:p w14:paraId="168C9C57" w14:textId="06F368D3" w:rsidR="00D70D7B" w:rsidRPr="00D15C5A" w:rsidRDefault="00D70D7B" w:rsidP="00D70D7B">
      <w:pPr>
        <w:spacing w:after="100" w:afterAutospacing="1"/>
        <w:rPr>
          <w:rFonts w:ascii="Century Gothic" w:eastAsia="SimSun" w:hAnsi="Century Gothic" w:cs="Arial"/>
          <w:kern w:val="3"/>
          <w:sz w:val="20"/>
          <w:szCs w:val="20"/>
          <w:lang w:eastAsia="zh-CN" w:bidi="hi-IN"/>
        </w:rPr>
      </w:pPr>
    </w:p>
    <w:sectPr w:rsidR="00D70D7B" w:rsidRPr="00D15C5A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CC76E" w14:textId="77777777" w:rsidR="00BA0D83" w:rsidRDefault="00BA0D83" w:rsidP="00091875">
      <w:pPr>
        <w:spacing w:line="240" w:lineRule="auto"/>
      </w:pPr>
      <w:r>
        <w:separator/>
      </w:r>
    </w:p>
  </w:endnote>
  <w:endnote w:type="continuationSeparator" w:id="0">
    <w:p w14:paraId="2E68CF64" w14:textId="77777777" w:rsidR="00BA0D83" w:rsidRDefault="00BA0D83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A085BB8" w:rsidR="00F56CD2" w:rsidRPr="00925AC3" w:rsidRDefault="001B6DB3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B8E80" w14:textId="77777777" w:rsidR="00BA0D83" w:rsidRDefault="00BA0D83" w:rsidP="00091875">
      <w:pPr>
        <w:spacing w:line="240" w:lineRule="auto"/>
      </w:pPr>
      <w:r>
        <w:separator/>
      </w:r>
    </w:p>
  </w:footnote>
  <w:footnote w:type="continuationSeparator" w:id="0">
    <w:p w14:paraId="2F8216B1" w14:textId="77777777" w:rsidR="00BA0D83" w:rsidRDefault="00BA0D83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1E42" w14:textId="089D1350" w:rsidR="00D15C5A" w:rsidRDefault="00000000">
    <w:pPr>
      <w:pStyle w:val="Encabezado"/>
    </w:pPr>
    <w:r>
      <w:rPr>
        <w:rFonts w:ascii="Arial" w:hAnsi="Arial" w:cs="Arial"/>
        <w:b/>
        <w:noProof/>
        <w:sz w:val="16"/>
        <w:szCs w:val="16"/>
      </w:rPr>
      <w:pict w14:anchorId="48A2BA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226814" o:spid="_x0000_s1026" type="#_x0000_t75" style="position:absolute;left:0;text-align:left;margin-left:-69.4pt;margin-top:-131.75pt;width:612pt;height:791.45pt;z-index:-251658752;mso-position-horizontal-relative:margin;mso-position-vertical-relative:margin" o:allowincell="f">
          <v:imagedata r:id="rId1" o:title=""/>
          <w10:wrap anchorx="margin" anchory="margin"/>
        </v:shape>
      </w:pict>
    </w:r>
  </w:p>
  <w:p w14:paraId="2B7964E4" w14:textId="77777777" w:rsidR="00D15C5A" w:rsidRDefault="00D15C5A">
    <w:pPr>
      <w:pStyle w:val="Encabezado"/>
    </w:pPr>
  </w:p>
  <w:p w14:paraId="4DE04461" w14:textId="77777777" w:rsidR="00D15C5A" w:rsidRDefault="00D15C5A">
    <w:pPr>
      <w:pStyle w:val="Encabezado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D15C5A" w:rsidRPr="0002791E" w14:paraId="3FF2CF0A" w14:textId="77777777" w:rsidTr="00A50B2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FAC09BE" w14:textId="77777777" w:rsidR="00D15C5A" w:rsidRPr="00663D2F" w:rsidRDefault="00D15C5A" w:rsidP="00D15C5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5FE82F4" w14:textId="77777777" w:rsidR="00D15C5A" w:rsidRPr="000E0EF2" w:rsidRDefault="00D15C5A" w:rsidP="00D15C5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D15C5A" w:rsidRPr="0002791E" w14:paraId="71EAB8F9" w14:textId="77777777" w:rsidTr="00A50B2E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0FD8AF9" w14:textId="77777777" w:rsidR="00D15C5A" w:rsidRPr="00912B23" w:rsidRDefault="00D15C5A" w:rsidP="00D15C5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9C95236" w14:textId="77777777" w:rsidR="00D15C5A" w:rsidRPr="006030C5" w:rsidRDefault="00D15C5A" w:rsidP="00D15C5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CCE-EICP-FM-73</w:t>
          </w:r>
        </w:p>
      </w:tc>
      <w:tc>
        <w:tcPr>
          <w:tcW w:w="539" w:type="pct"/>
          <w:shd w:val="clear" w:color="auto" w:fill="auto"/>
          <w:vAlign w:val="center"/>
        </w:tcPr>
        <w:p w14:paraId="3B63E711" w14:textId="77777777" w:rsidR="00D15C5A" w:rsidRPr="006030C5" w:rsidRDefault="00D15C5A" w:rsidP="00D15C5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02A43DFD" w14:textId="77777777" w:rsidR="00D15C5A" w:rsidRPr="006030C5" w:rsidRDefault="00D15C5A" w:rsidP="00D15C5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15C5A" w:rsidRPr="0002791E" w14:paraId="576FD789" w14:textId="77777777" w:rsidTr="00A50B2E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54C70CCA" w14:textId="77777777" w:rsidR="00D15C5A" w:rsidRPr="00912B23" w:rsidRDefault="00D15C5A" w:rsidP="00D15C5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342742D" w14:textId="77777777" w:rsidR="00D15C5A" w:rsidRPr="006030C5" w:rsidRDefault="00D15C5A" w:rsidP="00D15C5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16A9E58F" w14:textId="65BFC2B2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6204239">
    <w:abstractNumId w:val="6"/>
  </w:num>
  <w:num w:numId="2" w16cid:durableId="1976175677">
    <w:abstractNumId w:val="6"/>
  </w:num>
  <w:num w:numId="3" w16cid:durableId="190000333">
    <w:abstractNumId w:val="6"/>
  </w:num>
  <w:num w:numId="4" w16cid:durableId="1908032375">
    <w:abstractNumId w:val="6"/>
  </w:num>
  <w:num w:numId="5" w16cid:durableId="1759476286">
    <w:abstractNumId w:val="6"/>
  </w:num>
  <w:num w:numId="6" w16cid:durableId="338505923">
    <w:abstractNumId w:val="6"/>
  </w:num>
  <w:num w:numId="7" w16cid:durableId="2146654958">
    <w:abstractNumId w:val="6"/>
  </w:num>
  <w:num w:numId="8" w16cid:durableId="1679651120">
    <w:abstractNumId w:val="6"/>
  </w:num>
  <w:num w:numId="9" w16cid:durableId="607855327">
    <w:abstractNumId w:val="6"/>
  </w:num>
  <w:num w:numId="10" w16cid:durableId="861699648">
    <w:abstractNumId w:val="3"/>
  </w:num>
  <w:num w:numId="11" w16cid:durableId="103232995">
    <w:abstractNumId w:val="1"/>
  </w:num>
  <w:num w:numId="12" w16cid:durableId="745415364">
    <w:abstractNumId w:val="21"/>
  </w:num>
  <w:num w:numId="13" w16cid:durableId="199825661">
    <w:abstractNumId w:val="29"/>
  </w:num>
  <w:num w:numId="14" w16cid:durableId="121925179">
    <w:abstractNumId w:val="14"/>
  </w:num>
  <w:num w:numId="15" w16cid:durableId="2068726276">
    <w:abstractNumId w:val="16"/>
  </w:num>
  <w:num w:numId="16" w16cid:durableId="701827347">
    <w:abstractNumId w:val="0"/>
  </w:num>
  <w:num w:numId="17" w16cid:durableId="1549804155">
    <w:abstractNumId w:val="2"/>
  </w:num>
  <w:num w:numId="18" w16cid:durableId="1701130295">
    <w:abstractNumId w:val="9"/>
  </w:num>
  <w:num w:numId="19" w16cid:durableId="86509129">
    <w:abstractNumId w:val="4"/>
  </w:num>
  <w:num w:numId="20" w16cid:durableId="1995714075">
    <w:abstractNumId w:val="18"/>
  </w:num>
  <w:num w:numId="21" w16cid:durableId="237904917">
    <w:abstractNumId w:val="7"/>
  </w:num>
  <w:num w:numId="22" w16cid:durableId="929774300">
    <w:abstractNumId w:val="27"/>
  </w:num>
  <w:num w:numId="23" w16cid:durableId="2108572860">
    <w:abstractNumId w:val="11"/>
  </w:num>
  <w:num w:numId="24" w16cid:durableId="1113136927">
    <w:abstractNumId w:val="12"/>
  </w:num>
  <w:num w:numId="25" w16cid:durableId="476149118">
    <w:abstractNumId w:val="5"/>
  </w:num>
  <w:num w:numId="26" w16cid:durableId="1779596702">
    <w:abstractNumId w:val="17"/>
  </w:num>
  <w:num w:numId="27" w16cid:durableId="1007976142">
    <w:abstractNumId w:val="15"/>
  </w:num>
  <w:num w:numId="28" w16cid:durableId="969868010">
    <w:abstractNumId w:val="10"/>
  </w:num>
  <w:num w:numId="29" w16cid:durableId="457769595">
    <w:abstractNumId w:val="25"/>
  </w:num>
  <w:num w:numId="30" w16cid:durableId="994407756">
    <w:abstractNumId w:val="26"/>
  </w:num>
  <w:num w:numId="31" w16cid:durableId="55664012">
    <w:abstractNumId w:val="24"/>
  </w:num>
  <w:num w:numId="32" w16cid:durableId="989363002">
    <w:abstractNumId w:val="13"/>
  </w:num>
  <w:num w:numId="33" w16cid:durableId="419840219">
    <w:abstractNumId w:val="23"/>
  </w:num>
  <w:num w:numId="34" w16cid:durableId="1940991801">
    <w:abstractNumId w:val="8"/>
  </w:num>
  <w:num w:numId="35" w16cid:durableId="188489508">
    <w:abstractNumId w:val="22"/>
  </w:num>
  <w:num w:numId="36" w16cid:durableId="25377703">
    <w:abstractNumId w:val="28"/>
  </w:num>
  <w:num w:numId="37" w16cid:durableId="1184899692">
    <w:abstractNumId w:val="20"/>
  </w:num>
  <w:num w:numId="38" w16cid:durableId="21212958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05D70"/>
    <w:rsid w:val="0021061A"/>
    <w:rsid w:val="002409E4"/>
    <w:rsid w:val="00276256"/>
    <w:rsid w:val="00277255"/>
    <w:rsid w:val="00286083"/>
    <w:rsid w:val="0029563C"/>
    <w:rsid w:val="002A4809"/>
    <w:rsid w:val="002F17C7"/>
    <w:rsid w:val="003322F8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0D83"/>
    <w:rsid w:val="00BA3870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15C5A"/>
    <w:rsid w:val="00D55C91"/>
    <w:rsid w:val="00D70D7B"/>
    <w:rsid w:val="00D8093A"/>
    <w:rsid w:val="00D86ECC"/>
    <w:rsid w:val="00DA2321"/>
    <w:rsid w:val="00DA4772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96577D-B6D3-42EB-87D9-3F70F7ED5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Carlos E. C</cp:lastModifiedBy>
  <cp:revision>8</cp:revision>
  <cp:lastPrinted>2022-07-22T22:12:00Z</cp:lastPrinted>
  <dcterms:created xsi:type="dcterms:W3CDTF">2022-07-22T22:12:00Z</dcterms:created>
  <dcterms:modified xsi:type="dcterms:W3CDTF">2023-03-01T20:53:00Z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