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10A" w:rsidRPr="00AA2186" w:rsidRDefault="00AD610A" w:rsidP="00AD610A">
      <w:pPr>
        <w:keepNext/>
        <w:pBdr>
          <w:bottom w:val="single" w:sz="12" w:space="1" w:color="auto"/>
        </w:pBdr>
        <w:spacing w:after="0" w:line="240" w:lineRule="auto"/>
        <w:jc w:val="center"/>
        <w:outlineLvl w:val="2"/>
        <w:rPr>
          <w:rFonts w:ascii="Arial Narrow" w:eastAsia="Times New Roman" w:hAnsi="Arial Narrow" w:cs="Arial"/>
          <w:b/>
          <w:bCs/>
          <w:sz w:val="18"/>
          <w:szCs w:val="18"/>
          <w:lang w:eastAsia="es-CO"/>
        </w:rPr>
      </w:pPr>
      <w:bookmarkStart w:id="0" w:name="ANEXO_ESP_TECNICAS"/>
      <w:bookmarkStart w:id="1" w:name="_Toc474143670"/>
      <w:bookmarkStart w:id="2" w:name="_Toc474417451"/>
      <w:bookmarkStart w:id="3" w:name="_Toc474417533"/>
      <w:bookmarkStart w:id="4" w:name="_Toc481584462"/>
      <w:r w:rsidRPr="005D254D">
        <w:rPr>
          <w:rFonts w:ascii="Arial Narrow" w:eastAsia="Times New Roman" w:hAnsi="Arial Narrow" w:cs="Arial"/>
          <w:b/>
          <w:bCs/>
          <w:color w:val="FF0000"/>
          <w:sz w:val="18"/>
          <w:szCs w:val="18"/>
          <w:lang w:eastAsia="es-CO"/>
        </w:rPr>
        <w:t>Anexo</w:t>
      </w:r>
      <w:r w:rsidR="001F5CEB">
        <w:rPr>
          <w:rFonts w:ascii="Arial Narrow" w:eastAsia="Times New Roman" w:hAnsi="Arial Narrow" w:cs="Arial"/>
          <w:b/>
          <w:bCs/>
          <w:color w:val="FF0000"/>
          <w:sz w:val="18"/>
          <w:szCs w:val="18"/>
          <w:lang w:eastAsia="es-CO"/>
        </w:rPr>
        <w:t xml:space="preserve"> </w:t>
      </w:r>
      <w:r w:rsidR="0013362B">
        <w:rPr>
          <w:rFonts w:ascii="Arial Narrow" w:eastAsia="Times New Roman" w:hAnsi="Arial Narrow" w:cs="Arial"/>
          <w:b/>
          <w:bCs/>
          <w:color w:val="FF0000"/>
          <w:sz w:val="18"/>
          <w:szCs w:val="18"/>
          <w:lang w:eastAsia="es-CO"/>
        </w:rPr>
        <w:t>7</w:t>
      </w:r>
      <w:bookmarkStart w:id="5" w:name="_GoBack"/>
      <w:bookmarkEnd w:id="0"/>
      <w:bookmarkEnd w:id="5"/>
      <w:r w:rsidRPr="00AA2186">
        <w:rPr>
          <w:rFonts w:ascii="Arial Narrow" w:eastAsia="Times New Roman" w:hAnsi="Arial Narrow" w:cs="Arial"/>
          <w:b/>
          <w:bCs/>
          <w:sz w:val="18"/>
          <w:szCs w:val="18"/>
          <w:lang w:eastAsia="es-CO"/>
        </w:rPr>
        <w:tab/>
        <w:t xml:space="preserve">- </w:t>
      </w:r>
      <w:bookmarkEnd w:id="1"/>
      <w:bookmarkEnd w:id="2"/>
      <w:bookmarkEnd w:id="3"/>
      <w:bookmarkEnd w:id="4"/>
      <w:r w:rsidR="005B5AD9" w:rsidRPr="005B5AD9">
        <w:rPr>
          <w:rFonts w:ascii="Arial Narrow" w:eastAsia="Times New Roman" w:hAnsi="Arial Narrow" w:cs="Arial"/>
          <w:b/>
          <w:bCs/>
          <w:sz w:val="18"/>
          <w:szCs w:val="18"/>
          <w:lang w:eastAsia="es-CO"/>
        </w:rPr>
        <w:t>Lineamientos contractuales  para los oferentes en cumplimiento de la implementación del sistema de Gestión de Seguridad y Salud en el Trabajo (SG-SST)</w:t>
      </w:r>
    </w:p>
    <w:p w:rsidR="00084C60" w:rsidRDefault="00084C60" w:rsidP="00084C60">
      <w:pPr>
        <w:spacing w:after="0" w:line="240" w:lineRule="auto"/>
        <w:jc w:val="both"/>
        <w:rPr>
          <w:rFonts w:ascii="Arial" w:eastAsiaTheme="minorEastAsia" w:hAnsi="Arial" w:cs="Arial"/>
          <w:sz w:val="16"/>
          <w:szCs w:val="16"/>
          <w:lang w:eastAsia="es-CO"/>
        </w:rPr>
      </w:pPr>
      <w:bookmarkStart w:id="6" w:name="PROCESO_CONTENIDO_ANEXO_TECNICO"/>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FC5672">
      <w:pPr>
        <w:pStyle w:val="Prrafodelista"/>
        <w:numPr>
          <w:ilvl w:val="0"/>
          <w:numId w:val="38"/>
        </w:numPr>
        <w:ind w:hanging="1080"/>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El contratista de obra debe realizar las siguientes acciones en cuanto a seguridad y salud en el trabajo:</w:t>
      </w:r>
    </w:p>
    <w:p w:rsidR="005E5C90" w:rsidRPr="005E5C90" w:rsidRDefault="005E5C90" w:rsidP="005E5C90">
      <w:pPr>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Antes de iniciar las actividades, el contratista debe presentar un sistema de gestión de seguridad y salud en el trabajo de sus trabajadores.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Asignar una persona responsable de coordinar y orientar continuamente la aplicación eficiente del sistema de gestión de seguridad y salud a sus trabajadores.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Afiliar a su personal al Sistema de Seguridad Social Integral y pagar los aportes  correspondientes.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Realizar los exámenes médicos de pre-empleo y control periódico, por su cuenta, de acuerdo con lo establecido por las leyes y reglamentos.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 xml:space="preserve">Conformar y poner en funcionamiento el Comité Paritario de seguridad y salud en el trabajo </w:t>
      </w:r>
      <w:proofErr w:type="gramStart"/>
      <w:r w:rsidRPr="005E5C90">
        <w:rPr>
          <w:rFonts w:ascii="Arial" w:eastAsiaTheme="minorEastAsia" w:hAnsi="Arial" w:cs="Arial"/>
          <w:sz w:val="16"/>
          <w:szCs w:val="16"/>
          <w:lang w:eastAsia="es-CO"/>
        </w:rPr>
        <w:t>( COPASST</w:t>
      </w:r>
      <w:proofErr w:type="gramEnd"/>
      <w:r w:rsidRPr="005E5C90">
        <w:rPr>
          <w:rFonts w:ascii="Arial" w:eastAsiaTheme="minorEastAsia" w:hAnsi="Arial" w:cs="Arial"/>
          <w:sz w:val="16"/>
          <w:szCs w:val="16"/>
          <w:lang w:eastAsia="es-CO"/>
        </w:rPr>
        <w:t>), de acuerdo con la resolución 1016 de 1989  y decreto 1072 de 2015.</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Realizar investigaciones de accidentes o incidentes laborales que se presentan de forma conjunta con el área de seguridad y salud en el trabajo de la Unidad, para tomar las acciones correctivas pertinentes de acuerdo con la resolución 1401 del 2007.</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Cada vez que se presente un accidente de trabajo, el contratista está obligado a garantizar el traslado y la atención inmediata del accidentado.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El contratista realizará y mantendrá actualizadas las estadísticas de accidentes que se produzcan en el desarrollo de actividades en la Unidad. Dichas estadísticas contemplarán como mínimo:</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1.</w:t>
      </w:r>
      <w:r w:rsidRPr="005E5C90">
        <w:rPr>
          <w:rFonts w:ascii="Arial" w:eastAsiaTheme="minorEastAsia" w:hAnsi="Arial" w:cs="Arial"/>
          <w:sz w:val="16"/>
          <w:szCs w:val="16"/>
          <w:lang w:eastAsia="es-CO"/>
        </w:rPr>
        <w:tab/>
        <w:t>Número de accidentes ocurridos en el mes, con o sin incapacidad.</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2.</w:t>
      </w:r>
      <w:r w:rsidRPr="005E5C90">
        <w:rPr>
          <w:rFonts w:ascii="Arial" w:eastAsiaTheme="minorEastAsia" w:hAnsi="Arial" w:cs="Arial"/>
          <w:sz w:val="16"/>
          <w:szCs w:val="16"/>
          <w:lang w:eastAsia="es-CO"/>
        </w:rPr>
        <w:tab/>
        <w:t>Días de incapacidad por accidente en el mes.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3.</w:t>
      </w:r>
      <w:r w:rsidRPr="005E5C90">
        <w:rPr>
          <w:rFonts w:ascii="Arial" w:eastAsiaTheme="minorEastAsia" w:hAnsi="Arial" w:cs="Arial"/>
          <w:sz w:val="16"/>
          <w:szCs w:val="16"/>
          <w:lang w:eastAsia="es-CO"/>
        </w:rPr>
        <w:tab/>
        <w:t>Tipo de accidente (caídas, golpes, etc.).</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4.</w:t>
      </w:r>
      <w:r w:rsidRPr="005E5C90">
        <w:rPr>
          <w:rFonts w:ascii="Arial" w:eastAsiaTheme="minorEastAsia" w:hAnsi="Arial" w:cs="Arial"/>
          <w:sz w:val="16"/>
          <w:szCs w:val="16"/>
          <w:lang w:eastAsia="es-CO"/>
        </w:rPr>
        <w:tab/>
        <w:t>Causas básicas e inmediatas de los accidentes.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5.</w:t>
      </w:r>
      <w:r w:rsidRPr="005E5C90">
        <w:rPr>
          <w:rFonts w:ascii="Arial" w:eastAsiaTheme="minorEastAsia" w:hAnsi="Arial" w:cs="Arial"/>
          <w:sz w:val="16"/>
          <w:szCs w:val="16"/>
          <w:lang w:eastAsia="es-CO"/>
        </w:rPr>
        <w:tab/>
        <w:t>Medidas correctivas tomadas.</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contratista deberá realizar la investigación del accidente y generar acciones para atacar las causas básicas y evitar que el evento se repita. Deberá mantener en archivo el registro del resultado de la investigación y del plan de acción.</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En ningún caso debe obstruir equipos para atención de emergencias como extintores, gabinetes contra incendio, entre otros.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Si durante las actividades que realice el contratista en la Unidad, se presenta una emergencia, el personal contratista deberá acatar las orientaciones dadas por el funcionario de la Unidad encargado de la emergencia y acatar la señalización de la Unidad.</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Tener en su campamento elementos de botiquín que se requieran para sortear emergencias de personal a su cargo.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o.</w:t>
      </w:r>
      <w:r w:rsidRPr="005E5C90">
        <w:rPr>
          <w:rFonts w:ascii="Arial" w:eastAsiaTheme="minorEastAsia" w:hAnsi="Arial" w:cs="Arial"/>
          <w:sz w:val="16"/>
          <w:szCs w:val="16"/>
          <w:lang w:eastAsia="es-CO"/>
        </w:rPr>
        <w:tab/>
        <w:t>Cerciorarse de que los envases, recipientes y contenedores se encuentren debidamente cerrados para evitar posibles derrames.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p.</w:t>
      </w:r>
      <w:r w:rsidRPr="005E5C90">
        <w:rPr>
          <w:rFonts w:ascii="Arial" w:eastAsiaTheme="minorEastAsia" w:hAnsi="Arial" w:cs="Arial"/>
          <w:sz w:val="16"/>
          <w:szCs w:val="16"/>
          <w:lang w:eastAsia="es-CO"/>
        </w:rPr>
        <w:tab/>
        <w:t>El contratista garantiza que sus empleados y subcontratistas no realizarán ninguna labor relacionada con la ejecución del servicio, estando bajo la influencia de alcohol o de cualquier otra sustancia psicoactiva u alcohólica. Así mismo no podrán usar, poseer, distribuir o vender bebidas alcohólicas, drogas ilícitas o drogas controladas no prescritas o accesorios de drogas, o hacer mal uso de drogas de prescripción legítima, cuando estén realizando trabajos para la FAC.</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q.</w:t>
      </w:r>
      <w:r w:rsidRPr="005E5C90">
        <w:rPr>
          <w:rFonts w:ascii="Arial" w:eastAsiaTheme="minorEastAsia" w:hAnsi="Arial" w:cs="Arial"/>
          <w:sz w:val="16"/>
          <w:szCs w:val="16"/>
          <w:lang w:eastAsia="es-CO"/>
        </w:rPr>
        <w:tab/>
        <w:t>El contratista, tiene la obligación de proporcionar a todo su personal equipos de protección y dotación de trabajo adecuada para resguardarlo de daños por efectos mecánicos, contaminantes, ambientales y climáticos relacionados con la actividad. Además, deberá controlar el uso correcto y la calidad; así mismo efectuar la reposición oportuna de estos.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r.</w:t>
      </w:r>
      <w:r w:rsidRPr="005E5C90">
        <w:rPr>
          <w:rFonts w:ascii="Arial" w:eastAsiaTheme="minorEastAsia" w:hAnsi="Arial" w:cs="Arial"/>
          <w:sz w:val="16"/>
          <w:szCs w:val="16"/>
          <w:lang w:eastAsia="es-CO"/>
        </w:rPr>
        <w:tab/>
        <w:t>Localizar y señalizar las zonas específicas para el almacenamiento de materias primas, auxiliares, residuos y mantenimiento de vehículos y equipos. Imponer una velocidad máxima de circulación de 20 km/h dentro de la obra.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s.</w:t>
      </w:r>
      <w:r w:rsidRPr="005E5C90">
        <w:rPr>
          <w:rFonts w:ascii="Arial" w:eastAsiaTheme="minorEastAsia" w:hAnsi="Arial" w:cs="Arial"/>
          <w:sz w:val="16"/>
          <w:szCs w:val="16"/>
          <w:lang w:eastAsia="es-CO"/>
        </w:rPr>
        <w:tab/>
        <w:t>Demarcación y control de áreas donde se desarrolle la actividad, para evitar el ingreso de personas y que brinden una separación segura contra la caída de materiales, esquirlas, etc.</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t.</w:t>
      </w:r>
      <w:r w:rsidRPr="005E5C90">
        <w:rPr>
          <w:rFonts w:ascii="Arial" w:eastAsiaTheme="minorEastAsia" w:hAnsi="Arial" w:cs="Arial"/>
          <w:sz w:val="16"/>
          <w:szCs w:val="16"/>
          <w:lang w:eastAsia="es-CO"/>
        </w:rPr>
        <w:tab/>
        <w:t>Acciones necesarias para el control de líquidos, gases y/o vapores generados por el almacenamiento, transporte y uso de productos químicos.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u.</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v.</w:t>
      </w:r>
      <w:r w:rsidRPr="005E5C90">
        <w:rPr>
          <w:rFonts w:ascii="Arial" w:eastAsiaTheme="minorEastAsia" w:hAnsi="Arial" w:cs="Arial"/>
          <w:sz w:val="16"/>
          <w:szCs w:val="16"/>
          <w:lang w:eastAsia="es-CO"/>
        </w:rPr>
        <w:tab/>
        <w:t>El contratista está obligado a inspeccionar y mantener el inventario suficiente de EPP para remplazarlos en caso de deterioro o pérdida. Los EPP utilizados deben cumplir con las normas técnicas NTC, NIOSH (para equipo de protección respiratoria) y ANSI (para los demás equipos de protección personal). (Ley 9 de 1979).</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w.</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x.</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y.</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z.</w:t>
      </w:r>
      <w:r w:rsidRPr="005E5C90">
        <w:rPr>
          <w:rFonts w:ascii="Arial" w:eastAsiaTheme="minorEastAsia" w:hAnsi="Arial" w:cs="Arial"/>
          <w:sz w:val="16"/>
          <w:szCs w:val="16"/>
          <w:lang w:eastAsia="es-CO"/>
        </w:rPr>
        <w:tab/>
        <w:t>El contratista que no desee afiliarse al Sistema General de Riesgos Profesionales, debe manifestarlo por escrito y anexar dicha comunicación a la documentación requerida por el área de contratación.</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  Portar el carné de afiliación a EPS, ARP y AFP, además de la Cédula de Ciudadanía.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 El contratista debe presentar listado de nombres y números de cédula de sus trabajadores y subcontratistas. Cada vez que se presenten cambios debe notificarlos al interventor o supervisor del contrato.</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 El contratista está obligado a realizar las capacitaciones y entrenamientos necesarios para evitar accidentes y enfermedades profesionales para sus trabajadores y subcontratistas</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 No se debe fumar ni prender fuego (encendedores, cerillas), en las áreas de trabajo y en las áreas prohibidas.</w:t>
      </w:r>
    </w:p>
    <w:p w:rsidR="005E5C90" w:rsidRDefault="005E5C90" w:rsidP="005E5C90">
      <w:pPr>
        <w:spacing w:after="0" w:line="240" w:lineRule="auto"/>
        <w:jc w:val="both"/>
        <w:rPr>
          <w:rFonts w:ascii="Arial" w:eastAsiaTheme="minorEastAsia" w:hAnsi="Arial" w:cs="Arial"/>
          <w:sz w:val="16"/>
          <w:szCs w:val="16"/>
          <w:lang w:eastAsia="es-CO"/>
        </w:rPr>
      </w:pPr>
    </w:p>
    <w:p w:rsidR="005E5C90" w:rsidRDefault="005E5C90" w:rsidP="005E5C90">
      <w:pPr>
        <w:spacing w:after="0" w:line="240" w:lineRule="auto"/>
        <w:jc w:val="both"/>
        <w:rPr>
          <w:rFonts w:ascii="Arial" w:eastAsiaTheme="minorEastAsia" w:hAnsi="Arial" w:cs="Arial"/>
          <w:sz w:val="16"/>
          <w:szCs w:val="16"/>
          <w:lang w:eastAsia="es-CO"/>
        </w:rPr>
      </w:pPr>
    </w:p>
    <w:p w:rsid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w:t>
      </w:r>
      <w:r w:rsidRPr="005E5C90">
        <w:rPr>
          <w:rFonts w:ascii="Arial" w:eastAsiaTheme="minorEastAsia" w:hAnsi="Arial" w:cs="Arial"/>
          <w:sz w:val="16"/>
          <w:szCs w:val="16"/>
          <w:lang w:eastAsia="es-CO"/>
        </w:rPr>
        <w:tab/>
        <w:t>Para dar cumplimiento a la legislación ambiental vigente, los contratistas de obra deben:</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 xml:space="preserve">Presentar un plan de manejo ambiental para controlar, mitigación y prevención de impactos ambientales causados por actividades que impliquen la generación de ruido, material </w:t>
      </w:r>
      <w:proofErr w:type="spellStart"/>
      <w:r w:rsidRPr="005E5C90">
        <w:rPr>
          <w:rFonts w:ascii="Arial" w:eastAsiaTheme="minorEastAsia" w:hAnsi="Arial" w:cs="Arial"/>
          <w:sz w:val="16"/>
          <w:szCs w:val="16"/>
          <w:lang w:eastAsia="es-CO"/>
        </w:rPr>
        <w:t>particulado</w:t>
      </w:r>
      <w:proofErr w:type="spellEnd"/>
      <w:r w:rsidRPr="005E5C90">
        <w:rPr>
          <w:rFonts w:ascii="Arial" w:eastAsiaTheme="minorEastAsia" w:hAnsi="Arial" w:cs="Arial"/>
          <w:sz w:val="16"/>
          <w:szCs w:val="16"/>
          <w:lang w:eastAsia="es-CO"/>
        </w:rPr>
        <w:t>, gases y/o vapores, vertimientos, generación de residuos.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Dependiendo del tiempo de obra se debe entregar al supervisor de la obra mensualmente un reporte donde se evidencie el cumplimento del plan de manejo ambiental</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Realizar una señalización específica para las zonas con vegetación de interés, para evitar que resulten dañadas durante las actividades de obra.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Vigilar por el mantenimiento de la limpieza y el orden en la zona de obras y vías de acceso. Emplear lonas en camiones de transporte de tierras, dentro y fuera de la obra.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No verter nunca a la red de alcantarillado productos o residuos potencialmente contaminantes. Ni lavar la maquinaria y los equipos de obra en la zona.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Aplicar las medidas necesarias para que los vehículos encargados del transporte de tierras y escombros no provoquen vertidos accidentales de su contenido y ensucien las vías.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El lugar en el que se encuentren los escombros debe encontrarse debidamente señalizado; en ningún caso, los escombros deben permanecer en zonas verdes o áreas de circulación. El contratista debe garantizar que todos los espacios utilizados para el almacenamiento de escombros que- den libres de ellos. Es responsabilidad del contratista la disposición final en escombreras autorizadas, para lo cual debe entregar al supervisor una certificación de la escombrera.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Optimizar el rendimiento de los vehículos y maquinaria, para reducir las emisiones atmosféricas, el ruido generado y optimizar el consumo de combustible.</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Recoger frecuentemente los residuos generados en la obra y trasladarlos a las zonas previstas para su almacenamiento temporal. Disponiendo de contenedores para cada tipo de residuo. Evitar la proximidad entre residuos cuyas características puedan suponer un aumento de la peligrosidad.</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Gestionar los residuos de forma adecuada, según la normatividad ambiental vigente. No realizar quemas de los residuos ni depositar estos en vertederos que no sean autorizados.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Hacer uso eficiente de energía en las zonas de servicios y vestuarios de los trabajadores. Elegir maquinaria de obras y equipos de alta eficiencia energética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Utilizar pinturas con bajo contenido en compuestos orgánico volátiles (COV) o base acuosa.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La FAC podrá exigir a la empresa contratista los registros que soporten la formación ambiental requerida o instrucciones específicas para el correcto control de los aspectos e impactos ambientales generados en el desarrollo de la obra.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Acciones para controlar ruidos que intervengan con la actividad normal de la Universidad. Los controles incluirán la realización de la actividad en horas y días no hábiles, métodos alternativos para realizar las actividades y/o barreras físicas.</w:t>
      </w:r>
    </w:p>
    <w:p w:rsid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III.</w:t>
      </w:r>
      <w:r w:rsidRPr="005E5C90">
        <w:rPr>
          <w:rFonts w:ascii="Arial" w:eastAsiaTheme="minorEastAsia" w:hAnsi="Arial" w:cs="Arial"/>
          <w:sz w:val="16"/>
          <w:szCs w:val="16"/>
          <w:lang w:eastAsia="es-CO"/>
        </w:rPr>
        <w:tab/>
        <w:t>Para los proveedores o prestadores de servicios en la FAC es importante que se tengan en la cuenta los siguientes aspectos para la Seguridad y Salud ocupacional:</w:t>
      </w:r>
    </w:p>
    <w:p w:rsid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Los materiales y sustancias peligrosas, en lo posible, sustituirlas por otras de menor peligrosidad.</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Ubique los envases y contenedores que contengan materias liquidas y semisólidas sobre bandejas o sistemas específicos que posibiliten la retención de fugas o derrames accidentales.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Para el proveedor de sustancias químicas se solicita el cumplimiento de los requisitos legales de envasado, etiquetado y facilitar la ficha de seguridad de los materiales o sustancias que formen parte del suministro.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Los proveedores y suministradores de combustibles líquidos y productos químicos, en general, debe cumplir con los requisitos legales de envasado, etiquetado y facilitar ficha de seguridad de los materiales o sustancias que formen parte del suministro.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Garantizar el estricto cumplimiento de la normativa legal vigente durante el transporte y entrega de los productos químicos. Las operaciones de carga y descarga serán responsabilidad de la empresa transportista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Disponer de la formación y competencia del transportista de productos químicos sobre las condiciones de manejo y riesgos potenciales de contaminación asociados a su actividad.</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Para el servicio de corte de prado, podas y talas, se deben utilizar los elementos de protección como mallas para el área de poda, guantes, petos y caretas.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No se debe fumar ni prender fuego (encendedores, cerillas), en las áreas de trabajo y en las áreas prohibidas.</w:t>
      </w:r>
    </w:p>
    <w:p w:rsid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IV.</w:t>
      </w:r>
      <w:r w:rsidRPr="005E5C90">
        <w:rPr>
          <w:rFonts w:ascii="Arial" w:eastAsiaTheme="minorEastAsia" w:hAnsi="Arial" w:cs="Arial"/>
          <w:sz w:val="16"/>
          <w:szCs w:val="16"/>
          <w:lang w:eastAsia="es-CO"/>
        </w:rPr>
        <w:tab/>
        <w:t>Para los proveedores o prestadores de servicios en la FAC es importante que se tengan en cuenta los siguientes aspectos para proteger el medio ambiente:</w:t>
      </w:r>
    </w:p>
    <w:p w:rsid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Entre los productos de aplicaciones similares, utilizar los que sean más respetuosos con el medio ambiente.</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No vierta residuos líquidos peligrosos a la red de alcantarillado. No mezcle los residuos peligrosos con otro tipo de residuos. Separe los residuos peligrosos y deposítelos en los lugares específicos destinados. Recuerde que los envases y empaques que han contenido sustancias peligrosas son también peligrosos y deben ser dispuestos como tal.</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Reduzca la variedad de disolventes recurriendo a sustancias multipropósito. La estandarización de los disolventes reduce el número y la cantidad de residuos generados y aumentan la posibilidad de reciclarlos.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Dé prioridad a los líquidos de limpieza solubles en agua, en lugar de líquidos con base aceite.</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lastRenderedPageBreak/>
        <w:t>e.</w:t>
      </w:r>
      <w:r w:rsidRPr="005E5C90">
        <w:rPr>
          <w:rFonts w:ascii="Arial" w:eastAsiaTheme="minorEastAsia" w:hAnsi="Arial" w:cs="Arial"/>
          <w:sz w:val="16"/>
          <w:szCs w:val="16"/>
          <w:lang w:eastAsia="es-CO"/>
        </w:rPr>
        <w:tab/>
        <w:t>Utilice, si es posible, productos elaborados con materiales reciclados y que hayan sido diseñados para su reutilización.</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Realice buen uso del agua y apague las luces cuando abandone el área que ya no esté usando.</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Disponga de instrucciones de uso y manipulación de sustancias, pautas para su transporte y gestión de residuos, en especial, para el servicio de mantenimiento de aires acondicionados y refrigerantes.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 xml:space="preserve">Recoja cuidadosamente los restos de vegetación resultado de las actividades de mantenimiento o limpieza y evite que llegue a cualquier sistema de agua de las instalaciones. En lo posible, que no contengan las siguientes sustancias: </w:t>
      </w:r>
      <w:proofErr w:type="spellStart"/>
      <w:r w:rsidRPr="005E5C90">
        <w:rPr>
          <w:rFonts w:ascii="Arial" w:eastAsiaTheme="minorEastAsia" w:hAnsi="Arial" w:cs="Arial"/>
          <w:sz w:val="16"/>
          <w:szCs w:val="16"/>
          <w:lang w:eastAsia="es-CO"/>
        </w:rPr>
        <w:t>paraclorodifenoles</w:t>
      </w:r>
      <w:proofErr w:type="spellEnd"/>
      <w:r w:rsidRPr="005E5C90">
        <w:rPr>
          <w:rFonts w:ascii="Arial" w:eastAsiaTheme="minorEastAsia" w:hAnsi="Arial" w:cs="Arial"/>
          <w:sz w:val="16"/>
          <w:szCs w:val="16"/>
          <w:lang w:eastAsia="es-CO"/>
        </w:rPr>
        <w:t xml:space="preserve">, </w:t>
      </w:r>
      <w:proofErr w:type="spellStart"/>
      <w:r w:rsidRPr="005E5C90">
        <w:rPr>
          <w:rFonts w:ascii="Arial" w:eastAsiaTheme="minorEastAsia" w:hAnsi="Arial" w:cs="Arial"/>
          <w:sz w:val="16"/>
          <w:szCs w:val="16"/>
          <w:lang w:eastAsia="es-CO"/>
        </w:rPr>
        <w:t>clorobenzoles</w:t>
      </w:r>
      <w:proofErr w:type="spellEnd"/>
      <w:r w:rsidRPr="005E5C90">
        <w:rPr>
          <w:rFonts w:ascii="Arial" w:eastAsiaTheme="minorEastAsia" w:hAnsi="Arial" w:cs="Arial"/>
          <w:sz w:val="16"/>
          <w:szCs w:val="16"/>
          <w:lang w:eastAsia="es-CO"/>
        </w:rPr>
        <w:t xml:space="preserve">, hidrocarburos </w:t>
      </w:r>
      <w:proofErr w:type="spellStart"/>
      <w:r w:rsidRPr="005E5C90">
        <w:rPr>
          <w:rFonts w:ascii="Arial" w:eastAsiaTheme="minorEastAsia" w:hAnsi="Arial" w:cs="Arial"/>
          <w:sz w:val="16"/>
          <w:szCs w:val="16"/>
          <w:lang w:eastAsia="es-CO"/>
        </w:rPr>
        <w:t>policíclicos</w:t>
      </w:r>
      <w:proofErr w:type="spellEnd"/>
      <w:r w:rsidRPr="005E5C90">
        <w:rPr>
          <w:rFonts w:ascii="Arial" w:eastAsiaTheme="minorEastAsia" w:hAnsi="Arial" w:cs="Arial"/>
          <w:sz w:val="16"/>
          <w:szCs w:val="16"/>
          <w:lang w:eastAsia="es-CO"/>
        </w:rPr>
        <w:t xml:space="preserve"> y sustancias incluidas en la lista de sustancias peligrosas del decreto 4741 de 2005.</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servicio de corte de prado, podas y talas debe contar con el procedimiento específico para este manejo, teniendo en la cuenta las podas de vegetación protegida. Se prohíbe quemar los desechos vegetales o depositarlos en las corrientes de agua.</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Los encargados de la instalación y los mantenimientos de aires acondicionados deben ser responsables de la disposición final de los residuos generados.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Para quienes prestan servicios de cafetería y restaurantes, el contratista debe tramitar el registro sanitario ante las autoridades competentes, el cual debe ser presentado al supervisor.</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Cumplir con las normas para almacenamiento, conservación y manipulación de alimentos, de acuerdo con la reglamentación vigente. Tramitar el carné de manipulación de alimentos de cada uno de las personas que lo requieran para la realización de sus actividades.</w:t>
      </w:r>
    </w:p>
    <w:p w:rsidR="005E5C90" w:rsidRPr="005E5C90" w:rsidRDefault="005E5C90" w:rsidP="005E5C90">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Cumplir con las normas legales y técnicas colombianas aplicables al manejo de desechos.</w:t>
      </w:r>
    </w:p>
    <w:p w:rsidR="005E5C90" w:rsidRPr="005E5C90" w:rsidRDefault="005E5C90" w:rsidP="005E5C90">
      <w:pPr>
        <w:spacing w:after="0" w:line="240" w:lineRule="auto"/>
        <w:jc w:val="both"/>
        <w:rPr>
          <w:rFonts w:ascii="Arial" w:eastAsiaTheme="minorEastAsia" w:hAnsi="Arial" w:cs="Arial"/>
          <w:sz w:val="16"/>
          <w:szCs w:val="16"/>
          <w:lang w:eastAsia="es-CO"/>
        </w:rPr>
      </w:pPr>
    </w:p>
    <w:p w:rsidR="005E5C90" w:rsidRDefault="005E5C90" w:rsidP="00084C60">
      <w:pPr>
        <w:spacing w:after="0" w:line="240" w:lineRule="auto"/>
        <w:jc w:val="both"/>
        <w:rPr>
          <w:rFonts w:ascii="Arial" w:eastAsiaTheme="minorEastAsia" w:hAnsi="Arial" w:cs="Arial"/>
          <w:sz w:val="16"/>
          <w:szCs w:val="16"/>
          <w:lang w:eastAsia="es-CO"/>
        </w:rPr>
      </w:pPr>
    </w:p>
    <w:p w:rsidR="005E5C90" w:rsidRDefault="005E5C90" w:rsidP="00084C60">
      <w:pPr>
        <w:spacing w:after="0" w:line="240" w:lineRule="auto"/>
        <w:jc w:val="both"/>
        <w:rPr>
          <w:rFonts w:ascii="Arial" w:eastAsiaTheme="minorEastAsia" w:hAnsi="Arial" w:cs="Arial"/>
          <w:sz w:val="16"/>
          <w:szCs w:val="16"/>
          <w:lang w:eastAsia="es-CO"/>
        </w:rPr>
      </w:pPr>
    </w:p>
    <w:p w:rsidR="005E5C90" w:rsidRDefault="005E5C90" w:rsidP="00084C60">
      <w:pPr>
        <w:spacing w:after="0" w:line="240" w:lineRule="auto"/>
        <w:jc w:val="both"/>
        <w:rPr>
          <w:rFonts w:ascii="Arial" w:eastAsiaTheme="minorEastAsia" w:hAnsi="Arial" w:cs="Arial"/>
          <w:sz w:val="16"/>
          <w:szCs w:val="16"/>
          <w:lang w:eastAsia="es-CO"/>
        </w:rPr>
      </w:pPr>
    </w:p>
    <w:p w:rsidR="005B5AD9" w:rsidRPr="00057D79" w:rsidRDefault="005B5AD9" w:rsidP="00AD610A">
      <w:pPr>
        <w:spacing w:after="0" w:line="240" w:lineRule="auto"/>
        <w:rPr>
          <w:rFonts w:ascii="Arial" w:eastAsia="Times New Roman" w:hAnsi="Arial" w:cs="Arial"/>
          <w:sz w:val="16"/>
          <w:szCs w:val="16"/>
          <w:lang w:eastAsia="es-CO"/>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_____________________________________________________________</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w:t>
      </w:r>
      <w:r w:rsidRPr="00057D79">
        <w:rPr>
          <w:rFonts w:ascii="Arial" w:eastAsia="Arial" w:hAnsi="Arial" w:cs="Arial"/>
          <w:color w:val="B8B7B7"/>
          <w:sz w:val="16"/>
          <w:szCs w:val="16"/>
        </w:rPr>
        <w:t>Firma representante legal del Proponente o del Proponente persona natural</w:t>
      </w:r>
      <w:r w:rsidRPr="00057D79">
        <w:rPr>
          <w:rFonts w:ascii="Arial" w:eastAsia="Calibri" w:hAnsi="Arial" w:cs="Arial"/>
          <w:sz w:val="16"/>
          <w:szCs w:val="16"/>
        </w:rPr>
        <w:t xml:space="preserve">] </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No</w:t>
      </w:r>
      <w:r w:rsidRPr="00057D79">
        <w:rPr>
          <w:rFonts w:ascii="Arial" w:eastAsia="Calibri" w:hAnsi="Arial" w:cs="Arial"/>
          <w:spacing w:val="4"/>
          <w:sz w:val="16"/>
          <w:szCs w:val="16"/>
        </w:rPr>
        <w:t>m</w:t>
      </w:r>
      <w:r w:rsidRPr="00057D79">
        <w:rPr>
          <w:rFonts w:ascii="Arial" w:eastAsia="Calibri" w:hAnsi="Arial" w:cs="Arial"/>
          <w:sz w:val="16"/>
          <w:szCs w:val="16"/>
        </w:rPr>
        <w:t>bre:</w:t>
      </w:r>
      <w:r w:rsidRPr="00057D79">
        <w:rPr>
          <w:rFonts w:ascii="Arial" w:eastAsia="Calibri" w:hAnsi="Arial" w:cs="Arial"/>
          <w:spacing w:val="-8"/>
          <w:sz w:val="16"/>
          <w:szCs w:val="16"/>
        </w:rPr>
        <w:t xml:space="preserve"> </w:t>
      </w:r>
      <w:r w:rsidRPr="00057D79">
        <w:rPr>
          <w:rFonts w:ascii="Arial" w:eastAsia="Calibri" w:hAnsi="Arial" w:cs="Arial"/>
          <w:sz w:val="16"/>
          <w:szCs w:val="16"/>
        </w:rPr>
        <w:t>[</w:t>
      </w:r>
      <w:r w:rsidRPr="00057D79">
        <w:rPr>
          <w:rFonts w:ascii="Arial" w:eastAsia="Arial" w:hAnsi="Arial" w:cs="Arial"/>
          <w:color w:val="B8B7B7"/>
          <w:sz w:val="16"/>
          <w:szCs w:val="16"/>
        </w:rPr>
        <w:t>Insertar información</w:t>
      </w:r>
      <w:r w:rsidRPr="00057D79">
        <w:rPr>
          <w:rFonts w:ascii="Arial" w:eastAsia="Calibri" w:hAnsi="Arial" w:cs="Arial"/>
          <w:sz w:val="16"/>
          <w:szCs w:val="16"/>
        </w:rPr>
        <w:t>]</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Carg</w:t>
      </w:r>
      <w:r w:rsidRPr="00057D79">
        <w:rPr>
          <w:rFonts w:ascii="Arial" w:eastAsia="Calibri" w:hAnsi="Arial" w:cs="Arial"/>
          <w:spacing w:val="-1"/>
          <w:sz w:val="16"/>
          <w:szCs w:val="16"/>
        </w:rPr>
        <w:t>o</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pacing w:val="2"/>
          <w:sz w:val="16"/>
          <w:szCs w:val="16"/>
        </w:rPr>
        <w:t>[</w:t>
      </w:r>
      <w:r w:rsidRPr="00057D79">
        <w:rPr>
          <w:rFonts w:ascii="Arial" w:eastAsia="Arial" w:hAnsi="Arial" w:cs="Arial"/>
          <w:color w:val="B8B7B7"/>
          <w:sz w:val="16"/>
          <w:szCs w:val="16"/>
        </w:rPr>
        <w:t>Insertar información</w:t>
      </w:r>
      <w:r w:rsidRPr="00057D79">
        <w:rPr>
          <w:rFonts w:ascii="Arial" w:eastAsia="Calibri" w:hAnsi="Arial" w:cs="Arial"/>
          <w:sz w:val="16"/>
          <w:szCs w:val="16"/>
        </w:rPr>
        <w:t>]</w:t>
      </w:r>
    </w:p>
    <w:p w:rsidR="005D254D" w:rsidRPr="00057D79" w:rsidRDefault="005B5AD9" w:rsidP="00057D79">
      <w:pPr>
        <w:widowControl w:val="0"/>
        <w:autoSpaceDE w:val="0"/>
        <w:autoSpaceDN w:val="0"/>
        <w:adjustRightInd w:val="0"/>
        <w:spacing w:after="0" w:line="240" w:lineRule="auto"/>
        <w:rPr>
          <w:rFonts w:ascii="Arial" w:eastAsia="Times New Roman" w:hAnsi="Arial" w:cs="Arial"/>
          <w:sz w:val="16"/>
          <w:szCs w:val="16"/>
          <w:lang w:eastAsia="es-CO"/>
        </w:rPr>
      </w:pPr>
      <w:r w:rsidRPr="00057D79">
        <w:rPr>
          <w:rFonts w:ascii="Arial" w:eastAsia="Calibri" w:hAnsi="Arial" w:cs="Arial"/>
          <w:sz w:val="16"/>
          <w:szCs w:val="16"/>
        </w:rPr>
        <w:t>Do</w:t>
      </w:r>
      <w:r w:rsidRPr="00057D79">
        <w:rPr>
          <w:rFonts w:ascii="Arial" w:eastAsia="Calibri" w:hAnsi="Arial" w:cs="Arial"/>
          <w:spacing w:val="1"/>
          <w:sz w:val="16"/>
          <w:szCs w:val="16"/>
        </w:rPr>
        <w:t>c</w:t>
      </w:r>
      <w:r w:rsidRPr="00057D79">
        <w:rPr>
          <w:rFonts w:ascii="Arial" w:eastAsia="Calibri" w:hAnsi="Arial" w:cs="Arial"/>
          <w:sz w:val="16"/>
          <w:szCs w:val="16"/>
        </w:rPr>
        <w:t>u</w:t>
      </w:r>
      <w:r w:rsidRPr="00057D79">
        <w:rPr>
          <w:rFonts w:ascii="Arial" w:eastAsia="Calibri" w:hAnsi="Arial" w:cs="Arial"/>
          <w:spacing w:val="4"/>
          <w:sz w:val="16"/>
          <w:szCs w:val="16"/>
        </w:rPr>
        <w:t>m</w:t>
      </w:r>
      <w:r w:rsidRPr="00057D79">
        <w:rPr>
          <w:rFonts w:ascii="Arial" w:eastAsia="Calibri" w:hAnsi="Arial" w:cs="Arial"/>
          <w:sz w:val="16"/>
          <w:szCs w:val="16"/>
        </w:rPr>
        <w:t>e</w:t>
      </w:r>
      <w:r w:rsidRPr="00057D79">
        <w:rPr>
          <w:rFonts w:ascii="Arial" w:eastAsia="Calibri" w:hAnsi="Arial" w:cs="Arial"/>
          <w:spacing w:val="-1"/>
          <w:sz w:val="16"/>
          <w:szCs w:val="16"/>
        </w:rPr>
        <w:t>n</w:t>
      </w:r>
      <w:r w:rsidRPr="00057D79">
        <w:rPr>
          <w:rFonts w:ascii="Arial" w:eastAsia="Calibri" w:hAnsi="Arial" w:cs="Arial"/>
          <w:sz w:val="16"/>
          <w:szCs w:val="16"/>
        </w:rPr>
        <w:t>to</w:t>
      </w:r>
      <w:r w:rsidRPr="00057D79">
        <w:rPr>
          <w:rFonts w:ascii="Arial" w:eastAsia="Calibri" w:hAnsi="Arial" w:cs="Arial"/>
          <w:spacing w:val="-11"/>
          <w:sz w:val="16"/>
          <w:szCs w:val="16"/>
        </w:rPr>
        <w:t xml:space="preserve"> </w:t>
      </w:r>
      <w:r w:rsidRPr="00057D79">
        <w:rPr>
          <w:rFonts w:ascii="Arial" w:eastAsia="Calibri" w:hAnsi="Arial" w:cs="Arial"/>
          <w:sz w:val="16"/>
          <w:szCs w:val="16"/>
        </w:rPr>
        <w:t>de</w:t>
      </w:r>
      <w:r w:rsidRPr="00057D79">
        <w:rPr>
          <w:rFonts w:ascii="Arial" w:eastAsia="Calibri" w:hAnsi="Arial" w:cs="Arial"/>
          <w:spacing w:val="-3"/>
          <w:sz w:val="16"/>
          <w:szCs w:val="16"/>
        </w:rPr>
        <w:t xml:space="preserve"> </w:t>
      </w:r>
      <w:r w:rsidRPr="00057D79">
        <w:rPr>
          <w:rFonts w:ascii="Arial" w:eastAsia="Calibri" w:hAnsi="Arial" w:cs="Arial"/>
          <w:spacing w:val="2"/>
          <w:sz w:val="16"/>
          <w:szCs w:val="16"/>
        </w:rPr>
        <w:t>I</w:t>
      </w:r>
      <w:r w:rsidRPr="00057D79">
        <w:rPr>
          <w:rFonts w:ascii="Arial" w:eastAsia="Calibri" w:hAnsi="Arial" w:cs="Arial"/>
          <w:sz w:val="16"/>
          <w:szCs w:val="16"/>
        </w:rPr>
        <w:t>d</w:t>
      </w:r>
      <w:r w:rsidRPr="00057D79">
        <w:rPr>
          <w:rFonts w:ascii="Arial" w:eastAsia="Calibri" w:hAnsi="Arial" w:cs="Arial"/>
          <w:spacing w:val="-1"/>
          <w:sz w:val="16"/>
          <w:szCs w:val="16"/>
        </w:rPr>
        <w:t>e</w:t>
      </w:r>
      <w:r w:rsidRPr="00057D79">
        <w:rPr>
          <w:rFonts w:ascii="Arial" w:eastAsia="Calibri" w:hAnsi="Arial" w:cs="Arial"/>
          <w:spacing w:val="2"/>
          <w:sz w:val="16"/>
          <w:szCs w:val="16"/>
        </w:rPr>
        <w:t>n</w:t>
      </w:r>
      <w:r w:rsidRPr="00057D79">
        <w:rPr>
          <w:rFonts w:ascii="Arial" w:eastAsia="Calibri" w:hAnsi="Arial" w:cs="Arial"/>
          <w:sz w:val="16"/>
          <w:szCs w:val="16"/>
        </w:rPr>
        <w:t>t</w:t>
      </w:r>
      <w:r w:rsidRPr="00057D79">
        <w:rPr>
          <w:rFonts w:ascii="Arial" w:eastAsia="Calibri" w:hAnsi="Arial" w:cs="Arial"/>
          <w:spacing w:val="-1"/>
          <w:sz w:val="16"/>
          <w:szCs w:val="16"/>
        </w:rPr>
        <w:t>i</w:t>
      </w:r>
      <w:r w:rsidRPr="00057D79">
        <w:rPr>
          <w:rFonts w:ascii="Arial" w:eastAsia="Calibri" w:hAnsi="Arial" w:cs="Arial"/>
          <w:spacing w:val="2"/>
          <w:sz w:val="16"/>
          <w:szCs w:val="16"/>
        </w:rPr>
        <w:t>d</w:t>
      </w:r>
      <w:r w:rsidRPr="00057D79">
        <w:rPr>
          <w:rFonts w:ascii="Arial" w:eastAsia="Calibri" w:hAnsi="Arial" w:cs="Arial"/>
          <w:sz w:val="16"/>
          <w:szCs w:val="16"/>
        </w:rPr>
        <w:t>a</w:t>
      </w:r>
      <w:r w:rsidRPr="00057D79">
        <w:rPr>
          <w:rFonts w:ascii="Arial" w:eastAsia="Calibri" w:hAnsi="Arial" w:cs="Arial"/>
          <w:spacing w:val="-1"/>
          <w:sz w:val="16"/>
          <w:szCs w:val="16"/>
        </w:rPr>
        <w:t>d</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z w:val="16"/>
          <w:szCs w:val="16"/>
        </w:rPr>
        <w:t>[</w:t>
      </w:r>
      <w:r w:rsidRPr="00057D79">
        <w:rPr>
          <w:rFonts w:ascii="Arial" w:eastAsia="Arial" w:hAnsi="Arial" w:cs="Arial"/>
          <w:color w:val="B8B7B7"/>
          <w:sz w:val="16"/>
          <w:szCs w:val="16"/>
        </w:rPr>
        <w:t>Insertar información</w:t>
      </w:r>
      <w:r w:rsidRPr="00057D79">
        <w:rPr>
          <w:rFonts w:ascii="Arial" w:eastAsia="Calibri" w:hAnsi="Arial" w:cs="Arial"/>
          <w:sz w:val="16"/>
          <w:szCs w:val="16"/>
        </w:rPr>
        <w:t>]</w:t>
      </w:r>
      <w:bookmarkEnd w:id="6"/>
    </w:p>
    <w:sectPr w:rsidR="005D254D" w:rsidRPr="00057D79" w:rsidSect="00296EDC">
      <w:pgSz w:w="12247" w:h="18711" w:code="26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7321"/>
    <w:multiLevelType w:val="hybridMultilevel"/>
    <w:tmpl w:val="C71AD7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851DBF"/>
    <w:multiLevelType w:val="hybridMultilevel"/>
    <w:tmpl w:val="C00C397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6534A5B"/>
    <w:multiLevelType w:val="hybridMultilevel"/>
    <w:tmpl w:val="20302DA6"/>
    <w:lvl w:ilvl="0" w:tplc="F19464BC">
      <w:start w:val="4"/>
      <w:numFmt w:val="bullet"/>
      <w:lvlText w:val=""/>
      <w:lvlJc w:val="left"/>
      <w:pPr>
        <w:ind w:left="600" w:hanging="360"/>
      </w:pPr>
      <w:rPr>
        <w:rFonts w:ascii="Symbol" w:eastAsia="Calibri" w:hAnsi="Symbol" w:cs="Aria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3">
    <w:nsid w:val="073F2870"/>
    <w:multiLevelType w:val="multilevel"/>
    <w:tmpl w:val="87B6F504"/>
    <w:lvl w:ilvl="0">
      <w:start w:val="1"/>
      <w:numFmt w:val="decimal"/>
      <w:lvlText w:val="%1."/>
      <w:lvlJc w:val="left"/>
      <w:pPr>
        <w:ind w:left="1800" w:hanging="360"/>
      </w:p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082A6499"/>
    <w:multiLevelType w:val="hybridMultilevel"/>
    <w:tmpl w:val="BE8C9F3A"/>
    <w:lvl w:ilvl="0" w:tplc="543E282E">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C0006A6"/>
    <w:multiLevelType w:val="hybridMultilevel"/>
    <w:tmpl w:val="62025F8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0D911A17"/>
    <w:multiLevelType w:val="hybridMultilevel"/>
    <w:tmpl w:val="ED043A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377706"/>
    <w:multiLevelType w:val="hybridMultilevel"/>
    <w:tmpl w:val="98AA2C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D602C"/>
    <w:multiLevelType w:val="hybridMultilevel"/>
    <w:tmpl w:val="A26457A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A4F6C81"/>
    <w:multiLevelType w:val="hybridMultilevel"/>
    <w:tmpl w:val="AB30CC2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1D376CA8"/>
    <w:multiLevelType w:val="hybridMultilevel"/>
    <w:tmpl w:val="BE54146A"/>
    <w:lvl w:ilvl="0" w:tplc="4E80FE10">
      <w:start w:val="1"/>
      <w:numFmt w:val="lowerRoman"/>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414A75"/>
    <w:multiLevelType w:val="hybridMultilevel"/>
    <w:tmpl w:val="45F88B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1FCE5DA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20871E9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22217717"/>
    <w:multiLevelType w:val="hybridMultilevel"/>
    <w:tmpl w:val="ED02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BD84147"/>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3EB07EC"/>
    <w:multiLevelType w:val="hybridMultilevel"/>
    <w:tmpl w:val="3BAA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7C13062"/>
    <w:multiLevelType w:val="hybridMultilevel"/>
    <w:tmpl w:val="DE8673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A004511"/>
    <w:multiLevelType w:val="hybridMultilevel"/>
    <w:tmpl w:val="6A9448DC"/>
    <w:lvl w:ilvl="0" w:tplc="0B46DDCC">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3B28316F"/>
    <w:multiLevelType w:val="singleLevel"/>
    <w:tmpl w:val="B7A82F2C"/>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2">
    <w:nsid w:val="3F254289"/>
    <w:multiLevelType w:val="hybridMultilevel"/>
    <w:tmpl w:val="18DC23FA"/>
    <w:lvl w:ilvl="0" w:tplc="A998C45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4C57693"/>
    <w:multiLevelType w:val="hybridMultilevel"/>
    <w:tmpl w:val="86C83E7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49B151B4"/>
    <w:multiLevelType w:val="hybridMultilevel"/>
    <w:tmpl w:val="6CFC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A6D04D2"/>
    <w:multiLevelType w:val="hybridMultilevel"/>
    <w:tmpl w:val="0136C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32B6F70"/>
    <w:multiLevelType w:val="hybridMultilevel"/>
    <w:tmpl w:val="C40C918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93B04F4"/>
    <w:multiLevelType w:val="hybridMultilevel"/>
    <w:tmpl w:val="E96A415E"/>
    <w:lvl w:ilvl="0" w:tplc="1C8EBA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EA95296"/>
    <w:multiLevelType w:val="hybridMultilevel"/>
    <w:tmpl w:val="0EF06560"/>
    <w:lvl w:ilvl="0" w:tplc="240A0011">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5D44235"/>
    <w:multiLevelType w:val="hybridMultilevel"/>
    <w:tmpl w:val="B3FA00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B2E0A4E"/>
    <w:multiLevelType w:val="hybridMultilevel"/>
    <w:tmpl w:val="E31C36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DB50640"/>
    <w:multiLevelType w:val="hybridMultilevel"/>
    <w:tmpl w:val="ED6E4F8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31966BB"/>
    <w:multiLevelType w:val="hybridMultilevel"/>
    <w:tmpl w:val="2586D5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615D65"/>
    <w:multiLevelType w:val="hybridMultilevel"/>
    <w:tmpl w:val="39E8E096"/>
    <w:lvl w:ilvl="0" w:tplc="76EA7AD8">
      <w:start w:val="1"/>
      <w:numFmt w:val="upperRoman"/>
      <w:lvlText w:val="%1."/>
      <w:lvlJc w:val="left"/>
      <w:pPr>
        <w:ind w:left="1080" w:hanging="720"/>
      </w:pPr>
      <w:rPr>
        <w:rFonts w:hint="default"/>
        <w:b/>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7764077"/>
    <w:multiLevelType w:val="multilevel"/>
    <w:tmpl w:val="B56EBD8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7A6C5442"/>
    <w:multiLevelType w:val="hybridMultilevel"/>
    <w:tmpl w:val="0D0AA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C023AC5"/>
    <w:multiLevelType w:val="hybridMultilevel"/>
    <w:tmpl w:val="D7D24A02"/>
    <w:lvl w:ilvl="0" w:tplc="B8F2B490">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DA73A71"/>
    <w:multiLevelType w:val="hybridMultilevel"/>
    <w:tmpl w:val="BF362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7"/>
  </w:num>
  <w:num w:numId="3">
    <w:abstractNumId w:val="10"/>
  </w:num>
  <w:num w:numId="4">
    <w:abstractNumId w:val="31"/>
  </w:num>
  <w:num w:numId="5">
    <w:abstractNumId w:val="12"/>
  </w:num>
  <w:num w:numId="6">
    <w:abstractNumId w:val="3"/>
  </w:num>
  <w:num w:numId="7">
    <w:abstractNumId w:val="7"/>
  </w:num>
  <w:num w:numId="8">
    <w:abstractNumId w:val="27"/>
  </w:num>
  <w:num w:numId="9">
    <w:abstractNumId w:val="20"/>
  </w:num>
  <w:num w:numId="10">
    <w:abstractNumId w:val="2"/>
  </w:num>
  <w:num w:numId="11">
    <w:abstractNumId w:val="4"/>
  </w:num>
  <w:num w:numId="12">
    <w:abstractNumId w:val="22"/>
  </w:num>
  <w:num w:numId="13">
    <w:abstractNumId w:val="29"/>
  </w:num>
  <w:num w:numId="14">
    <w:abstractNumId w:val="32"/>
  </w:num>
  <w:num w:numId="15">
    <w:abstractNumId w:val="19"/>
  </w:num>
  <w:num w:numId="16">
    <w:abstractNumId w:val="28"/>
  </w:num>
  <w:num w:numId="17">
    <w:abstractNumId w:val="36"/>
  </w:num>
  <w:num w:numId="18">
    <w:abstractNumId w:val="24"/>
  </w:num>
  <w:num w:numId="19">
    <w:abstractNumId w:val="25"/>
  </w:num>
  <w:num w:numId="20">
    <w:abstractNumId w:val="16"/>
  </w:num>
  <w:num w:numId="21">
    <w:abstractNumId w:val="18"/>
  </w:num>
  <w:num w:numId="22">
    <w:abstractNumId w:val="14"/>
  </w:num>
  <w:num w:numId="23">
    <w:abstractNumId w:val="0"/>
  </w:num>
  <w:num w:numId="24">
    <w:abstractNumId w:val="11"/>
  </w:num>
  <w:num w:numId="25">
    <w:abstractNumId w:val="23"/>
  </w:num>
  <w:num w:numId="26">
    <w:abstractNumId w:val="5"/>
  </w:num>
  <w:num w:numId="27">
    <w:abstractNumId w:val="17"/>
  </w:num>
  <w:num w:numId="28">
    <w:abstractNumId w:val="15"/>
  </w:num>
  <w:num w:numId="29">
    <w:abstractNumId w:val="13"/>
  </w:num>
  <w:num w:numId="30">
    <w:abstractNumId w:val="34"/>
  </w:num>
  <w:num w:numId="31">
    <w:abstractNumId w:val="21"/>
  </w:num>
  <w:num w:numId="32">
    <w:abstractNumId w:val="26"/>
  </w:num>
  <w:num w:numId="33">
    <w:abstractNumId w:val="9"/>
  </w:num>
  <w:num w:numId="34">
    <w:abstractNumId w:val="8"/>
  </w:num>
  <w:num w:numId="35">
    <w:abstractNumId w:val="30"/>
  </w:num>
  <w:num w:numId="36">
    <w:abstractNumId w:val="1"/>
  </w:num>
  <w:num w:numId="37">
    <w:abstractNumId w:val="35"/>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10A"/>
    <w:rsid w:val="00057D79"/>
    <w:rsid w:val="00080F37"/>
    <w:rsid w:val="00084C60"/>
    <w:rsid w:val="000B64E3"/>
    <w:rsid w:val="000D0250"/>
    <w:rsid w:val="0013362B"/>
    <w:rsid w:val="001F3FB7"/>
    <w:rsid w:val="001F5CEB"/>
    <w:rsid w:val="00203DAC"/>
    <w:rsid w:val="0025586B"/>
    <w:rsid w:val="00296EDC"/>
    <w:rsid w:val="002B20DC"/>
    <w:rsid w:val="004C2077"/>
    <w:rsid w:val="005B5AD9"/>
    <w:rsid w:val="005D254D"/>
    <w:rsid w:val="005E5C90"/>
    <w:rsid w:val="006425A1"/>
    <w:rsid w:val="006B35C5"/>
    <w:rsid w:val="006B6BDB"/>
    <w:rsid w:val="006D11EE"/>
    <w:rsid w:val="007068B3"/>
    <w:rsid w:val="00867D55"/>
    <w:rsid w:val="008B5963"/>
    <w:rsid w:val="008C6074"/>
    <w:rsid w:val="009A1359"/>
    <w:rsid w:val="00A66D0C"/>
    <w:rsid w:val="00A90201"/>
    <w:rsid w:val="00AA2186"/>
    <w:rsid w:val="00AD5BC8"/>
    <w:rsid w:val="00AD610A"/>
    <w:rsid w:val="00AF7D3C"/>
    <w:rsid w:val="00B66C8B"/>
    <w:rsid w:val="00B81A75"/>
    <w:rsid w:val="00BB0337"/>
    <w:rsid w:val="00C85D47"/>
    <w:rsid w:val="00CC7A09"/>
    <w:rsid w:val="00D07910"/>
    <w:rsid w:val="00D17F28"/>
    <w:rsid w:val="00D80CEB"/>
    <w:rsid w:val="00DD2B5D"/>
    <w:rsid w:val="00DE3BCA"/>
    <w:rsid w:val="00E127FB"/>
    <w:rsid w:val="00F216F8"/>
    <w:rsid w:val="00F61A68"/>
    <w:rsid w:val="00FB7D50"/>
    <w:rsid w:val="00FC5672"/>
    <w:rsid w:val="00FE5B09"/>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D9005-52B5-4E1C-9823-FFC17DA7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2373</Words>
  <Characters>13057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TS21. GLORIA MYRIAM AVILA REINA</dc:creator>
  <cp:lastModifiedBy>PD4. SIRLEY GUTIERREZ NAVARRO</cp:lastModifiedBy>
  <cp:revision>5</cp:revision>
  <dcterms:created xsi:type="dcterms:W3CDTF">2019-03-29T13:00:00Z</dcterms:created>
  <dcterms:modified xsi:type="dcterms:W3CDTF">2019-04-12T16:21:00Z</dcterms:modified>
</cp:coreProperties>
</file>