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358AB" w14:textId="678640DE" w:rsidR="00FA04DB" w:rsidRDefault="00FA04DB" w:rsidP="00FA04DB">
      <w:pPr>
        <w:spacing w:line="276" w:lineRule="auto"/>
        <w:ind w:left="708" w:hanging="708"/>
        <w:jc w:val="center"/>
        <w:rPr>
          <w:rFonts w:cs="Arial"/>
          <w:b/>
          <w:bCs/>
          <w:sz w:val="22"/>
          <w:szCs w:val="22"/>
        </w:rPr>
      </w:pPr>
    </w:p>
    <w:p w14:paraId="247376C4" w14:textId="77777777" w:rsidR="007541BE" w:rsidRDefault="007541BE" w:rsidP="00FA04DB">
      <w:pPr>
        <w:spacing w:line="276" w:lineRule="auto"/>
        <w:ind w:left="708" w:hanging="708"/>
        <w:jc w:val="center"/>
        <w:rPr>
          <w:rFonts w:cs="Arial"/>
          <w:b/>
          <w:bCs/>
          <w:sz w:val="22"/>
          <w:szCs w:val="22"/>
        </w:rPr>
      </w:pPr>
    </w:p>
    <w:p w14:paraId="02EB378F" w14:textId="202ABA09" w:rsidR="004966B4" w:rsidRPr="00FA04DB" w:rsidRDefault="004A3CE0" w:rsidP="00FA04DB">
      <w:pPr>
        <w:spacing w:line="276" w:lineRule="auto"/>
        <w:ind w:left="708" w:hanging="708"/>
        <w:jc w:val="center"/>
        <w:rPr>
          <w:b/>
          <w:bCs/>
          <w:sz w:val="22"/>
          <w:szCs w:val="22"/>
        </w:rPr>
      </w:pPr>
      <w:r w:rsidRPr="007B63EC">
        <w:rPr>
          <w:rFonts w:cs="Arial"/>
          <w:b/>
          <w:bCs/>
          <w:sz w:val="22"/>
          <w:szCs w:val="22"/>
        </w:rPr>
        <w:t>ANÁLISIS</w:t>
      </w:r>
      <w:r w:rsidR="004966B4" w:rsidRPr="007B63EC">
        <w:rPr>
          <w:rFonts w:cs="Arial"/>
          <w:b/>
          <w:bCs/>
          <w:sz w:val="22"/>
          <w:szCs w:val="22"/>
        </w:rPr>
        <w:t xml:space="preserve"> DEL SECTOR </w:t>
      </w:r>
      <w:r w:rsidR="009B500E" w:rsidRPr="007B63EC">
        <w:rPr>
          <w:rFonts w:cs="Arial"/>
          <w:b/>
          <w:bCs/>
          <w:sz w:val="22"/>
          <w:szCs w:val="22"/>
        </w:rPr>
        <w:t>PARA</w:t>
      </w:r>
      <w:r w:rsidR="00A373EA" w:rsidRPr="007B63EC">
        <w:rPr>
          <w:rFonts w:cs="Arial"/>
          <w:b/>
          <w:bCs/>
          <w:sz w:val="22"/>
          <w:szCs w:val="22"/>
        </w:rPr>
        <w:t xml:space="preserve"> LA</w:t>
      </w:r>
      <w:r w:rsidR="004966B4" w:rsidRPr="007B63EC">
        <w:rPr>
          <w:rFonts w:cs="Arial"/>
          <w:b/>
          <w:bCs/>
          <w:sz w:val="22"/>
          <w:szCs w:val="22"/>
        </w:rPr>
        <w:t xml:space="preserve"> </w:t>
      </w:r>
      <w:r w:rsidR="009B500E" w:rsidRPr="007B63EC">
        <w:rPr>
          <w:rFonts w:cs="Arial"/>
          <w:b/>
          <w:bCs/>
          <w:sz w:val="22"/>
          <w:szCs w:val="22"/>
        </w:rPr>
        <w:t>“</w:t>
      </w:r>
      <w:r w:rsidR="00767CF7" w:rsidRPr="00767CF7">
        <w:rPr>
          <w:b/>
          <w:bCs/>
          <w:sz w:val="22"/>
          <w:szCs w:val="22"/>
        </w:rPr>
        <w:t>INTERVENTORIA TÉCNICA, ADMINISTRATIVA, FINANCIERA Y AMBIENTAL, PARA EL MANTENIMIENTO Y MEJORAMIENTO DE VÍAS RURALES PROG. COLOMBIA RURAL, MUNICIPIOS DE ZETAQUIRA (CONVENIO 2106-2020 ADICIÓN No. 2) Y MIRAFLORES (CONVENIO 2302-2020 ADICIÓN No. 2)</w:t>
      </w:r>
      <w:r w:rsidR="00D3530F" w:rsidRPr="007B63EC">
        <w:rPr>
          <w:b/>
          <w:bCs/>
          <w:sz w:val="22"/>
          <w:szCs w:val="22"/>
        </w:rPr>
        <w:t>”</w:t>
      </w:r>
    </w:p>
    <w:p w14:paraId="6A05A809" w14:textId="77777777" w:rsidR="004966B4" w:rsidRPr="007B63EC" w:rsidRDefault="004966B4" w:rsidP="00AA5592">
      <w:pPr>
        <w:autoSpaceDE w:val="0"/>
        <w:autoSpaceDN w:val="0"/>
        <w:adjustRightInd w:val="0"/>
        <w:spacing w:line="276" w:lineRule="auto"/>
        <w:jc w:val="center"/>
        <w:rPr>
          <w:rFonts w:cs="Arial"/>
          <w:sz w:val="22"/>
          <w:szCs w:val="22"/>
        </w:rPr>
      </w:pPr>
    </w:p>
    <w:p w14:paraId="5A39BBE3" w14:textId="69671BAC" w:rsidR="004966B4" w:rsidRPr="007B63EC" w:rsidRDefault="004A3CE0" w:rsidP="007B63EC">
      <w:pPr>
        <w:autoSpaceDE w:val="0"/>
        <w:autoSpaceDN w:val="0"/>
        <w:adjustRightInd w:val="0"/>
        <w:spacing w:line="276" w:lineRule="auto"/>
        <w:jc w:val="center"/>
        <w:rPr>
          <w:rFonts w:cs="Arial"/>
          <w:b/>
          <w:sz w:val="22"/>
          <w:szCs w:val="22"/>
        </w:rPr>
      </w:pPr>
      <w:r w:rsidRPr="007B63EC">
        <w:rPr>
          <w:rFonts w:cs="Arial"/>
          <w:b/>
          <w:sz w:val="22"/>
          <w:szCs w:val="22"/>
        </w:rPr>
        <w:t>INTRODUCCIÓN</w:t>
      </w:r>
    </w:p>
    <w:p w14:paraId="41C8F396" w14:textId="77777777" w:rsidR="004966B4" w:rsidRPr="007B63EC" w:rsidRDefault="004966B4" w:rsidP="001056FD">
      <w:pPr>
        <w:spacing w:line="257" w:lineRule="auto"/>
        <w:jc w:val="both"/>
        <w:rPr>
          <w:rFonts w:eastAsia="Arial" w:cs="Arial"/>
          <w:b/>
          <w:bCs/>
          <w:sz w:val="22"/>
          <w:szCs w:val="22"/>
          <w:lang w:val="es-MX"/>
        </w:rPr>
      </w:pPr>
    </w:p>
    <w:p w14:paraId="2018904B" w14:textId="245C303C" w:rsidR="003A470D" w:rsidRPr="007B63EC" w:rsidRDefault="07EBE39D" w:rsidP="00D3530F">
      <w:pPr>
        <w:spacing w:line="257" w:lineRule="auto"/>
        <w:jc w:val="both"/>
        <w:rPr>
          <w:sz w:val="22"/>
          <w:szCs w:val="22"/>
          <w:lang w:val="es-MX"/>
        </w:rPr>
      </w:pPr>
      <w:bookmarkStart w:id="0" w:name="_Hlk504996157"/>
      <w:r w:rsidRPr="007B63EC">
        <w:rPr>
          <w:rFonts w:eastAsia="Arial" w:cs="Arial"/>
          <w:b/>
          <w:bCs/>
          <w:sz w:val="22"/>
          <w:szCs w:val="22"/>
          <w:lang w:val="es-MX"/>
        </w:rPr>
        <w:t xml:space="preserve">OBJETO: </w:t>
      </w:r>
      <w:r w:rsidR="558264F3" w:rsidRPr="007B63EC">
        <w:rPr>
          <w:rFonts w:eastAsia="Arial" w:cs="Arial"/>
          <w:b/>
          <w:bCs/>
          <w:sz w:val="22"/>
          <w:szCs w:val="22"/>
          <w:lang w:val="es-MX"/>
        </w:rPr>
        <w:t xml:space="preserve"> </w:t>
      </w:r>
      <w:bookmarkStart w:id="1" w:name="_Hlk132477902"/>
      <w:r w:rsidR="00767CF7" w:rsidRPr="00767CF7">
        <w:rPr>
          <w:b/>
          <w:bCs/>
          <w:sz w:val="22"/>
          <w:szCs w:val="22"/>
        </w:rPr>
        <w:t>INTERVENTORIA TÉCNICA, ADMINISTRATIVA, FINANCIERA Y AMBIENTAL, PARA EL MANTENIMIENTO Y MEJORAMIENTO DE VÍAS RURALES PROG. COLOMBIA RURAL, MUNICIPIOS DE ZETAQUIRA (CONVENIO 2106-2020 ADICIÓN No. 2) Y MIRAFLORES (CONVENIO 2302-2020 ADICIÓN No. 2)</w:t>
      </w:r>
      <w:bookmarkEnd w:id="1"/>
    </w:p>
    <w:p w14:paraId="4A359B49" w14:textId="77777777" w:rsidR="003A470D" w:rsidRPr="007B63EC" w:rsidRDefault="003A470D" w:rsidP="00D3530F">
      <w:pPr>
        <w:spacing w:line="257" w:lineRule="auto"/>
        <w:jc w:val="both"/>
        <w:rPr>
          <w:sz w:val="22"/>
          <w:szCs w:val="22"/>
          <w:lang w:val="es-MX"/>
        </w:rPr>
      </w:pPr>
    </w:p>
    <w:p w14:paraId="0899DA2E" w14:textId="70ADA87E" w:rsidR="004966B4" w:rsidRPr="007B63EC" w:rsidRDefault="004966B4" w:rsidP="00D3530F">
      <w:pPr>
        <w:spacing w:line="257" w:lineRule="auto"/>
        <w:jc w:val="both"/>
        <w:rPr>
          <w:sz w:val="22"/>
          <w:szCs w:val="22"/>
          <w:lang w:val="es-MX"/>
        </w:rPr>
      </w:pPr>
      <w:r w:rsidRPr="007B63EC">
        <w:rPr>
          <w:sz w:val="22"/>
          <w:szCs w:val="22"/>
          <w:lang w:val="es-MX"/>
        </w:rPr>
        <w:t>De conformidad con el Artículo 2.2.1.1.1.6.1. del Decreto 1082 de 2015, el cual establece el Deber de análisis de las Entidades Estatales: “</w:t>
      </w:r>
      <w:r w:rsidRPr="007B63EC">
        <w:rPr>
          <w:i/>
          <w:iCs/>
          <w:sz w:val="22"/>
          <w:szCs w:val="22"/>
          <w:lang w:val="es-MX"/>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Pr="007B63EC">
        <w:rPr>
          <w:sz w:val="22"/>
          <w:szCs w:val="22"/>
          <w:lang w:val="es-MX"/>
        </w:rPr>
        <w:t xml:space="preserve">”, en este sentido el Instituto Nacional de Vías realiza </w:t>
      </w:r>
      <w:r w:rsidR="00DC6532" w:rsidRPr="007B63EC">
        <w:rPr>
          <w:sz w:val="22"/>
          <w:szCs w:val="22"/>
          <w:lang w:val="es-MX"/>
        </w:rPr>
        <w:t>el presente</w:t>
      </w:r>
      <w:r w:rsidRPr="007B63EC">
        <w:rPr>
          <w:sz w:val="22"/>
          <w:szCs w:val="22"/>
          <w:lang w:val="es-MX"/>
        </w:rPr>
        <w:t xml:space="preserve"> estudio con el objeto de adelantar la contratación para </w:t>
      </w:r>
      <w:r w:rsidR="00DC6532" w:rsidRPr="007B63EC">
        <w:rPr>
          <w:sz w:val="22"/>
          <w:szCs w:val="22"/>
          <w:lang w:val="es-MX"/>
        </w:rPr>
        <w:t xml:space="preserve">la </w:t>
      </w:r>
      <w:r w:rsidR="009B500E" w:rsidRPr="007B63EC">
        <w:rPr>
          <w:sz w:val="22"/>
          <w:szCs w:val="22"/>
          <w:lang w:val="es-MX"/>
        </w:rPr>
        <w:t>“</w:t>
      </w:r>
      <w:r w:rsidR="0064744D" w:rsidRPr="0064744D">
        <w:rPr>
          <w:sz w:val="22"/>
          <w:szCs w:val="22"/>
        </w:rPr>
        <w:t>INTERVENTORIA TÉCNICA, ADMINISTRATIVA, FINANCIERA Y AMBIENTAL, PARA EL MANTENIMIENTO Y MEJORAMIENTO DE VÍAS RURALES PROG. COLOMBIA RURAL, MUNICIPIOS DE ZETAQUIRA (CONVENIO 2106-2020 ADICIÓN No. 2) Y MIRAFLORES (CONVENIO 2302-2020 ADICIÓN No. 2)</w:t>
      </w:r>
      <w:r w:rsidR="009B500E" w:rsidRPr="007B63EC">
        <w:rPr>
          <w:sz w:val="22"/>
          <w:szCs w:val="22"/>
          <w:lang w:val="es-MX"/>
        </w:rPr>
        <w:t>”</w:t>
      </w:r>
    </w:p>
    <w:p w14:paraId="64B28AA2" w14:textId="77777777" w:rsidR="003A470D" w:rsidRPr="007B63EC" w:rsidRDefault="003A470D" w:rsidP="00D3530F">
      <w:pPr>
        <w:spacing w:line="257" w:lineRule="auto"/>
        <w:jc w:val="both"/>
        <w:rPr>
          <w:sz w:val="22"/>
          <w:szCs w:val="22"/>
          <w:lang w:val="es-MX"/>
        </w:rPr>
      </w:pPr>
    </w:p>
    <w:p w14:paraId="76B17181" w14:textId="77777777" w:rsidR="00D178D9" w:rsidRPr="007B63EC" w:rsidRDefault="00D178D9" w:rsidP="003A470D">
      <w:pPr>
        <w:pStyle w:val="Ttulo1"/>
        <w:keepLines/>
        <w:numPr>
          <w:ilvl w:val="0"/>
          <w:numId w:val="9"/>
        </w:numPr>
        <w:spacing w:line="276" w:lineRule="auto"/>
        <w:rPr>
          <w:sz w:val="22"/>
          <w:szCs w:val="22"/>
        </w:rPr>
      </w:pPr>
      <w:bookmarkStart w:id="2" w:name="_Toc443465662"/>
      <w:bookmarkEnd w:id="0"/>
      <w:r w:rsidRPr="007B63EC">
        <w:rPr>
          <w:sz w:val="22"/>
          <w:szCs w:val="22"/>
        </w:rPr>
        <w:t>ASPECTOS GENERALES</w:t>
      </w:r>
      <w:bookmarkEnd w:id="2"/>
    </w:p>
    <w:p w14:paraId="72A3D3EC" w14:textId="77777777" w:rsidR="00D178D9" w:rsidRPr="007B63EC" w:rsidRDefault="00D178D9" w:rsidP="00AA5592">
      <w:pPr>
        <w:pStyle w:val="Default"/>
        <w:spacing w:line="276" w:lineRule="auto"/>
        <w:ind w:left="720"/>
        <w:jc w:val="both"/>
        <w:rPr>
          <w:b/>
          <w:bCs/>
          <w:color w:val="auto"/>
          <w:sz w:val="22"/>
          <w:szCs w:val="22"/>
        </w:rPr>
      </w:pPr>
    </w:p>
    <w:p w14:paraId="5C0CFC65" w14:textId="77777777" w:rsidR="00D178D9" w:rsidRPr="007B63EC" w:rsidRDefault="00D178D9" w:rsidP="00AA5592">
      <w:pPr>
        <w:widowControl w:val="0"/>
        <w:autoSpaceDE w:val="0"/>
        <w:autoSpaceDN w:val="0"/>
        <w:adjustRightInd w:val="0"/>
        <w:spacing w:line="276" w:lineRule="auto"/>
        <w:ind w:left="2" w:right="20"/>
        <w:jc w:val="both"/>
        <w:rPr>
          <w:rFonts w:cs="Arial"/>
          <w:sz w:val="22"/>
          <w:szCs w:val="22"/>
          <w:lang w:val="es-ES"/>
        </w:rPr>
      </w:pPr>
      <w:r w:rsidRPr="007B63EC">
        <w:rPr>
          <w:rFonts w:cs="Arial"/>
          <w:sz w:val="22"/>
          <w:szCs w:val="22"/>
        </w:rPr>
        <w:t xml:space="preserve">El Instituto Nacional de Vías es un </w:t>
      </w:r>
      <w:r w:rsidRPr="007B63EC">
        <w:rPr>
          <w:rFonts w:cs="Arial"/>
          <w:sz w:val="22"/>
          <w:szCs w:val="22"/>
          <w:lang w:val="es-ES"/>
        </w:rPr>
        <w:t>establecimiento público del orden nacional, con personería jurídica, autonomía administrativa y patrimonio propio, adscrito al Ministerio de Transporte, tiene como objetivo la ejecución de las políticas, estrategias, planes, programas y proyectos de la infraestructura no concesionada de la Red Vial Nacional de carreteras primaria y terciaria, férrea, fluvial y de la infraestructura marítima, de acuerdo con los lineamientos dados por el Ministerio de Transporte.</w:t>
      </w:r>
    </w:p>
    <w:p w14:paraId="0D0B940D" w14:textId="77777777" w:rsidR="00F33EDC" w:rsidRPr="007B63EC" w:rsidRDefault="00F33EDC" w:rsidP="00AA5592">
      <w:pPr>
        <w:widowControl w:val="0"/>
        <w:autoSpaceDE w:val="0"/>
        <w:autoSpaceDN w:val="0"/>
        <w:adjustRightInd w:val="0"/>
        <w:spacing w:line="276" w:lineRule="auto"/>
        <w:ind w:left="2" w:right="20"/>
        <w:jc w:val="both"/>
        <w:rPr>
          <w:rFonts w:cs="Arial"/>
          <w:sz w:val="22"/>
          <w:szCs w:val="22"/>
          <w:lang w:val="es-ES"/>
        </w:rPr>
      </w:pPr>
    </w:p>
    <w:p w14:paraId="331C493D" w14:textId="7E467067" w:rsidR="00D26262" w:rsidRPr="007B63EC" w:rsidRDefault="00F33EDC" w:rsidP="00F33EDC">
      <w:pPr>
        <w:widowControl w:val="0"/>
        <w:autoSpaceDE w:val="0"/>
        <w:autoSpaceDN w:val="0"/>
        <w:adjustRightInd w:val="0"/>
        <w:spacing w:line="276" w:lineRule="auto"/>
        <w:ind w:left="2" w:right="20"/>
        <w:jc w:val="both"/>
        <w:rPr>
          <w:rFonts w:cs="Arial"/>
          <w:sz w:val="22"/>
          <w:szCs w:val="22"/>
        </w:rPr>
      </w:pPr>
      <w:r w:rsidRPr="007B63EC">
        <w:rPr>
          <w:rFonts w:cs="Arial"/>
          <w:sz w:val="22"/>
          <w:szCs w:val="22"/>
          <w:lang w:val="es-ES"/>
        </w:rPr>
        <w:t xml:space="preserve">El presente análisis del sector para </w:t>
      </w:r>
      <w:r w:rsidR="001A3536" w:rsidRPr="007B63EC">
        <w:rPr>
          <w:rFonts w:cs="Arial"/>
          <w:sz w:val="22"/>
          <w:szCs w:val="22"/>
        </w:rPr>
        <w:t xml:space="preserve">la </w:t>
      </w:r>
      <w:r w:rsidR="009B500E" w:rsidRPr="007B63EC">
        <w:rPr>
          <w:rFonts w:cs="Arial"/>
          <w:sz w:val="22"/>
          <w:szCs w:val="22"/>
        </w:rPr>
        <w:t>“</w:t>
      </w:r>
      <w:r w:rsidR="00767CF7" w:rsidRPr="00767CF7">
        <w:rPr>
          <w:sz w:val="22"/>
          <w:szCs w:val="22"/>
        </w:rPr>
        <w:t>INTERVENTORIA TÉCNICA, ADMINISTRATIVA, FINANCIERA Y AMBIENTAL, PARA EL MANTENIMIENTO Y MEJORAMIENTO DE VÍAS RURALES PROG. COLOMBIA RURAL, MUNICIPIOS DE ZETAQUIRA (CONVENIO 2106-2020 ADICIÓN No. 2) Y MIRAFLORES (CONVENIO 2302-2020 ADICIÓN No. 2)</w:t>
      </w:r>
      <w:r w:rsidR="00D03318" w:rsidRPr="007B63EC">
        <w:rPr>
          <w:rFonts w:cs="Arial"/>
          <w:sz w:val="22"/>
          <w:szCs w:val="22"/>
        </w:rPr>
        <w:t>” está fundado en la necesidad de garantizar el control y seguimiento de la</w:t>
      </w:r>
      <w:r w:rsidR="0064744D">
        <w:rPr>
          <w:rFonts w:cs="Arial"/>
          <w:sz w:val="22"/>
          <w:szCs w:val="22"/>
        </w:rPr>
        <w:t>s</w:t>
      </w:r>
      <w:r w:rsidR="00D03318" w:rsidRPr="007B63EC">
        <w:rPr>
          <w:rFonts w:cs="Arial"/>
          <w:sz w:val="22"/>
          <w:szCs w:val="22"/>
        </w:rPr>
        <w:t xml:space="preserve"> </w:t>
      </w:r>
      <w:r w:rsidR="0064744D">
        <w:rPr>
          <w:rFonts w:cs="Arial"/>
          <w:sz w:val="22"/>
          <w:szCs w:val="22"/>
        </w:rPr>
        <w:t>obras</w:t>
      </w:r>
      <w:r w:rsidR="00D26262" w:rsidRPr="007B63EC">
        <w:rPr>
          <w:rFonts w:cs="Arial"/>
          <w:sz w:val="22"/>
          <w:szCs w:val="22"/>
        </w:rPr>
        <w:t xml:space="preserve"> </w:t>
      </w:r>
      <w:r w:rsidR="0064744D">
        <w:rPr>
          <w:sz w:val="22"/>
          <w:szCs w:val="22"/>
        </w:rPr>
        <w:t xml:space="preserve">derivadas del </w:t>
      </w:r>
      <w:r w:rsidR="0064744D" w:rsidRPr="0064744D">
        <w:rPr>
          <w:sz w:val="22"/>
          <w:szCs w:val="22"/>
        </w:rPr>
        <w:t>PROG</w:t>
      </w:r>
      <w:r w:rsidR="0064744D">
        <w:rPr>
          <w:sz w:val="22"/>
          <w:szCs w:val="22"/>
        </w:rPr>
        <w:t>RAMA</w:t>
      </w:r>
      <w:r w:rsidR="0064744D" w:rsidRPr="0064744D">
        <w:rPr>
          <w:sz w:val="22"/>
          <w:szCs w:val="22"/>
        </w:rPr>
        <w:t xml:space="preserve"> COLOMBIA RURAL, MUNICIPIOS DE ZETAQUIRA (CONVENIO 2106-2020 ADICIÓN No. 2) Y MIRAFLORES (CONVENIO 2302-2020 ADICIÓN No. 2)</w:t>
      </w:r>
      <w:r w:rsidR="00A705E1" w:rsidRPr="007B63EC">
        <w:rPr>
          <w:sz w:val="22"/>
          <w:szCs w:val="22"/>
        </w:rPr>
        <w:t>.</w:t>
      </w:r>
    </w:p>
    <w:p w14:paraId="1D37EA8D" w14:textId="77777777" w:rsidR="00DA13BC" w:rsidRPr="007B63EC" w:rsidRDefault="00DA13BC" w:rsidP="00F33EDC">
      <w:pPr>
        <w:widowControl w:val="0"/>
        <w:autoSpaceDE w:val="0"/>
        <w:autoSpaceDN w:val="0"/>
        <w:adjustRightInd w:val="0"/>
        <w:spacing w:line="276" w:lineRule="auto"/>
        <w:ind w:left="2" w:right="20"/>
        <w:jc w:val="both"/>
        <w:rPr>
          <w:rFonts w:cs="Arial"/>
          <w:sz w:val="22"/>
          <w:szCs w:val="22"/>
          <w:lang w:val="es-ES"/>
        </w:rPr>
      </w:pPr>
    </w:p>
    <w:p w14:paraId="5AA94766" w14:textId="49DD24FC" w:rsidR="0095383C" w:rsidRDefault="0095383C" w:rsidP="0095383C">
      <w:pPr>
        <w:jc w:val="both"/>
        <w:rPr>
          <w:rFonts w:cs="Arial"/>
          <w:sz w:val="22"/>
          <w:szCs w:val="22"/>
        </w:rPr>
      </w:pPr>
      <w:r w:rsidRPr="007B63EC">
        <w:rPr>
          <w:rFonts w:cs="Arial"/>
          <w:sz w:val="22"/>
          <w:szCs w:val="22"/>
        </w:rPr>
        <w:t xml:space="preserve">De conformidad con lo establecido en la Ley 80 de 1993, la interventoría es un tipo de contrato de consultoría. La 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 </w:t>
      </w:r>
    </w:p>
    <w:p w14:paraId="43E0A9D1" w14:textId="77777777" w:rsidR="00FC2A55" w:rsidRDefault="00FC2A55" w:rsidP="0095383C">
      <w:pPr>
        <w:jc w:val="both"/>
        <w:rPr>
          <w:rFonts w:cs="Arial"/>
          <w:sz w:val="22"/>
          <w:szCs w:val="22"/>
        </w:rPr>
      </w:pPr>
    </w:p>
    <w:p w14:paraId="4A4B23A6" w14:textId="3FA3660E" w:rsidR="00FC2A55" w:rsidRDefault="00FC2A55" w:rsidP="0095383C">
      <w:pPr>
        <w:jc w:val="both"/>
        <w:rPr>
          <w:rFonts w:cs="Arial"/>
          <w:sz w:val="22"/>
          <w:szCs w:val="22"/>
        </w:rPr>
      </w:pPr>
    </w:p>
    <w:p w14:paraId="7A8EFD40" w14:textId="77777777" w:rsidR="00FC2A55" w:rsidRPr="007B63EC" w:rsidRDefault="00FC2A55" w:rsidP="0095383C">
      <w:pPr>
        <w:jc w:val="both"/>
        <w:rPr>
          <w:rFonts w:cs="Arial"/>
          <w:sz w:val="22"/>
          <w:szCs w:val="22"/>
        </w:rPr>
      </w:pPr>
    </w:p>
    <w:p w14:paraId="44EAFD9C" w14:textId="77777777" w:rsidR="00F33EDC" w:rsidRPr="007B63EC" w:rsidRDefault="00F33EDC" w:rsidP="00D76FFD">
      <w:pPr>
        <w:widowControl w:val="0"/>
        <w:autoSpaceDE w:val="0"/>
        <w:autoSpaceDN w:val="0"/>
        <w:adjustRightInd w:val="0"/>
        <w:spacing w:line="276" w:lineRule="auto"/>
        <w:ind w:right="20"/>
        <w:jc w:val="both"/>
        <w:rPr>
          <w:rFonts w:cs="Arial"/>
          <w:sz w:val="22"/>
          <w:szCs w:val="22"/>
          <w:lang w:val="es-ES"/>
        </w:rPr>
      </w:pPr>
    </w:p>
    <w:p w14:paraId="5547840C" w14:textId="58045CAA" w:rsidR="00D178D9" w:rsidRPr="007B63EC" w:rsidRDefault="00D178D9" w:rsidP="443155EA">
      <w:pPr>
        <w:pStyle w:val="Ttulo3"/>
        <w:numPr>
          <w:ilvl w:val="0"/>
          <w:numId w:val="9"/>
        </w:numPr>
        <w:spacing w:line="276" w:lineRule="auto"/>
        <w:rPr>
          <w:rFonts w:ascii="Arial Narrow" w:hAnsi="Arial Narrow" w:cs="Arial"/>
          <w:b/>
          <w:bCs/>
          <w:color w:val="000000" w:themeColor="text1"/>
          <w:sz w:val="22"/>
          <w:szCs w:val="22"/>
        </w:rPr>
      </w:pPr>
      <w:r w:rsidRPr="007B63EC">
        <w:rPr>
          <w:rFonts w:ascii="Arial Narrow" w:hAnsi="Arial Narrow" w:cs="Arial"/>
          <w:b/>
          <w:bCs/>
          <w:color w:val="000000" w:themeColor="text1"/>
          <w:sz w:val="22"/>
          <w:szCs w:val="22"/>
        </w:rPr>
        <w:t xml:space="preserve">ASPECTO </w:t>
      </w:r>
      <w:r w:rsidR="004A3CE0" w:rsidRPr="007B63EC">
        <w:rPr>
          <w:rFonts w:ascii="Arial Narrow" w:hAnsi="Arial Narrow" w:cs="Arial"/>
          <w:b/>
          <w:bCs/>
          <w:color w:val="000000" w:themeColor="text1"/>
          <w:sz w:val="22"/>
          <w:szCs w:val="22"/>
        </w:rPr>
        <w:t>ECONÓMICO</w:t>
      </w:r>
    </w:p>
    <w:p w14:paraId="4B94D5A5" w14:textId="77777777" w:rsidR="00D178D9" w:rsidRPr="007B63EC" w:rsidRDefault="00D178D9" w:rsidP="00AA5592">
      <w:pPr>
        <w:spacing w:line="276" w:lineRule="auto"/>
        <w:rPr>
          <w:sz w:val="22"/>
          <w:szCs w:val="22"/>
          <w:lang w:val="es-MX"/>
        </w:rPr>
      </w:pPr>
    </w:p>
    <w:p w14:paraId="5C0FCF4E" w14:textId="77777777" w:rsidR="0095383C" w:rsidRPr="007B63EC" w:rsidRDefault="0095383C" w:rsidP="0095383C">
      <w:pPr>
        <w:numPr>
          <w:ilvl w:val="1"/>
          <w:numId w:val="40"/>
        </w:numPr>
        <w:rPr>
          <w:rFonts w:cs="Arial"/>
          <w:b/>
          <w:sz w:val="22"/>
          <w:szCs w:val="22"/>
        </w:rPr>
      </w:pPr>
      <w:bookmarkStart w:id="3" w:name="_Toc393174596"/>
      <w:r w:rsidRPr="007B63EC">
        <w:rPr>
          <w:rFonts w:cs="Arial"/>
          <w:b/>
          <w:sz w:val="22"/>
          <w:szCs w:val="22"/>
        </w:rPr>
        <w:t>Productos del sector de consultoría</w:t>
      </w:r>
    </w:p>
    <w:p w14:paraId="3DEEC669" w14:textId="77777777" w:rsidR="0095383C" w:rsidRPr="007B63EC" w:rsidRDefault="0095383C" w:rsidP="0095383C">
      <w:pPr>
        <w:rPr>
          <w:rFonts w:cs="Arial"/>
          <w:b/>
          <w:sz w:val="22"/>
          <w:szCs w:val="22"/>
        </w:rPr>
      </w:pPr>
    </w:p>
    <w:p w14:paraId="4B1733D7" w14:textId="77777777" w:rsidR="0095383C" w:rsidRPr="007B63EC" w:rsidRDefault="0095383C" w:rsidP="00484164">
      <w:pPr>
        <w:jc w:val="both"/>
        <w:rPr>
          <w:rFonts w:cs="Arial"/>
          <w:sz w:val="22"/>
          <w:szCs w:val="22"/>
        </w:rPr>
      </w:pPr>
      <w:r w:rsidRPr="007B63EC">
        <w:rPr>
          <w:rFonts w:cs="Arial"/>
          <w:sz w:val="22"/>
          <w:szCs w:val="22"/>
        </w:rPr>
        <w:t>La consultoría se dirige a todas las áreas de gestión de una empresa, este aspecto determina el segmento de actividad de las empresas del sector. Se consideran los segmentos de mayor influencia en el mercado:</w:t>
      </w:r>
    </w:p>
    <w:p w14:paraId="09DF0CD5" w14:textId="77777777" w:rsidR="0095383C" w:rsidRPr="007B63EC" w:rsidRDefault="0095383C" w:rsidP="00484164">
      <w:pPr>
        <w:numPr>
          <w:ilvl w:val="0"/>
          <w:numId w:val="39"/>
        </w:numPr>
        <w:contextualSpacing/>
        <w:jc w:val="both"/>
        <w:rPr>
          <w:rFonts w:cs="Arial"/>
          <w:sz w:val="22"/>
          <w:szCs w:val="22"/>
        </w:rPr>
      </w:pPr>
      <w:r w:rsidRPr="007B63EC">
        <w:rPr>
          <w:rFonts w:cs="Arial"/>
          <w:sz w:val="22"/>
          <w:szCs w:val="22"/>
        </w:rPr>
        <w:t>Consultoría integral, que reúne todas las áreas de gestión (estrategia, finanzas, producción, mercadeo, recursos humanos, tecnologías de información).</w:t>
      </w:r>
    </w:p>
    <w:p w14:paraId="03FB1710" w14:textId="77777777" w:rsidR="0095383C" w:rsidRPr="007B63EC" w:rsidRDefault="0095383C" w:rsidP="00484164">
      <w:pPr>
        <w:numPr>
          <w:ilvl w:val="0"/>
          <w:numId w:val="39"/>
        </w:numPr>
        <w:contextualSpacing/>
        <w:jc w:val="both"/>
        <w:rPr>
          <w:rFonts w:cs="Arial"/>
          <w:sz w:val="22"/>
          <w:szCs w:val="22"/>
        </w:rPr>
      </w:pPr>
      <w:r w:rsidRPr="007B63EC">
        <w:rPr>
          <w:rFonts w:cs="Arial"/>
          <w:sz w:val="22"/>
          <w:szCs w:val="22"/>
        </w:rPr>
        <w:t>Consultoría en mercadeo, que reúne mercadeo y ventas.</w:t>
      </w:r>
    </w:p>
    <w:p w14:paraId="5316392B" w14:textId="77777777" w:rsidR="0095383C" w:rsidRPr="007B63EC" w:rsidRDefault="0095383C" w:rsidP="00484164">
      <w:pPr>
        <w:numPr>
          <w:ilvl w:val="0"/>
          <w:numId w:val="39"/>
        </w:numPr>
        <w:contextualSpacing/>
        <w:jc w:val="both"/>
        <w:rPr>
          <w:rFonts w:cs="Arial"/>
          <w:sz w:val="22"/>
          <w:szCs w:val="22"/>
        </w:rPr>
      </w:pPr>
      <w:r w:rsidRPr="007B63EC">
        <w:rPr>
          <w:rFonts w:cs="Arial"/>
          <w:sz w:val="22"/>
          <w:szCs w:val="22"/>
        </w:rPr>
        <w:t>Consultoría en tecnologías de la información (software, hardware, servicios conexos).</w:t>
      </w:r>
    </w:p>
    <w:p w14:paraId="17B9998E" w14:textId="77777777" w:rsidR="0095383C" w:rsidRPr="007B63EC" w:rsidRDefault="0095383C" w:rsidP="00484164">
      <w:pPr>
        <w:numPr>
          <w:ilvl w:val="0"/>
          <w:numId w:val="39"/>
        </w:numPr>
        <w:contextualSpacing/>
        <w:jc w:val="both"/>
        <w:rPr>
          <w:rFonts w:cs="Arial"/>
          <w:sz w:val="22"/>
          <w:szCs w:val="22"/>
        </w:rPr>
      </w:pPr>
      <w:r w:rsidRPr="007B63EC">
        <w:rPr>
          <w:rFonts w:cs="Arial"/>
          <w:sz w:val="22"/>
          <w:szCs w:val="22"/>
        </w:rPr>
        <w:t>Consultoría en sistemas de gestión, dirigida a formalizar procesos para cumplir estándares internacionales con miras a obtener certificaciones.</w:t>
      </w:r>
    </w:p>
    <w:p w14:paraId="11899012" w14:textId="77777777" w:rsidR="0095383C" w:rsidRPr="007B63EC" w:rsidRDefault="0095383C" w:rsidP="00484164">
      <w:pPr>
        <w:numPr>
          <w:ilvl w:val="0"/>
          <w:numId w:val="39"/>
        </w:numPr>
        <w:contextualSpacing/>
        <w:jc w:val="both"/>
        <w:rPr>
          <w:rFonts w:cs="Arial"/>
          <w:sz w:val="22"/>
          <w:szCs w:val="22"/>
        </w:rPr>
      </w:pPr>
      <w:r w:rsidRPr="007B63EC">
        <w:rPr>
          <w:rFonts w:cs="Arial"/>
          <w:sz w:val="22"/>
          <w:szCs w:val="22"/>
        </w:rPr>
        <w:t>Consultoría en recursos humanos</w:t>
      </w:r>
    </w:p>
    <w:p w14:paraId="1A1C7558" w14:textId="77777777" w:rsidR="0095383C" w:rsidRPr="007B63EC" w:rsidRDefault="0095383C" w:rsidP="00484164">
      <w:pPr>
        <w:numPr>
          <w:ilvl w:val="0"/>
          <w:numId w:val="39"/>
        </w:numPr>
        <w:contextualSpacing/>
        <w:jc w:val="both"/>
        <w:rPr>
          <w:rFonts w:cs="Arial"/>
          <w:sz w:val="22"/>
          <w:szCs w:val="22"/>
        </w:rPr>
      </w:pPr>
      <w:r w:rsidRPr="007B63EC">
        <w:rPr>
          <w:rFonts w:cs="Arial"/>
          <w:sz w:val="22"/>
          <w:szCs w:val="22"/>
        </w:rPr>
        <w:t>Consultoría legal y tributaria, asesoría en aspectos jurídicos y pagos de impuestos.</w:t>
      </w:r>
    </w:p>
    <w:p w14:paraId="45FB0818" w14:textId="0AFDEB4A" w:rsidR="00492BBA" w:rsidRDefault="00492BBA" w:rsidP="00D76FFD">
      <w:pPr>
        <w:contextualSpacing/>
        <w:jc w:val="both"/>
        <w:rPr>
          <w:rFonts w:cs="Arial"/>
          <w:sz w:val="22"/>
          <w:szCs w:val="22"/>
        </w:rPr>
      </w:pPr>
    </w:p>
    <w:p w14:paraId="4A3828E9" w14:textId="77777777" w:rsidR="007541BE" w:rsidRPr="007B63EC" w:rsidRDefault="007541BE" w:rsidP="00D76FFD">
      <w:pPr>
        <w:contextualSpacing/>
        <w:jc w:val="both"/>
        <w:rPr>
          <w:rFonts w:cs="Arial"/>
          <w:sz w:val="22"/>
          <w:szCs w:val="22"/>
        </w:rPr>
      </w:pPr>
    </w:p>
    <w:p w14:paraId="123AFB69" w14:textId="77777777" w:rsidR="0095383C" w:rsidRPr="007B63EC" w:rsidRDefault="0095383C" w:rsidP="00484164">
      <w:pPr>
        <w:numPr>
          <w:ilvl w:val="1"/>
          <w:numId w:val="40"/>
        </w:numPr>
        <w:jc w:val="both"/>
        <w:rPr>
          <w:rFonts w:cs="Arial"/>
          <w:b/>
          <w:sz w:val="22"/>
          <w:szCs w:val="22"/>
        </w:rPr>
      </w:pPr>
      <w:r w:rsidRPr="007B63EC">
        <w:rPr>
          <w:rFonts w:cs="Arial"/>
          <w:b/>
          <w:sz w:val="22"/>
          <w:szCs w:val="22"/>
        </w:rPr>
        <w:t>Agentes del sector</w:t>
      </w:r>
    </w:p>
    <w:p w14:paraId="049F31CB" w14:textId="77777777" w:rsidR="0095383C" w:rsidRPr="007B63EC" w:rsidRDefault="0095383C" w:rsidP="00484164">
      <w:pPr>
        <w:jc w:val="both"/>
        <w:rPr>
          <w:rFonts w:cs="Arial"/>
          <w:b/>
          <w:sz w:val="22"/>
          <w:szCs w:val="22"/>
        </w:rPr>
      </w:pPr>
    </w:p>
    <w:p w14:paraId="7D84A2AF" w14:textId="77777777" w:rsidR="0095383C" w:rsidRPr="007B63EC" w:rsidRDefault="0095383C" w:rsidP="00484164">
      <w:pPr>
        <w:jc w:val="both"/>
        <w:rPr>
          <w:rFonts w:cs="Arial"/>
          <w:sz w:val="22"/>
          <w:szCs w:val="22"/>
        </w:rPr>
      </w:pPr>
      <w:r w:rsidRPr="007B63EC">
        <w:rPr>
          <w:rFonts w:cs="Arial"/>
          <w:sz w:val="22"/>
          <w:szCs w:val="22"/>
        </w:rPr>
        <w:t>Por parte del Estado</w:t>
      </w:r>
    </w:p>
    <w:p w14:paraId="5C7A3860" w14:textId="77777777" w:rsidR="0095383C" w:rsidRPr="007B63EC" w:rsidRDefault="0095383C" w:rsidP="00484164">
      <w:pPr>
        <w:jc w:val="both"/>
        <w:rPr>
          <w:rFonts w:cs="Arial"/>
          <w:sz w:val="22"/>
          <w:szCs w:val="22"/>
        </w:rPr>
      </w:pPr>
      <w:r w:rsidRPr="007B63EC">
        <w:rPr>
          <w:rFonts w:cs="Arial"/>
          <w:sz w:val="22"/>
          <w:szCs w:val="22"/>
        </w:rPr>
        <w:t>Ministerio de transporte</w:t>
      </w:r>
    </w:p>
    <w:p w14:paraId="5BAF4A86" w14:textId="77777777" w:rsidR="0095383C" w:rsidRPr="007B63EC" w:rsidRDefault="0095383C" w:rsidP="00484164">
      <w:pPr>
        <w:jc w:val="both"/>
        <w:rPr>
          <w:rFonts w:cs="Arial"/>
          <w:sz w:val="22"/>
          <w:szCs w:val="22"/>
          <w:shd w:val="clear" w:color="auto" w:fill="FFFFFF"/>
        </w:rPr>
      </w:pPr>
      <w:r w:rsidRPr="007B63EC">
        <w:rPr>
          <w:rFonts w:cs="Arial"/>
          <w:sz w:val="22"/>
          <w:szCs w:val="22"/>
          <w:shd w:val="clear" w:color="auto" w:fill="FFFFFF"/>
        </w:rPr>
        <w:t>Agencia Nacional de Infraestructura – ANI</w:t>
      </w:r>
    </w:p>
    <w:p w14:paraId="72D0AA46" w14:textId="77777777" w:rsidR="0095383C" w:rsidRPr="007B63EC" w:rsidRDefault="0095383C" w:rsidP="00484164">
      <w:pPr>
        <w:jc w:val="both"/>
        <w:rPr>
          <w:rFonts w:cs="Arial"/>
          <w:sz w:val="22"/>
          <w:szCs w:val="22"/>
          <w:shd w:val="clear" w:color="auto" w:fill="FFFFFF"/>
        </w:rPr>
      </w:pPr>
      <w:r w:rsidRPr="007B63EC">
        <w:rPr>
          <w:rFonts w:cs="Arial"/>
          <w:sz w:val="22"/>
          <w:szCs w:val="22"/>
          <w:shd w:val="clear" w:color="auto" w:fill="FFFFFF"/>
        </w:rPr>
        <w:t>Entidades públicas departamentales y municipales (Gobernaciones, Alcaldías)</w:t>
      </w:r>
    </w:p>
    <w:p w14:paraId="010B923C" w14:textId="77777777" w:rsidR="0095383C" w:rsidRPr="007B63EC" w:rsidRDefault="0095383C" w:rsidP="00484164">
      <w:pPr>
        <w:jc w:val="both"/>
        <w:rPr>
          <w:rFonts w:cs="Arial"/>
          <w:sz w:val="22"/>
          <w:szCs w:val="22"/>
        </w:rPr>
      </w:pPr>
      <w:r w:rsidRPr="007B63EC">
        <w:rPr>
          <w:rFonts w:cs="Arial"/>
          <w:sz w:val="22"/>
          <w:szCs w:val="22"/>
        </w:rPr>
        <w:t>Instituto Geográfico Agustín Codazzi – IGAC</w:t>
      </w:r>
    </w:p>
    <w:p w14:paraId="267F5496" w14:textId="77777777" w:rsidR="0095383C" w:rsidRPr="007B63EC" w:rsidRDefault="0095383C" w:rsidP="00484164">
      <w:pPr>
        <w:jc w:val="both"/>
        <w:rPr>
          <w:rFonts w:cs="Arial"/>
          <w:sz w:val="22"/>
          <w:szCs w:val="22"/>
        </w:rPr>
      </w:pPr>
      <w:r w:rsidRPr="007B63EC">
        <w:rPr>
          <w:rFonts w:cs="Arial"/>
          <w:sz w:val="22"/>
          <w:szCs w:val="22"/>
        </w:rPr>
        <w:t>Departamento Nacional De Planeación – DNP</w:t>
      </w:r>
    </w:p>
    <w:p w14:paraId="6DE19F8B" w14:textId="77777777" w:rsidR="0095383C" w:rsidRPr="007B63EC" w:rsidRDefault="0095383C" w:rsidP="00484164">
      <w:pPr>
        <w:jc w:val="both"/>
        <w:rPr>
          <w:rFonts w:cs="Arial"/>
          <w:sz w:val="22"/>
          <w:szCs w:val="22"/>
        </w:rPr>
      </w:pPr>
      <w:r w:rsidRPr="007B63EC">
        <w:rPr>
          <w:rFonts w:cs="Arial"/>
          <w:sz w:val="22"/>
          <w:szCs w:val="22"/>
        </w:rPr>
        <w:t>Superintendencia de Puertos y Transportes</w:t>
      </w:r>
    </w:p>
    <w:p w14:paraId="6E0F218B" w14:textId="77777777" w:rsidR="0095383C" w:rsidRPr="007B63EC" w:rsidRDefault="0095383C" w:rsidP="00484164">
      <w:pPr>
        <w:jc w:val="both"/>
        <w:rPr>
          <w:rFonts w:cs="Arial"/>
          <w:sz w:val="22"/>
          <w:szCs w:val="22"/>
        </w:rPr>
      </w:pPr>
      <w:r w:rsidRPr="007B63EC">
        <w:rPr>
          <w:rFonts w:cs="Arial"/>
          <w:sz w:val="22"/>
          <w:szCs w:val="22"/>
        </w:rPr>
        <w:t>Instituto Nacional de Vías-INVIAS</w:t>
      </w:r>
    </w:p>
    <w:p w14:paraId="4E6C378A" w14:textId="77777777" w:rsidR="0095383C" w:rsidRPr="007B63EC" w:rsidRDefault="0095383C" w:rsidP="00484164">
      <w:pPr>
        <w:jc w:val="both"/>
        <w:rPr>
          <w:rFonts w:cs="Arial"/>
          <w:sz w:val="22"/>
          <w:szCs w:val="22"/>
        </w:rPr>
      </w:pPr>
      <w:r w:rsidRPr="007B63EC">
        <w:rPr>
          <w:rFonts w:cs="Arial"/>
          <w:sz w:val="22"/>
          <w:szCs w:val="22"/>
        </w:rPr>
        <w:t>Agencia Nacional de Licencias Ambientales</w:t>
      </w:r>
    </w:p>
    <w:p w14:paraId="326C8489" w14:textId="77777777" w:rsidR="0095383C" w:rsidRPr="007B63EC" w:rsidRDefault="0095383C" w:rsidP="00484164">
      <w:pPr>
        <w:jc w:val="both"/>
        <w:rPr>
          <w:rFonts w:cs="Arial"/>
          <w:sz w:val="22"/>
          <w:szCs w:val="22"/>
        </w:rPr>
      </w:pPr>
      <w:r w:rsidRPr="007B63EC">
        <w:rPr>
          <w:rFonts w:cs="Arial"/>
          <w:sz w:val="22"/>
          <w:szCs w:val="22"/>
        </w:rPr>
        <w:t>Corporaciones Autónomas Regionales</w:t>
      </w:r>
    </w:p>
    <w:p w14:paraId="2200E31D" w14:textId="77777777" w:rsidR="0095383C" w:rsidRPr="007B63EC" w:rsidRDefault="0095383C" w:rsidP="00484164">
      <w:pPr>
        <w:jc w:val="both"/>
        <w:rPr>
          <w:rFonts w:cs="Arial"/>
          <w:sz w:val="22"/>
          <w:szCs w:val="22"/>
        </w:rPr>
      </w:pPr>
      <w:r w:rsidRPr="007B63EC">
        <w:rPr>
          <w:rFonts w:cs="Arial"/>
          <w:sz w:val="22"/>
          <w:szCs w:val="22"/>
        </w:rPr>
        <w:t>Departamento Nacional de Planeación</w:t>
      </w:r>
    </w:p>
    <w:p w14:paraId="23A9F1F2" w14:textId="77777777" w:rsidR="0095383C" w:rsidRPr="007B63EC" w:rsidRDefault="0095383C" w:rsidP="00484164">
      <w:pPr>
        <w:jc w:val="both"/>
        <w:rPr>
          <w:rFonts w:cs="Arial"/>
          <w:sz w:val="22"/>
          <w:szCs w:val="22"/>
        </w:rPr>
      </w:pPr>
      <w:r w:rsidRPr="007B63EC">
        <w:rPr>
          <w:rFonts w:cs="Arial"/>
          <w:sz w:val="22"/>
          <w:szCs w:val="22"/>
        </w:rPr>
        <w:t>Auditoría General de la República</w:t>
      </w:r>
    </w:p>
    <w:p w14:paraId="3F5ECC1F" w14:textId="77777777" w:rsidR="0095383C" w:rsidRPr="007B63EC" w:rsidRDefault="0095383C" w:rsidP="00484164">
      <w:pPr>
        <w:jc w:val="both"/>
        <w:rPr>
          <w:rFonts w:cs="Arial"/>
          <w:sz w:val="22"/>
          <w:szCs w:val="22"/>
        </w:rPr>
      </w:pPr>
      <w:r w:rsidRPr="007B63EC">
        <w:rPr>
          <w:rFonts w:cs="Arial"/>
          <w:sz w:val="22"/>
          <w:szCs w:val="22"/>
        </w:rPr>
        <w:t>Contraloría General de la República</w:t>
      </w:r>
    </w:p>
    <w:p w14:paraId="53128261" w14:textId="77777777" w:rsidR="0095383C" w:rsidRPr="007B63EC" w:rsidRDefault="0095383C" w:rsidP="00484164">
      <w:pPr>
        <w:jc w:val="both"/>
        <w:rPr>
          <w:rFonts w:cs="Arial"/>
          <w:sz w:val="22"/>
          <w:szCs w:val="22"/>
        </w:rPr>
      </w:pPr>
    </w:p>
    <w:p w14:paraId="08011E45" w14:textId="77777777" w:rsidR="0095383C" w:rsidRPr="007B63EC" w:rsidRDefault="0095383C" w:rsidP="00484164">
      <w:pPr>
        <w:jc w:val="both"/>
        <w:rPr>
          <w:rFonts w:cs="Arial"/>
          <w:sz w:val="22"/>
          <w:szCs w:val="22"/>
        </w:rPr>
      </w:pPr>
      <w:r w:rsidRPr="007B63EC">
        <w:rPr>
          <w:rFonts w:cs="Arial"/>
          <w:sz w:val="22"/>
          <w:szCs w:val="22"/>
        </w:rPr>
        <w:t>Por parte de la Sociedad Civil</w:t>
      </w:r>
    </w:p>
    <w:p w14:paraId="2C132440" w14:textId="77777777" w:rsidR="0095383C" w:rsidRPr="007B63EC" w:rsidRDefault="0095383C" w:rsidP="00484164">
      <w:pPr>
        <w:jc w:val="both"/>
        <w:rPr>
          <w:rFonts w:cs="Arial"/>
          <w:sz w:val="22"/>
          <w:szCs w:val="22"/>
        </w:rPr>
      </w:pPr>
      <w:r w:rsidRPr="007B63EC">
        <w:rPr>
          <w:rFonts w:cs="Arial"/>
          <w:sz w:val="22"/>
          <w:szCs w:val="22"/>
        </w:rPr>
        <w:t>Empresas dedicadas a la auditoria, consultoría e interventoría</w:t>
      </w:r>
    </w:p>
    <w:p w14:paraId="302C7DDD" w14:textId="77777777" w:rsidR="0095383C" w:rsidRPr="007B63EC" w:rsidRDefault="0095383C" w:rsidP="00484164">
      <w:pPr>
        <w:jc w:val="both"/>
        <w:rPr>
          <w:rFonts w:cs="Arial"/>
          <w:sz w:val="22"/>
          <w:szCs w:val="22"/>
        </w:rPr>
      </w:pPr>
      <w:r w:rsidRPr="007B63EC">
        <w:rPr>
          <w:rFonts w:cs="Arial"/>
          <w:sz w:val="22"/>
          <w:szCs w:val="22"/>
        </w:rPr>
        <w:t>Usuarios</w:t>
      </w:r>
    </w:p>
    <w:p w14:paraId="4101652C" w14:textId="77777777" w:rsidR="0095383C" w:rsidRPr="007B63EC" w:rsidRDefault="0095383C" w:rsidP="00484164">
      <w:pPr>
        <w:jc w:val="both"/>
        <w:rPr>
          <w:rFonts w:cs="Arial"/>
          <w:sz w:val="22"/>
          <w:szCs w:val="22"/>
        </w:rPr>
      </w:pPr>
    </w:p>
    <w:p w14:paraId="7A500A56" w14:textId="77777777" w:rsidR="0095383C" w:rsidRPr="007B63EC" w:rsidRDefault="0095383C" w:rsidP="00484164">
      <w:pPr>
        <w:numPr>
          <w:ilvl w:val="1"/>
          <w:numId w:val="40"/>
        </w:numPr>
        <w:jc w:val="both"/>
        <w:rPr>
          <w:rFonts w:cs="Arial"/>
          <w:b/>
          <w:sz w:val="22"/>
          <w:szCs w:val="22"/>
        </w:rPr>
      </w:pPr>
      <w:r w:rsidRPr="007B63EC">
        <w:rPr>
          <w:rFonts w:cs="Arial"/>
          <w:b/>
          <w:sz w:val="22"/>
          <w:szCs w:val="22"/>
        </w:rPr>
        <w:t>Gremios y asociaciones</w:t>
      </w:r>
    </w:p>
    <w:p w14:paraId="4B99056E" w14:textId="77777777" w:rsidR="0095383C" w:rsidRPr="007B63EC" w:rsidRDefault="0095383C" w:rsidP="00484164">
      <w:pPr>
        <w:jc w:val="both"/>
        <w:rPr>
          <w:rFonts w:cs="Arial"/>
          <w:b/>
          <w:sz w:val="22"/>
          <w:szCs w:val="22"/>
        </w:rPr>
      </w:pPr>
    </w:p>
    <w:p w14:paraId="471F9EEF" w14:textId="77777777" w:rsidR="0095383C" w:rsidRPr="007B63EC" w:rsidRDefault="0095383C" w:rsidP="00484164">
      <w:pPr>
        <w:jc w:val="both"/>
        <w:rPr>
          <w:rFonts w:cs="Arial"/>
          <w:sz w:val="22"/>
          <w:szCs w:val="22"/>
        </w:rPr>
      </w:pPr>
      <w:r w:rsidRPr="007B63EC">
        <w:rPr>
          <w:rFonts w:cs="Arial"/>
          <w:sz w:val="22"/>
          <w:szCs w:val="22"/>
        </w:rPr>
        <w:t xml:space="preserve">Los gremios y asociaciones del sector servicios a las empresas podemos anotar: </w:t>
      </w:r>
    </w:p>
    <w:p w14:paraId="5D877325" w14:textId="77777777" w:rsidR="0095383C" w:rsidRPr="007B63EC" w:rsidRDefault="0095383C" w:rsidP="00484164">
      <w:pPr>
        <w:jc w:val="both"/>
        <w:rPr>
          <w:rFonts w:cs="Arial"/>
          <w:sz w:val="22"/>
          <w:szCs w:val="22"/>
        </w:rPr>
      </w:pPr>
      <w:r w:rsidRPr="007B63EC">
        <w:rPr>
          <w:rFonts w:cs="Arial"/>
          <w:sz w:val="22"/>
          <w:szCs w:val="22"/>
        </w:rPr>
        <w:t>Cámaras de Comercios</w:t>
      </w:r>
    </w:p>
    <w:p w14:paraId="472BA8F3" w14:textId="77777777" w:rsidR="0095383C" w:rsidRPr="007B63EC" w:rsidRDefault="0095383C" w:rsidP="00484164">
      <w:pPr>
        <w:jc w:val="both"/>
        <w:rPr>
          <w:rFonts w:cs="Arial"/>
          <w:sz w:val="22"/>
          <w:szCs w:val="22"/>
        </w:rPr>
      </w:pPr>
      <w:r w:rsidRPr="007B63EC">
        <w:rPr>
          <w:rFonts w:cs="Arial"/>
          <w:sz w:val="22"/>
          <w:szCs w:val="22"/>
        </w:rPr>
        <w:t>Camacol,</w:t>
      </w:r>
    </w:p>
    <w:p w14:paraId="5841DD39" w14:textId="77777777" w:rsidR="0095383C" w:rsidRPr="007B63EC" w:rsidRDefault="0095383C" w:rsidP="00484164">
      <w:pPr>
        <w:jc w:val="both"/>
        <w:rPr>
          <w:rFonts w:cs="Arial"/>
          <w:sz w:val="22"/>
          <w:szCs w:val="22"/>
        </w:rPr>
      </w:pPr>
      <w:r w:rsidRPr="007B63EC">
        <w:rPr>
          <w:rFonts w:cs="Arial"/>
          <w:sz w:val="22"/>
          <w:szCs w:val="22"/>
        </w:rPr>
        <w:t>Fedesarrollo,</w:t>
      </w:r>
    </w:p>
    <w:p w14:paraId="6CB3907A" w14:textId="77777777" w:rsidR="0095383C" w:rsidRPr="007B63EC" w:rsidRDefault="0095383C" w:rsidP="00484164">
      <w:pPr>
        <w:jc w:val="both"/>
        <w:rPr>
          <w:rFonts w:cs="Arial"/>
          <w:sz w:val="22"/>
          <w:szCs w:val="22"/>
        </w:rPr>
      </w:pPr>
      <w:proofErr w:type="spellStart"/>
      <w:r w:rsidRPr="007B63EC">
        <w:rPr>
          <w:rFonts w:cs="Arial"/>
          <w:sz w:val="22"/>
          <w:szCs w:val="22"/>
        </w:rPr>
        <w:t>Fescol</w:t>
      </w:r>
      <w:proofErr w:type="spellEnd"/>
    </w:p>
    <w:p w14:paraId="618C8866" w14:textId="77777777" w:rsidR="0095383C" w:rsidRPr="007B63EC" w:rsidRDefault="0095383C" w:rsidP="00484164">
      <w:pPr>
        <w:jc w:val="both"/>
        <w:rPr>
          <w:rFonts w:cs="Arial"/>
          <w:sz w:val="22"/>
          <w:szCs w:val="22"/>
        </w:rPr>
      </w:pPr>
      <w:r w:rsidRPr="007B63EC">
        <w:rPr>
          <w:rFonts w:cs="Arial"/>
          <w:sz w:val="22"/>
          <w:szCs w:val="22"/>
        </w:rPr>
        <w:t>Asociación Colombiana de Consultores Empresariales – ACOLCEM</w:t>
      </w:r>
    </w:p>
    <w:p w14:paraId="651C27A1" w14:textId="77777777" w:rsidR="0095383C" w:rsidRPr="007B63EC" w:rsidRDefault="0095383C" w:rsidP="00484164">
      <w:pPr>
        <w:jc w:val="both"/>
        <w:rPr>
          <w:rFonts w:cs="Arial"/>
          <w:sz w:val="22"/>
          <w:szCs w:val="22"/>
        </w:rPr>
      </w:pPr>
      <w:r w:rsidRPr="007B63EC">
        <w:rPr>
          <w:rFonts w:cs="Arial"/>
          <w:sz w:val="22"/>
          <w:szCs w:val="22"/>
        </w:rPr>
        <w:t>Sociedad Colombiana de Consultoría</w:t>
      </w:r>
    </w:p>
    <w:p w14:paraId="61D6EB23" w14:textId="77777777" w:rsidR="0095383C" w:rsidRPr="007B63EC" w:rsidRDefault="0095383C" w:rsidP="00484164">
      <w:pPr>
        <w:jc w:val="both"/>
        <w:rPr>
          <w:rFonts w:cs="Arial"/>
          <w:sz w:val="22"/>
          <w:szCs w:val="22"/>
        </w:rPr>
      </w:pPr>
      <w:r w:rsidRPr="007B63EC">
        <w:rPr>
          <w:rFonts w:cs="Arial"/>
          <w:sz w:val="22"/>
          <w:szCs w:val="22"/>
        </w:rPr>
        <w:lastRenderedPageBreak/>
        <w:t>Mesa Sectorial de Consultoría Empresarial del servicio nacional de aprendizaje (SENA) – MSCE</w:t>
      </w:r>
    </w:p>
    <w:p w14:paraId="1299C43A" w14:textId="77777777" w:rsidR="0095383C" w:rsidRPr="007B63EC" w:rsidRDefault="0095383C" w:rsidP="00484164">
      <w:pPr>
        <w:jc w:val="both"/>
        <w:rPr>
          <w:rFonts w:cs="Arial"/>
          <w:sz w:val="22"/>
          <w:szCs w:val="22"/>
        </w:rPr>
      </w:pPr>
    </w:p>
    <w:p w14:paraId="381BC3EE" w14:textId="77777777" w:rsidR="0095383C" w:rsidRPr="007B63EC" w:rsidRDefault="0095383C" w:rsidP="00484164">
      <w:pPr>
        <w:numPr>
          <w:ilvl w:val="1"/>
          <w:numId w:val="40"/>
        </w:numPr>
        <w:jc w:val="both"/>
        <w:rPr>
          <w:rFonts w:cs="Arial"/>
          <w:b/>
          <w:sz w:val="22"/>
          <w:szCs w:val="22"/>
        </w:rPr>
      </w:pPr>
      <w:r w:rsidRPr="007B63EC">
        <w:rPr>
          <w:rFonts w:cs="Arial"/>
          <w:b/>
          <w:sz w:val="22"/>
          <w:szCs w:val="22"/>
        </w:rPr>
        <w:t>Cifras sector consultoría</w:t>
      </w:r>
    </w:p>
    <w:p w14:paraId="4DDBEF00" w14:textId="77777777" w:rsidR="0095383C" w:rsidRPr="007B63EC" w:rsidRDefault="0095383C" w:rsidP="00484164">
      <w:pPr>
        <w:jc w:val="both"/>
        <w:rPr>
          <w:rFonts w:cs="Arial"/>
          <w:b/>
          <w:sz w:val="22"/>
          <w:szCs w:val="22"/>
        </w:rPr>
      </w:pPr>
    </w:p>
    <w:p w14:paraId="759F09FB" w14:textId="77777777" w:rsidR="000A2C14" w:rsidRPr="007B63EC" w:rsidRDefault="000A2C14" w:rsidP="000A2C14">
      <w:pPr>
        <w:jc w:val="both"/>
        <w:rPr>
          <w:sz w:val="22"/>
          <w:szCs w:val="22"/>
        </w:rPr>
      </w:pPr>
      <w:r w:rsidRPr="007B63EC">
        <w:rPr>
          <w:sz w:val="22"/>
          <w:szCs w:val="22"/>
        </w:rPr>
        <w:t xml:space="preserve">En el tercer trimestre de 2020, el Producto Interno Bruto, en su serie original, decrece 9,0% respecto al mismo periodo de 2019. Las actividades económicas que más contribuyen a la dinámica del valor agregado son: </w:t>
      </w:r>
    </w:p>
    <w:p w14:paraId="714EC802" w14:textId="77777777" w:rsidR="000A2C14" w:rsidRPr="007B63EC" w:rsidRDefault="000A2C14" w:rsidP="000A2C14">
      <w:pPr>
        <w:jc w:val="both"/>
        <w:rPr>
          <w:sz w:val="22"/>
          <w:szCs w:val="22"/>
        </w:rPr>
      </w:pPr>
    </w:p>
    <w:p w14:paraId="765BEF3B"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Comercio al por mayor y al por menor; reparación de vehículos automotores y motocicletas; Transporte y almacenamiento; Alojamiento y servicios de comida decrece 20,1% (contribuye -3,9 puntos porcentuales a la variación anual). </w:t>
      </w:r>
    </w:p>
    <w:p w14:paraId="3FF5AA09" w14:textId="77777777" w:rsidR="000A2C14" w:rsidRPr="007B63EC" w:rsidRDefault="000A2C14" w:rsidP="000A2C14">
      <w:pPr>
        <w:jc w:val="both"/>
        <w:rPr>
          <w:sz w:val="22"/>
          <w:szCs w:val="22"/>
        </w:rPr>
      </w:pPr>
    </w:p>
    <w:p w14:paraId="4E8901FF"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Construcción decrece 26,2% (contribuye -1,8 puntos porcentuales a la variación anual). </w:t>
      </w:r>
    </w:p>
    <w:p w14:paraId="791E6E99" w14:textId="77777777" w:rsidR="000A2C14" w:rsidRPr="007B63EC" w:rsidRDefault="000A2C14" w:rsidP="000A2C14">
      <w:pPr>
        <w:jc w:val="both"/>
        <w:rPr>
          <w:sz w:val="22"/>
          <w:szCs w:val="22"/>
        </w:rPr>
      </w:pPr>
    </w:p>
    <w:p w14:paraId="1F85D10E"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Explotación de minas y canteras decrece 19,1% (contribuye -1,2 puntos porcentuales a la variación anual). Durante el año corrido de 2020, respecto al mismo periodo del año anterior, el Producto Interno Bruto presenta un decrecimiento 8,1%. Esta variación se explica principalmente por:</w:t>
      </w:r>
    </w:p>
    <w:p w14:paraId="6BB1C818" w14:textId="77777777" w:rsidR="000A2C14" w:rsidRPr="007B63EC" w:rsidRDefault="000A2C14" w:rsidP="000A2C14">
      <w:pPr>
        <w:jc w:val="both"/>
        <w:rPr>
          <w:sz w:val="22"/>
          <w:szCs w:val="22"/>
        </w:rPr>
      </w:pPr>
    </w:p>
    <w:p w14:paraId="1E5641E6"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Comercio al por mayor y al por menor; reparación de vehículos automotores y motocicletas; Transporte y almacenamiento; Alojamiento y servicios de comida decrece 17,8% (contribuye -3,5 puntos porcentuales a la variación anual). </w:t>
      </w:r>
    </w:p>
    <w:p w14:paraId="6E2ACDB9" w14:textId="77777777" w:rsidR="000A2C14" w:rsidRPr="007B63EC" w:rsidRDefault="000A2C14" w:rsidP="000A2C14">
      <w:pPr>
        <w:jc w:val="both"/>
        <w:rPr>
          <w:sz w:val="22"/>
          <w:szCs w:val="22"/>
        </w:rPr>
      </w:pPr>
    </w:p>
    <w:p w14:paraId="7B2322BF"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Construcción decrece 23,4% (contribuye -1,6 puntos porcentuales a la variación anual). </w:t>
      </w:r>
    </w:p>
    <w:p w14:paraId="0DF8F300" w14:textId="77777777" w:rsidR="000A2C14" w:rsidRPr="007B63EC" w:rsidRDefault="000A2C14" w:rsidP="000A2C14">
      <w:pPr>
        <w:jc w:val="both"/>
        <w:rPr>
          <w:sz w:val="22"/>
          <w:szCs w:val="22"/>
        </w:rPr>
      </w:pPr>
    </w:p>
    <w:p w14:paraId="228EF2FC"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Industrias manufactureras decrece 11,1% (contribuye -1,4 puntos porcentuales a la variación anual). 4 </w:t>
      </w:r>
      <w:proofErr w:type="gramStart"/>
      <w:r w:rsidRPr="007B63EC">
        <w:rPr>
          <w:sz w:val="22"/>
          <w:szCs w:val="22"/>
        </w:rPr>
        <w:t>Boletín</w:t>
      </w:r>
      <w:proofErr w:type="gramEnd"/>
      <w:r w:rsidRPr="007B63EC">
        <w:rPr>
          <w:sz w:val="22"/>
          <w:szCs w:val="22"/>
        </w:rPr>
        <w:t xml:space="preserve"> Técnico Producto Interno Bruto (PIB) III trimestre 2020pr Respecto al trimestre inmediatamente anterior, el Producto Interno Bruto en su serie corregida de efecto estacional y calendario crece 8,7%. Esta variación se explica principalmente por la siguiente dinámica: </w:t>
      </w:r>
    </w:p>
    <w:p w14:paraId="610C78EC" w14:textId="77777777" w:rsidR="000A2C14" w:rsidRPr="007B63EC" w:rsidRDefault="000A2C14" w:rsidP="000A2C14">
      <w:pPr>
        <w:jc w:val="both"/>
        <w:rPr>
          <w:sz w:val="22"/>
          <w:szCs w:val="22"/>
        </w:rPr>
      </w:pPr>
    </w:p>
    <w:p w14:paraId="3687EB99" w14:textId="77777777" w:rsidR="000A2C14" w:rsidRPr="007B63EC" w:rsidRDefault="000A2C14" w:rsidP="000A2C14">
      <w:pPr>
        <w:jc w:val="both"/>
        <w:rPr>
          <w:sz w:val="22"/>
          <w:szCs w:val="22"/>
        </w:rPr>
      </w:pPr>
      <w:r w:rsidRPr="007B63EC">
        <w:rPr>
          <w:sz w:val="22"/>
          <w:szCs w:val="22"/>
        </w:rPr>
        <w:sym w:font="Symbol" w:char="F0B7"/>
      </w:r>
      <w:r w:rsidRPr="007B63EC">
        <w:rPr>
          <w:sz w:val="22"/>
          <w:szCs w:val="22"/>
        </w:rPr>
        <w:t xml:space="preserve"> Industrias manufactureras crece 23,4%.</w:t>
      </w:r>
    </w:p>
    <w:p w14:paraId="17661BB6" w14:textId="77777777" w:rsidR="000A2C14" w:rsidRPr="007B63EC" w:rsidRDefault="000A2C14" w:rsidP="000A2C14">
      <w:pPr>
        <w:jc w:val="both"/>
        <w:rPr>
          <w:sz w:val="22"/>
          <w:szCs w:val="22"/>
        </w:rPr>
      </w:pPr>
    </w:p>
    <w:p w14:paraId="4341C166" w14:textId="77777777" w:rsidR="000A2C14" w:rsidRPr="007B63EC" w:rsidRDefault="000A2C14" w:rsidP="000A2C14">
      <w:pPr>
        <w:jc w:val="both"/>
        <w:rPr>
          <w:sz w:val="22"/>
          <w:szCs w:val="22"/>
        </w:rPr>
      </w:pPr>
      <w:r w:rsidRPr="007B63EC">
        <w:rPr>
          <w:sz w:val="22"/>
          <w:szCs w:val="22"/>
        </w:rPr>
        <w:t xml:space="preserve"> </w:t>
      </w:r>
      <w:r w:rsidRPr="007B63EC">
        <w:rPr>
          <w:sz w:val="22"/>
          <w:szCs w:val="22"/>
        </w:rPr>
        <w:sym w:font="Symbol" w:char="F0B7"/>
      </w:r>
      <w:r w:rsidRPr="007B63EC">
        <w:rPr>
          <w:sz w:val="22"/>
          <w:szCs w:val="22"/>
        </w:rPr>
        <w:t xml:space="preserve"> Comercio al por mayor y al por menor; reparación de vehículos automotores y motocicletas; Transporte y almacenamiento; Alojamiento y servicios de comida crece 22,3%. </w:t>
      </w:r>
    </w:p>
    <w:p w14:paraId="4CA54D4E" w14:textId="77777777" w:rsidR="000A2C14" w:rsidRPr="007B63EC" w:rsidRDefault="000A2C14" w:rsidP="000A2C14">
      <w:pPr>
        <w:jc w:val="both"/>
        <w:rPr>
          <w:color w:val="000000"/>
          <w:sz w:val="22"/>
          <w:szCs w:val="22"/>
        </w:rPr>
      </w:pPr>
    </w:p>
    <w:p w14:paraId="7C938EB6" w14:textId="77777777" w:rsidR="000A2C14" w:rsidRPr="007B63EC" w:rsidRDefault="000A2C14" w:rsidP="000A2C14">
      <w:pPr>
        <w:jc w:val="both"/>
        <w:rPr>
          <w:sz w:val="22"/>
          <w:szCs w:val="22"/>
        </w:rPr>
      </w:pPr>
      <w:r w:rsidRPr="007B63EC">
        <w:rPr>
          <w:sz w:val="22"/>
          <w:szCs w:val="22"/>
        </w:rPr>
        <w:t>En el tercer trimestre de 2020, el valor agregado de las actividades financieras y de seguros crece 1,5% en su serie original, respecto al mismo periodo de 2019pr. Para la serie corregida de efecto estacional y calendario, el valor agregado crece en 2,7%, respecto al trimestre inmediatamente anterior:</w:t>
      </w:r>
    </w:p>
    <w:p w14:paraId="236D775F" w14:textId="77777777" w:rsidR="000A2C14" w:rsidRPr="007B63EC" w:rsidRDefault="000A2C14" w:rsidP="000A2C14">
      <w:pPr>
        <w:jc w:val="both"/>
        <w:rPr>
          <w:color w:val="000000"/>
          <w:sz w:val="22"/>
          <w:szCs w:val="22"/>
        </w:rPr>
      </w:pPr>
    </w:p>
    <w:p w14:paraId="398932B5" w14:textId="288AA9EF" w:rsidR="000A2C14" w:rsidRDefault="000A2C14" w:rsidP="000A2C14">
      <w:pPr>
        <w:jc w:val="center"/>
        <w:rPr>
          <w:b/>
          <w:sz w:val="22"/>
          <w:szCs w:val="22"/>
        </w:rPr>
      </w:pPr>
      <w:r w:rsidRPr="007B63EC">
        <w:rPr>
          <w:b/>
          <w:sz w:val="22"/>
          <w:szCs w:val="22"/>
        </w:rPr>
        <w:t>Actividades financieras y de seguros Tasas de crecimiento en volumen1 2020pr– Tercer trimestre</w:t>
      </w:r>
    </w:p>
    <w:p w14:paraId="6AA5FE6D" w14:textId="77777777" w:rsidR="006C7B81" w:rsidRPr="007B63EC" w:rsidRDefault="006C7B81" w:rsidP="000A2C14">
      <w:pPr>
        <w:jc w:val="center"/>
        <w:rPr>
          <w:b/>
          <w:sz w:val="22"/>
          <w:szCs w:val="22"/>
        </w:rPr>
      </w:pPr>
    </w:p>
    <w:p w14:paraId="295BB142" w14:textId="13B162A3" w:rsidR="000A2C14" w:rsidRPr="007B63EC" w:rsidRDefault="000A2C14" w:rsidP="006C7B81">
      <w:pPr>
        <w:jc w:val="center"/>
        <w:rPr>
          <w:b/>
          <w:color w:val="000000"/>
          <w:sz w:val="22"/>
          <w:szCs w:val="22"/>
        </w:rPr>
      </w:pPr>
      <w:r w:rsidRPr="007B63EC">
        <w:rPr>
          <w:noProof/>
          <w:sz w:val="22"/>
          <w:szCs w:val="22"/>
          <w:lang w:eastAsia="es-CO"/>
        </w:rPr>
        <w:drawing>
          <wp:inline distT="0" distB="0" distL="0" distR="0" wp14:anchorId="156B6C89" wp14:editId="71280D14">
            <wp:extent cx="6066721" cy="1259457"/>
            <wp:effectExtent l="0" t="0" r="0" b="0"/>
            <wp:docPr id="15" name="Imagen 15"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Interfaz de usuario gráfica, Texto, Aplicación&#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90315" cy="1285115"/>
                    </a:xfrm>
                    <a:prstGeom prst="rect">
                      <a:avLst/>
                    </a:prstGeom>
                    <a:noFill/>
                    <a:ln>
                      <a:noFill/>
                    </a:ln>
                  </pic:spPr>
                </pic:pic>
              </a:graphicData>
            </a:graphic>
          </wp:inline>
        </w:drawing>
      </w:r>
    </w:p>
    <w:p w14:paraId="3DABFF6D" w14:textId="77777777" w:rsidR="000A2C14" w:rsidRPr="007B63EC" w:rsidRDefault="000A2C14" w:rsidP="000A2C14">
      <w:pPr>
        <w:jc w:val="both"/>
        <w:rPr>
          <w:color w:val="000000"/>
          <w:sz w:val="22"/>
          <w:szCs w:val="22"/>
        </w:rPr>
      </w:pPr>
    </w:p>
    <w:p w14:paraId="0CBE5C87" w14:textId="5D6B0A06" w:rsidR="006C7B81" w:rsidRDefault="000A2C14" w:rsidP="000A2C14">
      <w:pPr>
        <w:jc w:val="both"/>
        <w:rPr>
          <w:color w:val="000000"/>
          <w:sz w:val="22"/>
          <w:szCs w:val="22"/>
        </w:rPr>
      </w:pPr>
      <w:r w:rsidRPr="007B63EC">
        <w:rPr>
          <w:sz w:val="22"/>
          <w:szCs w:val="22"/>
        </w:rPr>
        <w:lastRenderedPageBreak/>
        <w:t>En el tercer trimestre de 2020pr, el valor agregado de las actividades inmobiliarias crece 1,6%, en su serie original, comparado con el mismo periodo de 2019pr. En su serie corregida de efecto estacional y calendario, el valor agregado crece 0,3% comparado con el trimestre inmediatamente anterior.</w:t>
      </w:r>
    </w:p>
    <w:p w14:paraId="0ABBDBBF" w14:textId="63E9F5A4" w:rsidR="006C7B81" w:rsidRDefault="006C7B81" w:rsidP="000A2C14">
      <w:pPr>
        <w:jc w:val="both"/>
        <w:rPr>
          <w:color w:val="000000"/>
          <w:sz w:val="22"/>
          <w:szCs w:val="22"/>
        </w:rPr>
      </w:pPr>
    </w:p>
    <w:p w14:paraId="21818AD1" w14:textId="01B73F88" w:rsidR="006C7B81" w:rsidRDefault="006C7B81" w:rsidP="000A2C14">
      <w:pPr>
        <w:jc w:val="both"/>
        <w:rPr>
          <w:color w:val="000000"/>
          <w:sz w:val="22"/>
          <w:szCs w:val="22"/>
        </w:rPr>
      </w:pPr>
    </w:p>
    <w:p w14:paraId="6E0D0272" w14:textId="77777777" w:rsidR="006C7B81" w:rsidRPr="007B63EC" w:rsidRDefault="006C7B81" w:rsidP="000A2C14">
      <w:pPr>
        <w:jc w:val="both"/>
        <w:rPr>
          <w:color w:val="000000"/>
          <w:sz w:val="22"/>
          <w:szCs w:val="22"/>
        </w:rPr>
      </w:pPr>
    </w:p>
    <w:p w14:paraId="33F01ADD" w14:textId="0423B88B" w:rsidR="000A2C14" w:rsidRDefault="000A2C14" w:rsidP="000A2C14">
      <w:pPr>
        <w:jc w:val="center"/>
        <w:rPr>
          <w:b/>
          <w:sz w:val="22"/>
          <w:szCs w:val="22"/>
        </w:rPr>
      </w:pPr>
      <w:r w:rsidRPr="007B63EC">
        <w:rPr>
          <w:b/>
          <w:sz w:val="22"/>
          <w:szCs w:val="22"/>
        </w:rPr>
        <w:t>Actividades inmobiliarias Tasas de crecimiento en volumen1 2020pr– Tercer trimestre</w:t>
      </w:r>
    </w:p>
    <w:p w14:paraId="696B70E7" w14:textId="77777777" w:rsidR="006C7B81" w:rsidRPr="007B63EC" w:rsidRDefault="006C7B81" w:rsidP="000A2C14">
      <w:pPr>
        <w:jc w:val="center"/>
        <w:rPr>
          <w:b/>
          <w:color w:val="000000"/>
          <w:sz w:val="22"/>
          <w:szCs w:val="22"/>
        </w:rPr>
      </w:pPr>
    </w:p>
    <w:p w14:paraId="1D435A3E" w14:textId="77777777" w:rsidR="000A2C14" w:rsidRPr="007B63EC" w:rsidRDefault="000A2C14" w:rsidP="006C7B81">
      <w:pPr>
        <w:jc w:val="center"/>
        <w:rPr>
          <w:color w:val="000000"/>
          <w:sz w:val="22"/>
          <w:szCs w:val="22"/>
        </w:rPr>
      </w:pPr>
      <w:r w:rsidRPr="007B63EC">
        <w:rPr>
          <w:noProof/>
          <w:sz w:val="22"/>
          <w:szCs w:val="22"/>
          <w:lang w:eastAsia="es-CO"/>
        </w:rPr>
        <w:drawing>
          <wp:inline distT="0" distB="0" distL="0" distR="0" wp14:anchorId="18E1BEDB" wp14:editId="246C53F1">
            <wp:extent cx="4451230" cy="1204721"/>
            <wp:effectExtent l="0" t="0" r="6985" b="0"/>
            <wp:docPr id="14" name="Imagen 14"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Tabl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03959" cy="1218992"/>
                    </a:xfrm>
                    <a:prstGeom prst="rect">
                      <a:avLst/>
                    </a:prstGeom>
                    <a:noFill/>
                    <a:ln>
                      <a:noFill/>
                    </a:ln>
                  </pic:spPr>
                </pic:pic>
              </a:graphicData>
            </a:graphic>
          </wp:inline>
        </w:drawing>
      </w:r>
    </w:p>
    <w:p w14:paraId="3BE9BAB7" w14:textId="77777777" w:rsidR="000A2C14" w:rsidRPr="007B63EC" w:rsidRDefault="000A2C14" w:rsidP="000A2C14">
      <w:pPr>
        <w:jc w:val="center"/>
        <w:rPr>
          <w:rFonts w:cs="Arial"/>
          <w:b/>
          <w:color w:val="000000"/>
          <w:sz w:val="22"/>
          <w:szCs w:val="22"/>
        </w:rPr>
      </w:pPr>
    </w:p>
    <w:p w14:paraId="10ACCF2E" w14:textId="77777777" w:rsidR="000A2C14" w:rsidRPr="007B63EC" w:rsidRDefault="000A2C14" w:rsidP="000A2C14">
      <w:pPr>
        <w:jc w:val="center"/>
        <w:rPr>
          <w:b/>
          <w:sz w:val="22"/>
          <w:szCs w:val="22"/>
        </w:rPr>
      </w:pPr>
      <w:r w:rsidRPr="007B63EC">
        <w:rPr>
          <w:b/>
          <w:sz w:val="22"/>
          <w:szCs w:val="22"/>
        </w:rPr>
        <w:t>Variación anual de los ingresos nominales y contribución por tipo de ingresos, según subsector de servicios (octubre 2020 / octubre 2019).</w:t>
      </w:r>
    </w:p>
    <w:p w14:paraId="5094E33D" w14:textId="77777777" w:rsidR="000A2C14" w:rsidRPr="007B63EC" w:rsidRDefault="000A2C14" w:rsidP="000A2C14">
      <w:pPr>
        <w:rPr>
          <w:color w:val="000000"/>
          <w:sz w:val="22"/>
          <w:szCs w:val="22"/>
        </w:rPr>
      </w:pPr>
    </w:p>
    <w:p w14:paraId="7ADE7898" w14:textId="77777777" w:rsidR="000A2C14" w:rsidRPr="007B63EC" w:rsidRDefault="000A2C14" w:rsidP="000A2C14">
      <w:pPr>
        <w:rPr>
          <w:sz w:val="22"/>
          <w:szCs w:val="22"/>
        </w:rPr>
      </w:pPr>
      <w:r w:rsidRPr="007B63EC">
        <w:rPr>
          <w:sz w:val="22"/>
          <w:szCs w:val="22"/>
        </w:rPr>
        <w:t>En octubre de 2020, cuatro de los dieciocho subsectores de servicios presentaron variación positiva en los ingresos totales, en comparación con octubre de 2019.</w:t>
      </w:r>
    </w:p>
    <w:p w14:paraId="43C54C77" w14:textId="77777777" w:rsidR="000A2C14" w:rsidRPr="007B63EC" w:rsidRDefault="000A2C14" w:rsidP="000A2C14">
      <w:pPr>
        <w:rPr>
          <w:sz w:val="22"/>
          <w:szCs w:val="22"/>
        </w:rPr>
      </w:pPr>
    </w:p>
    <w:p w14:paraId="031344C8" w14:textId="77777777" w:rsidR="000A2C14" w:rsidRPr="007B63EC" w:rsidRDefault="000A2C14" w:rsidP="006C7B81">
      <w:pPr>
        <w:jc w:val="center"/>
        <w:rPr>
          <w:color w:val="000000"/>
          <w:sz w:val="22"/>
          <w:szCs w:val="22"/>
        </w:rPr>
      </w:pPr>
      <w:r w:rsidRPr="007B63EC">
        <w:rPr>
          <w:noProof/>
          <w:sz w:val="22"/>
          <w:szCs w:val="22"/>
          <w:lang w:eastAsia="es-CO"/>
        </w:rPr>
        <w:drawing>
          <wp:inline distT="0" distB="0" distL="0" distR="0" wp14:anchorId="3135A5CE" wp14:editId="5900DF21">
            <wp:extent cx="4891178" cy="2012026"/>
            <wp:effectExtent l="0" t="0" r="5080" b="7620"/>
            <wp:docPr id="13" name="Imagen 13" descr="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descr="Tabla&#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02241" cy="2016577"/>
                    </a:xfrm>
                    <a:prstGeom prst="rect">
                      <a:avLst/>
                    </a:prstGeom>
                    <a:noFill/>
                    <a:ln>
                      <a:noFill/>
                    </a:ln>
                  </pic:spPr>
                </pic:pic>
              </a:graphicData>
            </a:graphic>
          </wp:inline>
        </w:drawing>
      </w:r>
    </w:p>
    <w:p w14:paraId="5A065E09" w14:textId="77777777" w:rsidR="006C7B81" w:rsidRPr="007B63EC" w:rsidRDefault="006C7B81" w:rsidP="000A2C14">
      <w:pPr>
        <w:rPr>
          <w:color w:val="000000"/>
          <w:sz w:val="22"/>
          <w:szCs w:val="22"/>
        </w:rPr>
      </w:pPr>
    </w:p>
    <w:p w14:paraId="2BBA0932" w14:textId="77777777" w:rsidR="000A2C14" w:rsidRPr="007B63EC" w:rsidRDefault="000A2C14" w:rsidP="000A2C14">
      <w:pPr>
        <w:jc w:val="center"/>
        <w:rPr>
          <w:b/>
          <w:color w:val="000000"/>
          <w:sz w:val="22"/>
          <w:szCs w:val="22"/>
        </w:rPr>
      </w:pPr>
      <w:r w:rsidRPr="007B63EC">
        <w:rPr>
          <w:b/>
          <w:sz w:val="22"/>
          <w:szCs w:val="22"/>
        </w:rPr>
        <w:t>Variación año corrido de los ingresos nominales, personal ocupado total y salarios, según subsector de servicios</w:t>
      </w:r>
    </w:p>
    <w:p w14:paraId="1AFF88ED" w14:textId="77777777" w:rsidR="000A2C14" w:rsidRPr="007B63EC" w:rsidRDefault="000A2C14" w:rsidP="006C7B81">
      <w:pPr>
        <w:jc w:val="center"/>
        <w:rPr>
          <w:color w:val="000000"/>
          <w:sz w:val="22"/>
          <w:szCs w:val="22"/>
        </w:rPr>
      </w:pPr>
      <w:r w:rsidRPr="007B63EC">
        <w:rPr>
          <w:noProof/>
          <w:sz w:val="22"/>
          <w:szCs w:val="22"/>
          <w:lang w:eastAsia="es-CO"/>
        </w:rPr>
        <w:lastRenderedPageBreak/>
        <w:drawing>
          <wp:inline distT="0" distB="0" distL="0" distR="0" wp14:anchorId="4DB30144" wp14:editId="121D2968">
            <wp:extent cx="5293519" cy="2165230"/>
            <wp:effectExtent l="0" t="0" r="2540" b="6985"/>
            <wp:docPr id="12" name="Imagen 12"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Tabla&#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07489" cy="2170944"/>
                    </a:xfrm>
                    <a:prstGeom prst="rect">
                      <a:avLst/>
                    </a:prstGeom>
                    <a:noFill/>
                    <a:ln>
                      <a:noFill/>
                    </a:ln>
                  </pic:spPr>
                </pic:pic>
              </a:graphicData>
            </a:graphic>
          </wp:inline>
        </w:drawing>
      </w:r>
    </w:p>
    <w:p w14:paraId="303E39A0" w14:textId="77777777" w:rsidR="006C7B81" w:rsidRDefault="006C7B81" w:rsidP="000A2C14">
      <w:pPr>
        <w:rPr>
          <w:sz w:val="22"/>
          <w:szCs w:val="22"/>
        </w:rPr>
      </w:pPr>
    </w:p>
    <w:p w14:paraId="5834A3B1" w14:textId="61846C5E" w:rsidR="000A2C14" w:rsidRPr="007B63EC" w:rsidRDefault="000A2C14" w:rsidP="000A2C14">
      <w:pPr>
        <w:rPr>
          <w:color w:val="000000"/>
          <w:sz w:val="22"/>
          <w:szCs w:val="22"/>
        </w:rPr>
      </w:pPr>
      <w:r w:rsidRPr="007B63EC">
        <w:rPr>
          <w:sz w:val="22"/>
          <w:szCs w:val="22"/>
        </w:rPr>
        <w:t>A continuación, se presentan los tres subsectores de servicios con las variaciones positivas de ingresos nominales más altas y las tres variaciones negativas más grandes.</w:t>
      </w:r>
    </w:p>
    <w:p w14:paraId="7678B4F5" w14:textId="77777777" w:rsidR="000A2C14" w:rsidRPr="007B63EC" w:rsidRDefault="000A2C14" w:rsidP="000A2C14">
      <w:pPr>
        <w:rPr>
          <w:color w:val="000000"/>
          <w:sz w:val="22"/>
          <w:szCs w:val="22"/>
        </w:rPr>
      </w:pPr>
    </w:p>
    <w:p w14:paraId="0FC31E48" w14:textId="77777777" w:rsidR="000A2C14" w:rsidRPr="007B63EC" w:rsidRDefault="000A2C14" w:rsidP="000A2C14">
      <w:pPr>
        <w:jc w:val="center"/>
        <w:rPr>
          <w:b/>
          <w:color w:val="000000"/>
          <w:sz w:val="22"/>
          <w:szCs w:val="22"/>
        </w:rPr>
      </w:pPr>
      <w:r w:rsidRPr="007B63EC">
        <w:rPr>
          <w:b/>
          <w:sz w:val="22"/>
          <w:szCs w:val="22"/>
        </w:rPr>
        <w:t>Subsectores de servicios con las tres variaciones positivas más altas</w:t>
      </w:r>
    </w:p>
    <w:p w14:paraId="4B6D6C9F" w14:textId="77777777" w:rsidR="000A2C14" w:rsidRPr="007B63EC" w:rsidRDefault="000A2C14" w:rsidP="000A2C14">
      <w:pPr>
        <w:jc w:val="center"/>
        <w:rPr>
          <w:b/>
          <w:sz w:val="22"/>
          <w:szCs w:val="22"/>
        </w:rPr>
      </w:pPr>
      <w:r w:rsidRPr="007B63EC">
        <w:rPr>
          <w:b/>
          <w:sz w:val="22"/>
          <w:szCs w:val="22"/>
        </w:rPr>
        <w:t>Actividades de centros de llamadas (</w:t>
      </w:r>
      <w:proofErr w:type="spellStart"/>
      <w:r w:rsidRPr="007B63EC">
        <w:rPr>
          <w:b/>
          <w:sz w:val="22"/>
          <w:szCs w:val="22"/>
        </w:rPr>
        <w:t>Call</w:t>
      </w:r>
      <w:proofErr w:type="spellEnd"/>
      <w:r w:rsidRPr="007B63EC">
        <w:rPr>
          <w:b/>
          <w:sz w:val="22"/>
          <w:szCs w:val="22"/>
        </w:rPr>
        <w:t xml:space="preserve"> center)</w:t>
      </w:r>
    </w:p>
    <w:p w14:paraId="3FED0001" w14:textId="77777777" w:rsidR="000A2C14" w:rsidRPr="007B63EC" w:rsidRDefault="000A2C14" w:rsidP="000A2C14">
      <w:pPr>
        <w:jc w:val="center"/>
        <w:rPr>
          <w:b/>
          <w:color w:val="000000"/>
          <w:sz w:val="22"/>
          <w:szCs w:val="22"/>
        </w:rPr>
      </w:pPr>
      <w:r w:rsidRPr="007B63EC">
        <w:rPr>
          <w:b/>
          <w:sz w:val="22"/>
          <w:szCs w:val="22"/>
        </w:rPr>
        <w:t>Variación anual: octubre 2020 / octubre 2019</w:t>
      </w:r>
    </w:p>
    <w:p w14:paraId="022603F4" w14:textId="77777777" w:rsidR="000A2C14" w:rsidRPr="007B63EC" w:rsidRDefault="000A2C14" w:rsidP="000A2C14">
      <w:pPr>
        <w:rPr>
          <w:color w:val="000000"/>
          <w:sz w:val="22"/>
          <w:szCs w:val="22"/>
        </w:rPr>
      </w:pPr>
    </w:p>
    <w:p w14:paraId="0772561A" w14:textId="77777777" w:rsidR="000A2C14" w:rsidRPr="007B63EC" w:rsidRDefault="000A2C14" w:rsidP="000A2C14">
      <w:pPr>
        <w:jc w:val="both"/>
        <w:rPr>
          <w:sz w:val="22"/>
          <w:szCs w:val="22"/>
        </w:rPr>
      </w:pPr>
      <w:r w:rsidRPr="007B63EC">
        <w:rPr>
          <w:sz w:val="22"/>
          <w:szCs w:val="22"/>
        </w:rPr>
        <w:t>En octubre de 2020, los servicios de Actividades de centros de llamadas (</w:t>
      </w:r>
      <w:proofErr w:type="spellStart"/>
      <w:r w:rsidRPr="007B63EC">
        <w:rPr>
          <w:sz w:val="22"/>
          <w:szCs w:val="22"/>
        </w:rPr>
        <w:t>Call</w:t>
      </w:r>
      <w:proofErr w:type="spellEnd"/>
      <w:r w:rsidRPr="007B63EC">
        <w:rPr>
          <w:sz w:val="22"/>
          <w:szCs w:val="22"/>
        </w:rPr>
        <w:t xml:space="preserve"> center) registraron un crecimiento de 37,2% en los ingresos nominales, el personal ocupado total presentó un crecimiento de 20,4% y los salarios registraron un crecimiento de 7,3%, en comparación con octubre de 2019.</w:t>
      </w:r>
    </w:p>
    <w:p w14:paraId="485DC83D" w14:textId="77777777" w:rsidR="000A2C14" w:rsidRPr="007B63EC" w:rsidRDefault="000A2C14" w:rsidP="000A2C14">
      <w:pPr>
        <w:jc w:val="both"/>
        <w:rPr>
          <w:sz w:val="22"/>
          <w:szCs w:val="22"/>
        </w:rPr>
      </w:pPr>
    </w:p>
    <w:p w14:paraId="50D79DBF" w14:textId="77777777" w:rsidR="000A2C14" w:rsidRPr="007B63EC" w:rsidRDefault="000A2C14" w:rsidP="000A2C14">
      <w:pPr>
        <w:jc w:val="both"/>
        <w:rPr>
          <w:sz w:val="22"/>
          <w:szCs w:val="22"/>
        </w:rPr>
      </w:pPr>
      <w:r w:rsidRPr="007B63EC">
        <w:rPr>
          <w:sz w:val="22"/>
          <w:szCs w:val="22"/>
        </w:rPr>
        <w:t>Variación anual y contribución de los ingresos nominales por tipo, personal ocupado total y salarios por tipo de contratación Actividades de centros de llamadas (</w:t>
      </w:r>
      <w:proofErr w:type="spellStart"/>
      <w:r w:rsidRPr="007B63EC">
        <w:rPr>
          <w:sz w:val="22"/>
          <w:szCs w:val="22"/>
        </w:rPr>
        <w:t>Call</w:t>
      </w:r>
      <w:proofErr w:type="spellEnd"/>
      <w:r w:rsidRPr="007B63EC">
        <w:rPr>
          <w:sz w:val="22"/>
          <w:szCs w:val="22"/>
        </w:rPr>
        <w:t xml:space="preserve"> center) Total Nacional Octubre 2020p.</w:t>
      </w:r>
    </w:p>
    <w:p w14:paraId="7ACB91E2" w14:textId="77777777" w:rsidR="000A2C14" w:rsidRPr="007B63EC" w:rsidRDefault="000A2C14" w:rsidP="000A2C14">
      <w:pPr>
        <w:jc w:val="both"/>
        <w:rPr>
          <w:sz w:val="22"/>
          <w:szCs w:val="22"/>
        </w:rPr>
      </w:pPr>
    </w:p>
    <w:p w14:paraId="518511A3" w14:textId="28E279DE" w:rsidR="000A2C14" w:rsidRPr="007B63EC" w:rsidRDefault="000A2C14" w:rsidP="006C7B81">
      <w:pPr>
        <w:jc w:val="center"/>
        <w:rPr>
          <w:sz w:val="22"/>
          <w:szCs w:val="22"/>
        </w:rPr>
      </w:pPr>
      <w:r w:rsidRPr="007B63EC">
        <w:rPr>
          <w:noProof/>
          <w:sz w:val="22"/>
          <w:szCs w:val="22"/>
          <w:lang w:eastAsia="es-CO"/>
        </w:rPr>
        <w:drawing>
          <wp:inline distT="0" distB="0" distL="0" distR="0" wp14:anchorId="4484A558" wp14:editId="7F3F9535">
            <wp:extent cx="5417389" cy="1866294"/>
            <wp:effectExtent l="0" t="0" r="0" b="635"/>
            <wp:docPr id="11" name="Imagen 11"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Gráfico, Gráfico en cascada&#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25873" cy="1869217"/>
                    </a:xfrm>
                    <a:prstGeom prst="rect">
                      <a:avLst/>
                    </a:prstGeom>
                    <a:noFill/>
                    <a:ln>
                      <a:noFill/>
                    </a:ln>
                  </pic:spPr>
                </pic:pic>
              </a:graphicData>
            </a:graphic>
          </wp:inline>
        </w:drawing>
      </w:r>
    </w:p>
    <w:p w14:paraId="7902710E" w14:textId="77777777" w:rsidR="000A2C14" w:rsidRPr="007B63EC" w:rsidRDefault="000A2C14" w:rsidP="000A2C14">
      <w:pPr>
        <w:jc w:val="both"/>
        <w:rPr>
          <w:color w:val="000000"/>
          <w:sz w:val="22"/>
          <w:szCs w:val="22"/>
        </w:rPr>
      </w:pPr>
    </w:p>
    <w:p w14:paraId="6DB813EE" w14:textId="77777777" w:rsidR="000A2C14" w:rsidRPr="007B63EC" w:rsidRDefault="000A2C14" w:rsidP="006C7B81">
      <w:pPr>
        <w:jc w:val="center"/>
        <w:rPr>
          <w:noProof/>
          <w:sz w:val="22"/>
          <w:szCs w:val="22"/>
          <w:lang w:eastAsia="es-CO"/>
        </w:rPr>
      </w:pPr>
      <w:r w:rsidRPr="007B63EC">
        <w:rPr>
          <w:noProof/>
          <w:sz w:val="22"/>
          <w:szCs w:val="22"/>
          <w:lang w:eastAsia="es-CO"/>
        </w:rPr>
        <w:lastRenderedPageBreak/>
        <w:drawing>
          <wp:inline distT="0" distB="0" distL="0" distR="0" wp14:anchorId="2477F9AF" wp14:editId="6651C04F">
            <wp:extent cx="5149970" cy="2081256"/>
            <wp:effectExtent l="0" t="0" r="0" b="0"/>
            <wp:docPr id="10" name="Imagen 10" descr="Gráfico, Gráfico en casc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descr="Gráfico, Gráfico en cascad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5770" cy="2087641"/>
                    </a:xfrm>
                    <a:prstGeom prst="rect">
                      <a:avLst/>
                    </a:prstGeom>
                    <a:noFill/>
                    <a:ln>
                      <a:noFill/>
                    </a:ln>
                  </pic:spPr>
                </pic:pic>
              </a:graphicData>
            </a:graphic>
          </wp:inline>
        </w:drawing>
      </w:r>
    </w:p>
    <w:p w14:paraId="49E17664" w14:textId="77777777" w:rsidR="000A2C14" w:rsidRPr="007B63EC" w:rsidRDefault="000A2C14" w:rsidP="000A2C14">
      <w:pPr>
        <w:rPr>
          <w:noProof/>
          <w:sz w:val="22"/>
          <w:szCs w:val="22"/>
          <w:lang w:eastAsia="es-CO"/>
        </w:rPr>
      </w:pPr>
    </w:p>
    <w:p w14:paraId="6987A794" w14:textId="77777777" w:rsidR="000A2C14" w:rsidRPr="007B63EC" w:rsidRDefault="000A2C14" w:rsidP="000A2C14">
      <w:pPr>
        <w:jc w:val="both"/>
        <w:rPr>
          <w:sz w:val="22"/>
          <w:szCs w:val="22"/>
        </w:rPr>
      </w:pPr>
      <w:r w:rsidRPr="007B63EC">
        <w:rPr>
          <w:sz w:val="22"/>
          <w:szCs w:val="22"/>
        </w:rPr>
        <w:t xml:space="preserve">En comparación con el mismo mes de 2019, en octubre de 2020 los ingresos totales presentaron un aumento de 37,2%, que se explica por el incremento de 37,4% en los ingresos por servicios. Por su parte, la venta de mercancías no registró variación y los otros ingresos operacionales registraron una disminución de 51,6%. </w:t>
      </w:r>
    </w:p>
    <w:p w14:paraId="1434BD06" w14:textId="77777777" w:rsidR="000A2C14" w:rsidRPr="007B63EC" w:rsidRDefault="000A2C14" w:rsidP="000A2C14">
      <w:pPr>
        <w:jc w:val="both"/>
        <w:rPr>
          <w:sz w:val="22"/>
          <w:szCs w:val="22"/>
        </w:rPr>
      </w:pPr>
    </w:p>
    <w:p w14:paraId="46444401" w14:textId="77777777" w:rsidR="000A2C14" w:rsidRPr="007B63EC" w:rsidRDefault="000A2C14" w:rsidP="000A2C14">
      <w:pPr>
        <w:jc w:val="both"/>
        <w:rPr>
          <w:sz w:val="22"/>
          <w:szCs w:val="22"/>
        </w:rPr>
      </w:pPr>
      <w:r w:rsidRPr="007B63EC">
        <w:rPr>
          <w:sz w:val="22"/>
          <w:szCs w:val="22"/>
        </w:rPr>
        <w:t xml:space="preserve">En octubre de 2020 el personal ocupado total presentó una variación de 20,4%, en comparación con octubre de 2019, que se explica por el incremento de 27,7% en el personal permanente y de 12,8% en el personal temporal directo. Por su parte, el personal contratado a través agencias registró una disminución de 9,1%. </w:t>
      </w:r>
    </w:p>
    <w:p w14:paraId="43F1B660" w14:textId="77777777" w:rsidR="000A2C14" w:rsidRPr="007B63EC" w:rsidRDefault="000A2C14" w:rsidP="000A2C14">
      <w:pPr>
        <w:jc w:val="both"/>
        <w:rPr>
          <w:sz w:val="22"/>
          <w:szCs w:val="22"/>
        </w:rPr>
      </w:pPr>
    </w:p>
    <w:p w14:paraId="2AEE5CD0" w14:textId="77777777" w:rsidR="000A2C14" w:rsidRPr="007B63EC" w:rsidRDefault="000A2C14" w:rsidP="000A2C14">
      <w:pPr>
        <w:jc w:val="both"/>
        <w:rPr>
          <w:noProof/>
          <w:sz w:val="22"/>
          <w:szCs w:val="22"/>
          <w:lang w:eastAsia="es-CO"/>
        </w:rPr>
      </w:pPr>
      <w:r w:rsidRPr="007B63EC">
        <w:rPr>
          <w:sz w:val="22"/>
          <w:szCs w:val="22"/>
        </w:rPr>
        <w:t>Mientras que los salarios en octubre de 2020 presentaron un aumento de 7,3%, en comparación con octubre de 2019, que se explica por el incremento de 9,9% en los salarios del personal permanente. Por su parte, los salarios del personal temporal directo registraron una disminución de 3,6%.</w:t>
      </w:r>
    </w:p>
    <w:p w14:paraId="67AE31C1" w14:textId="77777777" w:rsidR="006D442B" w:rsidRPr="007B63EC" w:rsidRDefault="006D442B" w:rsidP="0095383C">
      <w:pPr>
        <w:rPr>
          <w:rFonts w:cs="Arial"/>
          <w:b/>
          <w:sz w:val="22"/>
          <w:szCs w:val="22"/>
          <w:u w:val="single"/>
        </w:rPr>
      </w:pPr>
    </w:p>
    <w:p w14:paraId="364E5167" w14:textId="77777777" w:rsidR="0095383C" w:rsidRPr="007B63EC" w:rsidRDefault="0095383C" w:rsidP="0095383C">
      <w:pPr>
        <w:numPr>
          <w:ilvl w:val="1"/>
          <w:numId w:val="40"/>
        </w:numPr>
        <w:rPr>
          <w:rFonts w:cs="Arial"/>
          <w:b/>
          <w:sz w:val="22"/>
          <w:szCs w:val="22"/>
        </w:rPr>
      </w:pPr>
      <w:r w:rsidRPr="007B63EC">
        <w:rPr>
          <w:rFonts w:cs="Arial"/>
          <w:b/>
          <w:sz w:val="22"/>
          <w:szCs w:val="22"/>
        </w:rPr>
        <w:t>Perspectivas de crecimiento</w:t>
      </w:r>
    </w:p>
    <w:p w14:paraId="52E56223" w14:textId="790CA822" w:rsidR="007C0921" w:rsidRPr="007B63EC" w:rsidRDefault="007C0921" w:rsidP="000A2C14">
      <w:pPr>
        <w:rPr>
          <w:rFonts w:cs="Arial"/>
          <w:b/>
          <w:sz w:val="22"/>
          <w:szCs w:val="22"/>
        </w:rPr>
      </w:pPr>
    </w:p>
    <w:p w14:paraId="5A06474C" w14:textId="77777777" w:rsidR="000A2C14" w:rsidRPr="007B63EC" w:rsidRDefault="000A2C14" w:rsidP="000A2C14">
      <w:pPr>
        <w:shd w:val="clear" w:color="auto" w:fill="FFFFFF"/>
        <w:spacing w:after="100" w:afterAutospacing="1"/>
        <w:jc w:val="both"/>
        <w:outlineLvl w:val="1"/>
        <w:rPr>
          <w:bCs/>
          <w:color w:val="000000" w:themeColor="text1"/>
          <w:sz w:val="22"/>
          <w:szCs w:val="22"/>
          <w:lang w:eastAsia="es-CO"/>
        </w:rPr>
      </w:pPr>
      <w:r w:rsidRPr="007B63EC">
        <w:rPr>
          <w:bCs/>
          <w:color w:val="000000" w:themeColor="text1"/>
          <w:sz w:val="22"/>
          <w:szCs w:val="22"/>
          <w:lang w:eastAsia="es-CO"/>
        </w:rPr>
        <w:t xml:space="preserve">Según la </w:t>
      </w:r>
      <w:proofErr w:type="spellStart"/>
      <w:r w:rsidRPr="007B63EC">
        <w:rPr>
          <w:bCs/>
          <w:color w:val="000000" w:themeColor="text1"/>
          <w:sz w:val="22"/>
          <w:szCs w:val="22"/>
          <w:lang w:eastAsia="es-CO"/>
        </w:rPr>
        <w:t>Ocde</w:t>
      </w:r>
      <w:proofErr w:type="spellEnd"/>
      <w:r w:rsidRPr="007B63EC">
        <w:rPr>
          <w:bCs/>
          <w:color w:val="000000" w:themeColor="text1"/>
          <w:sz w:val="22"/>
          <w:szCs w:val="22"/>
          <w:lang w:eastAsia="es-CO"/>
        </w:rPr>
        <w:t>, el PIB de Colombia tendrá un crecimiento de 3,5% para el año 2021</w:t>
      </w:r>
    </w:p>
    <w:p w14:paraId="3DEA261F" w14:textId="77777777" w:rsidR="000A2C14" w:rsidRPr="007B63EC" w:rsidRDefault="000A2C14" w:rsidP="000A2C14">
      <w:pPr>
        <w:shd w:val="clear" w:color="auto" w:fill="FFFFFF"/>
        <w:spacing w:after="100" w:afterAutospacing="1"/>
        <w:jc w:val="both"/>
        <w:outlineLvl w:val="1"/>
        <w:rPr>
          <w:bCs/>
          <w:color w:val="000000" w:themeColor="text1"/>
          <w:sz w:val="22"/>
          <w:szCs w:val="22"/>
          <w:lang w:eastAsia="es-CO"/>
        </w:rPr>
      </w:pPr>
      <w:r w:rsidRPr="007B63EC">
        <w:rPr>
          <w:bCs/>
          <w:color w:val="000000" w:themeColor="text1"/>
          <w:sz w:val="22"/>
          <w:szCs w:val="22"/>
          <w:lang w:eastAsia="es-CO"/>
        </w:rPr>
        <w:t>En las proyecciones económicas, el panorama nacional mejoró de cara a la reactivación y se espera una mayor contracción para este año por el aislamiento.</w:t>
      </w:r>
    </w:p>
    <w:p w14:paraId="5AC5423C" w14:textId="3E9C870A"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En los planes de recuperación para 2021, la promesa de vacunas contra el covid-19 circulando parecer haber influido positivamente en las proyecciones económicas de la Organización para la Cooperación y el Desarrollo Económicos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w:t>
      </w:r>
    </w:p>
    <w:p w14:paraId="15F56201"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5C8AE2DE" w14:textId="01BD6BE7"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La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 xml:space="preserve"> espera que el Producto Interno Bruto (PIB) global alcance sus niveles pre pandemia el próximo año, con una recuperación de 4,25% y 3,75% para 2022. Para el caso de Colombia, se espera un crecimiento de 3,5% en 2021 y 3,7% para 2022, cifras más positivas que el 2,8% previsto en el reporte anterior.</w:t>
      </w:r>
    </w:p>
    <w:p w14:paraId="5AE11E7C"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572E4E24" w14:textId="095B6347"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Según comenta la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 los estímulos de política fiscal y las bajas tasas de interés ayudarían a impulsar la cifra, no obstante, el panorama para final de año sería peor a los -7,9% previstos en primer semestre y el PIB nacional cerraría con una contracción de -8,3%.</w:t>
      </w:r>
    </w:p>
    <w:p w14:paraId="11FC5850"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26789FB5" w14:textId="18D4AD69"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Se estima que en el proceso de recuperación la deuda pública aumentará más de 15 puntos porcentuales, alcanzando 60% del PIB para 2022. Aun con esto, la entidad confía en que será una situación llevadera y se logrará contener la inflación.</w:t>
      </w:r>
    </w:p>
    <w:p w14:paraId="320D5F66"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7C93BA6B" w14:textId="4611A61E"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La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 xml:space="preserve"> da a entender que su preocupación no está por el lado del aumento excesivo de la deuda pública a nivel global, sino que su preocupación está en que se mantenga el estímulo fiscal de los diferentes países”, comentó Mateo Ramírez, economista y docente de la Universidad de La Sabana.</w:t>
      </w:r>
    </w:p>
    <w:p w14:paraId="2E1EB37A"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4A6388A4" w14:textId="6AD81C58"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Dentro de los elementos positivos que resalta el informe se encuentra una recuperación leve en la tasa de desempleo, que lograría pasar de 16,1% este año a 14,8% para 2021 y 13% para 2022.</w:t>
      </w:r>
    </w:p>
    <w:p w14:paraId="7FC451AD" w14:textId="71625EAC"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677DD976" w14:textId="65D6D5D5"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Otros puntos clave para la recuperación, serán la inversión y el gasto público.</w:t>
      </w:r>
    </w:p>
    <w:p w14:paraId="7DD63533"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620C748F" w14:textId="01F5F6D8"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Un gasto social que mitigue el retroceso que hemos sufrido en aumento de pobreza y vulnerabilidad; inversiones locales que dinamicen el empleo; grandes proyectos </w:t>
      </w:r>
      <w:proofErr w:type="spellStart"/>
      <w:r w:rsidRPr="007B63EC">
        <w:rPr>
          <w:rFonts w:ascii="Arial Narrow" w:hAnsi="Arial Narrow"/>
          <w:bCs/>
          <w:color w:val="000000" w:themeColor="text1"/>
          <w:sz w:val="22"/>
          <w:szCs w:val="22"/>
        </w:rPr>
        <w:t>jalonadores</w:t>
      </w:r>
      <w:proofErr w:type="spellEnd"/>
      <w:r w:rsidRPr="007B63EC">
        <w:rPr>
          <w:rFonts w:ascii="Arial Narrow" w:hAnsi="Arial Narrow"/>
          <w:bCs/>
          <w:color w:val="000000" w:themeColor="text1"/>
          <w:sz w:val="22"/>
          <w:szCs w:val="22"/>
        </w:rPr>
        <w:t xml:space="preserve"> de la economía nacional; mantener un margen de política monetaria flexible que continúe garantizando liquidez y, finalmente, abordar las discusiones políticas y técnicas conducentes a nuevos arreglos sociales: en primer </w:t>
      </w:r>
      <w:r w:rsidR="00610898" w:rsidRPr="007B63EC">
        <w:rPr>
          <w:rFonts w:ascii="Arial Narrow" w:hAnsi="Arial Narrow"/>
          <w:bCs/>
          <w:color w:val="000000" w:themeColor="text1"/>
          <w:sz w:val="22"/>
          <w:szCs w:val="22"/>
        </w:rPr>
        <w:t>lugar,</w:t>
      </w:r>
      <w:r w:rsidRPr="007B63EC">
        <w:rPr>
          <w:rFonts w:ascii="Arial Narrow" w:hAnsi="Arial Narrow"/>
          <w:bCs/>
          <w:color w:val="000000" w:themeColor="text1"/>
          <w:sz w:val="22"/>
          <w:szCs w:val="22"/>
        </w:rPr>
        <w:t xml:space="preserve"> estando una reforma tributaria y reforma laboral”, añadió Sepúlveda.</w:t>
      </w:r>
    </w:p>
    <w:p w14:paraId="7FFAA11F"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12E072FC" w14:textId="77777777"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La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 xml:space="preserve"> también precisa que será necesario seguir focalizando las ayudas de los gobiernos en las poblaciones más vulnerables y quienes han resultado más afectados por la pandemia, además de reforzar los esfuerzos por mitigar la propagación del virus, esto dado a que nuevas oleadas podrían cambiar las proyecciones positivas.</w:t>
      </w:r>
    </w:p>
    <w:p w14:paraId="47A7E9A4" w14:textId="4D0422FD"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En el caso de los otros países de América Latina, Chile sería el país con la recuperación más alta, 4,2% para 2021; seguido de Argentina, con 3,7%; México, 3,6%; Colombia, con 3,5% y, finalmente, Brasil con 2,6%.</w:t>
      </w:r>
    </w:p>
    <w:p w14:paraId="32BF2026"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0FBB05FB" w14:textId="69411C48"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Para 2022, todos los países tendrían cifras positivas, pero un poco más bajas que lo esperado el próximo año. Argentina lideraría el bloque con 4,6%, seguido de Colombia con 3,7%; México, 3,4%; Chile, 3%; y Brasil, seguiría siendo el más bajo con un crecimiento de 2,2%.</w:t>
      </w:r>
    </w:p>
    <w:p w14:paraId="01E6E521"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14E13A04" w14:textId="11F0D6D8"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Estas perspectivas de crecimiento para 2021, si bien son alentadoras, hay que esperar a la evolución de la distribución de la vacuna, porque está sujeta a bastantes riesgos y una caída en la efectividad de esta va a afectar el entorno económico mundial.</w:t>
      </w:r>
    </w:p>
    <w:p w14:paraId="5F6EC442"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1F7B580A" w14:textId="376BF3C4"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Si bien la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 xml:space="preserve"> precisa que la recuperación será disímil para cada país, coincide en que el panorama es positivo a partir del próximo año en el que la posible erradicación de la pandemia impulsará aún más estas cifras y reiteró que la cooperación internacional será primordial.</w:t>
      </w:r>
    </w:p>
    <w:p w14:paraId="43736D3C"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59ED2E08" w14:textId="3E327821" w:rsidR="000A2C14" w:rsidRPr="007B63EC" w:rsidRDefault="000A2C14" w:rsidP="000A2C14">
      <w:pPr>
        <w:pStyle w:val="NormalWeb"/>
        <w:shd w:val="clear" w:color="auto" w:fill="FFFFFF"/>
        <w:jc w:val="both"/>
        <w:rPr>
          <w:rFonts w:ascii="Arial Narrow" w:hAnsi="Arial Narrow"/>
          <w:b/>
          <w:color w:val="000000" w:themeColor="text1"/>
          <w:sz w:val="22"/>
          <w:szCs w:val="22"/>
        </w:rPr>
      </w:pPr>
      <w:r w:rsidRPr="007B63EC">
        <w:rPr>
          <w:rFonts w:ascii="Arial Narrow" w:hAnsi="Arial Narrow"/>
          <w:b/>
          <w:color w:val="000000" w:themeColor="text1"/>
          <w:sz w:val="22"/>
          <w:szCs w:val="22"/>
        </w:rPr>
        <w:t>China superaría a las demás economías</w:t>
      </w:r>
    </w:p>
    <w:p w14:paraId="313761F5"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7B0BBDCC" w14:textId="4BD61464"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 xml:space="preserve">Todas las proyecciones de 2020 le han apostado a China como la única economía que no tendría contracciones económicas este año. Ahora, en el más reciente informe de la </w:t>
      </w:r>
      <w:proofErr w:type="spellStart"/>
      <w:r w:rsidRPr="007B63EC">
        <w:rPr>
          <w:rFonts w:ascii="Arial Narrow" w:hAnsi="Arial Narrow"/>
          <w:bCs/>
          <w:color w:val="000000" w:themeColor="text1"/>
          <w:sz w:val="22"/>
          <w:szCs w:val="22"/>
        </w:rPr>
        <w:t>Ocde</w:t>
      </w:r>
      <w:proofErr w:type="spellEnd"/>
      <w:r w:rsidRPr="007B63EC">
        <w:rPr>
          <w:rFonts w:ascii="Arial Narrow" w:hAnsi="Arial Narrow"/>
          <w:bCs/>
          <w:color w:val="000000" w:themeColor="text1"/>
          <w:sz w:val="22"/>
          <w:szCs w:val="22"/>
        </w:rPr>
        <w:t xml:space="preserve"> el panorama sería mucho más positivo; se espera que represente hasta 0,33% de la recuperación de 2021, con un crecimiento en su PIB de 8%.</w:t>
      </w:r>
    </w:p>
    <w:p w14:paraId="6ED915D2" w14:textId="77777777" w:rsidR="00F5144B" w:rsidRPr="007B63EC" w:rsidRDefault="00F5144B" w:rsidP="000A2C14">
      <w:pPr>
        <w:pStyle w:val="NormalWeb"/>
        <w:shd w:val="clear" w:color="auto" w:fill="FFFFFF"/>
        <w:jc w:val="both"/>
        <w:rPr>
          <w:rFonts w:ascii="Arial Narrow" w:hAnsi="Arial Narrow"/>
          <w:bCs/>
          <w:color w:val="000000" w:themeColor="text1"/>
          <w:sz w:val="22"/>
          <w:szCs w:val="22"/>
        </w:rPr>
      </w:pPr>
    </w:p>
    <w:p w14:paraId="0C7D3399" w14:textId="1926FCCC" w:rsidR="000A2C14" w:rsidRPr="007B63EC" w:rsidRDefault="000A2C14" w:rsidP="000A2C14">
      <w:pPr>
        <w:pStyle w:val="NormalWeb"/>
        <w:shd w:val="clear" w:color="auto" w:fill="FFFFFF"/>
        <w:jc w:val="both"/>
        <w:rPr>
          <w:rFonts w:ascii="Arial Narrow" w:hAnsi="Arial Narrow"/>
          <w:bCs/>
          <w:color w:val="000000" w:themeColor="text1"/>
          <w:sz w:val="22"/>
          <w:szCs w:val="22"/>
        </w:rPr>
      </w:pPr>
      <w:r w:rsidRPr="007B63EC">
        <w:rPr>
          <w:rFonts w:ascii="Arial Narrow" w:hAnsi="Arial Narrow"/>
          <w:bCs/>
          <w:color w:val="000000" w:themeColor="text1"/>
          <w:sz w:val="22"/>
          <w:szCs w:val="22"/>
        </w:rPr>
        <w:t>La cifra para 2022 tendría un incremento adicional de 4,9%. El retroceso en otras grandes economías como Estados Unidos o Europa, que han sufrido como consecuencia de los rebrotes de covid-19 favorecerían este fortalecimiento de China, que le apuesta a ser la economía más poderosa.</w:t>
      </w:r>
    </w:p>
    <w:p w14:paraId="07BCD9FB" w14:textId="77777777" w:rsidR="00F5144B" w:rsidRPr="007B63EC" w:rsidRDefault="00F5144B" w:rsidP="000A2C14">
      <w:pPr>
        <w:pStyle w:val="NormalWeb"/>
        <w:shd w:val="clear" w:color="auto" w:fill="FFFFFF"/>
        <w:jc w:val="both"/>
        <w:rPr>
          <w:rFonts w:ascii="Arial Narrow" w:hAnsi="Arial Narrow"/>
          <w:color w:val="000000" w:themeColor="text1"/>
          <w:sz w:val="22"/>
          <w:szCs w:val="22"/>
        </w:rPr>
      </w:pPr>
    </w:p>
    <w:p w14:paraId="3A312B0E" w14:textId="73032AAD" w:rsidR="000A2C14" w:rsidRPr="007B63EC" w:rsidRDefault="000A2C14" w:rsidP="000A2C14">
      <w:pPr>
        <w:autoSpaceDE w:val="0"/>
        <w:autoSpaceDN w:val="0"/>
        <w:adjustRightInd w:val="0"/>
        <w:spacing w:after="28"/>
        <w:rPr>
          <w:b/>
          <w:color w:val="000000" w:themeColor="text1"/>
          <w:sz w:val="22"/>
          <w:szCs w:val="22"/>
        </w:rPr>
      </w:pPr>
      <w:r w:rsidRPr="007B63EC">
        <w:rPr>
          <w:b/>
          <w:color w:val="000000" w:themeColor="text1"/>
          <w:sz w:val="22"/>
          <w:szCs w:val="22"/>
        </w:rPr>
        <w:t xml:space="preserve">Indicadores macroeconómicos </w:t>
      </w:r>
    </w:p>
    <w:p w14:paraId="5B892D66" w14:textId="77777777" w:rsidR="00F5144B" w:rsidRPr="007B63EC" w:rsidRDefault="00F5144B" w:rsidP="000A2C14">
      <w:pPr>
        <w:autoSpaceDE w:val="0"/>
        <w:autoSpaceDN w:val="0"/>
        <w:adjustRightInd w:val="0"/>
        <w:spacing w:after="28"/>
        <w:rPr>
          <w:b/>
          <w:color w:val="000000" w:themeColor="text1"/>
          <w:sz w:val="22"/>
          <w:szCs w:val="22"/>
        </w:rPr>
      </w:pPr>
    </w:p>
    <w:p w14:paraId="0B4D93F4" w14:textId="77777777" w:rsidR="000A2C14" w:rsidRPr="007B63EC" w:rsidRDefault="000A2C14" w:rsidP="000A2C14">
      <w:pPr>
        <w:autoSpaceDE w:val="0"/>
        <w:autoSpaceDN w:val="0"/>
        <w:adjustRightInd w:val="0"/>
        <w:spacing w:after="28"/>
        <w:rPr>
          <w:b/>
          <w:color w:val="000000" w:themeColor="text1"/>
          <w:sz w:val="22"/>
          <w:szCs w:val="22"/>
        </w:rPr>
      </w:pPr>
      <w:r w:rsidRPr="007B63EC">
        <w:rPr>
          <w:b/>
          <w:color w:val="000000" w:themeColor="text1"/>
          <w:sz w:val="22"/>
          <w:szCs w:val="22"/>
        </w:rPr>
        <w:t>Producto Interno Bruto (PIB)1</w:t>
      </w:r>
    </w:p>
    <w:p w14:paraId="3A319F47" w14:textId="77777777" w:rsidR="000A2C14" w:rsidRPr="007B63EC" w:rsidRDefault="000A2C14" w:rsidP="000A2C14">
      <w:pPr>
        <w:autoSpaceDE w:val="0"/>
        <w:autoSpaceDN w:val="0"/>
        <w:adjustRightInd w:val="0"/>
        <w:spacing w:after="28"/>
        <w:rPr>
          <w:b/>
          <w:color w:val="000000" w:themeColor="text1"/>
          <w:sz w:val="22"/>
          <w:szCs w:val="22"/>
        </w:rPr>
      </w:pPr>
    </w:p>
    <w:p w14:paraId="1CB84402" w14:textId="77777777" w:rsidR="000A2C14" w:rsidRPr="007B63EC" w:rsidRDefault="000A2C14" w:rsidP="000A2C14">
      <w:pPr>
        <w:autoSpaceDE w:val="0"/>
        <w:autoSpaceDN w:val="0"/>
        <w:adjustRightInd w:val="0"/>
        <w:spacing w:after="28"/>
        <w:jc w:val="both"/>
        <w:rPr>
          <w:color w:val="000000" w:themeColor="text1"/>
          <w:sz w:val="22"/>
          <w:szCs w:val="22"/>
        </w:rPr>
      </w:pPr>
      <w:r w:rsidRPr="007B63EC">
        <w:rPr>
          <w:color w:val="000000" w:themeColor="text1"/>
          <w:sz w:val="22"/>
          <w:szCs w:val="22"/>
        </w:rPr>
        <w:lastRenderedPageBreak/>
        <w:t>En el tercer trimestre de 2020 (julio-septiembre), el PIB a precios constantes disminuyó 9,0% con relación al mismo trimestre de 2019. Al analizar el resultado del valor agregado por grandes ramas de actividad, se observa un decrecimiento de 26,2% del valor agregado del sector construcción. Este resultado se explica principalmente por la variación anual negativa presentada en el valor agregado de las edificaciones (-27,2%), el valor agregado de las actividades especializadas (-26,4%) y el valor agregado de las obras civiles (-24,7%).</w:t>
      </w:r>
    </w:p>
    <w:p w14:paraId="609D40F8" w14:textId="77777777" w:rsidR="00F5144B" w:rsidRPr="007B63EC" w:rsidRDefault="00F5144B" w:rsidP="000A2C14">
      <w:pPr>
        <w:autoSpaceDE w:val="0"/>
        <w:autoSpaceDN w:val="0"/>
        <w:adjustRightInd w:val="0"/>
        <w:spacing w:after="28"/>
        <w:jc w:val="both"/>
        <w:rPr>
          <w:color w:val="000000" w:themeColor="text1"/>
          <w:sz w:val="22"/>
          <w:szCs w:val="22"/>
        </w:rPr>
      </w:pPr>
    </w:p>
    <w:p w14:paraId="2F758326" w14:textId="77777777" w:rsidR="000A2C14" w:rsidRPr="007B63EC" w:rsidRDefault="000A2C14" w:rsidP="000A2C14">
      <w:pPr>
        <w:autoSpaceDE w:val="0"/>
        <w:autoSpaceDN w:val="0"/>
        <w:adjustRightInd w:val="0"/>
        <w:spacing w:after="28"/>
        <w:jc w:val="center"/>
        <w:rPr>
          <w:b/>
          <w:color w:val="000000" w:themeColor="text1"/>
          <w:sz w:val="22"/>
          <w:szCs w:val="22"/>
        </w:rPr>
      </w:pPr>
      <w:r w:rsidRPr="007B63EC">
        <w:rPr>
          <w:b/>
          <w:color w:val="000000" w:themeColor="text1"/>
          <w:sz w:val="22"/>
          <w:szCs w:val="22"/>
        </w:rPr>
        <w:t>Variación anual del PIB total, valor agregado construcción y subsectores (a precios constantes) 2016 – 2020pr (III trimestre)</w:t>
      </w:r>
    </w:p>
    <w:p w14:paraId="4A3527E3" w14:textId="77777777" w:rsidR="000A2C14" w:rsidRPr="007B63EC" w:rsidRDefault="000A2C14" w:rsidP="000A2C14">
      <w:pPr>
        <w:autoSpaceDE w:val="0"/>
        <w:autoSpaceDN w:val="0"/>
        <w:adjustRightInd w:val="0"/>
        <w:spacing w:after="28"/>
        <w:jc w:val="both"/>
        <w:rPr>
          <w:color w:val="000000"/>
          <w:sz w:val="22"/>
          <w:szCs w:val="22"/>
        </w:rPr>
      </w:pPr>
    </w:p>
    <w:p w14:paraId="74481C8F" w14:textId="77777777" w:rsidR="000A2C14" w:rsidRPr="007B63EC" w:rsidRDefault="000A2C14" w:rsidP="006C7B81">
      <w:pPr>
        <w:autoSpaceDE w:val="0"/>
        <w:autoSpaceDN w:val="0"/>
        <w:adjustRightInd w:val="0"/>
        <w:spacing w:after="28"/>
        <w:jc w:val="center"/>
        <w:rPr>
          <w:color w:val="000000"/>
          <w:sz w:val="22"/>
          <w:szCs w:val="22"/>
        </w:rPr>
      </w:pPr>
      <w:r w:rsidRPr="007B63EC">
        <w:rPr>
          <w:noProof/>
          <w:sz w:val="22"/>
          <w:szCs w:val="22"/>
          <w:lang w:eastAsia="es-CO"/>
        </w:rPr>
        <w:drawing>
          <wp:inline distT="0" distB="0" distL="0" distR="0" wp14:anchorId="6D737F5A" wp14:editId="2FD1A5DD">
            <wp:extent cx="4183811" cy="1544738"/>
            <wp:effectExtent l="0" t="0" r="7620" b="0"/>
            <wp:docPr id="9" name="Imagen 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descr="Interfaz de usuario gráfica&#10;&#10;Descripción generada automáticamente con confianza me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05923" cy="1552902"/>
                    </a:xfrm>
                    <a:prstGeom prst="rect">
                      <a:avLst/>
                    </a:prstGeom>
                    <a:noFill/>
                    <a:ln>
                      <a:noFill/>
                    </a:ln>
                  </pic:spPr>
                </pic:pic>
              </a:graphicData>
            </a:graphic>
          </wp:inline>
        </w:drawing>
      </w:r>
    </w:p>
    <w:p w14:paraId="0D7C85C6" w14:textId="77777777" w:rsidR="000A2C14" w:rsidRPr="007B63EC" w:rsidRDefault="000A2C14" w:rsidP="000A2C14">
      <w:pPr>
        <w:autoSpaceDE w:val="0"/>
        <w:autoSpaceDN w:val="0"/>
        <w:adjustRightInd w:val="0"/>
        <w:spacing w:after="28"/>
        <w:jc w:val="both"/>
        <w:rPr>
          <w:sz w:val="22"/>
          <w:szCs w:val="22"/>
        </w:rPr>
      </w:pPr>
    </w:p>
    <w:p w14:paraId="7D24BF17" w14:textId="4D5E1248" w:rsidR="000A2C14" w:rsidRPr="007B63EC" w:rsidRDefault="000A2C14" w:rsidP="000A2C14">
      <w:pPr>
        <w:autoSpaceDE w:val="0"/>
        <w:autoSpaceDN w:val="0"/>
        <w:adjustRightInd w:val="0"/>
        <w:spacing w:after="28"/>
        <w:jc w:val="both"/>
        <w:rPr>
          <w:sz w:val="22"/>
          <w:szCs w:val="22"/>
        </w:rPr>
      </w:pPr>
      <w:r w:rsidRPr="007B63EC">
        <w:rPr>
          <w:sz w:val="22"/>
          <w:szCs w:val="22"/>
        </w:rPr>
        <w:t>Al analizar las cifras del Producto Interno Bruto (PIB), para el tercer trimestre de 2020 (julio-septiembre) frente al mismo periodo del año anterior para algunos países de América Latina, se observa que cada uno de estos países presentó un decrecimiento significativo, la mayor disminución es presentada por Perú (-9,4%) y Chile (-9,1%). En lo referente al valor agregado de la construcción, se observa un decrecimiento en los cuatro países de análisis, los decrecimientos más significativos se encuentran en Chile (-29,2%) y Colombia (-26,2%).</w:t>
      </w:r>
    </w:p>
    <w:p w14:paraId="2CF04539" w14:textId="77777777" w:rsidR="007B63EC" w:rsidRPr="007B63EC" w:rsidRDefault="007B63EC" w:rsidP="000A2C14">
      <w:pPr>
        <w:autoSpaceDE w:val="0"/>
        <w:autoSpaceDN w:val="0"/>
        <w:adjustRightInd w:val="0"/>
        <w:spacing w:after="28"/>
        <w:jc w:val="both"/>
        <w:rPr>
          <w:color w:val="000000"/>
          <w:sz w:val="22"/>
          <w:szCs w:val="22"/>
        </w:rPr>
      </w:pPr>
    </w:p>
    <w:p w14:paraId="05C3BE1C" w14:textId="77777777" w:rsidR="000A2C14" w:rsidRPr="007B63EC" w:rsidRDefault="000A2C14" w:rsidP="000A2C14">
      <w:pPr>
        <w:autoSpaceDE w:val="0"/>
        <w:autoSpaceDN w:val="0"/>
        <w:adjustRightInd w:val="0"/>
        <w:spacing w:after="28"/>
        <w:jc w:val="center"/>
        <w:rPr>
          <w:b/>
          <w:color w:val="000000"/>
          <w:sz w:val="22"/>
          <w:szCs w:val="22"/>
        </w:rPr>
      </w:pPr>
      <w:r w:rsidRPr="007B63EC">
        <w:rPr>
          <w:b/>
          <w:sz w:val="22"/>
          <w:szCs w:val="22"/>
        </w:rPr>
        <w:t>PIB total, valor agregado de la rama construcción para algunos países de Latinoamérica2 Variación anual 2018 (III trimestre) – 2020pr (III trimestre)</w:t>
      </w:r>
    </w:p>
    <w:p w14:paraId="4160E940" w14:textId="77777777" w:rsidR="000A2C14" w:rsidRPr="007B63EC" w:rsidRDefault="000A2C14" w:rsidP="000A2C14">
      <w:pPr>
        <w:autoSpaceDE w:val="0"/>
        <w:autoSpaceDN w:val="0"/>
        <w:adjustRightInd w:val="0"/>
        <w:spacing w:after="28"/>
        <w:jc w:val="both"/>
        <w:rPr>
          <w:color w:val="000000"/>
          <w:sz w:val="22"/>
          <w:szCs w:val="22"/>
        </w:rPr>
      </w:pPr>
    </w:p>
    <w:p w14:paraId="017DF6BB" w14:textId="609469EB" w:rsidR="00D76FFD" w:rsidRDefault="000A2C14" w:rsidP="006C7B81">
      <w:pPr>
        <w:autoSpaceDE w:val="0"/>
        <w:autoSpaceDN w:val="0"/>
        <w:adjustRightInd w:val="0"/>
        <w:jc w:val="center"/>
        <w:rPr>
          <w:noProof/>
          <w:sz w:val="22"/>
          <w:szCs w:val="22"/>
          <w:lang w:eastAsia="es-CO"/>
        </w:rPr>
      </w:pPr>
      <w:r w:rsidRPr="007B63EC">
        <w:rPr>
          <w:noProof/>
          <w:sz w:val="22"/>
          <w:szCs w:val="22"/>
          <w:lang w:eastAsia="es-CO"/>
        </w:rPr>
        <w:drawing>
          <wp:inline distT="0" distB="0" distL="0" distR="0" wp14:anchorId="552FA8C1" wp14:editId="4853EA92">
            <wp:extent cx="4226943" cy="2000626"/>
            <wp:effectExtent l="0" t="0" r="2540" b="0"/>
            <wp:docPr id="8" name="Imagen 8" descr="Interfaz de usuario gráfica, Texto,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Interfaz de usuario gráfica, Texto, Aplicación, Word&#10;&#10;Descripción generada automáticamente"/>
                    <pic:cNvPicPr>
                      <a:picLocks noChangeAspect="1" noChangeArrowheads="1"/>
                    </pic:cNvPicPr>
                  </pic:nvPicPr>
                  <pic:blipFill rotWithShape="1">
                    <a:blip r:embed="rId18">
                      <a:extLst>
                        <a:ext uri="{28A0092B-C50C-407E-A947-70E740481C1C}">
                          <a14:useLocalDpi xmlns:a14="http://schemas.microsoft.com/office/drawing/2010/main" val="0"/>
                        </a:ext>
                      </a:extLst>
                    </a:blip>
                    <a:srcRect t="1892"/>
                    <a:stretch/>
                  </pic:blipFill>
                  <pic:spPr bwMode="auto">
                    <a:xfrm>
                      <a:off x="0" y="0"/>
                      <a:ext cx="4254837" cy="2013828"/>
                    </a:xfrm>
                    <a:prstGeom prst="rect">
                      <a:avLst/>
                    </a:prstGeom>
                    <a:noFill/>
                    <a:ln>
                      <a:noFill/>
                    </a:ln>
                    <a:extLst>
                      <a:ext uri="{53640926-AAD7-44D8-BBD7-CCE9431645EC}">
                        <a14:shadowObscured xmlns:a14="http://schemas.microsoft.com/office/drawing/2010/main"/>
                      </a:ext>
                    </a:extLst>
                  </pic:spPr>
                </pic:pic>
              </a:graphicData>
            </a:graphic>
          </wp:inline>
        </w:drawing>
      </w:r>
    </w:p>
    <w:p w14:paraId="38B034F0" w14:textId="77777777" w:rsidR="006C7B81" w:rsidRPr="007B63EC" w:rsidRDefault="006C7B81" w:rsidP="00D76FFD">
      <w:pPr>
        <w:autoSpaceDE w:val="0"/>
        <w:autoSpaceDN w:val="0"/>
        <w:adjustRightInd w:val="0"/>
        <w:jc w:val="both"/>
        <w:rPr>
          <w:noProof/>
          <w:sz w:val="22"/>
          <w:szCs w:val="22"/>
          <w:lang w:eastAsia="es-CO"/>
        </w:rPr>
      </w:pPr>
    </w:p>
    <w:p w14:paraId="261F797C" w14:textId="5603BDAD" w:rsidR="00990738" w:rsidRPr="004A3CE0" w:rsidRDefault="00990738" w:rsidP="00D76FFD">
      <w:pPr>
        <w:pStyle w:val="Prrafodelista"/>
        <w:keepNext/>
        <w:keepLines/>
        <w:numPr>
          <w:ilvl w:val="0"/>
          <w:numId w:val="9"/>
        </w:numPr>
        <w:spacing w:after="0"/>
        <w:outlineLvl w:val="0"/>
        <w:rPr>
          <w:rFonts w:ascii="Arial" w:hAnsi="Arial" w:cs="Arial"/>
          <w:b/>
          <w:bCs/>
        </w:rPr>
      </w:pPr>
      <w:r w:rsidRPr="004A3CE0">
        <w:rPr>
          <w:rFonts w:ascii="Arial" w:hAnsi="Arial" w:cs="Arial"/>
          <w:b/>
          <w:bCs/>
        </w:rPr>
        <w:t>ASPECTO TECNICO</w:t>
      </w:r>
      <w:bookmarkEnd w:id="3"/>
    </w:p>
    <w:p w14:paraId="689072FB" w14:textId="77777777" w:rsidR="00D76FFD" w:rsidRPr="007B63EC" w:rsidRDefault="00D76FFD" w:rsidP="006D442B">
      <w:pPr>
        <w:rPr>
          <w:sz w:val="22"/>
          <w:szCs w:val="22"/>
          <w:lang w:val="en-US"/>
        </w:rPr>
      </w:pPr>
    </w:p>
    <w:p w14:paraId="07547A01" w14:textId="2FD1BDD2" w:rsidR="00EF06CB" w:rsidRPr="007B63EC" w:rsidRDefault="00EF06CB" w:rsidP="00EF06CB">
      <w:pPr>
        <w:autoSpaceDE w:val="0"/>
        <w:autoSpaceDN w:val="0"/>
        <w:adjustRightInd w:val="0"/>
        <w:jc w:val="both"/>
        <w:rPr>
          <w:rFonts w:cs="Arial"/>
          <w:sz w:val="22"/>
          <w:szCs w:val="22"/>
          <w:lang w:eastAsia="en-US"/>
        </w:rPr>
      </w:pPr>
      <w:bookmarkStart w:id="4" w:name="_Toc393174599"/>
      <w:r w:rsidRPr="007B63EC">
        <w:rPr>
          <w:rFonts w:cs="Arial"/>
          <w:sz w:val="22"/>
          <w:szCs w:val="22"/>
          <w:lang w:eastAsia="en-US"/>
        </w:rPr>
        <w:t>Las c</w:t>
      </w:r>
      <w:r w:rsidR="004B60C8" w:rsidRPr="007B63EC">
        <w:rPr>
          <w:rFonts w:cs="Arial"/>
          <w:sz w:val="22"/>
          <w:szCs w:val="22"/>
          <w:lang w:eastAsia="en-US"/>
        </w:rPr>
        <w:t xml:space="preserve">ondiciones técnicas de la </w:t>
      </w:r>
      <w:r w:rsidR="00137096" w:rsidRPr="007B63EC">
        <w:rPr>
          <w:rFonts w:cs="Arial"/>
          <w:sz w:val="22"/>
          <w:szCs w:val="22"/>
          <w:lang w:eastAsia="en-US"/>
        </w:rPr>
        <w:t>consultoría</w:t>
      </w:r>
      <w:r w:rsidRPr="007B63EC">
        <w:rPr>
          <w:rFonts w:cs="Arial"/>
          <w:sz w:val="22"/>
          <w:szCs w:val="22"/>
          <w:lang w:eastAsia="en-US"/>
        </w:rPr>
        <w:t xml:space="preserve"> a las cuales se les realizará la Interventoría objeto de la presente modalidad de contratación se encuentran sujetas a la </w:t>
      </w:r>
      <w:r w:rsidR="00D76FFD" w:rsidRPr="007B63EC">
        <w:rPr>
          <w:rFonts w:cs="Arial"/>
          <w:sz w:val="22"/>
          <w:szCs w:val="22"/>
          <w:lang w:eastAsia="en-US"/>
        </w:rPr>
        <w:t>resolución del</w:t>
      </w:r>
      <w:r w:rsidR="00137096" w:rsidRPr="007B63EC">
        <w:rPr>
          <w:rFonts w:cs="Arial"/>
          <w:sz w:val="22"/>
          <w:szCs w:val="22"/>
          <w:lang w:eastAsia="en-US"/>
        </w:rPr>
        <w:t xml:space="preserve"> Ministerio de Transporte No 1321-2018.</w:t>
      </w:r>
    </w:p>
    <w:p w14:paraId="5043CB0F" w14:textId="77777777" w:rsidR="00EF06CB" w:rsidRPr="007B63EC" w:rsidRDefault="00EF06CB" w:rsidP="00EF06CB">
      <w:pPr>
        <w:autoSpaceDE w:val="0"/>
        <w:autoSpaceDN w:val="0"/>
        <w:adjustRightInd w:val="0"/>
        <w:jc w:val="both"/>
        <w:rPr>
          <w:rFonts w:cs="Arial"/>
          <w:sz w:val="22"/>
          <w:szCs w:val="22"/>
          <w:lang w:eastAsia="en-US"/>
        </w:rPr>
      </w:pPr>
    </w:p>
    <w:p w14:paraId="1DF0AB46" w14:textId="30949010" w:rsidR="00EF06CB" w:rsidRPr="007B63EC" w:rsidRDefault="00EF06CB" w:rsidP="00EF06CB">
      <w:pPr>
        <w:autoSpaceDE w:val="0"/>
        <w:autoSpaceDN w:val="0"/>
        <w:adjustRightInd w:val="0"/>
        <w:jc w:val="both"/>
        <w:rPr>
          <w:rFonts w:cs="Arial"/>
          <w:sz w:val="22"/>
          <w:szCs w:val="22"/>
          <w:lang w:eastAsia="en-US"/>
        </w:rPr>
      </w:pPr>
      <w:r w:rsidRPr="007B63EC">
        <w:rPr>
          <w:rFonts w:cs="Arial"/>
          <w:sz w:val="22"/>
          <w:szCs w:val="22"/>
          <w:lang w:eastAsia="en-US"/>
        </w:rPr>
        <w:lastRenderedPageBreak/>
        <w:t>Las condiciones técnicas particulares referentes a la ejecución del contrato que se pretende celebrar, se encuentran discriminadas de manera clara y precisa en los documentos anexos, en especial en el documento “ESTUDIOS PREVIOS” que forma parte del presente proceso de selección.</w:t>
      </w:r>
    </w:p>
    <w:p w14:paraId="07459315" w14:textId="77777777" w:rsidR="00EF06CB" w:rsidRPr="007B63EC" w:rsidRDefault="00EF06CB" w:rsidP="00EF06CB">
      <w:pPr>
        <w:autoSpaceDE w:val="0"/>
        <w:autoSpaceDN w:val="0"/>
        <w:adjustRightInd w:val="0"/>
        <w:jc w:val="both"/>
        <w:rPr>
          <w:rFonts w:cs="Arial"/>
          <w:sz w:val="22"/>
          <w:szCs w:val="22"/>
          <w:lang w:eastAsia="en-US"/>
        </w:rPr>
      </w:pPr>
    </w:p>
    <w:p w14:paraId="6537F28F" w14:textId="523CABC1" w:rsidR="00990738" w:rsidRPr="004A3CE0" w:rsidRDefault="00990738" w:rsidP="00990738">
      <w:pPr>
        <w:pStyle w:val="Prrafodelista"/>
        <w:keepNext/>
        <w:keepLines/>
        <w:numPr>
          <w:ilvl w:val="0"/>
          <w:numId w:val="9"/>
        </w:numPr>
        <w:outlineLvl w:val="0"/>
        <w:rPr>
          <w:rFonts w:ascii="Arial" w:hAnsi="Arial" w:cs="Arial"/>
          <w:b/>
          <w:bCs/>
        </w:rPr>
      </w:pPr>
      <w:r w:rsidRPr="004A3CE0">
        <w:rPr>
          <w:rFonts w:ascii="Arial" w:hAnsi="Arial" w:cs="Arial"/>
          <w:b/>
          <w:bCs/>
        </w:rPr>
        <w:t>ASPECTO REGULATORIO</w:t>
      </w:r>
      <w:bookmarkEnd w:id="4"/>
    </w:p>
    <w:p w14:paraId="421E4BF7" w14:textId="1DD1F322" w:rsidR="00846459" w:rsidRPr="007B63EC" w:rsidRDefault="00846459" w:rsidP="00846459">
      <w:pPr>
        <w:jc w:val="both"/>
        <w:rPr>
          <w:sz w:val="22"/>
          <w:szCs w:val="22"/>
        </w:rPr>
      </w:pPr>
      <w:r w:rsidRPr="007B63EC">
        <w:rPr>
          <w:sz w:val="22"/>
          <w:szCs w:val="22"/>
        </w:rPr>
        <w:t xml:space="preserve">El marco legal del proceso de selección que se </w:t>
      </w:r>
      <w:r w:rsidR="006C7B81" w:rsidRPr="007B63EC">
        <w:rPr>
          <w:sz w:val="22"/>
          <w:szCs w:val="22"/>
        </w:rPr>
        <w:t>adelanta</w:t>
      </w:r>
      <w:r w:rsidRPr="007B63EC">
        <w:rPr>
          <w:sz w:val="22"/>
          <w:szCs w:val="22"/>
        </w:rPr>
        <w:t xml:space="preserve"> está conformado por la Constitución Política, la Ley 80 de 1993, Ley 1150 de 2007, Ley 1474 de 2011, Decreto 1082 de 2015, Ley 1437 de 2011 o Código de Procedimiento Administrativo y de lo Contencioso Administrativo, Ley 1564 de 2012 o Código General del Proceso, los Códigos Civil y de Comercio y demás normas concordantes.</w:t>
      </w:r>
    </w:p>
    <w:p w14:paraId="6DFB9E20" w14:textId="77777777" w:rsidR="00846459" w:rsidRPr="007B63EC" w:rsidRDefault="00846459" w:rsidP="00846459">
      <w:pPr>
        <w:jc w:val="both"/>
        <w:rPr>
          <w:sz w:val="22"/>
          <w:szCs w:val="22"/>
        </w:rPr>
      </w:pPr>
    </w:p>
    <w:p w14:paraId="353E14E3" w14:textId="77777777" w:rsidR="00846459" w:rsidRPr="007B63EC" w:rsidRDefault="00846459" w:rsidP="00846459">
      <w:pPr>
        <w:jc w:val="both"/>
        <w:rPr>
          <w:sz w:val="22"/>
          <w:szCs w:val="22"/>
        </w:rPr>
      </w:pPr>
      <w:r w:rsidRPr="007B63EC">
        <w:rPr>
          <w:sz w:val="22"/>
          <w:szCs w:val="22"/>
        </w:rPr>
        <w:t xml:space="preserve">También hay que tener en cuenta la Ley 1682 de 2013, Ley 99 de 1993 y su Decreto reglamentario 2041 de 2014, Ley 105 de 1993, Ley 388 de 1997; Ley 1182 de 2008, Ley 1228 de 2008. </w:t>
      </w:r>
    </w:p>
    <w:p w14:paraId="70DF9E56" w14:textId="77777777" w:rsidR="00846459" w:rsidRPr="007B63EC" w:rsidRDefault="00846459" w:rsidP="00846459">
      <w:pPr>
        <w:jc w:val="both"/>
        <w:rPr>
          <w:sz w:val="22"/>
          <w:szCs w:val="22"/>
        </w:rPr>
      </w:pPr>
    </w:p>
    <w:p w14:paraId="5FBFBA81" w14:textId="24C01098" w:rsidR="00D76FFD" w:rsidRPr="007B63EC" w:rsidRDefault="00846459" w:rsidP="00846459">
      <w:pPr>
        <w:jc w:val="both"/>
        <w:rPr>
          <w:sz w:val="22"/>
          <w:szCs w:val="22"/>
        </w:rPr>
      </w:pPr>
      <w:r w:rsidRPr="007B63EC">
        <w:rPr>
          <w:sz w:val="22"/>
          <w:szCs w:val="22"/>
        </w:rPr>
        <w:t>Adicionalmente las normas técnicas para la presente modalidad de contratación están sujetas a la Resolución 1375 del 26 de mayo de 2014,</w:t>
      </w:r>
      <w:r w:rsidRPr="007B63EC">
        <w:rPr>
          <w:rFonts w:cs="Arial"/>
          <w:sz w:val="22"/>
          <w:szCs w:val="22"/>
          <w:lang w:val="es-ES"/>
        </w:rPr>
        <w:t xml:space="preserve"> 1376 del 26 de mayo de 2014 </w:t>
      </w:r>
      <w:r w:rsidRPr="007B63EC">
        <w:rPr>
          <w:sz w:val="22"/>
          <w:szCs w:val="22"/>
        </w:rPr>
        <w:t>y el desarrollo de las actividades de Consultoría, están sujetas a las disposiciones contenidas en el Manual de Contratación y el Manual de Interventoría del Instituto Nacional de Vías.</w:t>
      </w:r>
    </w:p>
    <w:p w14:paraId="774953AF" w14:textId="77777777" w:rsidR="00D76FFD" w:rsidRPr="007B63EC" w:rsidRDefault="00D76FFD" w:rsidP="00846459">
      <w:pPr>
        <w:jc w:val="both"/>
        <w:rPr>
          <w:sz w:val="22"/>
          <w:szCs w:val="22"/>
        </w:rPr>
      </w:pPr>
    </w:p>
    <w:p w14:paraId="204B92F7" w14:textId="77777777" w:rsidR="00846459" w:rsidRPr="007B63EC" w:rsidRDefault="00846459" w:rsidP="00D76FFD">
      <w:pPr>
        <w:keepNext/>
        <w:keepLines/>
        <w:numPr>
          <w:ilvl w:val="0"/>
          <w:numId w:val="38"/>
        </w:numPr>
        <w:outlineLvl w:val="0"/>
        <w:rPr>
          <w:rFonts w:cs="Arial"/>
          <w:b/>
          <w:bCs/>
          <w:sz w:val="22"/>
          <w:szCs w:val="22"/>
          <w:lang w:val="en-US" w:eastAsia="en-US"/>
        </w:rPr>
      </w:pPr>
      <w:bookmarkStart w:id="5" w:name="_Toc393174602"/>
      <w:r w:rsidRPr="007B63EC">
        <w:rPr>
          <w:rFonts w:cs="Arial"/>
          <w:b/>
          <w:bCs/>
          <w:sz w:val="22"/>
          <w:szCs w:val="22"/>
          <w:lang w:eastAsia="en-US"/>
        </w:rPr>
        <w:t>Estudio</w:t>
      </w:r>
      <w:r w:rsidRPr="007B63EC">
        <w:rPr>
          <w:rFonts w:cs="Arial"/>
          <w:b/>
          <w:bCs/>
          <w:sz w:val="22"/>
          <w:szCs w:val="22"/>
          <w:lang w:val="en-US" w:eastAsia="en-US"/>
        </w:rPr>
        <w:t xml:space="preserve"> de la </w:t>
      </w:r>
      <w:r w:rsidRPr="007B63EC">
        <w:rPr>
          <w:rFonts w:cs="Arial"/>
          <w:b/>
          <w:bCs/>
          <w:sz w:val="22"/>
          <w:szCs w:val="22"/>
          <w:lang w:eastAsia="en-US"/>
        </w:rPr>
        <w:t>Oferta</w:t>
      </w:r>
      <w:bookmarkEnd w:id="5"/>
    </w:p>
    <w:p w14:paraId="44E871BC" w14:textId="77777777" w:rsidR="00846459" w:rsidRPr="007B63EC" w:rsidRDefault="00846459" w:rsidP="00846459">
      <w:pPr>
        <w:rPr>
          <w:rFonts w:cs="Arial"/>
          <w:sz w:val="22"/>
          <w:szCs w:val="22"/>
          <w:highlight w:val="yellow"/>
          <w:lang w:val="es-MX" w:eastAsia="en-US"/>
        </w:rPr>
      </w:pPr>
    </w:p>
    <w:p w14:paraId="4FD0C8E6" w14:textId="77777777" w:rsidR="00054AF4" w:rsidRPr="007B63EC" w:rsidRDefault="00054AF4" w:rsidP="00054AF4">
      <w:pPr>
        <w:jc w:val="both"/>
        <w:rPr>
          <w:sz w:val="22"/>
          <w:szCs w:val="22"/>
        </w:rPr>
      </w:pPr>
      <w:bookmarkStart w:id="6" w:name="_Toc393174603"/>
      <w:r w:rsidRPr="007B63EC">
        <w:rPr>
          <w:rFonts w:cs="Arial"/>
          <w:sz w:val="22"/>
          <w:szCs w:val="22"/>
        </w:rPr>
        <w:t>La oferta a la cual se hace referencia en el presente análisis corresponde a las empresas que desarrollan sus actividades en consultoría,</w:t>
      </w:r>
      <w:r w:rsidRPr="007B63EC">
        <w:rPr>
          <w:sz w:val="22"/>
          <w:szCs w:val="22"/>
        </w:rPr>
        <w:t xml:space="preserve">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17B809CE" w14:textId="77777777" w:rsidR="00054AF4" w:rsidRPr="007B63EC" w:rsidRDefault="00054AF4" w:rsidP="00054AF4">
      <w:pPr>
        <w:jc w:val="both"/>
        <w:rPr>
          <w:sz w:val="22"/>
          <w:szCs w:val="22"/>
        </w:rPr>
      </w:pPr>
    </w:p>
    <w:p w14:paraId="0A5CED0B" w14:textId="77777777" w:rsidR="00054AF4" w:rsidRPr="007B63EC" w:rsidRDefault="00054AF4" w:rsidP="00054AF4">
      <w:pPr>
        <w:widowControl w:val="0"/>
        <w:autoSpaceDE w:val="0"/>
        <w:autoSpaceDN w:val="0"/>
        <w:adjustRightInd w:val="0"/>
        <w:jc w:val="both"/>
        <w:rPr>
          <w:rFonts w:cs="Verdana"/>
          <w:sz w:val="22"/>
          <w:szCs w:val="22"/>
          <w:lang w:eastAsia="es-CO"/>
        </w:rPr>
      </w:pPr>
      <w:r w:rsidRPr="007B63EC">
        <w:rPr>
          <w:rFonts w:cs="Arial"/>
          <w:sz w:val="22"/>
          <w:szCs w:val="22"/>
          <w:lang w:eastAsia="es-CO"/>
        </w:rPr>
        <w:t xml:space="preserve">Según la Cámara Colombiana de Infraestructura quienes se identifican como </w:t>
      </w:r>
      <w:r w:rsidRPr="007B63EC">
        <w:rPr>
          <w:rFonts w:cs="Arial"/>
          <w:b/>
          <w:bCs/>
          <w:i/>
          <w:iCs/>
          <w:sz w:val="22"/>
          <w:szCs w:val="22"/>
          <w:lang w:eastAsia="es-CO"/>
        </w:rPr>
        <w:t>CONSULTORES- INTERVENTORES</w:t>
      </w:r>
      <w:r w:rsidRPr="007B63EC">
        <w:rPr>
          <w:rFonts w:cs="Arial"/>
          <w:sz w:val="22"/>
          <w:szCs w:val="22"/>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w:t>
      </w:r>
      <w:r w:rsidRPr="007B63EC">
        <w:rPr>
          <w:rFonts w:cs="Verdana"/>
          <w:sz w:val="22"/>
          <w:szCs w:val="22"/>
          <w:lang w:eastAsia="es-CO"/>
        </w:rPr>
        <w:t xml:space="preserve">en el análisis y la toma de decisiones, dichos participantes en este rol son catalogados como la </w:t>
      </w:r>
      <w:r w:rsidRPr="007B63EC">
        <w:rPr>
          <w:rFonts w:cs="Verdana"/>
          <w:b/>
          <w:bCs/>
          <w:i/>
          <w:iCs/>
          <w:sz w:val="22"/>
          <w:szCs w:val="22"/>
          <w:lang w:eastAsia="es-CO"/>
        </w:rPr>
        <w:t xml:space="preserve">industria del conocimiento </w:t>
      </w:r>
      <w:r w:rsidRPr="007B63EC">
        <w:rPr>
          <w:rFonts w:cs="Verdana"/>
          <w:sz w:val="22"/>
          <w:szCs w:val="22"/>
          <w:lang w:eastAsia="es-CO"/>
        </w:rPr>
        <w:t xml:space="preserve">dentro del sector. </w:t>
      </w:r>
    </w:p>
    <w:p w14:paraId="29FE843B" w14:textId="77777777" w:rsidR="00054AF4" w:rsidRPr="007B63EC" w:rsidRDefault="00054AF4" w:rsidP="00054AF4">
      <w:pPr>
        <w:autoSpaceDE w:val="0"/>
        <w:autoSpaceDN w:val="0"/>
        <w:adjustRightInd w:val="0"/>
        <w:jc w:val="both"/>
        <w:rPr>
          <w:rFonts w:eastAsia="Calibri" w:cs="Verdana"/>
          <w:sz w:val="22"/>
          <w:szCs w:val="22"/>
          <w:lang w:eastAsia="es-CO"/>
        </w:rPr>
      </w:pPr>
    </w:p>
    <w:p w14:paraId="24239EFB" w14:textId="77777777" w:rsidR="00054AF4" w:rsidRPr="007B63EC" w:rsidRDefault="00054AF4" w:rsidP="00054AF4">
      <w:pPr>
        <w:autoSpaceDE w:val="0"/>
        <w:autoSpaceDN w:val="0"/>
        <w:adjustRightInd w:val="0"/>
        <w:jc w:val="both"/>
        <w:rPr>
          <w:rFonts w:eastAsia="Calibri" w:cs="Verdana"/>
          <w:sz w:val="22"/>
          <w:szCs w:val="22"/>
          <w:lang w:eastAsia="es-CO"/>
        </w:rPr>
      </w:pPr>
      <w:r w:rsidRPr="007B63EC">
        <w:rPr>
          <w:rFonts w:eastAsia="Calibri" w:cs="Verdana"/>
          <w:sz w:val="22"/>
          <w:szCs w:val="22"/>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7B63EC">
        <w:rPr>
          <w:rFonts w:eastAsia="Calibri" w:cs="Verdana"/>
          <w:b/>
          <w:bCs/>
          <w:i/>
          <w:iCs/>
          <w:sz w:val="22"/>
          <w:szCs w:val="22"/>
          <w:lang w:eastAsia="es-CO"/>
        </w:rPr>
        <w:t xml:space="preserve">CONSULTORES </w:t>
      </w:r>
      <w:r w:rsidRPr="007B63EC">
        <w:rPr>
          <w:rFonts w:eastAsia="Calibri" w:cs="Verdana"/>
          <w:sz w:val="22"/>
          <w:szCs w:val="22"/>
          <w:lang w:eastAsia="es-CO"/>
        </w:rPr>
        <w:t xml:space="preserve">son responsables de apoyar en la toma de decisiones para realizar una adecuada ejecución del proyecto, lo que lo cataloga como el garante de la calidad de una obra de ingeniería. </w:t>
      </w:r>
    </w:p>
    <w:p w14:paraId="0596CAF8" w14:textId="77777777" w:rsidR="00054AF4" w:rsidRPr="007B63EC" w:rsidRDefault="00054AF4" w:rsidP="00054AF4">
      <w:pPr>
        <w:contextualSpacing/>
        <w:jc w:val="both"/>
        <w:rPr>
          <w:rFonts w:eastAsia="Calibri" w:cs="Verdana"/>
          <w:sz w:val="22"/>
          <w:szCs w:val="22"/>
          <w:lang w:eastAsia="es-CO"/>
        </w:rPr>
      </w:pPr>
    </w:p>
    <w:p w14:paraId="04F54006" w14:textId="77777777" w:rsidR="00054AF4" w:rsidRPr="007B63EC" w:rsidRDefault="00054AF4" w:rsidP="00054AF4">
      <w:pPr>
        <w:contextualSpacing/>
        <w:jc w:val="both"/>
        <w:rPr>
          <w:rFonts w:eastAsia="Calibri" w:cs="Verdana"/>
          <w:sz w:val="22"/>
          <w:szCs w:val="22"/>
          <w:lang w:eastAsia="es-CO"/>
        </w:rPr>
      </w:pPr>
      <w:r w:rsidRPr="007B63EC">
        <w:rPr>
          <w:rFonts w:eastAsia="Calibri" w:cs="Verdana"/>
          <w:sz w:val="22"/>
          <w:szCs w:val="22"/>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4FA5D4EF" w14:textId="77777777" w:rsidR="00054AF4" w:rsidRPr="007B63EC" w:rsidRDefault="00054AF4" w:rsidP="00054AF4">
      <w:pPr>
        <w:contextualSpacing/>
        <w:jc w:val="both"/>
        <w:rPr>
          <w:rFonts w:eastAsia="Calibri" w:cs="Verdana"/>
          <w:sz w:val="22"/>
          <w:szCs w:val="22"/>
          <w:lang w:eastAsia="es-CO"/>
        </w:rPr>
      </w:pPr>
    </w:p>
    <w:p w14:paraId="27E6BBDA" w14:textId="77777777" w:rsidR="00054AF4" w:rsidRPr="007B63EC" w:rsidRDefault="00054AF4" w:rsidP="00054AF4">
      <w:pPr>
        <w:contextualSpacing/>
        <w:jc w:val="both"/>
        <w:rPr>
          <w:rFonts w:eastAsia="Calibri" w:cs="Verdana"/>
          <w:sz w:val="22"/>
          <w:szCs w:val="22"/>
          <w:lang w:eastAsia="es-CO"/>
        </w:rPr>
      </w:pPr>
      <w:r w:rsidRPr="007B63EC">
        <w:rPr>
          <w:rFonts w:eastAsia="Calibri" w:cs="Verdana"/>
          <w:sz w:val="22"/>
          <w:szCs w:val="22"/>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59C16AAB" w14:textId="77777777" w:rsidR="00054AF4" w:rsidRPr="007B63EC" w:rsidRDefault="00054AF4" w:rsidP="00054AF4">
      <w:pPr>
        <w:contextualSpacing/>
        <w:jc w:val="both"/>
        <w:rPr>
          <w:rFonts w:eastAsia="Calibri" w:cs="Verdana"/>
          <w:sz w:val="22"/>
          <w:szCs w:val="22"/>
          <w:lang w:eastAsia="es-CO"/>
        </w:rPr>
      </w:pPr>
    </w:p>
    <w:p w14:paraId="6C25FF1B" w14:textId="531C50D1" w:rsidR="00054AF4" w:rsidRPr="007B63EC" w:rsidRDefault="00054AF4" w:rsidP="00054AF4">
      <w:pPr>
        <w:contextualSpacing/>
        <w:jc w:val="both"/>
        <w:rPr>
          <w:rFonts w:cs="Arial"/>
          <w:sz w:val="22"/>
          <w:szCs w:val="22"/>
        </w:rPr>
      </w:pPr>
      <w:r w:rsidRPr="007B63EC">
        <w:rPr>
          <w:rFonts w:cs="Arial"/>
          <w:sz w:val="22"/>
          <w:szCs w:val="22"/>
        </w:rPr>
        <w:t>En lo que se refiere a la oferta nacional se toma como base, sin limitarse a ella, el número de empresas clasificadas en el sector de SERVICIOS “</w:t>
      </w:r>
      <w:r w:rsidRPr="007B63EC">
        <w:rPr>
          <w:b/>
          <w:sz w:val="22"/>
          <w:szCs w:val="22"/>
        </w:rPr>
        <w:t>Actividades de Arquitectura e Ingeniería y actividades de consultoría</w:t>
      </w:r>
      <w:r w:rsidRPr="007B63EC">
        <w:rPr>
          <w:sz w:val="22"/>
          <w:szCs w:val="22"/>
        </w:rPr>
        <w:t>”</w:t>
      </w:r>
      <w:r w:rsidRPr="007B63EC">
        <w:rPr>
          <w:rFonts w:cs="Arial"/>
          <w:sz w:val="22"/>
          <w:szCs w:val="22"/>
        </w:rPr>
        <w:t xml:space="preserve"> y que se encuentran registradas en el </w:t>
      </w:r>
    </w:p>
    <w:p w14:paraId="00553FAA" w14:textId="77777777" w:rsidR="00D76FFD" w:rsidRPr="007B63EC" w:rsidRDefault="00D76FFD" w:rsidP="00054AF4">
      <w:pPr>
        <w:contextualSpacing/>
        <w:jc w:val="both"/>
        <w:rPr>
          <w:rFonts w:cs="Arial"/>
          <w:sz w:val="22"/>
          <w:szCs w:val="22"/>
        </w:rPr>
      </w:pPr>
    </w:p>
    <w:p w14:paraId="3A0FF5F2" w14:textId="68F64F89" w:rsidR="00846459" w:rsidRPr="007B63EC" w:rsidRDefault="00054AF4" w:rsidP="00054AF4">
      <w:pPr>
        <w:jc w:val="both"/>
        <w:rPr>
          <w:rFonts w:cs="Arial"/>
          <w:sz w:val="22"/>
          <w:szCs w:val="22"/>
        </w:rPr>
      </w:pPr>
      <w:r w:rsidRPr="007B63EC">
        <w:rPr>
          <w:rFonts w:cs="Arial"/>
          <w:sz w:val="22"/>
          <w:szCs w:val="22"/>
        </w:rPr>
        <w:lastRenderedPageBreak/>
        <w:t xml:space="preserve">El portal de Información Empresarial, </w:t>
      </w:r>
      <w:proofErr w:type="spellStart"/>
      <w:r w:rsidRPr="007B63EC">
        <w:rPr>
          <w:rFonts w:cs="Arial"/>
          <w:sz w:val="22"/>
          <w:szCs w:val="22"/>
        </w:rPr>
        <w:t>SIIS</w:t>
      </w:r>
      <w:proofErr w:type="spellEnd"/>
      <w:r w:rsidRPr="007B63EC">
        <w:rPr>
          <w:rFonts w:cs="Arial"/>
          <w:sz w:val="22"/>
          <w:szCs w:val="22"/>
        </w:rPr>
        <w:t xml:space="preserve"> de </w:t>
      </w:r>
      <w:proofErr w:type="spellStart"/>
      <w:r w:rsidRPr="007B63EC">
        <w:rPr>
          <w:rFonts w:cs="Arial"/>
          <w:sz w:val="22"/>
          <w:szCs w:val="22"/>
        </w:rPr>
        <w:t>Supersociedades</w:t>
      </w:r>
      <w:proofErr w:type="spellEnd"/>
      <w:r w:rsidRPr="007B63EC">
        <w:rPr>
          <w:rFonts w:cs="Arial"/>
          <w:sz w:val="22"/>
          <w:szCs w:val="22"/>
        </w:rPr>
        <w:t>,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2019</w:t>
      </w:r>
    </w:p>
    <w:p w14:paraId="46499C12" w14:textId="77777777" w:rsidR="00D76FFD" w:rsidRPr="007B63EC" w:rsidRDefault="00D76FFD" w:rsidP="00054AF4">
      <w:pPr>
        <w:jc w:val="both"/>
        <w:rPr>
          <w:rFonts w:eastAsia="Calibri" w:cs="Verdana"/>
          <w:sz w:val="22"/>
          <w:szCs w:val="22"/>
          <w:lang w:eastAsia="es-CO"/>
        </w:rPr>
      </w:pPr>
    </w:p>
    <w:p w14:paraId="0A79B029" w14:textId="77777777" w:rsidR="00846459" w:rsidRPr="007B63EC" w:rsidRDefault="00846459" w:rsidP="443155EA">
      <w:pPr>
        <w:numPr>
          <w:ilvl w:val="0"/>
          <w:numId w:val="9"/>
        </w:numPr>
        <w:jc w:val="both"/>
        <w:rPr>
          <w:b/>
          <w:bCs/>
          <w:sz w:val="22"/>
          <w:szCs w:val="22"/>
        </w:rPr>
      </w:pPr>
      <w:r w:rsidRPr="007B63EC">
        <w:rPr>
          <w:b/>
          <w:bCs/>
          <w:sz w:val="22"/>
          <w:szCs w:val="22"/>
        </w:rPr>
        <w:t xml:space="preserve">CLASIFICACIÓN EN COLOMBIA </w:t>
      </w:r>
    </w:p>
    <w:p w14:paraId="5630AD66" w14:textId="77777777" w:rsidR="009F4E37" w:rsidRPr="007B63EC" w:rsidRDefault="009F4E37" w:rsidP="009F4E37">
      <w:pPr>
        <w:ind w:left="720"/>
        <w:jc w:val="both"/>
        <w:rPr>
          <w:b/>
          <w:sz w:val="22"/>
          <w:szCs w:val="22"/>
        </w:rPr>
      </w:pPr>
    </w:p>
    <w:p w14:paraId="282E6FB3" w14:textId="7122F63A" w:rsidR="00846459" w:rsidRPr="007B63EC" w:rsidRDefault="0064744D" w:rsidP="00846459">
      <w:pPr>
        <w:jc w:val="both"/>
        <w:rPr>
          <w:sz w:val="22"/>
          <w:szCs w:val="22"/>
        </w:rPr>
      </w:pPr>
      <w:r w:rsidRPr="0064744D">
        <w:rPr>
          <w:sz w:val="22"/>
          <w:szCs w:val="22"/>
        </w:rPr>
        <w:t>INTERVENTORIA TÉCNICA, ADMINISTRATIVA, FINANCIERA Y AMBIENTAL, PARA EL MANTENIMIENTO Y MEJORAMIENTO DE VÍAS RURALES PROG. COLOMBIA RURAL, MUNICIPIOS DE ZETAQUIRA (CONVENIO 2106-2020 ADICIÓN No. 2) Y MIRAFLORES (CONVENIO 2302-2020 ADICIÓN No. 2)</w:t>
      </w:r>
      <w:r w:rsidR="00D26262" w:rsidRPr="007B63EC">
        <w:rPr>
          <w:sz w:val="22"/>
          <w:szCs w:val="22"/>
        </w:rPr>
        <w:t>.</w:t>
      </w:r>
      <w:r w:rsidR="007B11FD" w:rsidRPr="007B63EC">
        <w:rPr>
          <w:sz w:val="22"/>
          <w:szCs w:val="22"/>
        </w:rPr>
        <w:t xml:space="preserve"> </w:t>
      </w:r>
      <w:r w:rsidR="00846459" w:rsidRPr="007B63EC">
        <w:rPr>
          <w:sz w:val="22"/>
          <w:szCs w:val="22"/>
        </w:rPr>
        <w:t xml:space="preserve">Teniendo en cuenta que al Decreto 1082 de 2015, se exige que para efectos de acreditación de experiencia las empresas deben encontrarse clasificados en el “Clasificador de Bienes, Obras y Servicios de las Naciones Unidas”, acorde con el objeto del presente proceso los proponentes deben encontrarse registrados en la siguiente clasificación: </w:t>
      </w:r>
    </w:p>
    <w:p w14:paraId="07353836" w14:textId="77777777" w:rsidR="006C7B81" w:rsidRPr="007B63EC" w:rsidRDefault="006C7B81" w:rsidP="00846459">
      <w:pPr>
        <w:jc w:val="both"/>
        <w:rPr>
          <w:sz w:val="22"/>
          <w:szCs w:val="22"/>
        </w:rPr>
      </w:pPr>
    </w:p>
    <w:tbl>
      <w:tblPr>
        <w:tblW w:w="0" w:type="auto"/>
        <w:jc w:val="center"/>
        <w:tblCellMar>
          <w:left w:w="0" w:type="dxa"/>
          <w:right w:w="0" w:type="dxa"/>
        </w:tblCellMar>
        <w:tblLook w:val="04A0" w:firstRow="1" w:lastRow="0" w:firstColumn="1" w:lastColumn="0" w:noHBand="0" w:noVBand="1"/>
      </w:tblPr>
      <w:tblGrid>
        <w:gridCol w:w="1629"/>
        <w:gridCol w:w="3054"/>
        <w:gridCol w:w="2537"/>
        <w:gridCol w:w="1417"/>
      </w:tblGrid>
      <w:tr w:rsidR="00FD6AA0" w:rsidRPr="006C7B81" w14:paraId="5197DA75" w14:textId="77777777" w:rsidTr="006C7B81">
        <w:trPr>
          <w:trHeight w:val="613"/>
          <w:jc w:val="center"/>
        </w:trPr>
        <w:tc>
          <w:tcPr>
            <w:tcW w:w="1629"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403F475A" w14:textId="77777777" w:rsidR="00FD6AA0" w:rsidRPr="006C7B81" w:rsidRDefault="00FD6AA0" w:rsidP="005C23F2">
            <w:pPr>
              <w:spacing w:line="276" w:lineRule="auto"/>
              <w:jc w:val="center"/>
              <w:rPr>
                <w:b/>
                <w:bCs/>
                <w:sz w:val="22"/>
                <w:szCs w:val="22"/>
              </w:rPr>
            </w:pPr>
            <w:r w:rsidRPr="006C7B81">
              <w:rPr>
                <w:b/>
                <w:bCs/>
                <w:sz w:val="22"/>
                <w:szCs w:val="22"/>
              </w:rPr>
              <w:t>CLASIFICACIÓN UNSPSC</w:t>
            </w:r>
          </w:p>
        </w:tc>
        <w:tc>
          <w:tcPr>
            <w:tcW w:w="3054"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08A4C851" w14:textId="77777777" w:rsidR="00FD6AA0" w:rsidRPr="006C7B81" w:rsidRDefault="00FD6AA0" w:rsidP="005C23F2">
            <w:pPr>
              <w:spacing w:line="276" w:lineRule="auto"/>
              <w:jc w:val="center"/>
              <w:rPr>
                <w:b/>
                <w:bCs/>
                <w:sz w:val="22"/>
                <w:szCs w:val="22"/>
              </w:rPr>
            </w:pPr>
            <w:r w:rsidRPr="006C7B81">
              <w:rPr>
                <w:b/>
                <w:bCs/>
                <w:sz w:val="22"/>
                <w:szCs w:val="22"/>
              </w:rPr>
              <w:t>SEGMENTO</w:t>
            </w:r>
          </w:p>
        </w:tc>
        <w:tc>
          <w:tcPr>
            <w:tcW w:w="2537"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42BC076" w14:textId="77777777" w:rsidR="00FD6AA0" w:rsidRPr="006C7B81" w:rsidRDefault="00FD6AA0" w:rsidP="005C23F2">
            <w:pPr>
              <w:spacing w:line="276" w:lineRule="auto"/>
              <w:jc w:val="center"/>
              <w:rPr>
                <w:b/>
                <w:bCs/>
                <w:sz w:val="22"/>
                <w:szCs w:val="22"/>
              </w:rPr>
            </w:pPr>
            <w:r w:rsidRPr="006C7B81">
              <w:rPr>
                <w:b/>
                <w:bCs/>
                <w:sz w:val="22"/>
                <w:szCs w:val="22"/>
              </w:rPr>
              <w:t>FAMILIA</w:t>
            </w:r>
          </w:p>
        </w:tc>
        <w:tc>
          <w:tcPr>
            <w:tcW w:w="1417"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7CCFD89E" w14:textId="77777777" w:rsidR="00FD6AA0" w:rsidRPr="006C7B81" w:rsidRDefault="00FD6AA0" w:rsidP="005C23F2">
            <w:pPr>
              <w:spacing w:line="276" w:lineRule="auto"/>
              <w:jc w:val="center"/>
              <w:rPr>
                <w:b/>
                <w:bCs/>
                <w:sz w:val="22"/>
                <w:szCs w:val="22"/>
              </w:rPr>
            </w:pPr>
            <w:r w:rsidRPr="006C7B81">
              <w:rPr>
                <w:b/>
                <w:bCs/>
                <w:sz w:val="22"/>
                <w:szCs w:val="22"/>
              </w:rPr>
              <w:t>CLASE</w:t>
            </w:r>
          </w:p>
        </w:tc>
      </w:tr>
      <w:tr w:rsidR="00FD6AA0" w:rsidRPr="006C7B81" w14:paraId="49738B32" w14:textId="77777777" w:rsidTr="006C7B81">
        <w:trPr>
          <w:trHeight w:val="483"/>
          <w:jc w:val="center"/>
        </w:trPr>
        <w:tc>
          <w:tcPr>
            <w:tcW w:w="162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B958A7" w14:textId="77777777" w:rsidR="00FD6AA0" w:rsidRPr="006C7B81" w:rsidRDefault="00FD6AA0" w:rsidP="005C23F2">
            <w:pPr>
              <w:spacing w:line="276" w:lineRule="auto"/>
              <w:jc w:val="center"/>
              <w:rPr>
                <w:b/>
                <w:bCs/>
                <w:sz w:val="22"/>
                <w:szCs w:val="22"/>
              </w:rPr>
            </w:pPr>
            <w:r w:rsidRPr="006C7B81">
              <w:rPr>
                <w:b/>
                <w:bCs/>
                <w:sz w:val="22"/>
                <w:szCs w:val="22"/>
              </w:rPr>
              <w:t>811015</w:t>
            </w:r>
          </w:p>
        </w:tc>
        <w:tc>
          <w:tcPr>
            <w:tcW w:w="3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40B4C6" w14:textId="77777777" w:rsidR="00FD6AA0" w:rsidRPr="006C7B81" w:rsidRDefault="00FD6AA0" w:rsidP="005C23F2">
            <w:pPr>
              <w:spacing w:line="276" w:lineRule="auto"/>
              <w:jc w:val="center"/>
              <w:rPr>
                <w:sz w:val="22"/>
                <w:szCs w:val="22"/>
              </w:rPr>
            </w:pPr>
            <w:r w:rsidRPr="006C7B81">
              <w:rPr>
                <w:sz w:val="22"/>
                <w:szCs w:val="22"/>
              </w:rPr>
              <w:t xml:space="preserve">Servicios basados en Ingeniería, investigación y tecnología </w:t>
            </w:r>
          </w:p>
        </w:tc>
        <w:tc>
          <w:tcPr>
            <w:tcW w:w="2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DFA8A0" w14:textId="77777777" w:rsidR="00FD6AA0" w:rsidRPr="006C7B81" w:rsidRDefault="00FD6AA0" w:rsidP="005C23F2">
            <w:pPr>
              <w:spacing w:line="276" w:lineRule="auto"/>
              <w:jc w:val="center"/>
              <w:rPr>
                <w:sz w:val="22"/>
                <w:szCs w:val="22"/>
              </w:rPr>
            </w:pPr>
            <w:r w:rsidRPr="006C7B81">
              <w:rPr>
                <w:sz w:val="22"/>
                <w:szCs w:val="22"/>
              </w:rPr>
              <w:t>Servicios profesionales de ingeniería</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BB9E75" w14:textId="77777777" w:rsidR="00FD6AA0" w:rsidRPr="006C7B81" w:rsidRDefault="00FD6AA0" w:rsidP="005C23F2">
            <w:pPr>
              <w:spacing w:line="276" w:lineRule="auto"/>
              <w:jc w:val="center"/>
              <w:rPr>
                <w:sz w:val="22"/>
                <w:szCs w:val="22"/>
              </w:rPr>
            </w:pPr>
            <w:r w:rsidRPr="006C7B81">
              <w:rPr>
                <w:sz w:val="22"/>
                <w:szCs w:val="22"/>
              </w:rPr>
              <w:t xml:space="preserve">Ingeniería Civil </w:t>
            </w:r>
          </w:p>
        </w:tc>
      </w:tr>
      <w:tr w:rsidR="00FD6AA0" w:rsidRPr="006C7B81" w14:paraId="5EBF86E4" w14:textId="77777777" w:rsidTr="006C7B81">
        <w:trPr>
          <w:trHeight w:val="483"/>
          <w:jc w:val="center"/>
        </w:trPr>
        <w:tc>
          <w:tcPr>
            <w:tcW w:w="162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032AB7E" w14:textId="77777777" w:rsidR="00FD6AA0" w:rsidRPr="006C7B81" w:rsidRDefault="00FD6AA0" w:rsidP="005C23F2">
            <w:pPr>
              <w:spacing w:line="276" w:lineRule="auto"/>
              <w:jc w:val="center"/>
              <w:rPr>
                <w:b/>
                <w:bCs/>
                <w:sz w:val="22"/>
                <w:szCs w:val="22"/>
              </w:rPr>
            </w:pPr>
            <w:r w:rsidRPr="006C7B81">
              <w:rPr>
                <w:b/>
                <w:bCs/>
                <w:sz w:val="22"/>
                <w:szCs w:val="22"/>
              </w:rPr>
              <w:t>811022</w:t>
            </w:r>
          </w:p>
        </w:tc>
        <w:tc>
          <w:tcPr>
            <w:tcW w:w="305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4A85B5" w14:textId="77777777" w:rsidR="00FD6AA0" w:rsidRPr="006C7B81" w:rsidRDefault="00FD6AA0" w:rsidP="005C23F2">
            <w:pPr>
              <w:spacing w:line="276" w:lineRule="auto"/>
              <w:jc w:val="center"/>
              <w:rPr>
                <w:sz w:val="22"/>
                <w:szCs w:val="22"/>
              </w:rPr>
            </w:pPr>
            <w:r w:rsidRPr="006C7B81">
              <w:rPr>
                <w:sz w:val="22"/>
                <w:szCs w:val="22"/>
              </w:rPr>
              <w:t>Servicios basados en ingeniería,</w:t>
            </w:r>
          </w:p>
          <w:p w14:paraId="3122BD1A" w14:textId="77777777" w:rsidR="00FD6AA0" w:rsidRPr="006C7B81" w:rsidRDefault="00FD6AA0" w:rsidP="005C23F2">
            <w:pPr>
              <w:spacing w:line="276" w:lineRule="auto"/>
              <w:jc w:val="center"/>
              <w:rPr>
                <w:sz w:val="22"/>
                <w:szCs w:val="22"/>
              </w:rPr>
            </w:pPr>
            <w:r w:rsidRPr="006C7B81">
              <w:rPr>
                <w:sz w:val="22"/>
                <w:szCs w:val="22"/>
              </w:rPr>
              <w:t>investigación y tecnología</w:t>
            </w:r>
          </w:p>
        </w:tc>
        <w:tc>
          <w:tcPr>
            <w:tcW w:w="25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91B5D7" w14:textId="77777777" w:rsidR="00FD6AA0" w:rsidRPr="006C7B81" w:rsidRDefault="00FD6AA0" w:rsidP="005C23F2">
            <w:pPr>
              <w:spacing w:line="276" w:lineRule="auto"/>
              <w:jc w:val="center"/>
              <w:rPr>
                <w:sz w:val="22"/>
                <w:szCs w:val="22"/>
              </w:rPr>
            </w:pPr>
            <w:r w:rsidRPr="006C7B81">
              <w:rPr>
                <w:sz w:val="22"/>
                <w:szCs w:val="22"/>
              </w:rPr>
              <w:t>Servicios</w:t>
            </w:r>
          </w:p>
          <w:p w14:paraId="5A0281AE" w14:textId="538539DF" w:rsidR="00FD6AA0" w:rsidRPr="006C7B81" w:rsidRDefault="00FD6AA0" w:rsidP="006C7B81">
            <w:pPr>
              <w:spacing w:line="276" w:lineRule="auto"/>
              <w:jc w:val="center"/>
              <w:rPr>
                <w:sz w:val="22"/>
                <w:szCs w:val="22"/>
              </w:rPr>
            </w:pPr>
            <w:r w:rsidRPr="006C7B81">
              <w:rPr>
                <w:sz w:val="22"/>
                <w:szCs w:val="22"/>
              </w:rPr>
              <w:t>profesionales de</w:t>
            </w:r>
            <w:r w:rsidR="006C7B81" w:rsidRPr="006C7B81">
              <w:rPr>
                <w:sz w:val="22"/>
                <w:szCs w:val="22"/>
              </w:rPr>
              <w:t xml:space="preserve"> </w:t>
            </w:r>
            <w:r w:rsidRPr="006C7B81">
              <w:rPr>
                <w:sz w:val="22"/>
                <w:szCs w:val="22"/>
              </w:rPr>
              <w:t>Ingeniería</w:t>
            </w:r>
          </w:p>
        </w:tc>
        <w:tc>
          <w:tcPr>
            <w:tcW w:w="141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5919E1" w14:textId="77777777" w:rsidR="00FD6AA0" w:rsidRPr="006C7B81" w:rsidRDefault="00FD6AA0" w:rsidP="005C23F2">
            <w:pPr>
              <w:spacing w:line="276" w:lineRule="auto"/>
              <w:jc w:val="center"/>
              <w:rPr>
                <w:sz w:val="22"/>
                <w:szCs w:val="22"/>
              </w:rPr>
            </w:pPr>
            <w:r w:rsidRPr="006C7B81">
              <w:rPr>
                <w:sz w:val="22"/>
                <w:szCs w:val="22"/>
              </w:rPr>
              <w:t>Ingeniería de</w:t>
            </w:r>
          </w:p>
          <w:p w14:paraId="021FC720" w14:textId="77777777" w:rsidR="00FD6AA0" w:rsidRPr="006C7B81" w:rsidRDefault="00FD6AA0" w:rsidP="005C23F2">
            <w:pPr>
              <w:spacing w:line="276" w:lineRule="auto"/>
              <w:jc w:val="center"/>
              <w:rPr>
                <w:sz w:val="22"/>
                <w:szCs w:val="22"/>
              </w:rPr>
            </w:pPr>
            <w:r w:rsidRPr="006C7B81">
              <w:rPr>
                <w:sz w:val="22"/>
                <w:szCs w:val="22"/>
              </w:rPr>
              <w:t>Transporte</w:t>
            </w:r>
          </w:p>
        </w:tc>
      </w:tr>
    </w:tbl>
    <w:p w14:paraId="18E8A87D" w14:textId="390A12CD" w:rsidR="00CB4B95" w:rsidRDefault="00CB4B95" w:rsidP="00DE58D5">
      <w:pPr>
        <w:ind w:left="720"/>
        <w:jc w:val="both"/>
        <w:rPr>
          <w:rFonts w:eastAsia="Calibri" w:cs="Verdana"/>
          <w:b/>
          <w:sz w:val="22"/>
          <w:szCs w:val="22"/>
          <w:lang w:eastAsia="es-CO"/>
        </w:rPr>
      </w:pPr>
    </w:p>
    <w:p w14:paraId="528026CD" w14:textId="77777777" w:rsidR="006C7B81" w:rsidRPr="007B63EC" w:rsidRDefault="006C7B81" w:rsidP="00DE58D5">
      <w:pPr>
        <w:ind w:left="720"/>
        <w:jc w:val="both"/>
        <w:rPr>
          <w:rFonts w:eastAsia="Calibri" w:cs="Verdana"/>
          <w:b/>
          <w:sz w:val="22"/>
          <w:szCs w:val="22"/>
          <w:lang w:eastAsia="es-CO"/>
        </w:rPr>
      </w:pPr>
    </w:p>
    <w:p w14:paraId="70160175" w14:textId="77777777" w:rsidR="00846459" w:rsidRPr="007B63EC" w:rsidRDefault="00846459" w:rsidP="443155EA">
      <w:pPr>
        <w:numPr>
          <w:ilvl w:val="0"/>
          <w:numId w:val="9"/>
        </w:numPr>
        <w:jc w:val="both"/>
        <w:rPr>
          <w:rFonts w:eastAsia="Calibri" w:cs="Verdana"/>
          <w:b/>
          <w:bCs/>
          <w:sz w:val="22"/>
          <w:szCs w:val="22"/>
          <w:lang w:eastAsia="es-CO"/>
        </w:rPr>
      </w:pPr>
      <w:r w:rsidRPr="007B63EC">
        <w:rPr>
          <w:rFonts w:eastAsia="Calibri" w:cs="Verdana"/>
          <w:b/>
          <w:bCs/>
          <w:sz w:val="22"/>
          <w:szCs w:val="22"/>
          <w:lang w:eastAsia="es-CO"/>
        </w:rPr>
        <w:t>ESTUDIO DE LA DEMANDA</w:t>
      </w:r>
    </w:p>
    <w:p w14:paraId="0DE4B5B7" w14:textId="77777777" w:rsidR="00846459" w:rsidRPr="007B63EC" w:rsidRDefault="00846459" w:rsidP="00846459">
      <w:pPr>
        <w:ind w:left="720"/>
        <w:jc w:val="both"/>
        <w:rPr>
          <w:rFonts w:eastAsia="Calibri" w:cs="Verdana"/>
          <w:b/>
          <w:sz w:val="22"/>
          <w:szCs w:val="22"/>
          <w:lang w:eastAsia="es-CO"/>
        </w:rPr>
      </w:pPr>
    </w:p>
    <w:p w14:paraId="057CF63E" w14:textId="77777777" w:rsidR="00846459" w:rsidRPr="007B63EC" w:rsidRDefault="00846459" w:rsidP="00846459">
      <w:pPr>
        <w:jc w:val="both"/>
        <w:rPr>
          <w:rFonts w:eastAsia="Calibri" w:cs="Verdana"/>
          <w:sz w:val="22"/>
          <w:szCs w:val="22"/>
          <w:lang w:eastAsia="es-CO"/>
        </w:rPr>
      </w:pPr>
      <w:r w:rsidRPr="007B63EC">
        <w:rPr>
          <w:rFonts w:eastAsia="Calibri" w:cs="Verdana"/>
          <w:sz w:val="22"/>
          <w:szCs w:val="22"/>
          <w:lang w:eastAsia="es-CO"/>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66204FF1" w14:textId="77777777" w:rsidR="00846459" w:rsidRPr="00846459" w:rsidRDefault="00846459" w:rsidP="00846459">
      <w:pPr>
        <w:jc w:val="both"/>
        <w:rPr>
          <w:rFonts w:eastAsia="Calibri" w:cs="Verdana"/>
          <w:szCs w:val="24"/>
          <w:lang w:eastAsia="es-C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2040"/>
        <w:gridCol w:w="5670"/>
        <w:gridCol w:w="1559"/>
      </w:tblGrid>
      <w:tr w:rsidR="006C7B81" w:rsidRPr="006C7B81" w14:paraId="2433E888" w14:textId="77777777" w:rsidTr="006C7B81">
        <w:trPr>
          <w:jc w:val="center"/>
        </w:trPr>
        <w:tc>
          <w:tcPr>
            <w:tcW w:w="507" w:type="dxa"/>
            <w:shd w:val="clear" w:color="auto" w:fill="auto"/>
            <w:vAlign w:val="center"/>
          </w:tcPr>
          <w:bookmarkEnd w:id="6"/>
          <w:p w14:paraId="0115754E" w14:textId="77777777" w:rsidR="009E3437" w:rsidRPr="006C7B81" w:rsidRDefault="009E3437" w:rsidP="007B2EBC">
            <w:pPr>
              <w:jc w:val="center"/>
              <w:rPr>
                <w:rFonts w:eastAsia="Calibri"/>
                <w:b/>
                <w:noProof/>
                <w:color w:val="000000"/>
                <w:sz w:val="20"/>
                <w:lang w:eastAsia="es-CO"/>
              </w:rPr>
            </w:pPr>
            <w:r w:rsidRPr="006C7B81">
              <w:rPr>
                <w:rFonts w:eastAsia="Calibri" w:cs="Arial"/>
                <w:b/>
                <w:bCs/>
                <w:color w:val="000000"/>
                <w:sz w:val="20"/>
                <w:lang w:eastAsia="es-CO"/>
              </w:rPr>
              <w:t>No.</w:t>
            </w:r>
          </w:p>
        </w:tc>
        <w:tc>
          <w:tcPr>
            <w:tcW w:w="2040" w:type="dxa"/>
            <w:shd w:val="clear" w:color="auto" w:fill="auto"/>
            <w:vAlign w:val="center"/>
          </w:tcPr>
          <w:p w14:paraId="2F41E809" w14:textId="77777777" w:rsidR="009E3437" w:rsidRPr="006C7B81" w:rsidRDefault="009E3437" w:rsidP="007B2EBC">
            <w:pPr>
              <w:jc w:val="center"/>
              <w:rPr>
                <w:rFonts w:eastAsia="Calibri"/>
                <w:b/>
                <w:noProof/>
                <w:color w:val="000000"/>
                <w:sz w:val="20"/>
                <w:lang w:eastAsia="es-CO"/>
              </w:rPr>
            </w:pPr>
            <w:r w:rsidRPr="006C7B81">
              <w:rPr>
                <w:rFonts w:eastAsia="Calibri" w:cs="Arial"/>
                <w:b/>
                <w:bCs/>
                <w:color w:val="000000"/>
                <w:sz w:val="20"/>
                <w:lang w:eastAsia="es-CO"/>
              </w:rPr>
              <w:t>No. DE PROCESO</w:t>
            </w:r>
          </w:p>
        </w:tc>
        <w:tc>
          <w:tcPr>
            <w:tcW w:w="5670" w:type="dxa"/>
            <w:shd w:val="clear" w:color="auto" w:fill="auto"/>
            <w:vAlign w:val="center"/>
          </w:tcPr>
          <w:p w14:paraId="0E6F6BAE" w14:textId="77777777" w:rsidR="009E3437" w:rsidRPr="006C7B81" w:rsidRDefault="009E3437" w:rsidP="007B2EBC">
            <w:pPr>
              <w:jc w:val="center"/>
              <w:rPr>
                <w:rFonts w:eastAsia="Calibri"/>
                <w:b/>
                <w:noProof/>
                <w:color w:val="000000"/>
                <w:sz w:val="20"/>
                <w:lang w:eastAsia="es-CO"/>
              </w:rPr>
            </w:pPr>
            <w:r w:rsidRPr="006C7B81">
              <w:rPr>
                <w:rFonts w:eastAsia="Calibri"/>
                <w:b/>
                <w:noProof/>
                <w:color w:val="000000"/>
                <w:sz w:val="20"/>
                <w:lang w:eastAsia="es-CO"/>
              </w:rPr>
              <w:t>OBJETO</w:t>
            </w:r>
          </w:p>
        </w:tc>
        <w:tc>
          <w:tcPr>
            <w:tcW w:w="1559" w:type="dxa"/>
            <w:shd w:val="clear" w:color="auto" w:fill="auto"/>
            <w:vAlign w:val="center"/>
          </w:tcPr>
          <w:p w14:paraId="638298FC" w14:textId="77777777" w:rsidR="009E3437" w:rsidRPr="006C7B81" w:rsidRDefault="009E3437" w:rsidP="007B2EBC">
            <w:pPr>
              <w:jc w:val="center"/>
              <w:rPr>
                <w:rFonts w:eastAsia="Calibri"/>
                <w:b/>
                <w:noProof/>
                <w:color w:val="000000"/>
                <w:sz w:val="20"/>
                <w:lang w:eastAsia="es-CO"/>
              </w:rPr>
            </w:pPr>
            <w:r w:rsidRPr="006C7B81">
              <w:rPr>
                <w:rFonts w:eastAsia="Calibri"/>
                <w:b/>
                <w:noProof/>
                <w:color w:val="000000"/>
                <w:sz w:val="20"/>
                <w:lang w:eastAsia="es-CO"/>
              </w:rPr>
              <w:t>VALOR</w:t>
            </w:r>
          </w:p>
        </w:tc>
      </w:tr>
      <w:tr w:rsidR="006C7B81" w:rsidRPr="006C7B81" w14:paraId="68295AE0" w14:textId="77777777" w:rsidTr="006C7B81">
        <w:trPr>
          <w:jc w:val="center"/>
        </w:trPr>
        <w:tc>
          <w:tcPr>
            <w:tcW w:w="507" w:type="dxa"/>
            <w:shd w:val="clear" w:color="auto" w:fill="auto"/>
            <w:vAlign w:val="center"/>
          </w:tcPr>
          <w:p w14:paraId="34F52FAE" w14:textId="15902DA0" w:rsidR="007B63EC" w:rsidRPr="006C7B81" w:rsidRDefault="007B63EC" w:rsidP="007B2EBC">
            <w:pPr>
              <w:jc w:val="center"/>
              <w:rPr>
                <w:rFonts w:eastAsia="Calibri" w:cs="Arial"/>
                <w:color w:val="000000"/>
                <w:sz w:val="20"/>
                <w:lang w:eastAsia="es-CO"/>
              </w:rPr>
            </w:pPr>
            <w:r w:rsidRPr="006C7B81">
              <w:rPr>
                <w:rFonts w:eastAsia="Calibri" w:cs="Arial"/>
                <w:color w:val="000000"/>
                <w:sz w:val="20"/>
                <w:lang w:eastAsia="es-CO"/>
              </w:rPr>
              <w:t>1</w:t>
            </w:r>
          </w:p>
        </w:tc>
        <w:tc>
          <w:tcPr>
            <w:tcW w:w="2040" w:type="dxa"/>
            <w:shd w:val="clear" w:color="auto" w:fill="auto"/>
            <w:vAlign w:val="center"/>
          </w:tcPr>
          <w:p w14:paraId="3D32EAFF" w14:textId="33887190" w:rsidR="007B63EC" w:rsidRPr="006C7B81" w:rsidRDefault="0054630F" w:rsidP="007B2EBC">
            <w:pPr>
              <w:jc w:val="center"/>
              <w:rPr>
                <w:rFonts w:eastAsia="Calibri" w:cs="Arial"/>
                <w:b/>
                <w:bCs/>
                <w:color w:val="000000"/>
                <w:sz w:val="20"/>
                <w:lang w:eastAsia="es-CO"/>
              </w:rPr>
            </w:pPr>
            <w:r w:rsidRPr="0054630F">
              <w:rPr>
                <w:rFonts w:cs="Arial"/>
                <w:color w:val="000000"/>
                <w:sz w:val="20"/>
                <w:shd w:val="clear" w:color="auto" w:fill="FFFFFF"/>
              </w:rPr>
              <w:t>IP-DT-BOY-004-2022</w:t>
            </w:r>
          </w:p>
        </w:tc>
        <w:tc>
          <w:tcPr>
            <w:tcW w:w="5670" w:type="dxa"/>
            <w:shd w:val="clear" w:color="auto" w:fill="auto"/>
            <w:vAlign w:val="center"/>
          </w:tcPr>
          <w:p w14:paraId="656E08BC" w14:textId="2CABD032" w:rsidR="007B63EC" w:rsidRPr="006C7B81" w:rsidRDefault="0054630F" w:rsidP="007B63EC">
            <w:pPr>
              <w:jc w:val="both"/>
              <w:rPr>
                <w:rFonts w:eastAsia="Calibri"/>
                <w:b/>
                <w:noProof/>
                <w:color w:val="000000"/>
                <w:sz w:val="20"/>
                <w:lang w:eastAsia="es-CO"/>
              </w:rPr>
            </w:pPr>
            <w:r w:rsidRPr="0054630F">
              <w:rPr>
                <w:rFonts w:cs="Arial"/>
                <w:color w:val="000000"/>
                <w:sz w:val="20"/>
                <w:shd w:val="clear" w:color="auto" w:fill="FFFFFF"/>
              </w:rPr>
              <w:t>INTERVENTORÍA TÉCNICA, ADMINISTRATIVA, FINANCIERA Y AMBIENTAL PARA EL MEJORAMIENTO DE VÍAS TERCIARIAS EN EL MUNICIPIO DE DUITAMA Y OTANCHE EN EL DPTO DE BOYACA</w:t>
            </w:r>
          </w:p>
        </w:tc>
        <w:tc>
          <w:tcPr>
            <w:tcW w:w="1559" w:type="dxa"/>
            <w:shd w:val="clear" w:color="auto" w:fill="auto"/>
            <w:vAlign w:val="center"/>
          </w:tcPr>
          <w:p w14:paraId="4951F4CE" w14:textId="5B1C5BCC" w:rsidR="007B63EC" w:rsidRPr="006C7B81" w:rsidRDefault="0054630F" w:rsidP="007B2EBC">
            <w:pPr>
              <w:jc w:val="center"/>
              <w:rPr>
                <w:rFonts w:eastAsia="Calibri"/>
                <w:b/>
                <w:noProof/>
                <w:color w:val="000000"/>
                <w:sz w:val="20"/>
                <w:lang w:eastAsia="es-CO"/>
              </w:rPr>
            </w:pPr>
            <w:r>
              <w:rPr>
                <w:rFonts w:eastAsia="Calibri"/>
                <w:noProof/>
                <w:color w:val="000000"/>
                <w:sz w:val="20"/>
                <w:lang w:eastAsia="es-CO"/>
              </w:rPr>
              <w:t xml:space="preserve">$ </w:t>
            </w:r>
            <w:r w:rsidRPr="0054630F">
              <w:rPr>
                <w:rFonts w:eastAsia="Calibri"/>
                <w:noProof/>
                <w:color w:val="000000"/>
                <w:sz w:val="20"/>
                <w:lang w:eastAsia="es-CO"/>
              </w:rPr>
              <w:t>100.000.000</w:t>
            </w:r>
            <w:r>
              <w:rPr>
                <w:rFonts w:eastAsia="Calibri"/>
                <w:noProof/>
                <w:color w:val="000000"/>
                <w:sz w:val="20"/>
                <w:lang w:eastAsia="es-CO"/>
              </w:rPr>
              <w:t>,00</w:t>
            </w:r>
          </w:p>
        </w:tc>
      </w:tr>
      <w:tr w:rsidR="006C7B81" w:rsidRPr="006C7B81" w14:paraId="51FDD1D4" w14:textId="77777777" w:rsidTr="006C7B81">
        <w:trPr>
          <w:jc w:val="center"/>
        </w:trPr>
        <w:tc>
          <w:tcPr>
            <w:tcW w:w="507" w:type="dxa"/>
            <w:shd w:val="clear" w:color="auto" w:fill="auto"/>
            <w:vAlign w:val="center"/>
          </w:tcPr>
          <w:p w14:paraId="766C77A1" w14:textId="5ED2AE1C" w:rsidR="009E3437" w:rsidRPr="006C7B81" w:rsidRDefault="007B63EC" w:rsidP="007B2EBC">
            <w:pPr>
              <w:jc w:val="center"/>
              <w:rPr>
                <w:rFonts w:eastAsia="Calibri"/>
                <w:noProof/>
                <w:color w:val="000000"/>
                <w:sz w:val="20"/>
                <w:lang w:eastAsia="es-CO"/>
              </w:rPr>
            </w:pPr>
            <w:r w:rsidRPr="006C7B81">
              <w:rPr>
                <w:rFonts w:eastAsia="Calibri"/>
                <w:noProof/>
                <w:color w:val="000000"/>
                <w:sz w:val="20"/>
                <w:lang w:eastAsia="es-CO"/>
              </w:rPr>
              <w:t>2</w:t>
            </w:r>
          </w:p>
        </w:tc>
        <w:tc>
          <w:tcPr>
            <w:tcW w:w="2040" w:type="dxa"/>
            <w:shd w:val="clear" w:color="auto" w:fill="auto"/>
            <w:vAlign w:val="center"/>
          </w:tcPr>
          <w:p w14:paraId="3A364D9B" w14:textId="725DFCBB" w:rsidR="009E3437" w:rsidRPr="006C7B81" w:rsidRDefault="00793804" w:rsidP="007B2EBC">
            <w:pPr>
              <w:jc w:val="center"/>
              <w:rPr>
                <w:rFonts w:eastAsia="Calibri"/>
                <w:noProof/>
                <w:color w:val="000000"/>
                <w:sz w:val="20"/>
                <w:lang w:eastAsia="es-CO"/>
              </w:rPr>
            </w:pPr>
            <w:r w:rsidRPr="00793804">
              <w:rPr>
                <w:rFonts w:eastAsia="Calibri"/>
                <w:noProof/>
                <w:color w:val="000000"/>
                <w:sz w:val="20"/>
                <w:lang w:eastAsia="es-CO"/>
              </w:rPr>
              <w:t>IP-DT-BOY-003-2022</w:t>
            </w:r>
          </w:p>
        </w:tc>
        <w:tc>
          <w:tcPr>
            <w:tcW w:w="5670" w:type="dxa"/>
            <w:shd w:val="clear" w:color="auto" w:fill="auto"/>
            <w:vAlign w:val="center"/>
          </w:tcPr>
          <w:p w14:paraId="504BFF5C" w14:textId="5FEF16A4" w:rsidR="009E3437" w:rsidRPr="006C7B81" w:rsidRDefault="00793804" w:rsidP="007B2EBC">
            <w:pPr>
              <w:jc w:val="both"/>
              <w:rPr>
                <w:rFonts w:eastAsia="Calibri"/>
                <w:noProof/>
                <w:color w:val="000000"/>
                <w:sz w:val="20"/>
                <w:lang w:eastAsia="es-CO"/>
              </w:rPr>
            </w:pPr>
            <w:r w:rsidRPr="00793804">
              <w:rPr>
                <w:rFonts w:eastAsia="Calibri"/>
                <w:noProof/>
                <w:color w:val="000000"/>
                <w:sz w:val="20"/>
                <w:lang w:eastAsia="es-CO"/>
              </w:rPr>
              <w:t>INTERVENTORÍA TÉCNICA, ADMINISTRATIVA, FINANCIERA Y AMBIENTAL PARA LA ATENCIÓN DE SITIO CRÍTICO DE LAS CARRETERAS CÓDIGOS 51805, 51806, 51807 Y 52394 - RED TERCIARIA DE LOS MUNICIPIOS DE SORA Y CHÍQUI</w:t>
            </w:r>
          </w:p>
        </w:tc>
        <w:tc>
          <w:tcPr>
            <w:tcW w:w="1559" w:type="dxa"/>
            <w:shd w:val="clear" w:color="auto" w:fill="auto"/>
            <w:vAlign w:val="center"/>
          </w:tcPr>
          <w:p w14:paraId="0E905447" w14:textId="4AF0593C" w:rsidR="009E3437" w:rsidRPr="006C7B81" w:rsidRDefault="00793804" w:rsidP="007B2EBC">
            <w:pPr>
              <w:jc w:val="center"/>
              <w:rPr>
                <w:rFonts w:eastAsia="Calibri"/>
                <w:noProof/>
                <w:color w:val="000000"/>
                <w:sz w:val="20"/>
                <w:lang w:eastAsia="es-CO"/>
              </w:rPr>
            </w:pPr>
            <w:r w:rsidRPr="00793804">
              <w:rPr>
                <w:rFonts w:eastAsia="Calibri"/>
                <w:noProof/>
                <w:color w:val="000000"/>
                <w:sz w:val="20"/>
                <w:lang w:eastAsia="es-CO"/>
              </w:rPr>
              <w:t>42.500.000</w:t>
            </w:r>
          </w:p>
        </w:tc>
      </w:tr>
      <w:tr w:rsidR="006C7B81" w:rsidRPr="006C7B81" w14:paraId="1DF7B1AD" w14:textId="77777777" w:rsidTr="006C7B81">
        <w:trPr>
          <w:jc w:val="center"/>
        </w:trPr>
        <w:tc>
          <w:tcPr>
            <w:tcW w:w="507" w:type="dxa"/>
            <w:shd w:val="clear" w:color="auto" w:fill="auto"/>
            <w:vAlign w:val="center"/>
          </w:tcPr>
          <w:p w14:paraId="11678809" w14:textId="2713E0E6" w:rsidR="009E3437" w:rsidRPr="006C7B81" w:rsidRDefault="007B63EC" w:rsidP="007B2EBC">
            <w:pPr>
              <w:jc w:val="center"/>
              <w:rPr>
                <w:rFonts w:eastAsia="Calibri"/>
                <w:noProof/>
                <w:color w:val="000000"/>
                <w:sz w:val="20"/>
                <w:lang w:eastAsia="es-CO"/>
              </w:rPr>
            </w:pPr>
            <w:r w:rsidRPr="006C7B81">
              <w:rPr>
                <w:rFonts w:eastAsia="Calibri"/>
                <w:noProof/>
                <w:color w:val="000000"/>
                <w:sz w:val="20"/>
                <w:lang w:eastAsia="es-CO"/>
              </w:rPr>
              <w:t>3</w:t>
            </w:r>
          </w:p>
        </w:tc>
        <w:tc>
          <w:tcPr>
            <w:tcW w:w="2040" w:type="dxa"/>
            <w:shd w:val="clear" w:color="auto" w:fill="auto"/>
            <w:vAlign w:val="center"/>
          </w:tcPr>
          <w:p w14:paraId="4BDA88D3" w14:textId="79A11BD5" w:rsidR="009E3437" w:rsidRPr="006C7B81" w:rsidRDefault="00793804" w:rsidP="007B2EBC">
            <w:pPr>
              <w:jc w:val="center"/>
              <w:rPr>
                <w:rFonts w:eastAsia="Calibri"/>
                <w:noProof/>
                <w:color w:val="000000"/>
                <w:sz w:val="20"/>
                <w:lang w:eastAsia="es-CO"/>
              </w:rPr>
            </w:pPr>
            <w:r w:rsidRPr="00793804">
              <w:rPr>
                <w:rFonts w:eastAsia="Calibri"/>
                <w:noProof/>
                <w:color w:val="000000"/>
                <w:sz w:val="20"/>
                <w:lang w:eastAsia="es-CO"/>
              </w:rPr>
              <w:t>IP-DT-BOY-002-2022</w:t>
            </w:r>
          </w:p>
        </w:tc>
        <w:tc>
          <w:tcPr>
            <w:tcW w:w="5670" w:type="dxa"/>
            <w:shd w:val="clear" w:color="auto" w:fill="auto"/>
          </w:tcPr>
          <w:p w14:paraId="19BFF267" w14:textId="32C8F68E" w:rsidR="009E3437" w:rsidRPr="006C7B81" w:rsidRDefault="00793804" w:rsidP="007B2EBC">
            <w:pPr>
              <w:jc w:val="both"/>
              <w:rPr>
                <w:rFonts w:eastAsia="Calibri"/>
                <w:noProof/>
                <w:color w:val="000000"/>
                <w:sz w:val="20"/>
                <w:lang w:eastAsia="es-CO"/>
              </w:rPr>
            </w:pPr>
            <w:r w:rsidRPr="00793804">
              <w:rPr>
                <w:rFonts w:eastAsia="Calibri"/>
                <w:noProof/>
                <w:color w:val="000000"/>
                <w:sz w:val="20"/>
                <w:lang w:eastAsia="es-CO"/>
              </w:rPr>
              <w:t>INTERVENTORÍA TÉCNICA, ADMINISTRATIVA, FINANCIERA Y AMBIENTAL PARA EL MANTENIMIENTO Y MEJORAMIENTO DE VÍAS RURALES EN EL MUNICIPIO DE SIACHOQUE, DEPARTAMENTO DE BOYACÁ, DEL PROGRAMA COLOMBIA RURA</w:t>
            </w:r>
          </w:p>
        </w:tc>
        <w:tc>
          <w:tcPr>
            <w:tcW w:w="1559" w:type="dxa"/>
            <w:shd w:val="clear" w:color="auto" w:fill="auto"/>
            <w:vAlign w:val="center"/>
          </w:tcPr>
          <w:p w14:paraId="73C31489" w14:textId="44926C09" w:rsidR="009E3437" w:rsidRPr="006C7B81" w:rsidRDefault="00793804" w:rsidP="007B2EBC">
            <w:pPr>
              <w:jc w:val="center"/>
              <w:rPr>
                <w:rFonts w:eastAsia="Calibri"/>
                <w:sz w:val="20"/>
              </w:rPr>
            </w:pPr>
            <w:r w:rsidRPr="00793804">
              <w:rPr>
                <w:rFonts w:eastAsia="Calibri"/>
                <w:sz w:val="20"/>
              </w:rPr>
              <w:t>60.000.000</w:t>
            </w:r>
          </w:p>
        </w:tc>
      </w:tr>
      <w:tr w:rsidR="006C7B81" w:rsidRPr="006C7B81" w14:paraId="2D96EA5D" w14:textId="77777777" w:rsidTr="006C7B81">
        <w:trPr>
          <w:jc w:val="center"/>
        </w:trPr>
        <w:tc>
          <w:tcPr>
            <w:tcW w:w="507" w:type="dxa"/>
            <w:shd w:val="clear" w:color="auto" w:fill="auto"/>
            <w:vAlign w:val="center"/>
          </w:tcPr>
          <w:p w14:paraId="4267EE86" w14:textId="5E3C9029" w:rsidR="009E3437" w:rsidRPr="006C7B81" w:rsidRDefault="007B63EC" w:rsidP="007B2EBC">
            <w:pPr>
              <w:jc w:val="center"/>
              <w:rPr>
                <w:rFonts w:eastAsia="Calibri"/>
                <w:noProof/>
                <w:color w:val="000000"/>
                <w:sz w:val="20"/>
                <w:lang w:eastAsia="es-CO"/>
              </w:rPr>
            </w:pPr>
            <w:r w:rsidRPr="006C7B81">
              <w:rPr>
                <w:rFonts w:eastAsia="Calibri"/>
                <w:noProof/>
                <w:color w:val="000000"/>
                <w:sz w:val="20"/>
                <w:lang w:eastAsia="es-CO"/>
              </w:rPr>
              <w:t>4</w:t>
            </w:r>
            <w:r w:rsidR="009E3437" w:rsidRPr="006C7B81">
              <w:rPr>
                <w:rFonts w:eastAsia="Calibri"/>
                <w:noProof/>
                <w:color w:val="000000"/>
                <w:sz w:val="20"/>
                <w:lang w:eastAsia="es-CO"/>
              </w:rPr>
              <w:t xml:space="preserve"> </w:t>
            </w:r>
          </w:p>
        </w:tc>
        <w:tc>
          <w:tcPr>
            <w:tcW w:w="2040" w:type="dxa"/>
            <w:shd w:val="clear" w:color="auto" w:fill="auto"/>
            <w:vAlign w:val="center"/>
          </w:tcPr>
          <w:p w14:paraId="283658C2" w14:textId="58D75D4E" w:rsidR="009E3437" w:rsidRPr="006C7B81" w:rsidRDefault="00793804" w:rsidP="007B2EBC">
            <w:pPr>
              <w:jc w:val="center"/>
              <w:rPr>
                <w:rFonts w:eastAsia="Calibri"/>
                <w:noProof/>
                <w:color w:val="000000"/>
                <w:sz w:val="20"/>
                <w:lang w:eastAsia="es-CO"/>
              </w:rPr>
            </w:pPr>
            <w:r w:rsidRPr="00793804">
              <w:rPr>
                <w:rFonts w:eastAsia="Calibri"/>
                <w:noProof/>
                <w:color w:val="000000"/>
                <w:sz w:val="20"/>
                <w:lang w:eastAsia="es-CO"/>
              </w:rPr>
              <w:t>IP-DT-BOY-007-2021</w:t>
            </w:r>
          </w:p>
        </w:tc>
        <w:tc>
          <w:tcPr>
            <w:tcW w:w="5670" w:type="dxa"/>
            <w:shd w:val="clear" w:color="auto" w:fill="auto"/>
          </w:tcPr>
          <w:p w14:paraId="47F7C84B" w14:textId="4CADE3A2" w:rsidR="009E3437" w:rsidRPr="006C7B81" w:rsidRDefault="00793804" w:rsidP="007B2EBC">
            <w:pPr>
              <w:jc w:val="both"/>
              <w:rPr>
                <w:rFonts w:eastAsia="Calibri"/>
                <w:noProof/>
                <w:color w:val="000000"/>
                <w:sz w:val="20"/>
                <w:lang w:eastAsia="es-CO"/>
              </w:rPr>
            </w:pPr>
            <w:r w:rsidRPr="00793804">
              <w:rPr>
                <w:rFonts w:eastAsia="Calibri"/>
                <w:noProof/>
                <w:color w:val="000000"/>
                <w:sz w:val="20"/>
                <w:lang w:eastAsia="es-CO"/>
              </w:rPr>
              <w:t>INTERVENTORÍA TÉCNICA, ADMINISTRATIVA, FINANCIERA Y AMBIENTAL ATENCIÓN DE SITIOS CRÍTICOS VÍA CHAPASIA - MORRO ABAJO SECTOR PEÑA NEGRA CÓDIGO 50236 MUNICIPIO DE MIRAFLORES DEP. BOYACÁ.</w:t>
            </w:r>
          </w:p>
        </w:tc>
        <w:tc>
          <w:tcPr>
            <w:tcW w:w="1559" w:type="dxa"/>
            <w:shd w:val="clear" w:color="auto" w:fill="auto"/>
            <w:vAlign w:val="center"/>
          </w:tcPr>
          <w:p w14:paraId="07CBB978" w14:textId="6BFD2733" w:rsidR="009E3437" w:rsidRPr="006C7B81" w:rsidRDefault="00793804" w:rsidP="007B2EBC">
            <w:pPr>
              <w:jc w:val="center"/>
              <w:rPr>
                <w:rFonts w:eastAsia="Calibri"/>
                <w:sz w:val="20"/>
              </w:rPr>
            </w:pPr>
            <w:r w:rsidRPr="00793804">
              <w:rPr>
                <w:rFonts w:eastAsia="Calibri"/>
                <w:sz w:val="20"/>
              </w:rPr>
              <w:t>55.000.000</w:t>
            </w:r>
          </w:p>
        </w:tc>
      </w:tr>
      <w:tr w:rsidR="006C7B81" w:rsidRPr="006C7B81" w14:paraId="395445CF" w14:textId="77777777" w:rsidTr="006C7B81">
        <w:trPr>
          <w:jc w:val="center"/>
        </w:trPr>
        <w:tc>
          <w:tcPr>
            <w:tcW w:w="507" w:type="dxa"/>
            <w:shd w:val="clear" w:color="auto" w:fill="auto"/>
            <w:vAlign w:val="center"/>
          </w:tcPr>
          <w:p w14:paraId="11A9CD5A" w14:textId="66BFF28B" w:rsidR="009E3437" w:rsidRPr="006C7B81" w:rsidRDefault="007B63EC" w:rsidP="007B2EBC">
            <w:pPr>
              <w:jc w:val="center"/>
              <w:rPr>
                <w:rFonts w:eastAsia="Calibri"/>
                <w:noProof/>
                <w:color w:val="000000"/>
                <w:sz w:val="20"/>
                <w:lang w:eastAsia="es-CO"/>
              </w:rPr>
            </w:pPr>
            <w:r w:rsidRPr="006C7B81">
              <w:rPr>
                <w:rFonts w:eastAsia="Calibri"/>
                <w:noProof/>
                <w:color w:val="000000"/>
                <w:sz w:val="20"/>
                <w:lang w:eastAsia="es-CO"/>
              </w:rPr>
              <w:t>5</w:t>
            </w:r>
          </w:p>
        </w:tc>
        <w:tc>
          <w:tcPr>
            <w:tcW w:w="2040" w:type="dxa"/>
            <w:shd w:val="clear" w:color="auto" w:fill="auto"/>
            <w:vAlign w:val="center"/>
          </w:tcPr>
          <w:p w14:paraId="3A37A7D3" w14:textId="178FDDEA" w:rsidR="009E3437" w:rsidRPr="006C7B81" w:rsidRDefault="00793804" w:rsidP="007B2EBC">
            <w:pPr>
              <w:jc w:val="center"/>
              <w:rPr>
                <w:rFonts w:eastAsia="Calibri"/>
                <w:noProof/>
                <w:color w:val="000000"/>
                <w:sz w:val="20"/>
                <w:lang w:eastAsia="es-CO"/>
              </w:rPr>
            </w:pPr>
            <w:r w:rsidRPr="00793804">
              <w:rPr>
                <w:rFonts w:eastAsia="Calibri"/>
                <w:noProof/>
                <w:color w:val="000000"/>
                <w:sz w:val="20"/>
                <w:lang w:eastAsia="es-CO"/>
              </w:rPr>
              <w:t>IP-DT-BOY-006-2021</w:t>
            </w:r>
          </w:p>
        </w:tc>
        <w:tc>
          <w:tcPr>
            <w:tcW w:w="5670" w:type="dxa"/>
            <w:shd w:val="clear" w:color="auto" w:fill="auto"/>
          </w:tcPr>
          <w:p w14:paraId="042E10FD" w14:textId="053BB0CA" w:rsidR="009E3437" w:rsidRPr="006C7B81" w:rsidRDefault="00793804" w:rsidP="007B2EBC">
            <w:pPr>
              <w:jc w:val="both"/>
              <w:rPr>
                <w:rFonts w:eastAsia="Calibri"/>
                <w:noProof/>
                <w:color w:val="000000"/>
                <w:sz w:val="20"/>
                <w:lang w:eastAsia="es-CO"/>
              </w:rPr>
            </w:pPr>
            <w:r w:rsidRPr="00793804">
              <w:rPr>
                <w:rFonts w:eastAsia="Calibri"/>
                <w:noProof/>
                <w:color w:val="000000"/>
                <w:sz w:val="20"/>
                <w:lang w:eastAsia="es-CO"/>
              </w:rPr>
              <w:t>INTERVENTORÍA TÉCNICA, ADMINISTRATIVA, FINANCIERA Y AMBIENTAL A LA ATENCIÓN DE SITIO CRÍTICO EN LA VÍA SAN EDUARDO-ESCUELA LIBERTAD-ESCUELA ALEJANDRÍA CÓDIGO 50384 MUNICIPIO DE SAN EDUARDO, DEPARTAMEN</w:t>
            </w:r>
          </w:p>
        </w:tc>
        <w:tc>
          <w:tcPr>
            <w:tcW w:w="1559" w:type="dxa"/>
            <w:shd w:val="clear" w:color="auto" w:fill="auto"/>
            <w:vAlign w:val="center"/>
          </w:tcPr>
          <w:p w14:paraId="764E6A63" w14:textId="1CDD92BD" w:rsidR="009E3437" w:rsidRPr="006C7B81" w:rsidRDefault="00793804" w:rsidP="007B2EBC">
            <w:pPr>
              <w:jc w:val="center"/>
              <w:rPr>
                <w:rFonts w:eastAsia="Calibri"/>
                <w:sz w:val="20"/>
              </w:rPr>
            </w:pPr>
            <w:r w:rsidRPr="00793804">
              <w:rPr>
                <w:rFonts w:eastAsia="Calibri"/>
                <w:sz w:val="20"/>
              </w:rPr>
              <w:t>25.000.000</w:t>
            </w:r>
          </w:p>
        </w:tc>
      </w:tr>
    </w:tbl>
    <w:p w14:paraId="4DE840B8" w14:textId="1681E839" w:rsidR="443155EA" w:rsidRDefault="443155EA"/>
    <w:p w14:paraId="5A218A18" w14:textId="12ECF276" w:rsidR="0604D8A8" w:rsidRPr="007B63EC" w:rsidRDefault="0604D8A8" w:rsidP="6B1F4046">
      <w:pPr>
        <w:spacing w:line="257" w:lineRule="auto"/>
        <w:jc w:val="both"/>
      </w:pPr>
      <w:r w:rsidRPr="007B63EC">
        <w:rPr>
          <w:rFonts w:eastAsia="Arial" w:cs="Arial"/>
          <w:szCs w:val="24"/>
        </w:rPr>
        <w:t>Este documento s</w:t>
      </w:r>
      <w:r w:rsidR="001E7A1B" w:rsidRPr="007B63EC">
        <w:rPr>
          <w:rFonts w:eastAsia="Arial" w:cs="Arial"/>
          <w:szCs w:val="24"/>
        </w:rPr>
        <w:t xml:space="preserve">e realiza en </w:t>
      </w:r>
      <w:r w:rsidR="007B1D4E">
        <w:rPr>
          <w:rFonts w:eastAsia="Arial" w:cs="Arial"/>
          <w:szCs w:val="24"/>
        </w:rPr>
        <w:t xml:space="preserve">Tunja, </w:t>
      </w:r>
      <w:r w:rsidR="00793804">
        <w:rPr>
          <w:rFonts w:eastAsia="Arial" w:cs="Arial"/>
          <w:szCs w:val="24"/>
        </w:rPr>
        <w:t>17</w:t>
      </w:r>
      <w:r w:rsidR="006C7B81">
        <w:rPr>
          <w:rFonts w:eastAsia="Arial" w:cs="Arial"/>
          <w:szCs w:val="24"/>
        </w:rPr>
        <w:t xml:space="preserve"> de </w:t>
      </w:r>
      <w:r w:rsidR="00793804">
        <w:rPr>
          <w:rFonts w:eastAsia="Arial" w:cs="Arial"/>
          <w:szCs w:val="24"/>
        </w:rPr>
        <w:t>abril</w:t>
      </w:r>
      <w:r w:rsidR="006C7B81">
        <w:rPr>
          <w:rFonts w:eastAsia="Arial" w:cs="Arial"/>
          <w:szCs w:val="24"/>
        </w:rPr>
        <w:t xml:space="preserve"> de 202</w:t>
      </w:r>
      <w:r w:rsidR="00793804">
        <w:rPr>
          <w:rFonts w:eastAsia="Arial" w:cs="Arial"/>
          <w:szCs w:val="24"/>
        </w:rPr>
        <w:t>3</w:t>
      </w:r>
    </w:p>
    <w:p w14:paraId="387EF29D" w14:textId="20F5CCD4" w:rsidR="0604D8A8" w:rsidRDefault="0604D8A8" w:rsidP="6B1F4046">
      <w:pPr>
        <w:spacing w:line="257" w:lineRule="auto"/>
        <w:jc w:val="both"/>
        <w:rPr>
          <w:rFonts w:ascii="Arial" w:eastAsia="Arial" w:hAnsi="Arial" w:cs="Arial"/>
          <w:szCs w:val="24"/>
        </w:rPr>
      </w:pPr>
      <w:r w:rsidRPr="6B1F4046">
        <w:rPr>
          <w:rFonts w:ascii="Arial" w:eastAsia="Arial" w:hAnsi="Arial" w:cs="Arial"/>
          <w:szCs w:val="24"/>
        </w:rPr>
        <w:t xml:space="preserve"> </w:t>
      </w:r>
    </w:p>
    <w:p w14:paraId="10BFAEB8" w14:textId="249E8A2F" w:rsidR="002C6E38" w:rsidRDefault="002C6E38" w:rsidP="6B1F4046">
      <w:pPr>
        <w:spacing w:line="257" w:lineRule="auto"/>
        <w:jc w:val="both"/>
        <w:rPr>
          <w:rFonts w:ascii="Arial" w:eastAsia="Arial" w:hAnsi="Arial" w:cs="Arial"/>
          <w:szCs w:val="24"/>
        </w:rPr>
      </w:pPr>
    </w:p>
    <w:p w14:paraId="7127EF88" w14:textId="46F16566" w:rsidR="002C6E38" w:rsidRDefault="002C6E38" w:rsidP="6B1F4046">
      <w:pPr>
        <w:spacing w:line="257" w:lineRule="auto"/>
        <w:jc w:val="both"/>
        <w:rPr>
          <w:rFonts w:ascii="Arial" w:eastAsia="Arial" w:hAnsi="Arial" w:cs="Arial"/>
          <w:szCs w:val="24"/>
        </w:rPr>
      </w:pPr>
    </w:p>
    <w:p w14:paraId="35CBD2C5" w14:textId="77777777" w:rsidR="009350DE" w:rsidRDefault="009350DE" w:rsidP="6B1F4046">
      <w:pPr>
        <w:spacing w:line="257" w:lineRule="auto"/>
        <w:jc w:val="both"/>
        <w:rPr>
          <w:rFonts w:ascii="Arial" w:eastAsia="Arial" w:hAnsi="Arial" w:cs="Arial"/>
          <w:szCs w:val="24"/>
        </w:rPr>
      </w:pPr>
    </w:p>
    <w:p w14:paraId="69CD4DEA" w14:textId="77777777" w:rsidR="001E6498" w:rsidRDefault="001E6498" w:rsidP="6B1F4046">
      <w:pPr>
        <w:spacing w:line="257" w:lineRule="auto"/>
        <w:jc w:val="both"/>
        <w:rPr>
          <w:rFonts w:ascii="Arial" w:eastAsia="Arial" w:hAnsi="Arial" w:cs="Arial"/>
          <w:szCs w:val="24"/>
        </w:rPr>
      </w:pPr>
    </w:p>
    <w:p w14:paraId="07E7BE4E" w14:textId="72C41C8F" w:rsidR="007B63EC" w:rsidRDefault="007B63EC" w:rsidP="007B63EC">
      <w:pPr>
        <w:jc w:val="center"/>
        <w:rPr>
          <w:rFonts w:cs="Arial"/>
          <w:b/>
          <w:i/>
        </w:rPr>
      </w:pPr>
      <w:r>
        <w:rPr>
          <w:rFonts w:cs="Arial"/>
          <w:b/>
          <w:i/>
        </w:rPr>
        <w:t xml:space="preserve">GUSTAVO </w:t>
      </w:r>
      <w:r w:rsidR="00793804">
        <w:rPr>
          <w:rFonts w:cs="Arial"/>
          <w:b/>
          <w:i/>
        </w:rPr>
        <w:t>GAMALIEL FERNANDEZ NIÑO</w:t>
      </w:r>
    </w:p>
    <w:p w14:paraId="607C6DEE" w14:textId="2B26AC2D" w:rsidR="007B63EC" w:rsidRDefault="007B63EC" w:rsidP="007B63EC">
      <w:pPr>
        <w:jc w:val="center"/>
      </w:pPr>
      <w:r>
        <w:rPr>
          <w:rFonts w:cs="Arial"/>
          <w:i/>
        </w:rPr>
        <w:t xml:space="preserve">Director Territorial </w:t>
      </w:r>
      <w:r w:rsidR="00793804">
        <w:rPr>
          <w:rFonts w:cs="Arial"/>
          <w:i/>
        </w:rPr>
        <w:t xml:space="preserve">Boyacá </w:t>
      </w:r>
    </w:p>
    <w:p w14:paraId="5D6A76DA" w14:textId="77777777" w:rsidR="00FC2A55" w:rsidRDefault="00FC2A55" w:rsidP="00B9532B">
      <w:pPr>
        <w:spacing w:line="257" w:lineRule="auto"/>
        <w:jc w:val="center"/>
        <w:rPr>
          <w:rFonts w:ascii="Arial" w:eastAsia="Arial" w:hAnsi="Arial" w:cs="Arial"/>
          <w:sz w:val="20"/>
        </w:rPr>
      </w:pPr>
    </w:p>
    <w:p w14:paraId="2E5DA4B7" w14:textId="0AB91774" w:rsidR="00B9532B" w:rsidRDefault="0604D8A8" w:rsidP="00FC2A55">
      <w:pPr>
        <w:spacing w:line="257" w:lineRule="auto"/>
        <w:rPr>
          <w:rFonts w:ascii="Arial" w:eastAsia="Arial" w:hAnsi="Arial" w:cs="Arial"/>
          <w:sz w:val="20"/>
        </w:rPr>
      </w:pPr>
      <w:r w:rsidRPr="009C584F">
        <w:rPr>
          <w:rFonts w:ascii="Arial" w:eastAsia="Arial" w:hAnsi="Arial" w:cs="Arial"/>
          <w:sz w:val="20"/>
        </w:rPr>
        <w:t>Reviso</w:t>
      </w:r>
    </w:p>
    <w:p w14:paraId="58621157" w14:textId="4933CDCB" w:rsidR="00B9532B" w:rsidRDefault="00B9532B" w:rsidP="00B9532B">
      <w:pPr>
        <w:spacing w:line="257" w:lineRule="auto"/>
        <w:jc w:val="both"/>
        <w:rPr>
          <w:rFonts w:ascii="Arial" w:eastAsia="Arial" w:hAnsi="Arial" w:cs="Arial"/>
          <w:sz w:val="20"/>
        </w:rPr>
      </w:pPr>
    </w:p>
    <w:p w14:paraId="1724123E" w14:textId="1C29A677" w:rsidR="00815884" w:rsidRPr="00815884" w:rsidRDefault="00815884" w:rsidP="00815884">
      <w:pPr>
        <w:jc w:val="both"/>
        <w:rPr>
          <w:rStyle w:val="Portada"/>
          <w:rFonts w:eastAsia="ヒラギノ角ゴ Pro W3" w:cs="Arial"/>
          <w:b w:val="0"/>
          <w:bCs/>
          <w:sz w:val="16"/>
          <w:szCs w:val="16"/>
        </w:rPr>
      </w:pPr>
      <w:r w:rsidRPr="00815884">
        <w:rPr>
          <w:rStyle w:val="Portada"/>
          <w:rFonts w:eastAsia="ヒラギノ角ゴ Pro W3" w:cs="Arial"/>
          <w:b w:val="0"/>
          <w:bCs/>
          <w:sz w:val="16"/>
          <w:szCs w:val="16"/>
        </w:rPr>
        <w:t xml:space="preserve">Elaboró: Ing. </w:t>
      </w:r>
      <w:r w:rsidR="00FC2A55">
        <w:rPr>
          <w:rStyle w:val="Portada"/>
          <w:rFonts w:eastAsia="ヒラギノ角ゴ Pro W3" w:cs="Arial"/>
          <w:b w:val="0"/>
          <w:bCs/>
          <w:sz w:val="16"/>
          <w:szCs w:val="16"/>
        </w:rPr>
        <w:t xml:space="preserve">Jaime Alexander </w:t>
      </w:r>
      <w:r w:rsidR="00793804">
        <w:rPr>
          <w:rStyle w:val="Portada"/>
          <w:rFonts w:eastAsia="ヒラギノ角ゴ Pro W3" w:cs="Arial"/>
          <w:b w:val="0"/>
          <w:bCs/>
          <w:sz w:val="16"/>
          <w:szCs w:val="16"/>
        </w:rPr>
        <w:t>González</w:t>
      </w:r>
    </w:p>
    <w:p w14:paraId="636ACC85" w14:textId="77777777" w:rsidR="00815884" w:rsidRPr="00B9532B" w:rsidRDefault="00815884" w:rsidP="00B9532B">
      <w:pPr>
        <w:spacing w:line="257" w:lineRule="auto"/>
        <w:jc w:val="both"/>
        <w:rPr>
          <w:rFonts w:ascii="Arial" w:eastAsia="Arial" w:hAnsi="Arial" w:cs="Arial"/>
          <w:sz w:val="20"/>
        </w:rPr>
      </w:pPr>
    </w:p>
    <w:p w14:paraId="510C3221" w14:textId="2AAA9C73" w:rsidR="6B1F4046" w:rsidRPr="00090C26" w:rsidRDefault="6B1F4046" w:rsidP="00090C26">
      <w:pPr>
        <w:spacing w:line="257" w:lineRule="auto"/>
        <w:jc w:val="both"/>
        <w:rPr>
          <w:rFonts w:ascii="Arial" w:eastAsia="Arial" w:hAnsi="Arial" w:cs="Arial"/>
          <w:szCs w:val="24"/>
        </w:rPr>
      </w:pPr>
    </w:p>
    <w:sectPr w:rsidR="6B1F4046" w:rsidRPr="00090C26" w:rsidSect="00FC2A55">
      <w:headerReference w:type="default" r:id="rId19"/>
      <w:footerReference w:type="default" r:id="rId20"/>
      <w:pgSz w:w="12242" w:h="15842" w:code="1"/>
      <w:pgMar w:top="1843" w:right="1134" w:bottom="816"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8B501" w14:textId="77777777" w:rsidR="00C961DB" w:rsidRDefault="00C961DB">
      <w:r>
        <w:separator/>
      </w:r>
    </w:p>
  </w:endnote>
  <w:endnote w:type="continuationSeparator" w:id="0">
    <w:p w14:paraId="722E2852" w14:textId="77777777" w:rsidR="00C961DB" w:rsidRDefault="00C9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English111 Vivace BT">
    <w:altName w:val="Courier New"/>
    <w:charset w:val="00"/>
    <w:family w:val="script"/>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ヒラギノ角ゴ Pro W3">
    <w:altName w:val="Times New Roman"/>
    <w:charset w:val="00"/>
    <w:family w:val="roman"/>
    <w:pitch w:val="default"/>
  </w:font>
  <w:font w:name="ArialNarrow">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D69E" w14:textId="56147464" w:rsidR="008D125D" w:rsidRDefault="007F2B8E" w:rsidP="008D125D">
    <w:pPr>
      <w:spacing w:before="15"/>
      <w:ind w:left="20" w:right="2"/>
      <w:rPr>
        <w:spacing w:val="-42"/>
        <w:sz w:val="16"/>
      </w:rPr>
    </w:pPr>
    <w:r w:rsidRPr="001C1ED0">
      <w:rPr>
        <w:b/>
        <w:bCs/>
        <w:noProof/>
        <w:sz w:val="16"/>
        <w:szCs w:val="16"/>
        <w:lang w:eastAsia="es-CO"/>
      </w:rPr>
      <w:drawing>
        <wp:anchor distT="0" distB="0" distL="114300" distR="114300" simplePos="0" relativeHeight="251663360" behindDoc="0" locked="0" layoutInCell="1" allowOverlap="1" wp14:anchorId="0C9D0F56" wp14:editId="65E024C7">
          <wp:simplePos x="0" y="0"/>
          <wp:positionH relativeFrom="margin">
            <wp:align>right</wp:align>
          </wp:positionH>
          <wp:positionV relativeFrom="paragraph">
            <wp:posOffset>14411</wp:posOffset>
          </wp:positionV>
          <wp:extent cx="1281092" cy="556895"/>
          <wp:effectExtent l="0" t="0" r="0" b="0"/>
          <wp:wrapNone/>
          <wp:docPr id="26" name="Imagen 26"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092" cy="55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8D125D">
      <w:rPr>
        <w:sz w:val="16"/>
      </w:rPr>
      <w:t>Instituto Nacional de Vías- Dirección Territorial Boyacá.</w:t>
    </w:r>
    <w:r w:rsidR="008D125D">
      <w:rPr>
        <w:spacing w:val="-42"/>
        <w:sz w:val="16"/>
      </w:rPr>
      <w:t xml:space="preserve"> </w:t>
    </w:r>
  </w:p>
  <w:p w14:paraId="1C0D581F" w14:textId="3A7282E6" w:rsidR="008D125D" w:rsidRDefault="008D125D" w:rsidP="008D125D">
    <w:pPr>
      <w:adjustRightInd w:val="0"/>
      <w:rPr>
        <w:rFonts w:ascii="ArialNarrow" w:eastAsiaTheme="minorHAnsi" w:hAnsi="ArialNarrow" w:cs="ArialNarrow"/>
        <w:color w:val="000000"/>
        <w:sz w:val="18"/>
        <w:szCs w:val="18"/>
      </w:rPr>
    </w:pPr>
    <w:r>
      <w:rPr>
        <w:rFonts w:ascii="ArialNarrow" w:eastAsiaTheme="minorHAnsi" w:hAnsi="ArialNarrow" w:cs="ArialNarrow"/>
        <w:color w:val="000000"/>
        <w:sz w:val="18"/>
        <w:szCs w:val="18"/>
      </w:rPr>
      <w:t>Calle 23 No. 15-33 Tunja - Boyacá</w:t>
    </w:r>
  </w:p>
  <w:p w14:paraId="46FA663E" w14:textId="77777777" w:rsidR="008D125D" w:rsidRDefault="008D125D" w:rsidP="008D125D">
    <w:pPr>
      <w:adjustRightInd w:val="0"/>
      <w:rPr>
        <w:rFonts w:ascii="ArialNarrow" w:eastAsiaTheme="minorHAnsi" w:hAnsi="ArialNarrow" w:cs="ArialNarrow"/>
        <w:color w:val="000000"/>
        <w:sz w:val="18"/>
        <w:szCs w:val="18"/>
      </w:rPr>
    </w:pPr>
    <w:r>
      <w:rPr>
        <w:rFonts w:ascii="ArialNarrow" w:eastAsiaTheme="minorHAnsi" w:hAnsi="ArialNarrow" w:cs="ArialNarrow"/>
        <w:color w:val="000000"/>
        <w:sz w:val="18"/>
        <w:szCs w:val="18"/>
      </w:rPr>
      <w:t>Teléfono: (058) 7422495</w:t>
    </w:r>
  </w:p>
  <w:p w14:paraId="0F312F38" w14:textId="77777777" w:rsidR="008D125D" w:rsidRPr="00CF0FEF" w:rsidRDefault="008D125D" w:rsidP="008D125D">
    <w:pPr>
      <w:spacing w:line="183" w:lineRule="exact"/>
      <w:ind w:left="20"/>
      <w:rPr>
        <w:rFonts w:ascii="Arial"/>
        <w:b/>
        <w:sz w:val="16"/>
        <w:lang w:val="de-DE"/>
      </w:rPr>
    </w:pPr>
    <w:r>
      <w:rPr>
        <w:rFonts w:ascii="ArialNarrow" w:eastAsiaTheme="minorHAnsi" w:hAnsi="ArialNarrow" w:cs="ArialNarrow"/>
        <w:color w:val="0000FF"/>
        <w:sz w:val="18"/>
        <w:szCs w:val="18"/>
      </w:rPr>
      <w:t>http://www.invias.gov.co</w:t>
    </w:r>
    <w:r w:rsidRPr="00CF0FEF">
      <w:rPr>
        <w:rFonts w:ascii="Arial"/>
        <w:b/>
        <w:sz w:val="16"/>
        <w:lang w:val="de-DE"/>
      </w:rPr>
      <w:t xml:space="preserve"> </w:t>
    </w:r>
  </w:p>
  <w:p w14:paraId="4827B63D" w14:textId="7E637671" w:rsidR="00A27E5E" w:rsidRPr="008D125D" w:rsidRDefault="00A27E5E" w:rsidP="008D12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D41EC" w14:textId="77777777" w:rsidR="00C961DB" w:rsidRDefault="00C961DB">
      <w:r>
        <w:separator/>
      </w:r>
    </w:p>
  </w:footnote>
  <w:footnote w:type="continuationSeparator" w:id="0">
    <w:p w14:paraId="7BDEA20B" w14:textId="77777777" w:rsidR="00C961DB" w:rsidRDefault="00C96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A673B" w14:textId="27971940" w:rsidR="00A27E5E" w:rsidRDefault="00B93ACB">
    <w:pPr>
      <w:pStyle w:val="Encabezado"/>
      <w:rPr>
        <w:sz w:val="2"/>
      </w:rPr>
    </w:pPr>
    <w:r w:rsidRPr="000C3922">
      <w:rPr>
        <w:noProof/>
        <w:sz w:val="2"/>
        <w:lang w:eastAsia="es-CO"/>
      </w:rPr>
      <mc:AlternateContent>
        <mc:Choice Requires="wps">
          <w:drawing>
            <wp:anchor distT="0" distB="0" distL="114300" distR="114300" simplePos="0" relativeHeight="251659264" behindDoc="0" locked="0" layoutInCell="1" allowOverlap="1" wp14:anchorId="2EB921C7" wp14:editId="4B3430E5">
              <wp:simplePos x="0" y="0"/>
              <wp:positionH relativeFrom="margin">
                <wp:posOffset>4445</wp:posOffset>
              </wp:positionH>
              <wp:positionV relativeFrom="paragraph">
                <wp:posOffset>382904</wp:posOffset>
              </wp:positionV>
              <wp:extent cx="6105525" cy="539115"/>
              <wp:effectExtent l="0" t="0" r="952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539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D34B5" w14:textId="6DACDE2F" w:rsidR="007F2FA3" w:rsidRPr="00B93ACB" w:rsidRDefault="004A3CE0" w:rsidP="007F2FA3">
                          <w:pPr>
                            <w:pStyle w:val="Encabezado"/>
                            <w:tabs>
                              <w:tab w:val="clear" w:pos="4252"/>
                              <w:tab w:val="clear" w:pos="8504"/>
                            </w:tabs>
                            <w:spacing w:line="276" w:lineRule="auto"/>
                            <w:rPr>
                              <w:rFonts w:cs="Arial"/>
                              <w:b/>
                              <w:sz w:val="16"/>
                              <w:szCs w:val="16"/>
                            </w:rPr>
                          </w:pPr>
                          <w:r w:rsidRPr="007F2FA3">
                            <w:rPr>
                              <w:rFonts w:cs="Arial"/>
                              <w:b/>
                              <w:sz w:val="16"/>
                              <w:szCs w:val="16"/>
                            </w:rPr>
                            <w:t>ANÁLISIS</w:t>
                          </w:r>
                          <w:r w:rsidR="007F2FA3" w:rsidRPr="007F2FA3">
                            <w:rPr>
                              <w:rFonts w:cs="Arial"/>
                              <w:b/>
                              <w:sz w:val="16"/>
                              <w:szCs w:val="16"/>
                            </w:rPr>
                            <w:t xml:space="preserve"> DEL SECTOR PARA LA </w:t>
                          </w:r>
                          <w:r w:rsidR="00767CF7" w:rsidRPr="00767CF7">
                            <w:rPr>
                              <w:b/>
                              <w:bCs/>
                              <w:sz w:val="16"/>
                              <w:szCs w:val="16"/>
                            </w:rPr>
                            <w:t>INTERVENTORIA TÉCNICA, ADMINISTRATIVA, FINANCIERA Y AMBIENTAL, PARA EL MANTENIMIENTO Y MEJORAMIENTO DE VÍAS RURALES PROG. COLOMBIA RURAL, MUNICIPIOS DE ZETAQUIRA (CONVENIO 2106-2020 ADICIÓN No. 2) Y MIRAFLORES (CONVENIO 2302-2020 ADICIÓN No. 2)</w:t>
                          </w:r>
                        </w:p>
                        <w:p w14:paraId="1F3B1409" w14:textId="77777777" w:rsidR="007F2FA3" w:rsidRPr="00B93ACB" w:rsidRDefault="007F2FA3" w:rsidP="00B93ACB">
                          <w:pPr>
                            <w:pStyle w:val="Encabezado"/>
                            <w:tabs>
                              <w:tab w:val="clear" w:pos="4252"/>
                              <w:tab w:val="clear" w:pos="8504"/>
                            </w:tabs>
                            <w:spacing w:line="276" w:lineRule="auto"/>
                            <w:rPr>
                              <w:rFonts w:cs="Arial"/>
                              <w:b/>
                              <w:sz w:val="16"/>
                              <w:szCs w:val="16"/>
                            </w:rPr>
                          </w:pPr>
                        </w:p>
                        <w:p w14:paraId="562C75D1" w14:textId="77777777" w:rsidR="00A27E5E" w:rsidRPr="00B93ACB" w:rsidRDefault="00A27E5E" w:rsidP="00B93ACB">
                          <w:pPr>
                            <w:pStyle w:val="Encabezado"/>
                            <w:tabs>
                              <w:tab w:val="clear" w:pos="4252"/>
                              <w:tab w:val="clear" w:pos="8504"/>
                            </w:tabs>
                            <w:spacing w:line="276" w:lineRule="auto"/>
                            <w:rPr>
                              <w:rFonts w:cs="Arial"/>
                              <w:b/>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B921C7" id="_x0000_t202" coordsize="21600,21600" o:spt="202" path="m,l,21600r21600,l21600,xe">
              <v:stroke joinstyle="miter"/>
              <v:path gradientshapeok="t" o:connecttype="rect"/>
            </v:shapetype>
            <v:shape id="Text Box 4" o:spid="_x0000_s1026" type="#_x0000_t202" style="position:absolute;margin-left:.35pt;margin-top:30.15pt;width:480.75pt;height:42.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" stroked="f">
              <v:textbox>
                <w:txbxContent>
                  <w:p w14:paraId="6BBD34B5" w14:textId="6DACDE2F" w:rsidR="007F2FA3" w:rsidRPr="00B93ACB" w:rsidRDefault="004A3CE0" w:rsidP="007F2FA3">
                    <w:pPr>
                      <w:pStyle w:val="Encabezado"/>
                      <w:tabs>
                        <w:tab w:val="clear" w:pos="4252"/>
                        <w:tab w:val="clear" w:pos="8504"/>
                      </w:tabs>
                      <w:spacing w:line="276" w:lineRule="auto"/>
                      <w:rPr>
                        <w:rFonts w:cs="Arial"/>
                        <w:b/>
                        <w:sz w:val="16"/>
                        <w:szCs w:val="16"/>
                      </w:rPr>
                    </w:pPr>
                    <w:r w:rsidRPr="007F2FA3">
                      <w:rPr>
                        <w:rFonts w:cs="Arial"/>
                        <w:b/>
                        <w:sz w:val="16"/>
                        <w:szCs w:val="16"/>
                      </w:rPr>
                      <w:t>ANÁLISIS</w:t>
                    </w:r>
                    <w:r w:rsidR="007F2FA3" w:rsidRPr="007F2FA3">
                      <w:rPr>
                        <w:rFonts w:cs="Arial"/>
                        <w:b/>
                        <w:sz w:val="16"/>
                        <w:szCs w:val="16"/>
                      </w:rPr>
                      <w:t xml:space="preserve"> DEL SECTOR PARA LA </w:t>
                    </w:r>
                    <w:r w:rsidR="00767CF7" w:rsidRPr="00767CF7">
                      <w:rPr>
                        <w:b/>
                        <w:bCs/>
                        <w:sz w:val="16"/>
                        <w:szCs w:val="16"/>
                      </w:rPr>
                      <w:t>INTERVENTORIA TÉCNICA, ADMINISTRATIVA, FINANCIERA Y AMBIENTAL, PARA EL MANTENIMIENTO Y MEJORAMIENTO DE VÍAS RURALES PROG. COLOMBIA RURAL, MUNICIPIOS DE ZETAQUIRA (CONVENIO 2106-2020 ADICIÓN No. 2) Y MIRAFLORES (CONVENIO 2302-2020 ADICIÓN No. 2)</w:t>
                    </w:r>
                  </w:p>
                  <w:p w14:paraId="1F3B1409" w14:textId="77777777" w:rsidR="007F2FA3" w:rsidRPr="00B93ACB" w:rsidRDefault="007F2FA3" w:rsidP="00B93ACB">
                    <w:pPr>
                      <w:pStyle w:val="Encabezado"/>
                      <w:tabs>
                        <w:tab w:val="clear" w:pos="4252"/>
                        <w:tab w:val="clear" w:pos="8504"/>
                      </w:tabs>
                      <w:spacing w:line="276" w:lineRule="auto"/>
                      <w:rPr>
                        <w:rFonts w:cs="Arial"/>
                        <w:b/>
                        <w:sz w:val="16"/>
                        <w:szCs w:val="16"/>
                      </w:rPr>
                    </w:pPr>
                  </w:p>
                  <w:p w14:paraId="562C75D1" w14:textId="77777777" w:rsidR="00A27E5E" w:rsidRPr="00B93ACB" w:rsidRDefault="00A27E5E" w:rsidP="00B93ACB">
                    <w:pPr>
                      <w:pStyle w:val="Encabezado"/>
                      <w:tabs>
                        <w:tab w:val="clear" w:pos="4252"/>
                        <w:tab w:val="clear" w:pos="8504"/>
                      </w:tabs>
                      <w:spacing w:line="276" w:lineRule="auto"/>
                      <w:rPr>
                        <w:rFonts w:cs="Arial"/>
                        <w:b/>
                        <w:sz w:val="16"/>
                        <w:szCs w:val="16"/>
                      </w:rPr>
                    </w:pPr>
                  </w:p>
                </w:txbxContent>
              </v:textbox>
              <w10:wrap anchorx="margin"/>
            </v:shape>
          </w:pict>
        </mc:Fallback>
      </mc:AlternateContent>
    </w:r>
    <w:r>
      <w:rPr>
        <w:noProof/>
        <w:lang w:eastAsia="es-CO"/>
      </w:rPr>
      <w:drawing>
        <wp:anchor distT="0" distB="0" distL="114300" distR="114300" simplePos="0" relativeHeight="251661312" behindDoc="1" locked="0" layoutInCell="1" allowOverlap="1" wp14:anchorId="7B627F2B" wp14:editId="67A02BCA">
          <wp:simplePos x="0" y="0"/>
          <wp:positionH relativeFrom="margin">
            <wp:posOffset>-603885</wp:posOffset>
          </wp:positionH>
          <wp:positionV relativeFrom="paragraph">
            <wp:posOffset>-226695</wp:posOffset>
          </wp:positionV>
          <wp:extent cx="2838450" cy="609600"/>
          <wp:effectExtent l="0" t="0" r="0" b="0"/>
          <wp:wrapThrough wrapText="bothSides">
            <wp:wrapPolygon edited="0">
              <wp:start x="0" y="0"/>
              <wp:lineTo x="0" y="20925"/>
              <wp:lineTo x="21455" y="20925"/>
              <wp:lineTo x="21455" y="0"/>
              <wp:lineTo x="0" y="0"/>
            </wp:wrapPolygon>
          </wp:wrapThrough>
          <wp:docPr id="2" name="Imagen 3"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illa INVIAS nueva resolucion-02"/>
                  <pic:cNvPicPr>
                    <a:picLocks noChangeAspect="1" noChangeArrowheads="1"/>
                  </pic:cNvPicPr>
                </pic:nvPicPr>
                <pic:blipFill rotWithShape="1">
                  <a:blip r:embed="rId1">
                    <a:extLst>
                      <a:ext uri="{28A0092B-C50C-407E-A947-70E740481C1C}">
                        <a14:useLocalDpi xmlns:a14="http://schemas.microsoft.com/office/drawing/2010/main" val="0"/>
                      </a:ext>
                    </a:extLst>
                  </a:blip>
                  <a:srcRect t="3875" r="53384" b="80575"/>
                  <a:stretch/>
                </pic:blipFill>
                <pic:spPr bwMode="auto">
                  <a:xfrm>
                    <a:off x="0" y="0"/>
                    <a:ext cx="283845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79F"/>
    <w:multiLevelType w:val="hybridMultilevel"/>
    <w:tmpl w:val="5A947384"/>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762F5"/>
    <w:multiLevelType w:val="hybridMultilevel"/>
    <w:tmpl w:val="3F502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00051"/>
    <w:multiLevelType w:val="hybridMultilevel"/>
    <w:tmpl w:val="89167C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CA7C17"/>
    <w:multiLevelType w:val="hybridMultilevel"/>
    <w:tmpl w:val="8DB61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18626D"/>
    <w:multiLevelType w:val="hybridMultilevel"/>
    <w:tmpl w:val="BFB62360"/>
    <w:lvl w:ilvl="0" w:tplc="11B23C60">
      <w:start w:val="4"/>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D8C5D14"/>
    <w:multiLevelType w:val="hybridMultilevel"/>
    <w:tmpl w:val="1AD84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545523"/>
    <w:multiLevelType w:val="multilevel"/>
    <w:tmpl w:val="FC6C6F8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 w15:restartNumberingAfterBreak="0">
    <w:nsid w:val="0E9D54F8"/>
    <w:multiLevelType w:val="hybridMultilevel"/>
    <w:tmpl w:val="B27A92EC"/>
    <w:lvl w:ilvl="0" w:tplc="240A0005">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9" w15:restartNumberingAfterBreak="0">
    <w:nsid w:val="0EE6474D"/>
    <w:multiLevelType w:val="hybridMultilevel"/>
    <w:tmpl w:val="86FE363A"/>
    <w:lvl w:ilvl="0" w:tplc="BBCE7E3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467A8"/>
    <w:multiLevelType w:val="hybridMultilevel"/>
    <w:tmpl w:val="A93AA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1C79F0"/>
    <w:multiLevelType w:val="hybridMultilevel"/>
    <w:tmpl w:val="AB72CF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315E72"/>
    <w:multiLevelType w:val="hybridMultilevel"/>
    <w:tmpl w:val="AAD678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F13356"/>
    <w:multiLevelType w:val="hybridMultilevel"/>
    <w:tmpl w:val="C8A01540"/>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0D694E"/>
    <w:multiLevelType w:val="hybridMultilevel"/>
    <w:tmpl w:val="BAC21656"/>
    <w:lvl w:ilvl="0" w:tplc="240A0005">
      <w:start w:val="1"/>
      <w:numFmt w:val="bullet"/>
      <w:lvlText w:val=""/>
      <w:lvlJc w:val="left"/>
      <w:pPr>
        <w:ind w:left="360" w:hanging="360"/>
      </w:pPr>
      <w:rPr>
        <w:rFonts w:ascii="Wingdings" w:hAnsi="Wingdings" w:hint="default"/>
      </w:rPr>
    </w:lvl>
    <w:lvl w:ilvl="1" w:tplc="240A0005">
      <w:start w:val="1"/>
      <w:numFmt w:val="bullet"/>
      <w:lvlText w:val=""/>
      <w:lvlJc w:val="left"/>
      <w:pPr>
        <w:ind w:left="360" w:hanging="360"/>
      </w:pPr>
      <w:rPr>
        <w:rFonts w:ascii="Wingdings" w:hAnsi="Wingdings" w:hint="default"/>
      </w:rPr>
    </w:lvl>
    <w:lvl w:ilvl="2" w:tplc="382AFC6E">
      <w:numFmt w:val="bullet"/>
      <w:lvlText w:val="-"/>
      <w:lvlJc w:val="left"/>
      <w:pPr>
        <w:ind w:left="1812" w:hanging="372"/>
      </w:pPr>
      <w:rPr>
        <w:rFonts w:ascii="Arial" w:eastAsia="Calibri" w:hAnsi="Arial"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1C401E5"/>
    <w:multiLevelType w:val="hybridMultilevel"/>
    <w:tmpl w:val="C6B6A946"/>
    <w:lvl w:ilvl="0" w:tplc="240A000F">
      <w:start w:val="1"/>
      <w:numFmt w:val="decimal"/>
      <w:lvlText w:val="%1."/>
      <w:lvlJc w:val="left"/>
      <w:pPr>
        <w:ind w:left="720" w:hanging="360"/>
      </w:pPr>
      <w:rPr>
        <w:rFonts w:hint="default"/>
      </w:rPr>
    </w:lvl>
    <w:lvl w:ilvl="1" w:tplc="7542C2D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BF2E7C"/>
    <w:multiLevelType w:val="multilevel"/>
    <w:tmpl w:val="056694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E167B3"/>
    <w:multiLevelType w:val="hybridMultilevel"/>
    <w:tmpl w:val="F9DC0FC0"/>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9A0747"/>
    <w:multiLevelType w:val="hybridMultilevel"/>
    <w:tmpl w:val="A5B22A7C"/>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2CF6174D"/>
    <w:multiLevelType w:val="hybridMultilevel"/>
    <w:tmpl w:val="B5B6B630"/>
    <w:lvl w:ilvl="0" w:tplc="7472D76C">
      <w:start w:val="1"/>
      <w:numFmt w:val="decimal"/>
      <w:lvlText w:val="%1)"/>
      <w:lvlJc w:val="left"/>
      <w:pPr>
        <w:ind w:left="927"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2367FC"/>
    <w:multiLevelType w:val="hybridMultilevel"/>
    <w:tmpl w:val="DFEE4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760EB1"/>
    <w:multiLevelType w:val="hybridMultilevel"/>
    <w:tmpl w:val="B066D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BD6460"/>
    <w:multiLevelType w:val="hybridMultilevel"/>
    <w:tmpl w:val="FAD8B7AC"/>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24" w15:restartNumberingAfterBreak="0">
    <w:nsid w:val="3ACE296D"/>
    <w:multiLevelType w:val="multilevel"/>
    <w:tmpl w:val="F28A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357B27"/>
    <w:multiLevelType w:val="multilevel"/>
    <w:tmpl w:val="C9847DD2"/>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6" w15:restartNumberingAfterBreak="0">
    <w:nsid w:val="40BB7E89"/>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7" w15:restartNumberingAfterBreak="0">
    <w:nsid w:val="42EE761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A7573B"/>
    <w:multiLevelType w:val="hybridMultilevel"/>
    <w:tmpl w:val="8C3E87B2"/>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533A12A9"/>
    <w:multiLevelType w:val="hybridMultilevel"/>
    <w:tmpl w:val="42C031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0D3EA4"/>
    <w:multiLevelType w:val="multilevel"/>
    <w:tmpl w:val="B248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EA41D3"/>
    <w:multiLevelType w:val="hybridMultilevel"/>
    <w:tmpl w:val="C5A267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96A72ED"/>
    <w:multiLevelType w:val="multilevel"/>
    <w:tmpl w:val="44AC051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3" w15:restartNumberingAfterBreak="0">
    <w:nsid w:val="5B214A83"/>
    <w:multiLevelType w:val="hybridMultilevel"/>
    <w:tmpl w:val="54E40C2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F871A67"/>
    <w:multiLevelType w:val="multilevel"/>
    <w:tmpl w:val="301E6E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7032C4F"/>
    <w:multiLevelType w:val="multilevel"/>
    <w:tmpl w:val="C9B488DC"/>
    <w:lvl w:ilvl="0">
      <w:start w:val="6"/>
      <w:numFmt w:val="decimal"/>
      <w:lvlText w:val="%1."/>
      <w:lvlJc w:val="left"/>
      <w:pPr>
        <w:ind w:left="360" w:hanging="360"/>
      </w:pPr>
      <w:rPr>
        <w:rFonts w:eastAsia="Calibri" w:hint="default"/>
        <w:b w:val="0"/>
        <w:color w:val="000000"/>
      </w:rPr>
    </w:lvl>
    <w:lvl w:ilvl="1">
      <w:start w:val="3"/>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36" w15:restartNumberingAfterBreak="0">
    <w:nsid w:val="69E25FCF"/>
    <w:multiLevelType w:val="hybridMultilevel"/>
    <w:tmpl w:val="9DA08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40660EC"/>
    <w:multiLevelType w:val="hybridMultilevel"/>
    <w:tmpl w:val="465802A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493538"/>
    <w:multiLevelType w:val="hybridMultilevel"/>
    <w:tmpl w:val="A56A82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74C6884"/>
    <w:multiLevelType w:val="hybridMultilevel"/>
    <w:tmpl w:val="A992E908"/>
    <w:lvl w:ilvl="0" w:tplc="5588BC56">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AF0FCA"/>
    <w:multiLevelType w:val="hybridMultilevel"/>
    <w:tmpl w:val="CFC0907E"/>
    <w:lvl w:ilvl="0" w:tplc="240A0011">
      <w:start w:val="1"/>
      <w:numFmt w:val="decimal"/>
      <w:lvlText w:val="%1)"/>
      <w:lvlJc w:val="left"/>
      <w:pPr>
        <w:ind w:left="720" w:hanging="360"/>
      </w:pPr>
    </w:lvl>
    <w:lvl w:ilvl="1" w:tplc="240A0017">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3705D7"/>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num w:numId="1" w16cid:durableId="594872429">
    <w:abstractNumId w:val="14"/>
  </w:num>
  <w:num w:numId="2" w16cid:durableId="1892688442">
    <w:abstractNumId w:val="8"/>
  </w:num>
  <w:num w:numId="3" w16cid:durableId="325019786">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789795">
    <w:abstractNumId w:val="28"/>
  </w:num>
  <w:num w:numId="5" w16cid:durableId="961308421">
    <w:abstractNumId w:val="38"/>
  </w:num>
  <w:num w:numId="6" w16cid:durableId="327441994">
    <w:abstractNumId w:val="19"/>
  </w:num>
  <w:num w:numId="7" w16cid:durableId="1698116148">
    <w:abstractNumId w:val="11"/>
  </w:num>
  <w:num w:numId="8" w16cid:durableId="105276366">
    <w:abstractNumId w:val="6"/>
  </w:num>
  <w:num w:numId="9" w16cid:durableId="1415784102">
    <w:abstractNumId w:val="15"/>
  </w:num>
  <w:num w:numId="10" w16cid:durableId="1490905616">
    <w:abstractNumId w:val="21"/>
  </w:num>
  <w:num w:numId="11" w16cid:durableId="795560221">
    <w:abstractNumId w:val="22"/>
  </w:num>
  <w:num w:numId="12" w16cid:durableId="921911973">
    <w:abstractNumId w:val="36"/>
  </w:num>
  <w:num w:numId="13" w16cid:durableId="1942488476">
    <w:abstractNumId w:val="4"/>
  </w:num>
  <w:num w:numId="14" w16cid:durableId="1662538589">
    <w:abstractNumId w:val="9"/>
  </w:num>
  <w:num w:numId="15" w16cid:durableId="1991400066">
    <w:abstractNumId w:val="40"/>
  </w:num>
  <w:num w:numId="16" w16cid:durableId="1287279493">
    <w:abstractNumId w:val="31"/>
  </w:num>
  <w:num w:numId="17" w16cid:durableId="103160141">
    <w:abstractNumId w:val="17"/>
  </w:num>
  <w:num w:numId="18" w16cid:durableId="549728385">
    <w:abstractNumId w:val="0"/>
  </w:num>
  <w:num w:numId="19" w16cid:durableId="1881362160">
    <w:abstractNumId w:val="23"/>
  </w:num>
  <w:num w:numId="20" w16cid:durableId="1757434553">
    <w:abstractNumId w:val="1"/>
  </w:num>
  <w:num w:numId="21" w16cid:durableId="206918480">
    <w:abstractNumId w:val="35"/>
  </w:num>
  <w:num w:numId="22" w16cid:durableId="1972052360">
    <w:abstractNumId w:val="27"/>
  </w:num>
  <w:num w:numId="23" w16cid:durableId="434835254">
    <w:abstractNumId w:val="39"/>
  </w:num>
  <w:num w:numId="24" w16cid:durableId="1919827672">
    <w:abstractNumId w:val="3"/>
  </w:num>
  <w:num w:numId="25" w16cid:durableId="143815034">
    <w:abstractNumId w:val="20"/>
  </w:num>
  <w:num w:numId="26" w16cid:durableId="1955820575">
    <w:abstractNumId w:val="41"/>
  </w:num>
  <w:num w:numId="27" w16cid:durableId="282424834">
    <w:abstractNumId w:val="2"/>
  </w:num>
  <w:num w:numId="28" w16cid:durableId="365372341">
    <w:abstractNumId w:val="10"/>
  </w:num>
  <w:num w:numId="29" w16cid:durableId="1246380555">
    <w:abstractNumId w:val="29"/>
  </w:num>
  <w:num w:numId="30" w16cid:durableId="1682658106">
    <w:abstractNumId w:val="12"/>
  </w:num>
  <w:num w:numId="31" w16cid:durableId="1137143469">
    <w:abstractNumId w:val="42"/>
  </w:num>
  <w:num w:numId="32" w16cid:durableId="60715141">
    <w:abstractNumId w:val="5"/>
  </w:num>
  <w:num w:numId="33" w16cid:durableId="808942273">
    <w:abstractNumId w:val="34"/>
  </w:num>
  <w:num w:numId="34" w16cid:durableId="1493255878">
    <w:abstractNumId w:val="7"/>
  </w:num>
  <w:num w:numId="35" w16cid:durableId="1009598323">
    <w:abstractNumId w:val="32"/>
  </w:num>
  <w:num w:numId="36" w16cid:durableId="15037330">
    <w:abstractNumId w:val="26"/>
  </w:num>
  <w:num w:numId="37" w16cid:durableId="1654219798">
    <w:abstractNumId w:val="25"/>
  </w:num>
  <w:num w:numId="38" w16cid:durableId="1962033270">
    <w:abstractNumId w:val="13"/>
  </w:num>
  <w:num w:numId="39" w16cid:durableId="76171077">
    <w:abstractNumId w:val="18"/>
  </w:num>
  <w:num w:numId="40" w16cid:durableId="1197544402">
    <w:abstractNumId w:val="16"/>
  </w:num>
  <w:num w:numId="41" w16cid:durableId="1762752690">
    <w:abstractNumId w:val="30"/>
  </w:num>
  <w:num w:numId="42" w16cid:durableId="1897084752">
    <w:abstractNumId w:val="24"/>
  </w:num>
  <w:num w:numId="43" w16cid:durableId="1042249610">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fr-FR" w:vendorID="64" w:dllVersion="6" w:nlCheck="1" w:checkStyle="1"/>
  <w:activeWritingStyle w:appName="MSWord" w:lang="es-CO" w:vendorID="64" w:dllVersion="0" w:nlCheck="1" w:checkStyle="0"/>
  <w:activeWritingStyle w:appName="MSWord" w:lang="fr-FR"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O" w:vendorID="9" w:dllVersion="512"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71D"/>
    <w:rsid w:val="0000138E"/>
    <w:rsid w:val="00004A31"/>
    <w:rsid w:val="00006140"/>
    <w:rsid w:val="00014BD8"/>
    <w:rsid w:val="00015038"/>
    <w:rsid w:val="00017A84"/>
    <w:rsid w:val="00020C06"/>
    <w:rsid w:val="00023B89"/>
    <w:rsid w:val="000311BA"/>
    <w:rsid w:val="00037C6E"/>
    <w:rsid w:val="00043A12"/>
    <w:rsid w:val="00044BD7"/>
    <w:rsid w:val="00050E04"/>
    <w:rsid w:val="00054AF4"/>
    <w:rsid w:val="000553D4"/>
    <w:rsid w:val="00062535"/>
    <w:rsid w:val="00066FE1"/>
    <w:rsid w:val="000710A9"/>
    <w:rsid w:val="00080C57"/>
    <w:rsid w:val="000812F4"/>
    <w:rsid w:val="000823AB"/>
    <w:rsid w:val="00084E72"/>
    <w:rsid w:val="000862B3"/>
    <w:rsid w:val="000878BF"/>
    <w:rsid w:val="00090BC5"/>
    <w:rsid w:val="00090C26"/>
    <w:rsid w:val="00094893"/>
    <w:rsid w:val="000A2C14"/>
    <w:rsid w:val="000A6F27"/>
    <w:rsid w:val="000C1511"/>
    <w:rsid w:val="000C29ED"/>
    <w:rsid w:val="000C3922"/>
    <w:rsid w:val="000D15BC"/>
    <w:rsid w:val="000D2414"/>
    <w:rsid w:val="000D5F0F"/>
    <w:rsid w:val="000D754D"/>
    <w:rsid w:val="000D7D8F"/>
    <w:rsid w:val="000E22D7"/>
    <w:rsid w:val="000E414C"/>
    <w:rsid w:val="000E4C8D"/>
    <w:rsid w:val="000F7110"/>
    <w:rsid w:val="00100ABA"/>
    <w:rsid w:val="0010194E"/>
    <w:rsid w:val="001056FD"/>
    <w:rsid w:val="0010704D"/>
    <w:rsid w:val="00112B55"/>
    <w:rsid w:val="00113FBC"/>
    <w:rsid w:val="00114F8B"/>
    <w:rsid w:val="001151C1"/>
    <w:rsid w:val="00116B9A"/>
    <w:rsid w:val="0013510F"/>
    <w:rsid w:val="00137096"/>
    <w:rsid w:val="00142F28"/>
    <w:rsid w:val="00143D26"/>
    <w:rsid w:val="00144F58"/>
    <w:rsid w:val="00146CD0"/>
    <w:rsid w:val="00146EFB"/>
    <w:rsid w:val="001476EF"/>
    <w:rsid w:val="00156AED"/>
    <w:rsid w:val="001577E0"/>
    <w:rsid w:val="0016099B"/>
    <w:rsid w:val="001641BD"/>
    <w:rsid w:val="00164ACD"/>
    <w:rsid w:val="00171296"/>
    <w:rsid w:val="00175C08"/>
    <w:rsid w:val="001A151B"/>
    <w:rsid w:val="001A3536"/>
    <w:rsid w:val="001A52C2"/>
    <w:rsid w:val="001B07AD"/>
    <w:rsid w:val="001B52A7"/>
    <w:rsid w:val="001B6B5F"/>
    <w:rsid w:val="001C0D26"/>
    <w:rsid w:val="001C216B"/>
    <w:rsid w:val="001C7A81"/>
    <w:rsid w:val="001C7DF4"/>
    <w:rsid w:val="001D0EDF"/>
    <w:rsid w:val="001D58E6"/>
    <w:rsid w:val="001D605C"/>
    <w:rsid w:val="001D745B"/>
    <w:rsid w:val="001E6498"/>
    <w:rsid w:val="001E7A1B"/>
    <w:rsid w:val="001F3656"/>
    <w:rsid w:val="001F36A5"/>
    <w:rsid w:val="001F3C05"/>
    <w:rsid w:val="001F5100"/>
    <w:rsid w:val="00202432"/>
    <w:rsid w:val="00202613"/>
    <w:rsid w:val="00226F25"/>
    <w:rsid w:val="00240240"/>
    <w:rsid w:val="00240B9F"/>
    <w:rsid w:val="00240DC4"/>
    <w:rsid w:val="00271DC6"/>
    <w:rsid w:val="00273901"/>
    <w:rsid w:val="00276DBF"/>
    <w:rsid w:val="00280AE3"/>
    <w:rsid w:val="00290455"/>
    <w:rsid w:val="00294BD1"/>
    <w:rsid w:val="00297183"/>
    <w:rsid w:val="00297C12"/>
    <w:rsid w:val="002A3668"/>
    <w:rsid w:val="002A6C6E"/>
    <w:rsid w:val="002B72A6"/>
    <w:rsid w:val="002C1E25"/>
    <w:rsid w:val="002C216D"/>
    <w:rsid w:val="002C36D8"/>
    <w:rsid w:val="002C6E38"/>
    <w:rsid w:val="002D18A5"/>
    <w:rsid w:val="002D3219"/>
    <w:rsid w:val="002D4061"/>
    <w:rsid w:val="002D75E1"/>
    <w:rsid w:val="002E117F"/>
    <w:rsid w:val="002E1427"/>
    <w:rsid w:val="002E528C"/>
    <w:rsid w:val="002F0C67"/>
    <w:rsid w:val="002F2C3B"/>
    <w:rsid w:val="002F4DD7"/>
    <w:rsid w:val="0030077F"/>
    <w:rsid w:val="00300EB7"/>
    <w:rsid w:val="00301F29"/>
    <w:rsid w:val="00304F23"/>
    <w:rsid w:val="00306B54"/>
    <w:rsid w:val="00306FF5"/>
    <w:rsid w:val="003145B4"/>
    <w:rsid w:val="0031566D"/>
    <w:rsid w:val="00317D24"/>
    <w:rsid w:val="00353CF2"/>
    <w:rsid w:val="00356DDD"/>
    <w:rsid w:val="00360487"/>
    <w:rsid w:val="003707DA"/>
    <w:rsid w:val="00377912"/>
    <w:rsid w:val="00382D4F"/>
    <w:rsid w:val="00386C4A"/>
    <w:rsid w:val="0039059B"/>
    <w:rsid w:val="0039112D"/>
    <w:rsid w:val="003A0ADF"/>
    <w:rsid w:val="003A2807"/>
    <w:rsid w:val="003A470D"/>
    <w:rsid w:val="003A5A68"/>
    <w:rsid w:val="003C3DFD"/>
    <w:rsid w:val="003C5E25"/>
    <w:rsid w:val="003D0160"/>
    <w:rsid w:val="003D13D0"/>
    <w:rsid w:val="003E6023"/>
    <w:rsid w:val="0040359E"/>
    <w:rsid w:val="00404CB0"/>
    <w:rsid w:val="00405406"/>
    <w:rsid w:val="004150AA"/>
    <w:rsid w:val="0042205D"/>
    <w:rsid w:val="004334E7"/>
    <w:rsid w:val="00440F8C"/>
    <w:rsid w:val="00447B24"/>
    <w:rsid w:val="00447C31"/>
    <w:rsid w:val="00454136"/>
    <w:rsid w:val="00461BF7"/>
    <w:rsid w:val="00462E02"/>
    <w:rsid w:val="004638C5"/>
    <w:rsid w:val="00465903"/>
    <w:rsid w:val="004659BB"/>
    <w:rsid w:val="004665BB"/>
    <w:rsid w:val="00484164"/>
    <w:rsid w:val="00484C9C"/>
    <w:rsid w:val="004862B7"/>
    <w:rsid w:val="00486B39"/>
    <w:rsid w:val="00492BBA"/>
    <w:rsid w:val="004966B4"/>
    <w:rsid w:val="004A3CE0"/>
    <w:rsid w:val="004A6954"/>
    <w:rsid w:val="004A7D58"/>
    <w:rsid w:val="004B0509"/>
    <w:rsid w:val="004B501D"/>
    <w:rsid w:val="004B5C98"/>
    <w:rsid w:val="004B60C8"/>
    <w:rsid w:val="004C0C02"/>
    <w:rsid w:val="004C38BC"/>
    <w:rsid w:val="004C7D2C"/>
    <w:rsid w:val="004E0B98"/>
    <w:rsid w:val="004E0E85"/>
    <w:rsid w:val="004E2D10"/>
    <w:rsid w:val="004F3BC8"/>
    <w:rsid w:val="004F6F5A"/>
    <w:rsid w:val="0050258D"/>
    <w:rsid w:val="00503F78"/>
    <w:rsid w:val="00505B8D"/>
    <w:rsid w:val="005060AA"/>
    <w:rsid w:val="005065A5"/>
    <w:rsid w:val="00506C74"/>
    <w:rsid w:val="0050794B"/>
    <w:rsid w:val="00510C13"/>
    <w:rsid w:val="00511B9A"/>
    <w:rsid w:val="00517B5A"/>
    <w:rsid w:val="005264A5"/>
    <w:rsid w:val="005302DE"/>
    <w:rsid w:val="00534066"/>
    <w:rsid w:val="00534F04"/>
    <w:rsid w:val="00534F6A"/>
    <w:rsid w:val="0054630F"/>
    <w:rsid w:val="005477EF"/>
    <w:rsid w:val="00550D8B"/>
    <w:rsid w:val="00553EDF"/>
    <w:rsid w:val="00554910"/>
    <w:rsid w:val="005669C6"/>
    <w:rsid w:val="0057183E"/>
    <w:rsid w:val="00572601"/>
    <w:rsid w:val="00577534"/>
    <w:rsid w:val="005776F9"/>
    <w:rsid w:val="00581ABE"/>
    <w:rsid w:val="00583651"/>
    <w:rsid w:val="0058532E"/>
    <w:rsid w:val="00590AB3"/>
    <w:rsid w:val="00592EB9"/>
    <w:rsid w:val="00593AEE"/>
    <w:rsid w:val="005A3BC5"/>
    <w:rsid w:val="005A473C"/>
    <w:rsid w:val="005A71C4"/>
    <w:rsid w:val="005A7591"/>
    <w:rsid w:val="005C18C4"/>
    <w:rsid w:val="005C4E55"/>
    <w:rsid w:val="005C52E8"/>
    <w:rsid w:val="005C537C"/>
    <w:rsid w:val="005E3814"/>
    <w:rsid w:val="005E61B0"/>
    <w:rsid w:val="005F06B3"/>
    <w:rsid w:val="005F5027"/>
    <w:rsid w:val="005F5717"/>
    <w:rsid w:val="006013EC"/>
    <w:rsid w:val="00604427"/>
    <w:rsid w:val="0060732B"/>
    <w:rsid w:val="00610898"/>
    <w:rsid w:val="00610F66"/>
    <w:rsid w:val="00614AD7"/>
    <w:rsid w:val="0061570B"/>
    <w:rsid w:val="0062082D"/>
    <w:rsid w:val="00621FE4"/>
    <w:rsid w:val="006331AF"/>
    <w:rsid w:val="00635D22"/>
    <w:rsid w:val="00642FA9"/>
    <w:rsid w:val="0064744D"/>
    <w:rsid w:val="00647582"/>
    <w:rsid w:val="00652D7F"/>
    <w:rsid w:val="00657852"/>
    <w:rsid w:val="00666C51"/>
    <w:rsid w:val="0066717F"/>
    <w:rsid w:val="00680A01"/>
    <w:rsid w:val="00680DA3"/>
    <w:rsid w:val="00681952"/>
    <w:rsid w:val="00694403"/>
    <w:rsid w:val="006A2D7D"/>
    <w:rsid w:val="006B1686"/>
    <w:rsid w:val="006B5970"/>
    <w:rsid w:val="006C3319"/>
    <w:rsid w:val="006C6995"/>
    <w:rsid w:val="006C7B81"/>
    <w:rsid w:val="006D0479"/>
    <w:rsid w:val="006D112F"/>
    <w:rsid w:val="006D442B"/>
    <w:rsid w:val="006E6D82"/>
    <w:rsid w:val="006E7640"/>
    <w:rsid w:val="006F099E"/>
    <w:rsid w:val="006F471C"/>
    <w:rsid w:val="00716D13"/>
    <w:rsid w:val="00717458"/>
    <w:rsid w:val="007238F0"/>
    <w:rsid w:val="00737154"/>
    <w:rsid w:val="00741BD1"/>
    <w:rsid w:val="0074359C"/>
    <w:rsid w:val="007452DC"/>
    <w:rsid w:val="007541BE"/>
    <w:rsid w:val="00754D35"/>
    <w:rsid w:val="00761278"/>
    <w:rsid w:val="007621F1"/>
    <w:rsid w:val="007664AB"/>
    <w:rsid w:val="00766877"/>
    <w:rsid w:val="00766ADE"/>
    <w:rsid w:val="00766E95"/>
    <w:rsid w:val="00767CF7"/>
    <w:rsid w:val="007731E3"/>
    <w:rsid w:val="00780FF8"/>
    <w:rsid w:val="0078256E"/>
    <w:rsid w:val="00783624"/>
    <w:rsid w:val="00783AA9"/>
    <w:rsid w:val="007848FD"/>
    <w:rsid w:val="00793611"/>
    <w:rsid w:val="00793804"/>
    <w:rsid w:val="007B11FD"/>
    <w:rsid w:val="007B1417"/>
    <w:rsid w:val="007B1D4E"/>
    <w:rsid w:val="007B1F7E"/>
    <w:rsid w:val="007B63EC"/>
    <w:rsid w:val="007B6453"/>
    <w:rsid w:val="007C04B4"/>
    <w:rsid w:val="007C0921"/>
    <w:rsid w:val="007C2405"/>
    <w:rsid w:val="007C29D1"/>
    <w:rsid w:val="007C3DF0"/>
    <w:rsid w:val="007D4EBA"/>
    <w:rsid w:val="007E1274"/>
    <w:rsid w:val="007F2B8E"/>
    <w:rsid w:val="007F2FA3"/>
    <w:rsid w:val="00803839"/>
    <w:rsid w:val="0080446F"/>
    <w:rsid w:val="00804D9B"/>
    <w:rsid w:val="00810A01"/>
    <w:rsid w:val="00814DF4"/>
    <w:rsid w:val="00815884"/>
    <w:rsid w:val="0082305D"/>
    <w:rsid w:val="00824157"/>
    <w:rsid w:val="0083047A"/>
    <w:rsid w:val="00835FB0"/>
    <w:rsid w:val="00837641"/>
    <w:rsid w:val="00841381"/>
    <w:rsid w:val="00844551"/>
    <w:rsid w:val="00846459"/>
    <w:rsid w:val="00846D1D"/>
    <w:rsid w:val="008525D5"/>
    <w:rsid w:val="0085769D"/>
    <w:rsid w:val="008613CF"/>
    <w:rsid w:val="008633BE"/>
    <w:rsid w:val="00863BC3"/>
    <w:rsid w:val="0086776B"/>
    <w:rsid w:val="00874535"/>
    <w:rsid w:val="008755B8"/>
    <w:rsid w:val="00877DD2"/>
    <w:rsid w:val="00887199"/>
    <w:rsid w:val="00890C94"/>
    <w:rsid w:val="00892E6E"/>
    <w:rsid w:val="00895B5B"/>
    <w:rsid w:val="008A284C"/>
    <w:rsid w:val="008A4EB9"/>
    <w:rsid w:val="008B13C7"/>
    <w:rsid w:val="008B49F0"/>
    <w:rsid w:val="008C3BFD"/>
    <w:rsid w:val="008C5015"/>
    <w:rsid w:val="008D125D"/>
    <w:rsid w:val="008D31B8"/>
    <w:rsid w:val="008D4327"/>
    <w:rsid w:val="008D7DA2"/>
    <w:rsid w:val="008E5915"/>
    <w:rsid w:val="008F2BB8"/>
    <w:rsid w:val="009226A9"/>
    <w:rsid w:val="009350DE"/>
    <w:rsid w:val="00935628"/>
    <w:rsid w:val="009360DB"/>
    <w:rsid w:val="0093767D"/>
    <w:rsid w:val="00941078"/>
    <w:rsid w:val="009428CB"/>
    <w:rsid w:val="00943C83"/>
    <w:rsid w:val="009447B1"/>
    <w:rsid w:val="0094658A"/>
    <w:rsid w:val="00950B29"/>
    <w:rsid w:val="0095383C"/>
    <w:rsid w:val="00953F9D"/>
    <w:rsid w:val="009557E7"/>
    <w:rsid w:val="00955DC5"/>
    <w:rsid w:val="00956C32"/>
    <w:rsid w:val="009601E3"/>
    <w:rsid w:val="00962CAC"/>
    <w:rsid w:val="00962E1D"/>
    <w:rsid w:val="009669CA"/>
    <w:rsid w:val="00975F46"/>
    <w:rsid w:val="0097728A"/>
    <w:rsid w:val="00977DFD"/>
    <w:rsid w:val="009802E9"/>
    <w:rsid w:val="00984228"/>
    <w:rsid w:val="00984E72"/>
    <w:rsid w:val="0099052A"/>
    <w:rsid w:val="00990738"/>
    <w:rsid w:val="00991D62"/>
    <w:rsid w:val="009964FF"/>
    <w:rsid w:val="00996662"/>
    <w:rsid w:val="00997DA3"/>
    <w:rsid w:val="009A4453"/>
    <w:rsid w:val="009A4C95"/>
    <w:rsid w:val="009A4EFA"/>
    <w:rsid w:val="009A7E7A"/>
    <w:rsid w:val="009B3BC7"/>
    <w:rsid w:val="009B500E"/>
    <w:rsid w:val="009C584F"/>
    <w:rsid w:val="009D0299"/>
    <w:rsid w:val="009E3437"/>
    <w:rsid w:val="009E59B9"/>
    <w:rsid w:val="009F3773"/>
    <w:rsid w:val="009F4E37"/>
    <w:rsid w:val="009F6B77"/>
    <w:rsid w:val="00A00D69"/>
    <w:rsid w:val="00A1080C"/>
    <w:rsid w:val="00A10D53"/>
    <w:rsid w:val="00A1348D"/>
    <w:rsid w:val="00A13F74"/>
    <w:rsid w:val="00A156C4"/>
    <w:rsid w:val="00A2199B"/>
    <w:rsid w:val="00A23970"/>
    <w:rsid w:val="00A23F77"/>
    <w:rsid w:val="00A27E5E"/>
    <w:rsid w:val="00A30AD3"/>
    <w:rsid w:val="00A34F14"/>
    <w:rsid w:val="00A3725C"/>
    <w:rsid w:val="00A373EA"/>
    <w:rsid w:val="00A43AE9"/>
    <w:rsid w:val="00A52806"/>
    <w:rsid w:val="00A573BA"/>
    <w:rsid w:val="00A703D7"/>
    <w:rsid w:val="00A705E1"/>
    <w:rsid w:val="00AA30EA"/>
    <w:rsid w:val="00AA375E"/>
    <w:rsid w:val="00AA5592"/>
    <w:rsid w:val="00AB2767"/>
    <w:rsid w:val="00AB4CAD"/>
    <w:rsid w:val="00AB5FC2"/>
    <w:rsid w:val="00AC018C"/>
    <w:rsid w:val="00AC333C"/>
    <w:rsid w:val="00AC4101"/>
    <w:rsid w:val="00AC4316"/>
    <w:rsid w:val="00AD3C00"/>
    <w:rsid w:val="00AD3F74"/>
    <w:rsid w:val="00AD4E4B"/>
    <w:rsid w:val="00AF3DD0"/>
    <w:rsid w:val="00AF48A8"/>
    <w:rsid w:val="00AF7106"/>
    <w:rsid w:val="00B03BED"/>
    <w:rsid w:val="00B13DC1"/>
    <w:rsid w:val="00B15F0D"/>
    <w:rsid w:val="00B17B8A"/>
    <w:rsid w:val="00B27578"/>
    <w:rsid w:val="00B275FF"/>
    <w:rsid w:val="00B365BA"/>
    <w:rsid w:val="00B4117D"/>
    <w:rsid w:val="00B429FB"/>
    <w:rsid w:val="00B431E2"/>
    <w:rsid w:val="00B54B45"/>
    <w:rsid w:val="00B579A1"/>
    <w:rsid w:val="00B60F55"/>
    <w:rsid w:val="00B627DA"/>
    <w:rsid w:val="00B715C6"/>
    <w:rsid w:val="00B736A8"/>
    <w:rsid w:val="00B744BA"/>
    <w:rsid w:val="00B86192"/>
    <w:rsid w:val="00B90D60"/>
    <w:rsid w:val="00B92203"/>
    <w:rsid w:val="00B93ACB"/>
    <w:rsid w:val="00B9532B"/>
    <w:rsid w:val="00BA04F3"/>
    <w:rsid w:val="00BA630E"/>
    <w:rsid w:val="00BB1DC2"/>
    <w:rsid w:val="00BB2F42"/>
    <w:rsid w:val="00BB631E"/>
    <w:rsid w:val="00BC3BB4"/>
    <w:rsid w:val="00BD07AA"/>
    <w:rsid w:val="00BD3C4F"/>
    <w:rsid w:val="00BD71D7"/>
    <w:rsid w:val="00BE2732"/>
    <w:rsid w:val="00BE3EBF"/>
    <w:rsid w:val="00BE57EC"/>
    <w:rsid w:val="00BF3225"/>
    <w:rsid w:val="00C00242"/>
    <w:rsid w:val="00C02B54"/>
    <w:rsid w:val="00C03568"/>
    <w:rsid w:val="00C11181"/>
    <w:rsid w:val="00C15E40"/>
    <w:rsid w:val="00C213C1"/>
    <w:rsid w:val="00C23F0A"/>
    <w:rsid w:val="00C27F81"/>
    <w:rsid w:val="00C32626"/>
    <w:rsid w:val="00C3414B"/>
    <w:rsid w:val="00C344F9"/>
    <w:rsid w:val="00C36DEA"/>
    <w:rsid w:val="00C4559C"/>
    <w:rsid w:val="00C47370"/>
    <w:rsid w:val="00C51EC7"/>
    <w:rsid w:val="00C524D5"/>
    <w:rsid w:val="00C52510"/>
    <w:rsid w:val="00C67521"/>
    <w:rsid w:val="00C721DB"/>
    <w:rsid w:val="00C77C89"/>
    <w:rsid w:val="00C837A2"/>
    <w:rsid w:val="00C879A0"/>
    <w:rsid w:val="00C961DB"/>
    <w:rsid w:val="00CA2D58"/>
    <w:rsid w:val="00CA56A0"/>
    <w:rsid w:val="00CA56FF"/>
    <w:rsid w:val="00CA7BCD"/>
    <w:rsid w:val="00CB11D8"/>
    <w:rsid w:val="00CB4B95"/>
    <w:rsid w:val="00CC5C2E"/>
    <w:rsid w:val="00CC5FA0"/>
    <w:rsid w:val="00CD0655"/>
    <w:rsid w:val="00CE295B"/>
    <w:rsid w:val="00CE6F90"/>
    <w:rsid w:val="00CE7081"/>
    <w:rsid w:val="00CE71A9"/>
    <w:rsid w:val="00CF2E88"/>
    <w:rsid w:val="00CF7344"/>
    <w:rsid w:val="00D03318"/>
    <w:rsid w:val="00D145E1"/>
    <w:rsid w:val="00D178D9"/>
    <w:rsid w:val="00D22871"/>
    <w:rsid w:val="00D24400"/>
    <w:rsid w:val="00D26262"/>
    <w:rsid w:val="00D3530F"/>
    <w:rsid w:val="00D432E1"/>
    <w:rsid w:val="00D45D07"/>
    <w:rsid w:val="00D46803"/>
    <w:rsid w:val="00D55DD4"/>
    <w:rsid w:val="00D6306B"/>
    <w:rsid w:val="00D63CA2"/>
    <w:rsid w:val="00D65A7E"/>
    <w:rsid w:val="00D67310"/>
    <w:rsid w:val="00D76FFD"/>
    <w:rsid w:val="00D81A48"/>
    <w:rsid w:val="00D81C8D"/>
    <w:rsid w:val="00D8363E"/>
    <w:rsid w:val="00D8420A"/>
    <w:rsid w:val="00D915D7"/>
    <w:rsid w:val="00DA0482"/>
    <w:rsid w:val="00DA13BC"/>
    <w:rsid w:val="00DA171D"/>
    <w:rsid w:val="00DB3760"/>
    <w:rsid w:val="00DC1E8C"/>
    <w:rsid w:val="00DC6532"/>
    <w:rsid w:val="00DD2048"/>
    <w:rsid w:val="00DE58D5"/>
    <w:rsid w:val="00DF3242"/>
    <w:rsid w:val="00DF7CE9"/>
    <w:rsid w:val="00E0626A"/>
    <w:rsid w:val="00E06952"/>
    <w:rsid w:val="00E100D2"/>
    <w:rsid w:val="00E1184F"/>
    <w:rsid w:val="00E21165"/>
    <w:rsid w:val="00E260B5"/>
    <w:rsid w:val="00E27007"/>
    <w:rsid w:val="00E32C27"/>
    <w:rsid w:val="00E35AED"/>
    <w:rsid w:val="00E36403"/>
    <w:rsid w:val="00E53929"/>
    <w:rsid w:val="00E60D42"/>
    <w:rsid w:val="00E74E24"/>
    <w:rsid w:val="00E777FC"/>
    <w:rsid w:val="00E82F90"/>
    <w:rsid w:val="00E84BAF"/>
    <w:rsid w:val="00E86615"/>
    <w:rsid w:val="00E9397C"/>
    <w:rsid w:val="00E93DC3"/>
    <w:rsid w:val="00E94995"/>
    <w:rsid w:val="00EB45B3"/>
    <w:rsid w:val="00EB4C56"/>
    <w:rsid w:val="00EB6E89"/>
    <w:rsid w:val="00EC0194"/>
    <w:rsid w:val="00EC3C47"/>
    <w:rsid w:val="00EC52F4"/>
    <w:rsid w:val="00EC5511"/>
    <w:rsid w:val="00EC5A2B"/>
    <w:rsid w:val="00EC7942"/>
    <w:rsid w:val="00ED2E5D"/>
    <w:rsid w:val="00ED4742"/>
    <w:rsid w:val="00EE0DB4"/>
    <w:rsid w:val="00EE3938"/>
    <w:rsid w:val="00EE4936"/>
    <w:rsid w:val="00EE5ECF"/>
    <w:rsid w:val="00EF06CB"/>
    <w:rsid w:val="00EF1FA3"/>
    <w:rsid w:val="00F00486"/>
    <w:rsid w:val="00F066EF"/>
    <w:rsid w:val="00F1337E"/>
    <w:rsid w:val="00F24D47"/>
    <w:rsid w:val="00F277A9"/>
    <w:rsid w:val="00F31034"/>
    <w:rsid w:val="00F3385E"/>
    <w:rsid w:val="00F33EDC"/>
    <w:rsid w:val="00F3559D"/>
    <w:rsid w:val="00F4013B"/>
    <w:rsid w:val="00F44967"/>
    <w:rsid w:val="00F4661C"/>
    <w:rsid w:val="00F5144B"/>
    <w:rsid w:val="00F53790"/>
    <w:rsid w:val="00F56DE2"/>
    <w:rsid w:val="00F5723C"/>
    <w:rsid w:val="00F7023A"/>
    <w:rsid w:val="00F70F9B"/>
    <w:rsid w:val="00F71AF4"/>
    <w:rsid w:val="00F73485"/>
    <w:rsid w:val="00F74B5F"/>
    <w:rsid w:val="00F9231C"/>
    <w:rsid w:val="00F939B0"/>
    <w:rsid w:val="00F93E25"/>
    <w:rsid w:val="00F956F3"/>
    <w:rsid w:val="00F97AE4"/>
    <w:rsid w:val="00FA04DB"/>
    <w:rsid w:val="00FA5566"/>
    <w:rsid w:val="00FA7F26"/>
    <w:rsid w:val="00FB31A5"/>
    <w:rsid w:val="00FB4CD6"/>
    <w:rsid w:val="00FB7C69"/>
    <w:rsid w:val="00FC2A55"/>
    <w:rsid w:val="00FC43F8"/>
    <w:rsid w:val="00FD2399"/>
    <w:rsid w:val="00FD4E9A"/>
    <w:rsid w:val="00FD5BCB"/>
    <w:rsid w:val="00FD6AA0"/>
    <w:rsid w:val="00FF1D6B"/>
    <w:rsid w:val="00FF204A"/>
    <w:rsid w:val="00FF34BD"/>
    <w:rsid w:val="00FF5B2C"/>
    <w:rsid w:val="0604D8A8"/>
    <w:rsid w:val="07319456"/>
    <w:rsid w:val="07EBE39D"/>
    <w:rsid w:val="083907EA"/>
    <w:rsid w:val="0C777452"/>
    <w:rsid w:val="0DBF0735"/>
    <w:rsid w:val="0F229998"/>
    <w:rsid w:val="107E0285"/>
    <w:rsid w:val="10C07D2F"/>
    <w:rsid w:val="153B3B0F"/>
    <w:rsid w:val="1682B973"/>
    <w:rsid w:val="172A9C88"/>
    <w:rsid w:val="1C62B246"/>
    <w:rsid w:val="1F8250C2"/>
    <w:rsid w:val="2769CD5D"/>
    <w:rsid w:val="2996234E"/>
    <w:rsid w:val="2AD68954"/>
    <w:rsid w:val="2DE1BA7E"/>
    <w:rsid w:val="2E249A71"/>
    <w:rsid w:val="3464202C"/>
    <w:rsid w:val="39EF593A"/>
    <w:rsid w:val="443155EA"/>
    <w:rsid w:val="4D6DBA90"/>
    <w:rsid w:val="558264F3"/>
    <w:rsid w:val="5BC24C20"/>
    <w:rsid w:val="621FF84A"/>
    <w:rsid w:val="62EB148F"/>
    <w:rsid w:val="63B39733"/>
    <w:rsid w:val="6522C964"/>
    <w:rsid w:val="6A1AF466"/>
    <w:rsid w:val="6B1F4046"/>
    <w:rsid w:val="7044548E"/>
    <w:rsid w:val="76A6428D"/>
    <w:rsid w:val="79E7BD6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6F910E7"/>
  <w15:chartTrackingRefBased/>
  <w15:docId w15:val="{D706B691-0EA9-4B30-8A47-10B3A1CB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Body Text 3" w:uiPriority="99"/>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Narrow" w:hAnsi="Arial Narrow"/>
      <w:sz w:val="24"/>
      <w:lang w:eastAsia="es-ES"/>
    </w:rPr>
  </w:style>
  <w:style w:type="paragraph" w:styleId="Ttulo1">
    <w:name w:val="heading 1"/>
    <w:basedOn w:val="Normal"/>
    <w:next w:val="Normal"/>
    <w:link w:val="Ttulo1Car"/>
    <w:qFormat/>
    <w:pPr>
      <w:keepNext/>
      <w:outlineLvl w:val="0"/>
    </w:pPr>
    <w:rPr>
      <w:b/>
      <w:sz w:val="28"/>
    </w:rPr>
  </w:style>
  <w:style w:type="paragraph" w:styleId="Ttulo2">
    <w:name w:val="heading 2"/>
    <w:basedOn w:val="Normal"/>
    <w:next w:val="Normal"/>
    <w:link w:val="Ttulo2Car"/>
    <w:uiPriority w:val="9"/>
    <w:qFormat/>
    <w:pPr>
      <w:keepNext/>
      <w:jc w:val="both"/>
      <w:outlineLvl w:val="1"/>
    </w:pPr>
    <w:rPr>
      <w:b/>
    </w:rPr>
  </w:style>
  <w:style w:type="paragraph" w:styleId="Ttulo3">
    <w:name w:val="heading 3"/>
    <w:basedOn w:val="Normal"/>
    <w:next w:val="Normal"/>
    <w:link w:val="Ttulo3Car"/>
    <w:uiPriority w:val="9"/>
    <w:qFormat/>
    <w:pPr>
      <w:keepNext/>
      <w:ind w:left="1416" w:firstLine="708"/>
      <w:jc w:val="both"/>
      <w:outlineLvl w:val="2"/>
    </w:pPr>
    <w:rPr>
      <w:rFonts w:ascii="Arial" w:hAnsi="Arial"/>
      <w:lang w:val="es-MX"/>
    </w:rPr>
  </w:style>
  <w:style w:type="paragraph" w:styleId="Ttulo4">
    <w:name w:val="heading 4"/>
    <w:basedOn w:val="Normal"/>
    <w:next w:val="Normal"/>
    <w:qFormat/>
    <w:pPr>
      <w:keepNext/>
      <w:jc w:val="center"/>
      <w:outlineLvl w:val="3"/>
    </w:pPr>
    <w:rPr>
      <w:rFonts w:ascii="English111 Vivace BT" w:hAnsi="English111 Vivace BT"/>
      <w:b/>
      <w:sz w:val="36"/>
    </w:rPr>
  </w:style>
  <w:style w:type="paragraph" w:styleId="Ttulo5">
    <w:name w:val="heading 5"/>
    <w:basedOn w:val="Normal"/>
    <w:next w:val="Normal"/>
    <w:qFormat/>
    <w:pPr>
      <w:keepNext/>
      <w:outlineLvl w:val="4"/>
    </w:pPr>
    <w:rPr>
      <w:b/>
      <w:bCs/>
    </w:rPr>
  </w:style>
  <w:style w:type="paragraph" w:styleId="Ttulo6">
    <w:name w:val="heading 6"/>
    <w:basedOn w:val="Normal"/>
    <w:next w:val="Normal"/>
    <w:link w:val="Ttulo6Car"/>
    <w:uiPriority w:val="9"/>
    <w:qFormat/>
    <w:pPr>
      <w:keepNext/>
      <w:jc w:val="both"/>
      <w:outlineLvl w:val="5"/>
    </w:pPr>
    <w:rPr>
      <w:rFonts w:ascii="Tahoma" w:hAnsi="Tahom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aliases w:val="contents,body text,bt,body tesx"/>
    <w:basedOn w:val="Normal"/>
    <w:link w:val="TextoindependienteCar"/>
    <w:uiPriority w:val="99"/>
    <w:pPr>
      <w:jc w:val="both"/>
    </w:pPr>
    <w:rPr>
      <w:lang w:val="es-MX"/>
    </w:rPr>
  </w:style>
  <w:style w:type="character" w:styleId="Hipervnculo">
    <w:name w:val="Hyperlink"/>
    <w:uiPriority w:val="99"/>
    <w:rPr>
      <w:color w:val="0000FF"/>
      <w:u w:val="single"/>
    </w:rPr>
  </w:style>
  <w:style w:type="paragraph" w:styleId="Textodeglobo">
    <w:name w:val="Balloon Text"/>
    <w:basedOn w:val="Normal"/>
    <w:link w:val="TextodegloboCar"/>
    <w:uiPriority w:val="99"/>
    <w:semiHidden/>
    <w:rsid w:val="001F3C05"/>
    <w:rPr>
      <w:rFonts w:ascii="Tahoma" w:hAnsi="Tahoma" w:cs="Tahoma"/>
      <w:sz w:val="16"/>
      <w:szCs w:val="16"/>
    </w:rPr>
  </w:style>
  <w:style w:type="character" w:customStyle="1" w:styleId="EncabezadoCar">
    <w:name w:val="Encabezado Car"/>
    <w:aliases w:val="h Car,h8 Car,h9 Car,h10 Car,h18 Car,encabezado Car"/>
    <w:link w:val="Encabezado"/>
    <w:uiPriority w:val="99"/>
    <w:rsid w:val="00A3725C"/>
    <w:rPr>
      <w:rFonts w:ascii="Arial Narrow" w:hAnsi="Arial Narrow"/>
      <w:sz w:val="24"/>
      <w:lang w:val="es-CO" w:eastAsia="es-ES" w:bidi="ar-SA"/>
    </w:rPr>
  </w:style>
  <w:style w:type="paragraph" w:styleId="Sangra2detindependiente">
    <w:name w:val="Body Text Indent 2"/>
    <w:basedOn w:val="Normal"/>
    <w:link w:val="Sangra2detindependienteCar"/>
    <w:rsid w:val="00A3725C"/>
    <w:pPr>
      <w:spacing w:after="120" w:line="480" w:lineRule="auto"/>
      <w:ind w:left="283"/>
    </w:pPr>
  </w:style>
  <w:style w:type="character" w:customStyle="1" w:styleId="Sangra2detindependienteCar">
    <w:name w:val="Sangría 2 de t. independiente Car"/>
    <w:link w:val="Sangra2detindependiente"/>
    <w:rsid w:val="00A3725C"/>
    <w:rPr>
      <w:rFonts w:ascii="Arial Narrow" w:hAnsi="Arial Narrow"/>
      <w:sz w:val="24"/>
      <w:lang w:val="es-CO" w:eastAsia="es-ES" w:bidi="ar-SA"/>
    </w:rPr>
  </w:style>
  <w:style w:type="paragraph" w:customStyle="1" w:styleId="Default">
    <w:name w:val="Default"/>
    <w:rsid w:val="00A3725C"/>
    <w:pPr>
      <w:autoSpaceDE w:val="0"/>
      <w:autoSpaceDN w:val="0"/>
      <w:adjustRightInd w:val="0"/>
    </w:pPr>
    <w:rPr>
      <w:rFonts w:ascii="Arial Narrow" w:hAnsi="Arial Narrow" w:cs="Arial Narrow"/>
      <w:color w:val="000000"/>
      <w:sz w:val="24"/>
      <w:szCs w:val="24"/>
      <w:lang w:val="es-ES" w:eastAsia="es-ES"/>
    </w:rPr>
  </w:style>
  <w:style w:type="paragraph" w:styleId="Prrafodelista">
    <w:name w:val="List Paragraph"/>
    <w:aliases w:val="List Paragraph,Fotografía,Párrafo de lista1"/>
    <w:basedOn w:val="Normal"/>
    <w:link w:val="PrrafodelistaCar"/>
    <w:uiPriority w:val="34"/>
    <w:qFormat/>
    <w:rsid w:val="000C3922"/>
    <w:pPr>
      <w:spacing w:after="200" w:line="276" w:lineRule="auto"/>
      <w:ind w:left="720"/>
      <w:contextualSpacing/>
    </w:pPr>
    <w:rPr>
      <w:rFonts w:ascii="Calibri" w:eastAsia="Calibri" w:hAnsi="Calibri"/>
      <w:sz w:val="22"/>
      <w:szCs w:val="22"/>
      <w:lang w:eastAsia="en-US"/>
    </w:rPr>
  </w:style>
  <w:style w:type="character" w:customStyle="1" w:styleId="EncabezadoCar1">
    <w:name w:val="Encabezado Car1"/>
    <w:locked/>
    <w:rsid w:val="00BA04F3"/>
    <w:rPr>
      <w:rFonts w:ascii="Arial Narrow" w:eastAsia="Calibri" w:hAnsi="Arial Narrow"/>
      <w:sz w:val="24"/>
      <w:szCs w:val="24"/>
    </w:rPr>
  </w:style>
  <w:style w:type="character" w:customStyle="1" w:styleId="Ttulo1Car">
    <w:name w:val="Título 1 Car"/>
    <w:link w:val="Ttulo1"/>
    <w:rsid w:val="005776F9"/>
    <w:rPr>
      <w:rFonts w:ascii="Arial Narrow" w:hAnsi="Arial Narrow"/>
      <w:b/>
      <w:sz w:val="28"/>
      <w:lang w:eastAsia="es-ES"/>
    </w:rPr>
  </w:style>
  <w:style w:type="paragraph" w:styleId="Sinespaciado">
    <w:name w:val="No Spacing"/>
    <w:link w:val="SinespaciadoCar"/>
    <w:uiPriority w:val="1"/>
    <w:qFormat/>
    <w:rsid w:val="00E9397C"/>
    <w:rPr>
      <w:rFonts w:ascii="Arial Narrow" w:hAnsi="Arial Narrow"/>
      <w:sz w:val="24"/>
      <w:lang w:eastAsia="es-ES"/>
    </w:rPr>
  </w:style>
  <w:style w:type="character" w:customStyle="1" w:styleId="SinespaciadoCar">
    <w:name w:val="Sin espaciado Car"/>
    <w:link w:val="Sinespaciado"/>
    <w:uiPriority w:val="1"/>
    <w:rsid w:val="00014BD8"/>
    <w:rPr>
      <w:rFonts w:ascii="Arial Narrow" w:hAnsi="Arial Narrow"/>
      <w:sz w:val="24"/>
      <w:lang w:eastAsia="es-ES"/>
    </w:rPr>
  </w:style>
  <w:style w:type="character" w:customStyle="1" w:styleId="Ttulo6Car">
    <w:name w:val="Título 6 Car"/>
    <w:basedOn w:val="Fuentedeprrafopredeter"/>
    <w:link w:val="Ttulo6"/>
    <w:uiPriority w:val="9"/>
    <w:rsid w:val="00997DA3"/>
    <w:rPr>
      <w:rFonts w:ascii="Tahoma" w:hAnsi="Tahoma"/>
      <w:sz w:val="24"/>
      <w:lang w:val="es-MX" w:eastAsia="es-ES"/>
    </w:rPr>
  </w:style>
  <w:style w:type="character" w:customStyle="1" w:styleId="PiedepginaCar">
    <w:name w:val="Pie de página Car"/>
    <w:basedOn w:val="Fuentedeprrafopredeter"/>
    <w:link w:val="Piedepgina"/>
    <w:uiPriority w:val="99"/>
    <w:rsid w:val="00997DA3"/>
    <w:rPr>
      <w:rFonts w:ascii="Arial Narrow" w:hAnsi="Arial Narrow"/>
      <w:sz w:val="24"/>
      <w:lang w:eastAsia="es-ES"/>
    </w:rPr>
  </w:style>
  <w:style w:type="character" w:styleId="Nmerodepgina">
    <w:name w:val="page number"/>
    <w:basedOn w:val="Fuentedeprrafopredeter"/>
    <w:rsid w:val="00997DA3"/>
  </w:style>
  <w:style w:type="paragraph" w:styleId="Textonotapie">
    <w:name w:val="footnote text"/>
    <w:basedOn w:val="Normal"/>
    <w:link w:val="TextonotapieCar"/>
    <w:uiPriority w:val="99"/>
    <w:unhideWhenUsed/>
    <w:rsid w:val="00997DA3"/>
    <w:rPr>
      <w:rFonts w:asciiTheme="minorHAnsi" w:eastAsiaTheme="minorHAnsi" w:hAnsiTheme="minorHAnsi" w:cstheme="minorBidi"/>
      <w:sz w:val="20"/>
      <w:lang w:eastAsia="en-US"/>
    </w:rPr>
  </w:style>
  <w:style w:type="character" w:customStyle="1" w:styleId="TextonotapieCar">
    <w:name w:val="Texto nota pie Car"/>
    <w:basedOn w:val="Fuentedeprrafopredeter"/>
    <w:link w:val="Textonotapie"/>
    <w:uiPriority w:val="99"/>
    <w:rsid w:val="00997DA3"/>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997DA3"/>
    <w:rPr>
      <w:vertAlign w:val="superscript"/>
    </w:rPr>
  </w:style>
  <w:style w:type="character" w:customStyle="1" w:styleId="PrrafodelistaCar">
    <w:name w:val="Párrafo de lista Car"/>
    <w:aliases w:val="List Paragraph Car,Fotografía Car,Párrafo de lista1 Car"/>
    <w:link w:val="Prrafodelista"/>
    <w:uiPriority w:val="34"/>
    <w:locked/>
    <w:rsid w:val="00997DA3"/>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semiHidden/>
    <w:rsid w:val="00997DA3"/>
    <w:rPr>
      <w:rFonts w:ascii="Tahoma" w:hAnsi="Tahoma" w:cs="Tahoma"/>
      <w:sz w:val="16"/>
      <w:szCs w:val="16"/>
      <w:lang w:eastAsia="es-ES"/>
    </w:rPr>
  </w:style>
  <w:style w:type="character" w:styleId="nfasis">
    <w:name w:val="Emphasis"/>
    <w:qFormat/>
    <w:rsid w:val="00997DA3"/>
    <w:rPr>
      <w:i/>
      <w:iCs/>
    </w:rPr>
  </w:style>
  <w:style w:type="character" w:customStyle="1" w:styleId="TextoindependienteCar">
    <w:name w:val="Texto independiente Car"/>
    <w:aliases w:val="contents Car,body text Car,bt Car,body tesx Car"/>
    <w:basedOn w:val="Fuentedeprrafopredeter"/>
    <w:link w:val="Textoindependiente"/>
    <w:uiPriority w:val="99"/>
    <w:rsid w:val="00997DA3"/>
    <w:rPr>
      <w:rFonts w:ascii="Arial Narrow" w:hAnsi="Arial Narrow"/>
      <w:sz w:val="24"/>
      <w:lang w:val="es-MX" w:eastAsia="es-ES"/>
    </w:rPr>
  </w:style>
  <w:style w:type="table" w:styleId="Tablaconcuadrcula">
    <w:name w:val="Table Grid"/>
    <w:basedOn w:val="Tablanormal"/>
    <w:uiPriority w:val="59"/>
    <w:rsid w:val="00997DA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997DA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997DA3"/>
    <w:rPr>
      <w:rFonts w:asciiTheme="minorHAnsi" w:eastAsiaTheme="minorHAnsi" w:hAnsiTheme="minorHAnsi" w:cstheme="minorBidi"/>
      <w:lang w:eastAsia="en-US"/>
    </w:rPr>
  </w:style>
  <w:style w:type="character" w:customStyle="1" w:styleId="AsuntodelcomentarioCar">
    <w:name w:val="Asunto del comentario Car"/>
    <w:basedOn w:val="TextocomentarioCar"/>
    <w:link w:val="Asuntodelcomentario"/>
    <w:uiPriority w:val="99"/>
    <w:rsid w:val="00997DA3"/>
    <w:rPr>
      <w:rFonts w:asciiTheme="minorHAnsi" w:eastAsiaTheme="minorHAnsi" w:hAnsiTheme="minorHAnsi" w:cstheme="minorBidi"/>
      <w:b/>
      <w:bCs/>
      <w:lang w:eastAsia="en-US"/>
    </w:rPr>
  </w:style>
  <w:style w:type="paragraph" w:styleId="Asuntodelcomentario">
    <w:name w:val="annotation subject"/>
    <w:basedOn w:val="Textocomentario"/>
    <w:next w:val="Textocomentario"/>
    <w:link w:val="AsuntodelcomentarioCar"/>
    <w:uiPriority w:val="99"/>
    <w:unhideWhenUsed/>
    <w:rsid w:val="00997DA3"/>
    <w:rPr>
      <w:b/>
      <w:bCs/>
    </w:rPr>
  </w:style>
  <w:style w:type="character" w:customStyle="1" w:styleId="AsuntodelcomentarioCar1">
    <w:name w:val="Asunto del comentario Car1"/>
    <w:basedOn w:val="TextocomentarioCar"/>
    <w:rsid w:val="00997DA3"/>
    <w:rPr>
      <w:rFonts w:asciiTheme="minorHAnsi" w:eastAsiaTheme="minorHAnsi" w:hAnsiTheme="minorHAnsi" w:cstheme="minorBidi"/>
      <w:b/>
      <w:bCs/>
      <w:lang w:eastAsia="en-US"/>
    </w:rPr>
  </w:style>
  <w:style w:type="paragraph" w:styleId="Textoindependiente3">
    <w:name w:val="Body Text 3"/>
    <w:basedOn w:val="Normal"/>
    <w:link w:val="Textoindependiente3Car"/>
    <w:uiPriority w:val="99"/>
    <w:unhideWhenUsed/>
    <w:rsid w:val="00997DA3"/>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997DA3"/>
    <w:rPr>
      <w:rFonts w:asciiTheme="minorHAnsi" w:eastAsiaTheme="minorHAnsi" w:hAnsiTheme="minorHAnsi" w:cstheme="minorBidi"/>
      <w:sz w:val="16"/>
      <w:szCs w:val="16"/>
      <w:lang w:eastAsia="en-US"/>
    </w:rPr>
  </w:style>
  <w:style w:type="character" w:customStyle="1" w:styleId="Ttulo2Car">
    <w:name w:val="Título 2 Car"/>
    <w:basedOn w:val="Fuentedeprrafopredeter"/>
    <w:link w:val="Ttulo2"/>
    <w:uiPriority w:val="9"/>
    <w:rsid w:val="00997DA3"/>
    <w:rPr>
      <w:rFonts w:ascii="Arial Narrow" w:hAnsi="Arial Narrow"/>
      <w:b/>
      <w:sz w:val="24"/>
      <w:lang w:eastAsia="es-ES"/>
    </w:rPr>
  </w:style>
  <w:style w:type="character" w:customStyle="1" w:styleId="Ttulo3Car">
    <w:name w:val="Título 3 Car"/>
    <w:basedOn w:val="Fuentedeprrafopredeter"/>
    <w:link w:val="Ttulo3"/>
    <w:uiPriority w:val="9"/>
    <w:rsid w:val="00997DA3"/>
    <w:rPr>
      <w:rFonts w:ascii="Arial" w:hAnsi="Arial"/>
      <w:sz w:val="24"/>
      <w:lang w:val="es-MX" w:eastAsia="es-ES"/>
    </w:rPr>
  </w:style>
  <w:style w:type="paragraph" w:styleId="TtuloTDC">
    <w:name w:val="TOC Heading"/>
    <w:basedOn w:val="Ttulo1"/>
    <w:next w:val="Normal"/>
    <w:uiPriority w:val="39"/>
    <w:unhideWhenUsed/>
    <w:qFormat/>
    <w:rsid w:val="00997DA3"/>
    <w:pPr>
      <w:keepLines/>
      <w:spacing w:before="240" w:line="259" w:lineRule="auto"/>
      <w:outlineLvl w:val="9"/>
    </w:pPr>
    <w:rPr>
      <w:rFonts w:asciiTheme="majorHAnsi" w:eastAsiaTheme="majorEastAsia" w:hAnsiTheme="majorHAnsi" w:cstheme="majorBidi"/>
      <w:b w:val="0"/>
      <w:color w:val="2E74B5" w:themeColor="accent1" w:themeShade="BF"/>
      <w:sz w:val="32"/>
      <w:szCs w:val="32"/>
      <w:lang w:eastAsia="es-CO"/>
    </w:rPr>
  </w:style>
  <w:style w:type="paragraph" w:styleId="TDC1">
    <w:name w:val="toc 1"/>
    <w:basedOn w:val="Normal"/>
    <w:next w:val="Normal"/>
    <w:autoRedefine/>
    <w:uiPriority w:val="39"/>
    <w:unhideWhenUsed/>
    <w:rsid w:val="00997DA3"/>
    <w:pPr>
      <w:spacing w:after="100" w:line="276" w:lineRule="auto"/>
    </w:pPr>
    <w:rPr>
      <w:rFonts w:asciiTheme="minorHAnsi" w:eastAsiaTheme="minorHAnsi" w:hAnsiTheme="minorHAnsi" w:cstheme="minorBidi"/>
      <w:sz w:val="22"/>
      <w:szCs w:val="22"/>
      <w:lang w:eastAsia="en-US"/>
    </w:rPr>
  </w:style>
  <w:style w:type="paragraph" w:styleId="TDC3">
    <w:name w:val="toc 3"/>
    <w:basedOn w:val="Normal"/>
    <w:next w:val="Normal"/>
    <w:autoRedefine/>
    <w:uiPriority w:val="39"/>
    <w:unhideWhenUsed/>
    <w:rsid w:val="00997DA3"/>
    <w:pPr>
      <w:tabs>
        <w:tab w:val="right" w:leader="dot" w:pos="8830"/>
      </w:tabs>
      <w:spacing w:after="120" w:line="276" w:lineRule="auto"/>
      <w:ind w:left="446"/>
    </w:pPr>
    <w:rPr>
      <w:rFonts w:asciiTheme="minorHAnsi" w:eastAsiaTheme="minorHAnsi" w:hAnsiTheme="minorHAnsi" w:cstheme="minorBidi"/>
      <w:sz w:val="22"/>
      <w:szCs w:val="22"/>
      <w:lang w:eastAsia="en-US"/>
    </w:rPr>
  </w:style>
  <w:style w:type="paragraph" w:customStyle="1" w:styleId="Invias-VietaNumerada">
    <w:name w:val="Invias-Viñeta Numerada"/>
    <w:next w:val="Normal"/>
    <w:link w:val="Invias-VietaNumeradaCar"/>
    <w:uiPriority w:val="99"/>
    <w:qFormat/>
    <w:rsid w:val="00B744BA"/>
    <w:pPr>
      <w:spacing w:before="240" w:after="120"/>
      <w:jc w:val="both"/>
    </w:pPr>
    <w:rPr>
      <w:rFonts w:ascii="Arial" w:hAnsi="Arial"/>
      <w:szCs w:val="24"/>
      <w:lang w:eastAsia="es-ES"/>
    </w:rPr>
  </w:style>
  <w:style w:type="character" w:customStyle="1" w:styleId="Invias-VietaNumeradaCar">
    <w:name w:val="Invias-Viñeta Numerada Car"/>
    <w:link w:val="Invias-VietaNumerada"/>
    <w:uiPriority w:val="99"/>
    <w:locked/>
    <w:rsid w:val="00B744BA"/>
    <w:rPr>
      <w:rFonts w:ascii="Arial" w:hAnsi="Arial"/>
      <w:szCs w:val="24"/>
      <w:lang w:eastAsia="es-ES"/>
    </w:rPr>
  </w:style>
  <w:style w:type="paragraph" w:styleId="Ttulo">
    <w:name w:val="Title"/>
    <w:basedOn w:val="Normal"/>
    <w:next w:val="Normal"/>
    <w:link w:val="TtuloCar"/>
    <w:qFormat/>
    <w:rsid w:val="00D178D9"/>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rsid w:val="00D178D9"/>
    <w:rPr>
      <w:rFonts w:ascii="Cambria" w:hAnsi="Cambria"/>
      <w:color w:val="17365D"/>
      <w:spacing w:val="5"/>
      <w:kern w:val="28"/>
      <w:sz w:val="52"/>
      <w:szCs w:val="52"/>
      <w:lang w:eastAsia="en-US"/>
    </w:rPr>
  </w:style>
  <w:style w:type="character" w:customStyle="1" w:styleId="A1">
    <w:name w:val="A1"/>
    <w:uiPriority w:val="99"/>
    <w:rsid w:val="00D178D9"/>
    <w:rPr>
      <w:rFonts w:cs="TradeGothic"/>
      <w:color w:val="000000"/>
      <w:sz w:val="44"/>
      <w:szCs w:val="44"/>
    </w:rPr>
  </w:style>
  <w:style w:type="character" w:customStyle="1" w:styleId="A2">
    <w:name w:val="A2"/>
    <w:uiPriority w:val="99"/>
    <w:rsid w:val="00D178D9"/>
    <w:rPr>
      <w:rFonts w:cs="TradeGothic"/>
      <w:color w:val="000000"/>
      <w:sz w:val="30"/>
      <w:szCs w:val="30"/>
    </w:rPr>
  </w:style>
  <w:style w:type="paragraph" w:styleId="NormalWeb">
    <w:name w:val="Normal (Web)"/>
    <w:basedOn w:val="Normal"/>
    <w:uiPriority w:val="99"/>
    <w:unhideWhenUsed/>
    <w:rsid w:val="008B49F0"/>
    <w:rPr>
      <w:rFonts w:ascii="Times New Roman" w:hAnsi="Times New Roman"/>
      <w:szCs w:val="24"/>
      <w:lang w:eastAsia="es-CO"/>
    </w:rPr>
  </w:style>
  <w:style w:type="paragraph" w:customStyle="1" w:styleId="InviasNormal">
    <w:name w:val="Invias Normal"/>
    <w:basedOn w:val="Normal"/>
    <w:next w:val="Normal"/>
    <w:link w:val="InviasNormalCar"/>
    <w:qFormat/>
    <w:rsid w:val="00146EFB"/>
    <w:pPr>
      <w:spacing w:before="120" w:after="240"/>
      <w:jc w:val="both"/>
    </w:pPr>
    <w:rPr>
      <w:rFonts w:ascii="Arial" w:hAnsi="Arial"/>
      <w:sz w:val="22"/>
      <w:szCs w:val="24"/>
    </w:rPr>
  </w:style>
  <w:style w:type="character" w:customStyle="1" w:styleId="InviasNormalCar">
    <w:name w:val="Invias Normal Car"/>
    <w:link w:val="InviasNormal"/>
    <w:rsid w:val="00146EFB"/>
    <w:rPr>
      <w:rFonts w:ascii="Arial" w:hAnsi="Arial"/>
      <w:sz w:val="22"/>
      <w:szCs w:val="24"/>
      <w:lang w:eastAsia="es-ES"/>
    </w:rPr>
  </w:style>
  <w:style w:type="paragraph" w:customStyle="1" w:styleId="subtitulos">
    <w:name w:val="subtitulos"/>
    <w:basedOn w:val="Normal"/>
    <w:rsid w:val="00B60F55"/>
    <w:pPr>
      <w:spacing w:before="100" w:beforeAutospacing="1" w:after="100" w:afterAutospacing="1"/>
    </w:pPr>
    <w:rPr>
      <w:rFonts w:ascii="Times New Roman" w:hAnsi="Times New Roman"/>
      <w:szCs w:val="24"/>
      <w:lang w:eastAsia="es-CO"/>
    </w:rPr>
  </w:style>
  <w:style w:type="character" w:styleId="Refdecomentario">
    <w:name w:val="annotation reference"/>
    <w:basedOn w:val="Fuentedeprrafopredeter"/>
    <w:uiPriority w:val="99"/>
    <w:unhideWhenUsed/>
    <w:rsid w:val="00962CAC"/>
    <w:rPr>
      <w:sz w:val="16"/>
      <w:szCs w:val="16"/>
    </w:rPr>
  </w:style>
  <w:style w:type="character" w:customStyle="1" w:styleId="apple-converted-space">
    <w:name w:val="apple-converted-space"/>
    <w:basedOn w:val="Fuentedeprrafopredeter"/>
    <w:rsid w:val="00AA30EA"/>
  </w:style>
  <w:style w:type="character" w:styleId="Textoennegrita">
    <w:name w:val="Strong"/>
    <w:qFormat/>
    <w:rsid w:val="001C216B"/>
    <w:rPr>
      <w:b/>
      <w:bCs/>
    </w:rPr>
  </w:style>
  <w:style w:type="character" w:customStyle="1" w:styleId="Mencinsinresolver1">
    <w:name w:val="Mención sin resolver1"/>
    <w:basedOn w:val="Fuentedeprrafopredeter"/>
    <w:uiPriority w:val="99"/>
    <w:semiHidden/>
    <w:unhideWhenUsed/>
    <w:rsid w:val="00F1337E"/>
    <w:rPr>
      <w:color w:val="605E5C"/>
      <w:shd w:val="clear" w:color="auto" w:fill="E1DFDD"/>
    </w:rPr>
  </w:style>
  <w:style w:type="character" w:customStyle="1" w:styleId="Portada">
    <w:name w:val="Portada"/>
    <w:qFormat/>
    <w:rsid w:val="00815884"/>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0261">
      <w:bodyDiv w:val="1"/>
      <w:marLeft w:val="0"/>
      <w:marRight w:val="0"/>
      <w:marTop w:val="0"/>
      <w:marBottom w:val="0"/>
      <w:divBdr>
        <w:top w:val="none" w:sz="0" w:space="0" w:color="auto"/>
        <w:left w:val="none" w:sz="0" w:space="0" w:color="auto"/>
        <w:bottom w:val="none" w:sz="0" w:space="0" w:color="auto"/>
        <w:right w:val="none" w:sz="0" w:space="0" w:color="auto"/>
      </w:divBdr>
    </w:div>
    <w:div w:id="95685823">
      <w:bodyDiv w:val="1"/>
      <w:marLeft w:val="0"/>
      <w:marRight w:val="0"/>
      <w:marTop w:val="0"/>
      <w:marBottom w:val="0"/>
      <w:divBdr>
        <w:top w:val="none" w:sz="0" w:space="0" w:color="auto"/>
        <w:left w:val="none" w:sz="0" w:space="0" w:color="auto"/>
        <w:bottom w:val="none" w:sz="0" w:space="0" w:color="auto"/>
        <w:right w:val="none" w:sz="0" w:space="0" w:color="auto"/>
      </w:divBdr>
      <w:divsChild>
        <w:div w:id="1104033646">
          <w:marLeft w:val="0"/>
          <w:marRight w:val="0"/>
          <w:marTop w:val="0"/>
          <w:marBottom w:val="0"/>
          <w:divBdr>
            <w:top w:val="none" w:sz="0" w:space="0" w:color="auto"/>
            <w:left w:val="none" w:sz="0" w:space="0" w:color="auto"/>
            <w:bottom w:val="none" w:sz="0" w:space="0" w:color="auto"/>
            <w:right w:val="none" w:sz="0" w:space="0" w:color="auto"/>
          </w:divBdr>
        </w:div>
      </w:divsChild>
    </w:div>
    <w:div w:id="200630255">
      <w:bodyDiv w:val="1"/>
      <w:marLeft w:val="0"/>
      <w:marRight w:val="0"/>
      <w:marTop w:val="0"/>
      <w:marBottom w:val="0"/>
      <w:divBdr>
        <w:top w:val="none" w:sz="0" w:space="0" w:color="auto"/>
        <w:left w:val="none" w:sz="0" w:space="0" w:color="auto"/>
        <w:bottom w:val="none" w:sz="0" w:space="0" w:color="auto"/>
        <w:right w:val="none" w:sz="0" w:space="0" w:color="auto"/>
      </w:divBdr>
    </w:div>
    <w:div w:id="277487598">
      <w:bodyDiv w:val="1"/>
      <w:marLeft w:val="0"/>
      <w:marRight w:val="0"/>
      <w:marTop w:val="0"/>
      <w:marBottom w:val="0"/>
      <w:divBdr>
        <w:top w:val="none" w:sz="0" w:space="0" w:color="auto"/>
        <w:left w:val="none" w:sz="0" w:space="0" w:color="auto"/>
        <w:bottom w:val="none" w:sz="0" w:space="0" w:color="auto"/>
        <w:right w:val="none" w:sz="0" w:space="0" w:color="auto"/>
      </w:divBdr>
    </w:div>
    <w:div w:id="353462604">
      <w:bodyDiv w:val="1"/>
      <w:marLeft w:val="0"/>
      <w:marRight w:val="0"/>
      <w:marTop w:val="0"/>
      <w:marBottom w:val="0"/>
      <w:divBdr>
        <w:top w:val="none" w:sz="0" w:space="0" w:color="auto"/>
        <w:left w:val="none" w:sz="0" w:space="0" w:color="auto"/>
        <w:bottom w:val="none" w:sz="0" w:space="0" w:color="auto"/>
        <w:right w:val="none" w:sz="0" w:space="0" w:color="auto"/>
      </w:divBdr>
    </w:div>
    <w:div w:id="505706546">
      <w:bodyDiv w:val="1"/>
      <w:marLeft w:val="0"/>
      <w:marRight w:val="0"/>
      <w:marTop w:val="0"/>
      <w:marBottom w:val="0"/>
      <w:divBdr>
        <w:top w:val="none" w:sz="0" w:space="0" w:color="auto"/>
        <w:left w:val="none" w:sz="0" w:space="0" w:color="auto"/>
        <w:bottom w:val="none" w:sz="0" w:space="0" w:color="auto"/>
        <w:right w:val="none" w:sz="0" w:space="0" w:color="auto"/>
      </w:divBdr>
    </w:div>
    <w:div w:id="512232650">
      <w:bodyDiv w:val="1"/>
      <w:marLeft w:val="0"/>
      <w:marRight w:val="0"/>
      <w:marTop w:val="0"/>
      <w:marBottom w:val="0"/>
      <w:divBdr>
        <w:top w:val="none" w:sz="0" w:space="0" w:color="auto"/>
        <w:left w:val="none" w:sz="0" w:space="0" w:color="auto"/>
        <w:bottom w:val="none" w:sz="0" w:space="0" w:color="auto"/>
        <w:right w:val="none" w:sz="0" w:space="0" w:color="auto"/>
      </w:divBdr>
      <w:divsChild>
        <w:div w:id="1100296006">
          <w:marLeft w:val="0"/>
          <w:marRight w:val="0"/>
          <w:marTop w:val="0"/>
          <w:marBottom w:val="0"/>
          <w:divBdr>
            <w:top w:val="none" w:sz="0" w:space="0" w:color="auto"/>
            <w:left w:val="none" w:sz="0" w:space="0" w:color="auto"/>
            <w:bottom w:val="none" w:sz="0" w:space="0" w:color="auto"/>
            <w:right w:val="none" w:sz="0" w:space="0" w:color="auto"/>
          </w:divBdr>
        </w:div>
      </w:divsChild>
    </w:div>
    <w:div w:id="512570779">
      <w:bodyDiv w:val="1"/>
      <w:marLeft w:val="0"/>
      <w:marRight w:val="0"/>
      <w:marTop w:val="0"/>
      <w:marBottom w:val="0"/>
      <w:divBdr>
        <w:top w:val="none" w:sz="0" w:space="0" w:color="auto"/>
        <w:left w:val="none" w:sz="0" w:space="0" w:color="auto"/>
        <w:bottom w:val="none" w:sz="0" w:space="0" w:color="auto"/>
        <w:right w:val="none" w:sz="0" w:space="0" w:color="auto"/>
      </w:divBdr>
    </w:div>
    <w:div w:id="718020063">
      <w:bodyDiv w:val="1"/>
      <w:marLeft w:val="0"/>
      <w:marRight w:val="0"/>
      <w:marTop w:val="0"/>
      <w:marBottom w:val="0"/>
      <w:divBdr>
        <w:top w:val="none" w:sz="0" w:space="0" w:color="auto"/>
        <w:left w:val="none" w:sz="0" w:space="0" w:color="auto"/>
        <w:bottom w:val="none" w:sz="0" w:space="0" w:color="auto"/>
        <w:right w:val="none" w:sz="0" w:space="0" w:color="auto"/>
      </w:divBdr>
      <w:divsChild>
        <w:div w:id="1111971477">
          <w:marLeft w:val="0"/>
          <w:marRight w:val="0"/>
          <w:marTop w:val="0"/>
          <w:marBottom w:val="0"/>
          <w:divBdr>
            <w:top w:val="none" w:sz="0" w:space="0" w:color="auto"/>
            <w:left w:val="none" w:sz="0" w:space="0" w:color="auto"/>
            <w:bottom w:val="none" w:sz="0" w:space="0" w:color="auto"/>
            <w:right w:val="none" w:sz="0" w:space="0" w:color="auto"/>
          </w:divBdr>
        </w:div>
      </w:divsChild>
    </w:div>
    <w:div w:id="894853074">
      <w:bodyDiv w:val="1"/>
      <w:marLeft w:val="0"/>
      <w:marRight w:val="0"/>
      <w:marTop w:val="0"/>
      <w:marBottom w:val="0"/>
      <w:divBdr>
        <w:top w:val="none" w:sz="0" w:space="0" w:color="auto"/>
        <w:left w:val="none" w:sz="0" w:space="0" w:color="auto"/>
        <w:bottom w:val="none" w:sz="0" w:space="0" w:color="auto"/>
        <w:right w:val="none" w:sz="0" w:space="0" w:color="auto"/>
      </w:divBdr>
    </w:div>
    <w:div w:id="911349819">
      <w:bodyDiv w:val="1"/>
      <w:marLeft w:val="0"/>
      <w:marRight w:val="0"/>
      <w:marTop w:val="0"/>
      <w:marBottom w:val="0"/>
      <w:divBdr>
        <w:top w:val="none" w:sz="0" w:space="0" w:color="auto"/>
        <w:left w:val="none" w:sz="0" w:space="0" w:color="auto"/>
        <w:bottom w:val="none" w:sz="0" w:space="0" w:color="auto"/>
        <w:right w:val="none" w:sz="0" w:space="0" w:color="auto"/>
      </w:divBdr>
    </w:div>
    <w:div w:id="1397629352">
      <w:bodyDiv w:val="1"/>
      <w:marLeft w:val="0"/>
      <w:marRight w:val="0"/>
      <w:marTop w:val="0"/>
      <w:marBottom w:val="0"/>
      <w:divBdr>
        <w:top w:val="none" w:sz="0" w:space="0" w:color="auto"/>
        <w:left w:val="none" w:sz="0" w:space="0" w:color="auto"/>
        <w:bottom w:val="none" w:sz="0" w:space="0" w:color="auto"/>
        <w:right w:val="none" w:sz="0" w:space="0" w:color="auto"/>
      </w:divBdr>
    </w:div>
    <w:div w:id="1499619193">
      <w:bodyDiv w:val="1"/>
      <w:marLeft w:val="0"/>
      <w:marRight w:val="0"/>
      <w:marTop w:val="0"/>
      <w:marBottom w:val="0"/>
      <w:divBdr>
        <w:top w:val="none" w:sz="0" w:space="0" w:color="auto"/>
        <w:left w:val="none" w:sz="0" w:space="0" w:color="auto"/>
        <w:bottom w:val="none" w:sz="0" w:space="0" w:color="auto"/>
        <w:right w:val="none" w:sz="0" w:space="0" w:color="auto"/>
      </w:divBdr>
    </w:div>
    <w:div w:id="1633635076">
      <w:bodyDiv w:val="1"/>
      <w:marLeft w:val="0"/>
      <w:marRight w:val="0"/>
      <w:marTop w:val="0"/>
      <w:marBottom w:val="0"/>
      <w:divBdr>
        <w:top w:val="none" w:sz="0" w:space="0" w:color="auto"/>
        <w:left w:val="none" w:sz="0" w:space="0" w:color="auto"/>
        <w:bottom w:val="none" w:sz="0" w:space="0" w:color="auto"/>
        <w:right w:val="none" w:sz="0" w:space="0" w:color="auto"/>
      </w:divBdr>
      <w:divsChild>
        <w:div w:id="1844318962">
          <w:marLeft w:val="0"/>
          <w:marRight w:val="0"/>
          <w:marTop w:val="0"/>
          <w:marBottom w:val="0"/>
          <w:divBdr>
            <w:top w:val="none" w:sz="0" w:space="0" w:color="auto"/>
            <w:left w:val="none" w:sz="0" w:space="0" w:color="auto"/>
            <w:bottom w:val="none" w:sz="0" w:space="0" w:color="auto"/>
            <w:right w:val="none" w:sz="0" w:space="0" w:color="auto"/>
          </w:divBdr>
        </w:div>
      </w:divsChild>
    </w:div>
    <w:div w:id="1694070869">
      <w:bodyDiv w:val="1"/>
      <w:marLeft w:val="0"/>
      <w:marRight w:val="0"/>
      <w:marTop w:val="0"/>
      <w:marBottom w:val="0"/>
      <w:divBdr>
        <w:top w:val="none" w:sz="0" w:space="0" w:color="auto"/>
        <w:left w:val="none" w:sz="0" w:space="0" w:color="auto"/>
        <w:bottom w:val="none" w:sz="0" w:space="0" w:color="auto"/>
        <w:right w:val="none" w:sz="0" w:space="0" w:color="auto"/>
      </w:divBdr>
      <w:divsChild>
        <w:div w:id="1739280222">
          <w:marLeft w:val="0"/>
          <w:marRight w:val="0"/>
          <w:marTop w:val="0"/>
          <w:marBottom w:val="0"/>
          <w:divBdr>
            <w:top w:val="none" w:sz="0" w:space="0" w:color="auto"/>
            <w:left w:val="none" w:sz="0" w:space="0" w:color="auto"/>
            <w:bottom w:val="none" w:sz="0" w:space="0" w:color="auto"/>
            <w:right w:val="none" w:sz="0" w:space="0" w:color="auto"/>
          </w:divBdr>
        </w:div>
      </w:divsChild>
    </w:div>
    <w:div w:id="1930848916">
      <w:bodyDiv w:val="1"/>
      <w:marLeft w:val="0"/>
      <w:marRight w:val="0"/>
      <w:marTop w:val="0"/>
      <w:marBottom w:val="0"/>
      <w:divBdr>
        <w:top w:val="none" w:sz="0" w:space="0" w:color="auto"/>
        <w:left w:val="none" w:sz="0" w:space="0" w:color="auto"/>
        <w:bottom w:val="none" w:sz="0" w:space="0" w:color="auto"/>
        <w:right w:val="none" w:sz="0" w:space="0" w:color="auto"/>
      </w:divBdr>
    </w:div>
    <w:div w:id="19922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2E5B17364844A836B4C2FCBB75D67" ma:contentTypeVersion="0" ma:contentTypeDescription="Create a new document." ma:contentTypeScope="" ma:versionID="919fdf912b900872bc9ec45beb4fb7b5">
  <xsd:schema xmlns:xsd="http://www.w3.org/2001/XMLSchema" xmlns:xs="http://www.w3.org/2001/XMLSchema" xmlns:p="http://schemas.microsoft.com/office/2006/metadata/properties" targetNamespace="http://schemas.microsoft.com/office/2006/metadata/properties" ma:root="true" ma:fieldsID="07860edabc6259775840903ce803e12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9F06-206C-4E5F-AF74-25F8BA8B1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60C1B1B-525F-405C-A0D1-92B688EA4E99}">
  <ds:schemaRefs>
    <ds:schemaRef ds:uri="http://schemas.microsoft.com/sharepoint/v3/contenttype/forms"/>
  </ds:schemaRefs>
</ds:datastoreItem>
</file>

<file path=customXml/itemProps3.xml><?xml version="1.0" encoding="utf-8"?>
<ds:datastoreItem xmlns:ds="http://schemas.openxmlformats.org/officeDocument/2006/customXml" ds:itemID="{D704643C-FC08-43AD-9923-A37F6D8B3A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656B20-C097-42AA-A0FF-64BCAFB8E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11</Pages>
  <Words>3329</Words>
  <Characters>18878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Oficio</vt:lpstr>
    </vt:vector>
  </TitlesOfParts>
  <Company>Hewlett-Packard Company</Company>
  <LinksUpToDate>false</LinksUpToDate>
  <CharactersWithSpaces>22163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dc:title>
  <dc:subject>Plantilla Elaboración Oficios Mintransporte</dc:subject>
  <dc:creator>MINISTERIO DE TRANSPORTE</dc:creator>
  <cp:keywords/>
  <cp:lastModifiedBy>Jaime Alexander Gonzalez Choconta</cp:lastModifiedBy>
  <cp:revision>35</cp:revision>
  <cp:lastPrinted>2016-04-27T14:59:00Z</cp:lastPrinted>
  <dcterms:created xsi:type="dcterms:W3CDTF">2021-09-23T19:16:00Z</dcterms:created>
  <dcterms:modified xsi:type="dcterms:W3CDTF">2023-04-18T15:56:00Z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0x0101006A22E5B17364844A836B4C2FCBB75D67</vt:lpwstr>
  </property>
</Properties>
</file>