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3C4C" w:rsidRPr="000B3C4C" w:rsidRDefault="000B3C4C" w:rsidP="007615B1">
      <w:pPr>
        <w:spacing w:after="0" w:line="240" w:lineRule="auto"/>
        <w:rPr>
          <w:rFonts w:ascii="Arial" w:eastAsia="Times New Roman" w:hAnsi="Arial" w:cs="Arial"/>
          <w:lang w:bidi="en-US"/>
        </w:rPr>
      </w:pPr>
      <w:bookmarkStart w:id="0" w:name="_GoBack"/>
      <w:bookmarkEnd w:id="0"/>
    </w:p>
    <w:tbl>
      <w:tblPr>
        <w:tblW w:w="99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</w:tblGrid>
      <w:tr w:rsidR="00C0767A" w:rsidRPr="00CF7433" w:rsidTr="00FE18CA">
        <w:trPr>
          <w:trHeight w:val="866"/>
          <w:jc w:val="center"/>
        </w:trPr>
        <w:tc>
          <w:tcPr>
            <w:tcW w:w="313" w:type="dxa"/>
            <w:vMerge w:val="restart"/>
            <w:shd w:val="clear" w:color="auto" w:fill="92D050"/>
            <w:textDirection w:val="btLr"/>
            <w:hideMark/>
          </w:tcPr>
          <w:p w:rsidR="00C0767A" w:rsidRPr="00CF7433" w:rsidRDefault="00C0767A" w:rsidP="00FE18CA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CF7433">
              <w:rPr>
                <w:rFonts w:ascii="Arial" w:hAnsi="Arial" w:cs="Arial"/>
                <w:b/>
                <w:bCs/>
                <w:sz w:val="14"/>
                <w:szCs w:val="14"/>
              </w:rPr>
              <w:t>N°</w:t>
            </w:r>
          </w:p>
        </w:tc>
        <w:tc>
          <w:tcPr>
            <w:tcW w:w="314" w:type="dxa"/>
            <w:vMerge w:val="restart"/>
            <w:shd w:val="clear" w:color="auto" w:fill="92D050"/>
            <w:textDirection w:val="btLr"/>
            <w:hideMark/>
          </w:tcPr>
          <w:p w:rsidR="00C0767A" w:rsidRPr="00CF7433" w:rsidRDefault="00C0767A" w:rsidP="00FE18CA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CF7433">
              <w:rPr>
                <w:rFonts w:ascii="Arial" w:hAnsi="Arial" w:cs="Arial"/>
                <w:b/>
                <w:bCs/>
                <w:sz w:val="14"/>
                <w:szCs w:val="14"/>
              </w:rPr>
              <w:t>Clase</w:t>
            </w:r>
          </w:p>
        </w:tc>
        <w:tc>
          <w:tcPr>
            <w:tcW w:w="314" w:type="dxa"/>
            <w:vMerge w:val="restart"/>
            <w:shd w:val="clear" w:color="auto" w:fill="92D050"/>
            <w:textDirection w:val="btLr"/>
            <w:hideMark/>
          </w:tcPr>
          <w:p w:rsidR="00C0767A" w:rsidRPr="00CF7433" w:rsidRDefault="00C0767A" w:rsidP="00FE18CA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CF7433">
              <w:rPr>
                <w:rFonts w:ascii="Arial" w:hAnsi="Arial" w:cs="Arial"/>
                <w:b/>
                <w:bCs/>
                <w:sz w:val="14"/>
                <w:szCs w:val="14"/>
              </w:rPr>
              <w:t>Fuente</w:t>
            </w:r>
          </w:p>
        </w:tc>
        <w:tc>
          <w:tcPr>
            <w:tcW w:w="314" w:type="dxa"/>
            <w:vMerge w:val="restart"/>
            <w:shd w:val="clear" w:color="auto" w:fill="92D050"/>
            <w:textDirection w:val="btLr"/>
            <w:hideMark/>
          </w:tcPr>
          <w:p w:rsidR="00C0767A" w:rsidRPr="00CF7433" w:rsidRDefault="00C0767A" w:rsidP="00FE18CA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CF7433">
              <w:rPr>
                <w:rFonts w:ascii="Arial" w:hAnsi="Arial" w:cs="Arial"/>
                <w:b/>
                <w:bCs/>
                <w:sz w:val="14"/>
                <w:szCs w:val="14"/>
              </w:rPr>
              <w:t>Etapa</w:t>
            </w:r>
          </w:p>
        </w:tc>
        <w:tc>
          <w:tcPr>
            <w:tcW w:w="314" w:type="dxa"/>
            <w:vMerge w:val="restart"/>
            <w:shd w:val="clear" w:color="auto" w:fill="92D050"/>
            <w:textDirection w:val="btL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CF7433">
              <w:rPr>
                <w:rFonts w:ascii="Arial" w:hAnsi="Arial" w:cs="Arial"/>
                <w:b/>
                <w:bCs/>
                <w:sz w:val="14"/>
                <w:szCs w:val="14"/>
              </w:rPr>
              <w:t>Tipo</w:t>
            </w:r>
          </w:p>
        </w:tc>
        <w:tc>
          <w:tcPr>
            <w:tcW w:w="838" w:type="dxa"/>
            <w:vMerge w:val="restart"/>
            <w:shd w:val="clear" w:color="auto" w:fill="92D050"/>
            <w:textDirection w:val="btLr"/>
            <w:vAlign w:val="cente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CF7433">
              <w:rPr>
                <w:rFonts w:ascii="Arial" w:hAnsi="Arial" w:cs="Arial"/>
                <w:b/>
                <w:bCs/>
                <w:sz w:val="14"/>
                <w:szCs w:val="14"/>
              </w:rPr>
              <w:t>Descripción (Qué puede pasar y, cómo puede ocurrir)</w:t>
            </w:r>
          </w:p>
        </w:tc>
        <w:tc>
          <w:tcPr>
            <w:tcW w:w="923" w:type="dxa"/>
            <w:vMerge w:val="restart"/>
            <w:shd w:val="clear" w:color="auto" w:fill="92D050"/>
            <w:textDirection w:val="btL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CF7433">
              <w:rPr>
                <w:rFonts w:ascii="Arial" w:hAnsi="Arial" w:cs="Arial"/>
                <w:b/>
                <w:bCs/>
                <w:sz w:val="14"/>
                <w:szCs w:val="14"/>
              </w:rPr>
              <w:t>Consecuencia de la ocurrencia del evento</w:t>
            </w:r>
          </w:p>
        </w:tc>
        <w:tc>
          <w:tcPr>
            <w:tcW w:w="312" w:type="dxa"/>
            <w:vMerge w:val="restart"/>
            <w:shd w:val="clear" w:color="auto" w:fill="92D050"/>
            <w:textDirection w:val="btL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CF7433">
              <w:rPr>
                <w:rFonts w:ascii="Arial" w:hAnsi="Arial" w:cs="Arial"/>
                <w:b/>
                <w:bCs/>
                <w:sz w:val="14"/>
                <w:szCs w:val="14"/>
              </w:rPr>
              <w:t>Probabilidad</w:t>
            </w:r>
          </w:p>
        </w:tc>
        <w:tc>
          <w:tcPr>
            <w:tcW w:w="312" w:type="dxa"/>
            <w:vMerge w:val="restart"/>
            <w:shd w:val="clear" w:color="auto" w:fill="92D050"/>
            <w:textDirection w:val="btLr"/>
            <w:hideMark/>
          </w:tcPr>
          <w:p w:rsidR="00C0767A" w:rsidRPr="00CF7433" w:rsidRDefault="00C0767A" w:rsidP="00FE18CA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CF7433">
              <w:rPr>
                <w:rFonts w:ascii="Arial" w:hAnsi="Arial" w:cs="Arial"/>
                <w:b/>
                <w:bCs/>
                <w:sz w:val="14"/>
                <w:szCs w:val="14"/>
              </w:rPr>
              <w:t>Impacto</w:t>
            </w:r>
          </w:p>
        </w:tc>
        <w:tc>
          <w:tcPr>
            <w:tcW w:w="312" w:type="dxa"/>
            <w:vMerge w:val="restart"/>
            <w:shd w:val="clear" w:color="auto" w:fill="92D050"/>
            <w:textDirection w:val="btLr"/>
            <w:hideMark/>
          </w:tcPr>
          <w:p w:rsidR="00C0767A" w:rsidRPr="00CF7433" w:rsidRDefault="00C0767A" w:rsidP="00FE18CA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CF7433">
              <w:rPr>
                <w:rFonts w:ascii="Arial" w:hAnsi="Arial" w:cs="Arial"/>
                <w:b/>
                <w:bCs/>
                <w:sz w:val="14"/>
                <w:szCs w:val="14"/>
              </w:rPr>
              <w:t>Valoración del riesgo</w:t>
            </w:r>
          </w:p>
        </w:tc>
        <w:tc>
          <w:tcPr>
            <w:tcW w:w="312" w:type="dxa"/>
            <w:vMerge w:val="restart"/>
            <w:shd w:val="clear" w:color="auto" w:fill="92D050"/>
            <w:textDirection w:val="btLr"/>
            <w:hideMark/>
          </w:tcPr>
          <w:p w:rsidR="00C0767A" w:rsidRPr="00CF7433" w:rsidRDefault="00C0767A" w:rsidP="00FE18CA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CF7433">
              <w:rPr>
                <w:rFonts w:ascii="Arial" w:hAnsi="Arial" w:cs="Arial"/>
                <w:b/>
                <w:bCs/>
                <w:sz w:val="14"/>
                <w:szCs w:val="14"/>
              </w:rPr>
              <w:t>Categoría</w:t>
            </w:r>
          </w:p>
        </w:tc>
        <w:tc>
          <w:tcPr>
            <w:tcW w:w="312" w:type="dxa"/>
            <w:vMerge w:val="restart"/>
            <w:shd w:val="clear" w:color="auto" w:fill="92D050"/>
            <w:textDirection w:val="btLr"/>
            <w:hideMark/>
          </w:tcPr>
          <w:p w:rsidR="00C0767A" w:rsidRPr="00CF7433" w:rsidRDefault="00C0767A" w:rsidP="00FE18C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¿A quién se le asigna?</w:t>
            </w:r>
          </w:p>
        </w:tc>
        <w:tc>
          <w:tcPr>
            <w:tcW w:w="923" w:type="dxa"/>
            <w:vMerge w:val="restart"/>
            <w:shd w:val="clear" w:color="auto" w:fill="92D050"/>
            <w:textDirection w:val="btLr"/>
            <w:hideMark/>
          </w:tcPr>
          <w:p w:rsidR="00C0767A" w:rsidRPr="00CF7433" w:rsidRDefault="00C0767A" w:rsidP="00FE18C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Tratamiento/Controles a ser implementados</w:t>
            </w:r>
          </w:p>
        </w:tc>
        <w:tc>
          <w:tcPr>
            <w:tcW w:w="1248" w:type="dxa"/>
            <w:gridSpan w:val="4"/>
            <w:shd w:val="clear" w:color="auto" w:fill="92D050"/>
            <w:vAlign w:val="center"/>
            <w:hideMark/>
          </w:tcPr>
          <w:p w:rsidR="00C0767A" w:rsidRPr="00CF7433" w:rsidRDefault="00C0767A" w:rsidP="00FE18C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Impacto después del tratamiento</w:t>
            </w:r>
          </w:p>
        </w:tc>
        <w:tc>
          <w:tcPr>
            <w:tcW w:w="312" w:type="dxa"/>
            <w:vMerge w:val="restart"/>
            <w:shd w:val="clear" w:color="auto" w:fill="92D050"/>
            <w:noWrap/>
            <w:textDirection w:val="btLr"/>
            <w:hideMark/>
          </w:tcPr>
          <w:p w:rsidR="00C0767A" w:rsidRPr="00CF7433" w:rsidRDefault="00C0767A" w:rsidP="00FE18C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¿Afecta la ejecución del contrato?</w:t>
            </w:r>
          </w:p>
        </w:tc>
        <w:tc>
          <w:tcPr>
            <w:tcW w:w="425" w:type="dxa"/>
            <w:vMerge w:val="restart"/>
            <w:shd w:val="clear" w:color="auto" w:fill="92D050"/>
            <w:noWrap/>
            <w:textDirection w:val="btLr"/>
            <w:hideMark/>
          </w:tcPr>
          <w:p w:rsidR="00C0767A" w:rsidRPr="00CF7433" w:rsidRDefault="00C0767A" w:rsidP="00FE18C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Persona responsable por implementar el tratamiento</w:t>
            </w:r>
          </w:p>
        </w:tc>
        <w:tc>
          <w:tcPr>
            <w:tcW w:w="413" w:type="dxa"/>
            <w:vMerge w:val="restart"/>
            <w:shd w:val="clear" w:color="auto" w:fill="92D050"/>
            <w:textDirection w:val="btLr"/>
            <w:hideMark/>
          </w:tcPr>
          <w:p w:rsidR="00C0767A" w:rsidRPr="00CF7433" w:rsidRDefault="00C0767A" w:rsidP="00FE18C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Fecha estimada en que se inicia el tratamiento</w:t>
            </w:r>
          </w:p>
        </w:tc>
        <w:tc>
          <w:tcPr>
            <w:tcW w:w="413" w:type="dxa"/>
            <w:vMerge w:val="restart"/>
            <w:shd w:val="clear" w:color="auto" w:fill="92D050"/>
            <w:textDirection w:val="btLr"/>
            <w:hideMark/>
          </w:tcPr>
          <w:p w:rsidR="00C0767A" w:rsidRPr="00CF7433" w:rsidRDefault="00C0767A" w:rsidP="00FE18C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Fecha estimada en que se completa el tratamiento</w:t>
            </w:r>
          </w:p>
        </w:tc>
        <w:tc>
          <w:tcPr>
            <w:tcW w:w="1301" w:type="dxa"/>
            <w:gridSpan w:val="2"/>
            <w:shd w:val="clear" w:color="auto" w:fill="92D050"/>
            <w:vAlign w:val="center"/>
            <w:hideMark/>
          </w:tcPr>
          <w:p w:rsidR="00C0767A" w:rsidRPr="00CF7433" w:rsidRDefault="00C0767A" w:rsidP="00FE18C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Monitoreo y revisión</w:t>
            </w:r>
          </w:p>
        </w:tc>
      </w:tr>
      <w:tr w:rsidR="00C0767A" w:rsidRPr="00CF7433" w:rsidTr="00FE18CA">
        <w:trPr>
          <w:trHeight w:val="1586"/>
          <w:jc w:val="center"/>
        </w:trPr>
        <w:tc>
          <w:tcPr>
            <w:tcW w:w="313" w:type="dxa"/>
            <w:vMerge/>
            <w:shd w:val="clear" w:color="auto" w:fill="92D050"/>
            <w:vAlign w:val="center"/>
            <w:hideMark/>
          </w:tcPr>
          <w:p w:rsidR="00C0767A" w:rsidRPr="00CF7433" w:rsidRDefault="00C0767A" w:rsidP="00FE18CA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314" w:type="dxa"/>
            <w:vMerge/>
            <w:shd w:val="clear" w:color="auto" w:fill="92D050"/>
            <w:vAlign w:val="center"/>
            <w:hideMark/>
          </w:tcPr>
          <w:p w:rsidR="00C0767A" w:rsidRPr="00CF7433" w:rsidRDefault="00C0767A" w:rsidP="00FE18CA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314" w:type="dxa"/>
            <w:vMerge/>
            <w:shd w:val="clear" w:color="auto" w:fill="92D050"/>
            <w:vAlign w:val="center"/>
            <w:hideMark/>
          </w:tcPr>
          <w:p w:rsidR="00C0767A" w:rsidRPr="00CF7433" w:rsidRDefault="00C0767A" w:rsidP="00FE18CA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314" w:type="dxa"/>
            <w:vMerge/>
            <w:shd w:val="clear" w:color="auto" w:fill="92D050"/>
            <w:vAlign w:val="center"/>
            <w:hideMark/>
          </w:tcPr>
          <w:p w:rsidR="00C0767A" w:rsidRPr="00CF7433" w:rsidRDefault="00C0767A" w:rsidP="00FE18CA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314" w:type="dxa"/>
            <w:vMerge/>
            <w:shd w:val="clear" w:color="auto" w:fill="92D050"/>
            <w:textDirection w:val="btLr"/>
            <w:vAlign w:val="cente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838" w:type="dxa"/>
            <w:vMerge/>
            <w:shd w:val="clear" w:color="auto" w:fill="92D050"/>
            <w:textDirection w:val="btLr"/>
            <w:vAlign w:val="cente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923" w:type="dxa"/>
            <w:vMerge/>
            <w:shd w:val="clear" w:color="auto" w:fill="92D050"/>
            <w:textDirection w:val="btL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312" w:type="dxa"/>
            <w:vMerge/>
            <w:shd w:val="clear" w:color="auto" w:fill="92D050"/>
            <w:textDirection w:val="btL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312" w:type="dxa"/>
            <w:vMerge/>
            <w:shd w:val="clear" w:color="auto" w:fill="92D050"/>
            <w:hideMark/>
          </w:tcPr>
          <w:p w:rsidR="00C0767A" w:rsidRPr="00CF7433" w:rsidRDefault="00C0767A" w:rsidP="00FE18CA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312" w:type="dxa"/>
            <w:vMerge/>
            <w:shd w:val="clear" w:color="auto" w:fill="92D050"/>
            <w:hideMark/>
          </w:tcPr>
          <w:p w:rsidR="00C0767A" w:rsidRPr="00CF7433" w:rsidRDefault="00C0767A" w:rsidP="00FE18CA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312" w:type="dxa"/>
            <w:vMerge/>
            <w:shd w:val="clear" w:color="auto" w:fill="92D050"/>
            <w:hideMark/>
          </w:tcPr>
          <w:p w:rsidR="00C0767A" w:rsidRPr="00CF7433" w:rsidRDefault="00C0767A" w:rsidP="00FE18CA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312" w:type="dxa"/>
            <w:vMerge/>
            <w:shd w:val="clear" w:color="auto" w:fill="92D050"/>
            <w:hideMark/>
          </w:tcPr>
          <w:p w:rsidR="00C0767A" w:rsidRPr="00CF7433" w:rsidRDefault="00C0767A" w:rsidP="00FE18C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23" w:type="dxa"/>
            <w:vMerge/>
            <w:shd w:val="clear" w:color="auto" w:fill="92D050"/>
            <w:hideMark/>
          </w:tcPr>
          <w:p w:rsidR="00C0767A" w:rsidRPr="00CF7433" w:rsidRDefault="00C0767A" w:rsidP="00FE18C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12" w:type="dxa"/>
            <w:shd w:val="clear" w:color="auto" w:fill="92D050"/>
            <w:textDirection w:val="btLr"/>
            <w:hideMark/>
          </w:tcPr>
          <w:p w:rsidR="00C0767A" w:rsidRPr="00CF7433" w:rsidRDefault="00C0767A" w:rsidP="00FE18C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Probabilidad</w:t>
            </w:r>
          </w:p>
        </w:tc>
        <w:tc>
          <w:tcPr>
            <w:tcW w:w="312" w:type="dxa"/>
            <w:shd w:val="clear" w:color="auto" w:fill="92D050"/>
            <w:textDirection w:val="btLr"/>
            <w:hideMark/>
          </w:tcPr>
          <w:p w:rsidR="00C0767A" w:rsidRPr="00CF7433" w:rsidRDefault="00C0767A" w:rsidP="00FE18C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Impacto</w:t>
            </w:r>
          </w:p>
        </w:tc>
        <w:tc>
          <w:tcPr>
            <w:tcW w:w="312" w:type="dxa"/>
            <w:shd w:val="clear" w:color="auto" w:fill="92D050"/>
            <w:textDirection w:val="btLr"/>
            <w:hideMark/>
          </w:tcPr>
          <w:p w:rsidR="00C0767A" w:rsidRPr="00CF7433" w:rsidRDefault="00C0767A" w:rsidP="00FE18C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Valoración  del riesgo</w:t>
            </w:r>
          </w:p>
        </w:tc>
        <w:tc>
          <w:tcPr>
            <w:tcW w:w="312" w:type="dxa"/>
            <w:shd w:val="clear" w:color="auto" w:fill="92D050"/>
            <w:textDirection w:val="btLr"/>
            <w:hideMark/>
          </w:tcPr>
          <w:p w:rsidR="00C0767A" w:rsidRPr="00CF7433" w:rsidRDefault="00C0767A" w:rsidP="00FE18C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Categoría</w:t>
            </w:r>
          </w:p>
        </w:tc>
        <w:tc>
          <w:tcPr>
            <w:tcW w:w="312" w:type="dxa"/>
            <w:vMerge/>
            <w:shd w:val="clear" w:color="auto" w:fill="92D050"/>
            <w:hideMark/>
          </w:tcPr>
          <w:p w:rsidR="00C0767A" w:rsidRPr="00CF7433" w:rsidRDefault="00C0767A" w:rsidP="00FE18C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5" w:type="dxa"/>
            <w:vMerge/>
            <w:shd w:val="clear" w:color="auto" w:fill="92D050"/>
            <w:hideMark/>
          </w:tcPr>
          <w:p w:rsidR="00C0767A" w:rsidRPr="00CF7433" w:rsidRDefault="00C0767A" w:rsidP="00FE18C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3" w:type="dxa"/>
            <w:vMerge/>
            <w:shd w:val="clear" w:color="auto" w:fill="92D050"/>
            <w:hideMark/>
          </w:tcPr>
          <w:p w:rsidR="00C0767A" w:rsidRPr="00CF7433" w:rsidRDefault="00C0767A" w:rsidP="00FE18C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3" w:type="dxa"/>
            <w:vMerge/>
            <w:shd w:val="clear" w:color="auto" w:fill="92D050"/>
            <w:hideMark/>
          </w:tcPr>
          <w:p w:rsidR="00C0767A" w:rsidRPr="00CF7433" w:rsidRDefault="00C0767A" w:rsidP="00FE18C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76" w:type="dxa"/>
            <w:shd w:val="clear" w:color="auto" w:fill="92D050"/>
            <w:textDirection w:val="btLr"/>
            <w:hideMark/>
          </w:tcPr>
          <w:p w:rsidR="00C0767A" w:rsidRPr="00CF7433" w:rsidRDefault="00C0767A" w:rsidP="00FE18C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¿Cómo se realiza el monitoreo?</w:t>
            </w:r>
          </w:p>
        </w:tc>
        <w:tc>
          <w:tcPr>
            <w:tcW w:w="625" w:type="dxa"/>
            <w:shd w:val="clear" w:color="auto" w:fill="92D050"/>
            <w:textDirection w:val="btLr"/>
            <w:hideMark/>
          </w:tcPr>
          <w:p w:rsidR="00C0767A" w:rsidRPr="00CF7433" w:rsidRDefault="00C0767A" w:rsidP="00FE18C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Periodicidad ¿Cuándo?</w:t>
            </w:r>
          </w:p>
        </w:tc>
      </w:tr>
      <w:tr w:rsidR="00C0767A" w:rsidRPr="00CF7433" w:rsidTr="00FE18CA">
        <w:trPr>
          <w:cantSplit/>
          <w:trHeight w:val="2253"/>
          <w:jc w:val="center"/>
        </w:trPr>
        <w:tc>
          <w:tcPr>
            <w:tcW w:w="313" w:type="dxa"/>
            <w:textDirection w:val="btL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314" w:type="dxa"/>
            <w:textDirection w:val="btL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314" w:type="dxa"/>
            <w:textDirection w:val="btL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314" w:type="dxa"/>
            <w:textDirection w:val="btL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314" w:type="dxa"/>
            <w:textDirection w:val="btL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Económico</w:t>
            </w:r>
          </w:p>
        </w:tc>
        <w:tc>
          <w:tcPr>
            <w:tcW w:w="838" w:type="dxa"/>
            <w:shd w:val="clear" w:color="auto" w:fill="auto"/>
            <w:textDirection w:val="btLr"/>
            <w:vAlign w:val="cente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CF7433">
              <w:rPr>
                <w:rFonts w:ascii="Arial" w:hAnsi="Arial" w:cs="Arial"/>
                <w:bCs/>
                <w:sz w:val="14"/>
                <w:szCs w:val="14"/>
              </w:rPr>
              <w:t>Inflación</w:t>
            </w:r>
            <w:r>
              <w:rPr>
                <w:rFonts w:ascii="Arial" w:hAnsi="Arial" w:cs="Arial"/>
                <w:bCs/>
                <w:sz w:val="14"/>
                <w:szCs w:val="14"/>
              </w:rPr>
              <w:t xml:space="preserve"> o fluctuación de los precios de los repuestos</w:t>
            </w:r>
          </w:p>
        </w:tc>
        <w:tc>
          <w:tcPr>
            <w:tcW w:w="923" w:type="dxa"/>
            <w:textDirection w:val="btL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Efectos favorables o desfavorables de la fluctuación de precios de los insumos, especulación de precios.</w:t>
            </w:r>
          </w:p>
        </w:tc>
        <w:tc>
          <w:tcPr>
            <w:tcW w:w="312" w:type="dxa"/>
            <w:textDirection w:val="btL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312" w:type="dxa"/>
            <w:textDirection w:val="btL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312" w:type="dxa"/>
            <w:textDirection w:val="btL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  <w:highlight w:val="green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312" w:type="dxa"/>
            <w:textDirection w:val="btL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Bajo</w:t>
            </w:r>
          </w:p>
        </w:tc>
        <w:tc>
          <w:tcPr>
            <w:tcW w:w="312" w:type="dxa"/>
            <w:textDirection w:val="btL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923" w:type="dxa"/>
            <w:textDirection w:val="btL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Aceptar el riesgo, tener en cuenta la incorporación de costos en el valor de la oferta</w:t>
            </w:r>
          </w:p>
        </w:tc>
        <w:tc>
          <w:tcPr>
            <w:tcW w:w="312" w:type="dxa"/>
            <w:textDirection w:val="btL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312" w:type="dxa"/>
            <w:textDirection w:val="btL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312" w:type="dxa"/>
            <w:textDirection w:val="btL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312" w:type="dxa"/>
            <w:textDirection w:val="btL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bajo</w:t>
            </w:r>
          </w:p>
        </w:tc>
        <w:tc>
          <w:tcPr>
            <w:tcW w:w="312" w:type="dxa"/>
            <w:textDirection w:val="btL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no</w:t>
            </w:r>
          </w:p>
        </w:tc>
        <w:tc>
          <w:tcPr>
            <w:tcW w:w="425" w:type="dxa"/>
            <w:textDirection w:val="btL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413" w:type="dxa"/>
            <w:textDirection w:val="btL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Presentación de la  oferta</w:t>
            </w:r>
          </w:p>
        </w:tc>
        <w:tc>
          <w:tcPr>
            <w:tcW w:w="413" w:type="dxa"/>
            <w:textDirection w:val="btL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Terminación del contrato</w:t>
            </w:r>
          </w:p>
        </w:tc>
        <w:tc>
          <w:tcPr>
            <w:tcW w:w="676" w:type="dxa"/>
            <w:textDirection w:val="btL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Supervisar los costos durante la ejecución del contrato.</w:t>
            </w:r>
          </w:p>
        </w:tc>
        <w:tc>
          <w:tcPr>
            <w:tcW w:w="625" w:type="dxa"/>
            <w:textDirection w:val="btL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Durante el trámite del proceso y durante la ejecución del contrato.</w:t>
            </w:r>
          </w:p>
        </w:tc>
      </w:tr>
      <w:tr w:rsidR="00C0767A" w:rsidRPr="00CF7433" w:rsidTr="00FE18CA">
        <w:trPr>
          <w:cantSplit/>
          <w:trHeight w:val="2509"/>
          <w:jc w:val="center"/>
        </w:trPr>
        <w:tc>
          <w:tcPr>
            <w:tcW w:w="313" w:type="dxa"/>
            <w:textDirection w:val="btL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314" w:type="dxa"/>
            <w:textDirection w:val="btL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314" w:type="dxa"/>
            <w:textDirection w:val="btL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externa</w:t>
            </w:r>
          </w:p>
        </w:tc>
        <w:tc>
          <w:tcPr>
            <w:tcW w:w="314" w:type="dxa"/>
            <w:textDirection w:val="btL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314" w:type="dxa"/>
            <w:textDirection w:val="btL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838" w:type="dxa"/>
            <w:shd w:val="clear" w:color="auto" w:fill="auto"/>
            <w:textDirection w:val="btLr"/>
            <w:vAlign w:val="cente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CF7433">
              <w:rPr>
                <w:rFonts w:ascii="Arial" w:hAnsi="Arial" w:cs="Arial"/>
                <w:bCs/>
                <w:sz w:val="14"/>
                <w:szCs w:val="14"/>
              </w:rPr>
              <w:t>Paros de transporte superior a 15 días</w:t>
            </w:r>
          </w:p>
        </w:tc>
        <w:tc>
          <w:tcPr>
            <w:tcW w:w="923" w:type="dxa"/>
            <w:textDirection w:val="btL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 xml:space="preserve">Retraso en </w:t>
            </w:r>
            <w:r>
              <w:rPr>
                <w:rFonts w:ascii="Arial" w:hAnsi="Arial" w:cs="Arial"/>
                <w:sz w:val="14"/>
                <w:szCs w:val="14"/>
              </w:rPr>
              <w:t>el suministro de los repuestos</w:t>
            </w:r>
            <w:r w:rsidRPr="00CF7433">
              <w:rPr>
                <w:rFonts w:ascii="Arial" w:hAnsi="Arial" w:cs="Arial"/>
                <w:sz w:val="14"/>
                <w:szCs w:val="14"/>
              </w:rPr>
              <w:t xml:space="preserve"> en el momento requerido</w:t>
            </w:r>
          </w:p>
        </w:tc>
        <w:tc>
          <w:tcPr>
            <w:tcW w:w="312" w:type="dxa"/>
            <w:textDirection w:val="btL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312" w:type="dxa"/>
            <w:textDirection w:val="btL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312" w:type="dxa"/>
            <w:textDirection w:val="btL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312" w:type="dxa"/>
            <w:textDirection w:val="btL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Bajo</w:t>
            </w:r>
          </w:p>
        </w:tc>
        <w:tc>
          <w:tcPr>
            <w:tcW w:w="312" w:type="dxa"/>
            <w:textDirection w:val="btL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923" w:type="dxa"/>
            <w:textDirection w:val="btL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 xml:space="preserve">Plan de contingencia en entregas de pedidos, mantener un stock de </w:t>
            </w:r>
            <w:r>
              <w:rPr>
                <w:rFonts w:ascii="Arial" w:hAnsi="Arial" w:cs="Arial"/>
                <w:sz w:val="14"/>
                <w:szCs w:val="14"/>
              </w:rPr>
              <w:t>repuestos</w:t>
            </w:r>
            <w:r w:rsidRPr="00CF7433">
              <w:rPr>
                <w:rFonts w:ascii="Arial" w:hAnsi="Arial" w:cs="Arial"/>
                <w:sz w:val="14"/>
                <w:szCs w:val="14"/>
              </w:rPr>
              <w:t xml:space="preserve"> para garantizar el suministro a la Entidad</w:t>
            </w:r>
          </w:p>
        </w:tc>
        <w:tc>
          <w:tcPr>
            <w:tcW w:w="312" w:type="dxa"/>
            <w:textDirection w:val="btL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312" w:type="dxa"/>
            <w:textDirection w:val="btL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312" w:type="dxa"/>
            <w:textDirection w:val="btL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312" w:type="dxa"/>
            <w:textDirection w:val="btL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Bajo</w:t>
            </w:r>
          </w:p>
        </w:tc>
        <w:tc>
          <w:tcPr>
            <w:tcW w:w="312" w:type="dxa"/>
            <w:textDirection w:val="btL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425" w:type="dxa"/>
            <w:textDirection w:val="btL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Contratista</w:t>
            </w:r>
            <w:r>
              <w:rPr>
                <w:rFonts w:ascii="Arial" w:hAnsi="Arial" w:cs="Arial"/>
                <w:sz w:val="14"/>
                <w:szCs w:val="14"/>
              </w:rPr>
              <w:t>/Supervisor</w:t>
            </w:r>
          </w:p>
        </w:tc>
        <w:tc>
          <w:tcPr>
            <w:tcW w:w="413" w:type="dxa"/>
            <w:textDirection w:val="btL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Desde la suscripción del acta de inicio</w:t>
            </w:r>
          </w:p>
        </w:tc>
        <w:tc>
          <w:tcPr>
            <w:tcW w:w="413" w:type="dxa"/>
            <w:textDirection w:val="btL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Hasta la terminación del contrato</w:t>
            </w:r>
          </w:p>
        </w:tc>
        <w:tc>
          <w:tcPr>
            <w:tcW w:w="676" w:type="dxa"/>
            <w:textDirection w:val="btL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Verificando los mantenimientos realizados y los repuestos entregados vs solicitudes</w:t>
            </w:r>
          </w:p>
        </w:tc>
        <w:tc>
          <w:tcPr>
            <w:tcW w:w="625" w:type="dxa"/>
            <w:textDirection w:val="btLr"/>
            <w:hideMark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Mensual</w:t>
            </w:r>
          </w:p>
        </w:tc>
      </w:tr>
      <w:tr w:rsidR="00C0767A" w:rsidRPr="00CF7433" w:rsidTr="00FE18CA">
        <w:trPr>
          <w:cantSplit/>
          <w:trHeight w:val="2719"/>
          <w:jc w:val="center"/>
        </w:trPr>
        <w:tc>
          <w:tcPr>
            <w:tcW w:w="313" w:type="dxa"/>
            <w:textDirection w:val="btLr"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314" w:type="dxa"/>
            <w:textDirection w:val="btLr"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314" w:type="dxa"/>
            <w:textDirection w:val="btLr"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314" w:type="dxa"/>
            <w:textDirection w:val="btLr"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314" w:type="dxa"/>
            <w:textDirection w:val="btLr"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838" w:type="dxa"/>
            <w:shd w:val="clear" w:color="auto" w:fill="auto"/>
            <w:textDirection w:val="btLr"/>
            <w:vAlign w:val="center"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>Accidentes del personal encargado de la realización de los trabajos de reparación y mantenimiento</w:t>
            </w:r>
          </w:p>
        </w:tc>
        <w:tc>
          <w:tcPr>
            <w:tcW w:w="923" w:type="dxa"/>
            <w:textDirection w:val="btLr"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Atraso en la ejecución de las actividades</w:t>
            </w:r>
          </w:p>
        </w:tc>
        <w:tc>
          <w:tcPr>
            <w:tcW w:w="312" w:type="dxa"/>
            <w:textDirection w:val="btLr"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312" w:type="dxa"/>
            <w:textDirection w:val="btLr"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312" w:type="dxa"/>
            <w:textDirection w:val="btLr"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312" w:type="dxa"/>
            <w:textDirection w:val="btLr"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Bajo</w:t>
            </w:r>
          </w:p>
        </w:tc>
        <w:tc>
          <w:tcPr>
            <w:tcW w:w="312" w:type="dxa"/>
            <w:textDirection w:val="btLr"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923" w:type="dxa"/>
            <w:textDirection w:val="btLr"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Reemplazar el personal de ser necesario</w:t>
            </w:r>
          </w:p>
        </w:tc>
        <w:tc>
          <w:tcPr>
            <w:tcW w:w="312" w:type="dxa"/>
            <w:textDirection w:val="btLr"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312" w:type="dxa"/>
            <w:textDirection w:val="btLr"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312" w:type="dxa"/>
            <w:textDirection w:val="btLr"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312" w:type="dxa"/>
            <w:textDirection w:val="btLr"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Bajo</w:t>
            </w:r>
          </w:p>
        </w:tc>
        <w:tc>
          <w:tcPr>
            <w:tcW w:w="312" w:type="dxa"/>
            <w:textDirection w:val="btLr"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No</w:t>
            </w:r>
          </w:p>
        </w:tc>
        <w:tc>
          <w:tcPr>
            <w:tcW w:w="425" w:type="dxa"/>
            <w:textDirection w:val="btLr"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413" w:type="dxa"/>
            <w:textDirection w:val="btLr"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Desde la suscripción del acta de inicio</w:t>
            </w:r>
          </w:p>
        </w:tc>
        <w:tc>
          <w:tcPr>
            <w:tcW w:w="413" w:type="dxa"/>
            <w:textDirection w:val="btLr"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Hasta la terminación del contrato</w:t>
            </w:r>
          </w:p>
        </w:tc>
        <w:tc>
          <w:tcPr>
            <w:tcW w:w="676" w:type="dxa"/>
            <w:textDirection w:val="btLr"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Informe del contratista</w:t>
            </w:r>
          </w:p>
        </w:tc>
        <w:tc>
          <w:tcPr>
            <w:tcW w:w="625" w:type="dxa"/>
            <w:textDirection w:val="btLr"/>
          </w:tcPr>
          <w:p w:rsidR="00C0767A" w:rsidRPr="00CF7433" w:rsidRDefault="00C0767A" w:rsidP="00FE18CA">
            <w:pPr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F7433">
              <w:rPr>
                <w:rFonts w:ascii="Arial" w:hAnsi="Arial" w:cs="Arial"/>
                <w:sz w:val="14"/>
                <w:szCs w:val="14"/>
              </w:rPr>
              <w:t>Mensual</w:t>
            </w:r>
          </w:p>
        </w:tc>
      </w:tr>
    </w:tbl>
    <w:p w:rsidR="008D6BA3" w:rsidRDefault="008D6BA3"/>
    <w:sectPr w:rsidR="008D6BA3" w:rsidSect="00A508A5">
      <w:headerReference w:type="default" r:id="rId6"/>
      <w:pgSz w:w="12242" w:h="18722" w:code="28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7127" w:rsidRDefault="000A7127" w:rsidP="000B3C4C">
      <w:pPr>
        <w:spacing w:after="0" w:line="240" w:lineRule="auto"/>
      </w:pPr>
      <w:r>
        <w:separator/>
      </w:r>
    </w:p>
  </w:endnote>
  <w:endnote w:type="continuationSeparator" w:id="0">
    <w:p w:rsidR="000A7127" w:rsidRDefault="000A7127" w:rsidP="000B3C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7127" w:rsidRDefault="000A7127" w:rsidP="000B3C4C">
      <w:pPr>
        <w:spacing w:after="0" w:line="240" w:lineRule="auto"/>
      </w:pPr>
      <w:r>
        <w:separator/>
      </w:r>
    </w:p>
  </w:footnote>
  <w:footnote w:type="continuationSeparator" w:id="0">
    <w:p w:rsidR="000A7127" w:rsidRDefault="000A7127" w:rsidP="000B3C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3C4C" w:rsidRPr="00D017CC" w:rsidRDefault="000B3C4C" w:rsidP="000B3C4C">
    <w:pPr>
      <w:keepNext/>
      <w:keepLines/>
      <w:spacing w:after="0" w:line="240" w:lineRule="auto"/>
      <w:jc w:val="center"/>
      <w:outlineLvl w:val="0"/>
      <w:rPr>
        <w:rFonts w:ascii="Arial" w:eastAsia="Times New Roman" w:hAnsi="Arial" w:cs="Arial"/>
        <w:b/>
        <w:bCs/>
        <w:lang w:eastAsia="x-none"/>
      </w:rPr>
    </w:pPr>
    <w:bookmarkStart w:id="1" w:name="_Toc443564784"/>
    <w:bookmarkStart w:id="2" w:name="_Toc446069974"/>
    <w:bookmarkStart w:id="3" w:name="_Toc59108750"/>
    <w:r w:rsidRPr="00D017CC">
      <w:rPr>
        <w:rFonts w:ascii="Arial" w:eastAsia="Times New Roman" w:hAnsi="Arial" w:cs="Arial"/>
        <w:b/>
        <w:bCs/>
        <w:lang w:eastAsia="x-none"/>
      </w:rPr>
      <w:t>ANEXO No. 03</w:t>
    </w:r>
    <w:bookmarkEnd w:id="1"/>
    <w:bookmarkEnd w:id="2"/>
    <w:bookmarkEnd w:id="3"/>
  </w:p>
  <w:p w:rsidR="000B3C4C" w:rsidRDefault="000B3C4C" w:rsidP="000B3C4C">
    <w:pPr>
      <w:pStyle w:val="Encabezado"/>
      <w:jc w:val="center"/>
    </w:pPr>
    <w:bookmarkStart w:id="4" w:name="_Toc443564785"/>
    <w:bookmarkStart w:id="5" w:name="_Toc443569968"/>
    <w:bookmarkStart w:id="6" w:name="_Toc443578498"/>
    <w:bookmarkStart w:id="7" w:name="_Toc443923263"/>
    <w:bookmarkStart w:id="8" w:name="_Toc486413287"/>
    <w:bookmarkStart w:id="9" w:name="_Toc513738947"/>
    <w:bookmarkStart w:id="10" w:name="_Toc514309595"/>
    <w:bookmarkStart w:id="11" w:name="_Toc515265529"/>
    <w:bookmarkStart w:id="12" w:name="_Toc517360449"/>
    <w:bookmarkStart w:id="13" w:name="_Toc5610532"/>
    <w:bookmarkStart w:id="14" w:name="_Toc59108751"/>
    <w:r w:rsidRPr="00D017CC">
      <w:rPr>
        <w:rFonts w:ascii="Arial" w:eastAsia="Times New Roman" w:hAnsi="Arial" w:cs="Arial"/>
        <w:b/>
        <w:bCs/>
        <w:lang w:eastAsia="x-none"/>
      </w:rPr>
      <w:t>MATRIZ DE RIESG</w:t>
    </w:r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r w:rsidRPr="00D017CC">
      <w:rPr>
        <w:rFonts w:ascii="Arial" w:eastAsia="Times New Roman" w:hAnsi="Arial" w:cs="Arial"/>
        <w:b/>
        <w:bCs/>
        <w:lang w:eastAsia="x-none"/>
      </w:rPr>
      <w:t>O</w:t>
    </w:r>
    <w:bookmarkEnd w:id="13"/>
    <w:bookmarkEnd w:id="14"/>
    <w:r w:rsidR="00C0767A">
      <w:rPr>
        <w:rFonts w:ascii="Arial" w:eastAsia="Times New Roman" w:hAnsi="Arial" w:cs="Arial"/>
        <w:b/>
        <w:bCs/>
        <w:lang w:eastAsia="x-none"/>
      </w:rPr>
      <w:t>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C4C"/>
    <w:rsid w:val="000A7127"/>
    <w:rsid w:val="000B2DBC"/>
    <w:rsid w:val="000B3C4C"/>
    <w:rsid w:val="00241A00"/>
    <w:rsid w:val="004A4348"/>
    <w:rsid w:val="004D5C02"/>
    <w:rsid w:val="007615B1"/>
    <w:rsid w:val="008D6BA3"/>
    <w:rsid w:val="00A508A5"/>
    <w:rsid w:val="00B77EF3"/>
    <w:rsid w:val="00C0767A"/>
    <w:rsid w:val="00C13EA7"/>
    <w:rsid w:val="00C727BA"/>
    <w:rsid w:val="00D062D9"/>
    <w:rsid w:val="00EB6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D32715-F2EA-4C7C-9E00-84E3870EE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3C4C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B3C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B3C4C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B3C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B3C4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Oswaldo Díaz Pérez</dc:creator>
  <cp:keywords/>
  <dc:description/>
  <cp:lastModifiedBy>Oswaldo Díaz Pérez</cp:lastModifiedBy>
  <cp:revision>7</cp:revision>
  <dcterms:created xsi:type="dcterms:W3CDTF">2021-05-11T21:56:00Z</dcterms:created>
  <dcterms:modified xsi:type="dcterms:W3CDTF">2023-04-18T13:39:00Z</dcterms:modified>
</cp:coreProperties>
</file>