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DEA80" w14:textId="77777777" w:rsidR="001D259B" w:rsidRDefault="001D259B" w:rsidP="001D259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BC9D4FD" w14:textId="77777777" w:rsidR="001D259B" w:rsidRDefault="001D259B" w:rsidP="001D259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5EEE428A" w14:textId="77777777" w:rsidR="0043771C" w:rsidRDefault="00C968E6" w:rsidP="0043771C">
      <w:pPr>
        <w:spacing w:after="0" w:line="240" w:lineRule="auto"/>
        <w:contextualSpacing/>
        <w:jc w:val="center"/>
        <w:rPr>
          <w:rFonts w:ascii="Arial" w:hAnsi="Arial" w:cs="Arial"/>
          <w:b/>
          <w:spacing w:val="2"/>
        </w:rPr>
      </w:pPr>
      <w:r w:rsidRPr="00DF7D4E">
        <w:rPr>
          <w:rFonts w:ascii="Arial" w:hAnsi="Arial" w:cs="Arial"/>
          <w:b/>
          <w:spacing w:val="2"/>
        </w:rPr>
        <w:t xml:space="preserve">FORMATO </w:t>
      </w:r>
    </w:p>
    <w:p w14:paraId="0FD40D3B" w14:textId="757B9826" w:rsidR="00C968E6" w:rsidRPr="00DF7D4E" w:rsidRDefault="0030675A" w:rsidP="0043771C">
      <w:pPr>
        <w:spacing w:after="0" w:line="240" w:lineRule="auto"/>
        <w:contextualSpacing/>
        <w:jc w:val="center"/>
        <w:rPr>
          <w:rFonts w:ascii="Arial" w:hAnsi="Arial" w:cs="Arial"/>
          <w:b/>
          <w:color w:val="FF0000"/>
          <w:spacing w:val="2"/>
        </w:rPr>
      </w:pPr>
      <w:r w:rsidRPr="00DF7D4E">
        <w:rPr>
          <w:rFonts w:ascii="Arial" w:hAnsi="Arial" w:cs="Arial"/>
          <w:b/>
          <w:spacing w:val="2"/>
        </w:rPr>
        <w:t>AVISO DE CONVOCATORIA</w:t>
      </w:r>
      <w:r w:rsidR="0043771C">
        <w:rPr>
          <w:rFonts w:ascii="Arial" w:hAnsi="Arial" w:cs="Arial"/>
          <w:b/>
          <w:spacing w:val="2"/>
        </w:rPr>
        <w:t xml:space="preserve"> </w:t>
      </w:r>
    </w:p>
    <w:p w14:paraId="6ED7D952" w14:textId="77777777" w:rsidR="0043771C" w:rsidRDefault="0043771C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val="es-ES" w:eastAsia="es-CO"/>
        </w:rPr>
      </w:pPr>
    </w:p>
    <w:p w14:paraId="44B54604" w14:textId="2C48FB4C" w:rsidR="0030675A" w:rsidRPr="00DF7D4E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b/>
          <w:bCs/>
          <w:lang w:val="es-ES" w:eastAsia="es-CO"/>
        </w:rPr>
        <w:t xml:space="preserve">AVISO DE </w:t>
      </w:r>
      <w:r w:rsidRPr="00D90C77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>CONVOCATORIA No.</w:t>
      </w:r>
      <w:r w:rsidRPr="00D90C77">
        <w:rPr>
          <w:rStyle w:val="Nmerodepgina"/>
          <w:rFonts w:ascii="Arial" w:hAnsi="Arial" w:cs="Arial"/>
          <w:b/>
          <w:bCs/>
          <w:color w:val="000000" w:themeColor="text1"/>
        </w:rPr>
        <w:t xml:space="preserve"> </w:t>
      </w:r>
      <w:r w:rsidR="00D90C77" w:rsidRPr="00D90C77">
        <w:rPr>
          <w:rStyle w:val="Nmerodepgina"/>
          <w:rFonts w:ascii="Arial" w:hAnsi="Arial" w:cs="Arial"/>
          <w:b/>
          <w:bCs/>
          <w:color w:val="000000" w:themeColor="text1"/>
        </w:rPr>
        <w:t>001</w:t>
      </w:r>
    </w:p>
    <w:p w14:paraId="794BE3A6" w14:textId="77777777" w:rsidR="0030675A" w:rsidRPr="00DF7D4E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t> </w:t>
      </w:r>
    </w:p>
    <w:p w14:paraId="77D2A6BB" w14:textId="77777777" w:rsidR="00D90C77" w:rsidRDefault="00D90C77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08D57D5F" w14:textId="77777777" w:rsidR="00D90C77" w:rsidRDefault="00D90C77" w:rsidP="00D90C77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</w:p>
    <w:p w14:paraId="0137668E" w14:textId="77777777" w:rsidR="00D90C77" w:rsidRPr="005C58A0" w:rsidRDefault="00D90C77" w:rsidP="00D90C77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000000" w:themeColor="text1"/>
        </w:rPr>
      </w:pPr>
      <w:r w:rsidRPr="005C58A0">
        <w:rPr>
          <w:rFonts w:ascii="Arial" w:hAnsi="Arial" w:cs="Arial"/>
          <w:b/>
          <w:bCs/>
          <w:color w:val="000000" w:themeColor="text1"/>
        </w:rPr>
        <w:t xml:space="preserve">SELECCIÓN ABREVIADA DE MENOR CUANTÍA </w:t>
      </w:r>
    </w:p>
    <w:p w14:paraId="4565FC2D" w14:textId="45B05B75" w:rsidR="00D90C77" w:rsidRPr="005C58A0" w:rsidRDefault="00D90C77" w:rsidP="00D90C77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000000" w:themeColor="text1"/>
        </w:rPr>
      </w:pPr>
      <w:r w:rsidRPr="005C58A0">
        <w:rPr>
          <w:rStyle w:val="Nmerodepgina"/>
          <w:rFonts w:ascii="Arial" w:hAnsi="Arial" w:cs="Arial"/>
          <w:b/>
          <w:bCs/>
          <w:color w:val="000000" w:themeColor="text1"/>
        </w:rPr>
        <w:t> No. SAMC-HIL-CEFA-000</w:t>
      </w:r>
      <w:r>
        <w:rPr>
          <w:rStyle w:val="Nmerodepgina"/>
          <w:rFonts w:ascii="Arial" w:hAnsi="Arial" w:cs="Arial"/>
          <w:b/>
          <w:bCs/>
          <w:color w:val="000000" w:themeColor="text1"/>
        </w:rPr>
        <w:t>1</w:t>
      </w:r>
      <w:r w:rsidRPr="005C58A0">
        <w:rPr>
          <w:rStyle w:val="Nmerodepgina"/>
          <w:rFonts w:ascii="Arial" w:hAnsi="Arial" w:cs="Arial"/>
          <w:b/>
          <w:bCs/>
          <w:color w:val="000000" w:themeColor="text1"/>
        </w:rPr>
        <w:t>-20</w:t>
      </w:r>
      <w:r>
        <w:rPr>
          <w:rStyle w:val="Nmerodepgina"/>
          <w:rFonts w:ascii="Arial" w:hAnsi="Arial" w:cs="Arial"/>
          <w:b/>
          <w:bCs/>
          <w:color w:val="000000" w:themeColor="text1"/>
        </w:rPr>
        <w:t>23</w:t>
      </w:r>
    </w:p>
    <w:p w14:paraId="748812BA" w14:textId="77777777" w:rsidR="00D90C77" w:rsidRDefault="00D90C77" w:rsidP="00D90C77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</w:p>
    <w:p w14:paraId="0145C642" w14:textId="77777777" w:rsidR="00D90C77" w:rsidRDefault="00D90C77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0834D7A" w14:textId="675349DE" w:rsidR="0030675A" w:rsidRPr="00DF7D4E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t> </w:t>
      </w:r>
    </w:p>
    <w:p w14:paraId="183FF207" w14:textId="77777777" w:rsidR="0030675A" w:rsidRPr="00DF7D4E" w:rsidRDefault="0030675A" w:rsidP="0030675A">
      <w:pPr>
        <w:spacing w:after="0" w:line="240" w:lineRule="auto"/>
        <w:ind w:right="-52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val="es-ES" w:eastAsia="es-CO"/>
        </w:rPr>
        <w:t>El Servicio Nacional de Aprendizaje SENA de conformidad a lo establecido en el artículo 2.2.1.1.2.1.2 del Decreto 1082 de 2015, convoca públicamente a todas las personas naturales y jurídicas interesadas en participar en el proceso teniendo en cuenta lo siguiente:</w:t>
      </w:r>
      <w:r w:rsidRPr="00DF7D4E">
        <w:rPr>
          <w:rFonts w:ascii="Arial" w:eastAsia="Times New Roman" w:hAnsi="Arial" w:cs="Arial"/>
          <w:lang w:eastAsia="es-CO"/>
        </w:rPr>
        <w:t> </w:t>
      </w:r>
    </w:p>
    <w:p w14:paraId="6834AC90" w14:textId="77777777" w:rsidR="0030675A" w:rsidRPr="00DF7D4E" w:rsidRDefault="0030675A" w:rsidP="0030675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t> 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7513"/>
      </w:tblGrid>
      <w:tr w:rsidR="0030675A" w:rsidRPr="00DF7D4E" w14:paraId="0037BA54" w14:textId="77777777" w:rsidTr="0043771C">
        <w:trPr>
          <w:trHeight w:val="465"/>
        </w:trPr>
        <w:tc>
          <w:tcPr>
            <w:tcW w:w="1835" w:type="dxa"/>
            <w:shd w:val="clear" w:color="auto" w:fill="auto"/>
            <w:vAlign w:val="center"/>
            <w:hideMark/>
          </w:tcPr>
          <w:p w14:paraId="47CD0F17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Comunicaciones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0C8CC16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 SENA informará a los interesados todos los asuntos relacionados con el presente proceso de selección de manera exclusiva, a través de la plataforma SECOP II, siendo éste el único canal de comunicación, entre las partes. </w:t>
            </w:r>
            <w:hyperlink r:id="rId8" w:tgtFrame="_blank" w:history="1">
              <w:r w:rsidRPr="00DF7D4E">
                <w:rPr>
                  <w:rFonts w:ascii="Arial" w:eastAsia="Times New Roman" w:hAnsi="Arial" w:cs="Arial"/>
                  <w:color w:val="0000FF"/>
                  <w:u w:val="single"/>
                  <w:lang w:val="es-ES" w:eastAsia="es-CO"/>
                </w:rPr>
                <w:t>https://www.colombiacompra.gov.co/secop-ii</w:t>
              </w:r>
            </w:hyperlink>
            <w:r w:rsidRPr="00DF7D4E">
              <w:rPr>
                <w:rFonts w:ascii="Arial" w:eastAsia="Times New Roman" w:hAnsi="Arial" w:cs="Arial"/>
                <w:color w:val="0000FF"/>
                <w:lang w:eastAsia="es-CO"/>
              </w:rPr>
              <w:t> </w:t>
            </w:r>
          </w:p>
          <w:p w14:paraId="204FF59E" w14:textId="77777777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CO"/>
              </w:rPr>
            </w:pPr>
          </w:p>
          <w:p w14:paraId="524A1C97" w14:textId="08BD3FE4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Únicamente en caso de que se presente indisponibilidad de la plataforma y en cumplimiento de la guía establecida para ello por Colombia Compra Eficiente, se podrá a disposición de los interesados el corre</w:t>
            </w:r>
            <w:r w:rsidR="00D90C77">
              <w:rPr>
                <w:rFonts w:ascii="Arial" w:eastAsia="Times New Roman" w:hAnsi="Arial" w:cs="Arial"/>
                <w:lang w:val="es-ES" w:eastAsia="es-CO"/>
              </w:rPr>
              <w:t xml:space="preserve">o </w:t>
            </w:r>
            <w:hyperlink r:id="rId9" w:history="1">
              <w:r w:rsidR="00D90C77" w:rsidRPr="008C65F5">
                <w:rPr>
                  <w:rStyle w:val="Hipervnculo"/>
                  <w:rFonts w:ascii="Arial" w:hAnsi="Arial" w:cs="Arial"/>
                  <w:b/>
                  <w:bCs/>
                </w:rPr>
                <w:t>angostura@sena.edu.co</w:t>
              </w:r>
            </w:hyperlink>
            <w:r w:rsidR="00D90C77" w:rsidRPr="00DF7D4E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t>  </w:t>
            </w:r>
            <w:r w:rsidRPr="00DF7D4E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t> </w:t>
            </w:r>
          </w:p>
        </w:tc>
      </w:tr>
      <w:tr w:rsidR="0030675A" w:rsidRPr="00DF7D4E" w14:paraId="6E4EB0A9" w14:textId="77777777" w:rsidTr="0043771C">
        <w:trPr>
          <w:trHeight w:val="315"/>
        </w:trPr>
        <w:tc>
          <w:tcPr>
            <w:tcW w:w="1835" w:type="dxa"/>
            <w:shd w:val="clear" w:color="auto" w:fill="auto"/>
            <w:vAlign w:val="center"/>
            <w:hideMark/>
          </w:tcPr>
          <w:p w14:paraId="74F3EA73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Objeto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4C7637FD" w14:textId="667A6887" w:rsidR="0030675A" w:rsidRPr="00DF7D4E" w:rsidRDefault="00D90C77" w:rsidP="0030675A">
            <w:pPr>
              <w:spacing w:after="0" w:line="240" w:lineRule="auto"/>
              <w:jc w:val="both"/>
              <w:textAlignment w:val="baseline"/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</w:pPr>
            <w:r w:rsidRPr="00D1317C">
              <w:rPr>
                <w:rStyle w:val="Nmerodepgina"/>
                <w:rFonts w:ascii="Arial" w:hAnsi="Arial" w:cs="Arial"/>
                <w:bCs/>
                <w:sz w:val="20"/>
                <w:szCs w:val="20"/>
              </w:rPr>
              <w:t>Prestar el servicio de alimentación para los Aprendices y Trabajadores Oficiales del Centro de Formación Agroindustrial” del SENA Regional Huila.</w:t>
            </w:r>
          </w:p>
        </w:tc>
      </w:tr>
      <w:tr w:rsidR="0030675A" w:rsidRPr="00DF7D4E" w14:paraId="4EF7CEF9" w14:textId="77777777" w:rsidTr="0043771C">
        <w:trPr>
          <w:trHeight w:val="465"/>
        </w:trPr>
        <w:tc>
          <w:tcPr>
            <w:tcW w:w="1835" w:type="dxa"/>
            <w:shd w:val="clear" w:color="auto" w:fill="auto"/>
            <w:vAlign w:val="center"/>
            <w:hideMark/>
          </w:tcPr>
          <w:p w14:paraId="5BDC35BC" w14:textId="5DE3E945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Especificaciones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A064E55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Las especificaciones técnicas se encuentran escritas en el Estudio Previo y demás anexos, que hacen forma parte integral del proceso de selección. </w:t>
            </w:r>
          </w:p>
        </w:tc>
      </w:tr>
      <w:tr w:rsidR="0030675A" w:rsidRPr="00DF7D4E" w14:paraId="448C9B6D" w14:textId="77777777" w:rsidTr="0043771C">
        <w:trPr>
          <w:trHeight w:val="495"/>
        </w:trPr>
        <w:tc>
          <w:tcPr>
            <w:tcW w:w="1835" w:type="dxa"/>
            <w:shd w:val="clear" w:color="auto" w:fill="auto"/>
            <w:vAlign w:val="center"/>
            <w:hideMark/>
          </w:tcPr>
          <w:p w14:paraId="12570AC1" w14:textId="0BE8439C" w:rsidR="0030675A" w:rsidRPr="00DF7D4E" w:rsidRDefault="0030675A" w:rsidP="004377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Modalidad de selección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5B189D03" w14:textId="77777777" w:rsidR="00D90C77" w:rsidRPr="00D90C77" w:rsidRDefault="00D90C77" w:rsidP="00D90C77">
            <w:pPr>
              <w:spacing w:after="0" w:line="240" w:lineRule="auto"/>
              <w:jc w:val="both"/>
              <w:textAlignment w:val="baseline"/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</w:pPr>
            <w:r w:rsidRPr="00D90C77"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  <w:t>SELECCIÓN ABREVIADA DE MENOR CUANTÍA</w:t>
            </w:r>
          </w:p>
          <w:p w14:paraId="30443AB2" w14:textId="26A67664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</w:pPr>
          </w:p>
        </w:tc>
      </w:tr>
      <w:tr w:rsidR="0030675A" w:rsidRPr="00DF7D4E" w14:paraId="43043607" w14:textId="77777777" w:rsidTr="0043771C">
        <w:trPr>
          <w:trHeight w:val="540"/>
        </w:trPr>
        <w:tc>
          <w:tcPr>
            <w:tcW w:w="1835" w:type="dxa"/>
            <w:shd w:val="clear" w:color="auto" w:fill="auto"/>
            <w:vAlign w:val="center"/>
            <w:hideMark/>
          </w:tcPr>
          <w:p w14:paraId="6133797D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Plazo de ejecución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1F3A60AA" w14:textId="77777777" w:rsidR="00D90C77" w:rsidRPr="00D1317C" w:rsidRDefault="00D90C77" w:rsidP="00D90C7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317C">
              <w:rPr>
                <w:rFonts w:ascii="Arial" w:hAnsi="Arial" w:cs="Arial"/>
                <w:sz w:val="20"/>
                <w:szCs w:val="20"/>
              </w:rPr>
              <w:t xml:space="preserve">El plazo de ejecución del contrato será de hasta el 30 de diciembre 2023, o hasta agotar presupuesto, lo que suceda primero, contados a partir del cumplimiento de los requisitos para la ejecución del contrato: Registro presupuestal, aprobación de la garantía única y firma del acta de inicio, con sus </w:t>
            </w:r>
            <w:proofErr w:type="spellStart"/>
            <w:r w:rsidRPr="00D1317C">
              <w:rPr>
                <w:rFonts w:ascii="Arial" w:hAnsi="Arial" w:cs="Arial"/>
                <w:sz w:val="20"/>
                <w:szCs w:val="20"/>
              </w:rPr>
              <w:t>adiciones</w:t>
            </w:r>
            <w:proofErr w:type="spellEnd"/>
            <w:r w:rsidRPr="00D1317C">
              <w:rPr>
                <w:rFonts w:ascii="Arial" w:hAnsi="Arial" w:cs="Arial"/>
                <w:sz w:val="20"/>
                <w:szCs w:val="20"/>
              </w:rPr>
              <w:t xml:space="preserve"> y/o prórrogas, que suscribió la Entidad.</w:t>
            </w:r>
          </w:p>
          <w:p w14:paraId="0EC8A8E6" w14:textId="1200104B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</w:pPr>
          </w:p>
        </w:tc>
      </w:tr>
      <w:tr w:rsidR="0030675A" w:rsidRPr="00DF7D4E" w14:paraId="3F27F299" w14:textId="77777777" w:rsidTr="0043771C">
        <w:trPr>
          <w:trHeight w:val="555"/>
        </w:trPr>
        <w:tc>
          <w:tcPr>
            <w:tcW w:w="1835" w:type="dxa"/>
            <w:shd w:val="clear" w:color="auto" w:fill="auto"/>
            <w:vAlign w:val="center"/>
            <w:hideMark/>
          </w:tcPr>
          <w:p w14:paraId="13998668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Presentación de ofertas 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60A502DE" w14:textId="23D1881B" w:rsidR="0030675A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lang w:eastAsia="es-CO"/>
              </w:rPr>
              <w:t xml:space="preserve">Los proponentes deben presentar sus ofertas escaneadas o digitalizadas por medio del botón establecido para ello dentro de SECOP II, con los formatos </w:t>
            </w:r>
            <w:r w:rsidRPr="0043771C">
              <w:rPr>
                <w:rFonts w:ascii="Arial" w:eastAsia="Times New Roman" w:hAnsi="Arial" w:cs="Arial"/>
                <w:lang w:eastAsia="es-CO"/>
              </w:rPr>
              <w:lastRenderedPageBreak/>
              <w:t>contenidos, en la fecha establecida en el cronograma, y acompañadas de los documentos solicitados en esta sección, así como de la garantía de seriedad de la oferta.</w:t>
            </w:r>
          </w:p>
          <w:p w14:paraId="385F2902" w14:textId="77777777" w:rsidR="0043771C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356BD6FD" w14:textId="5FC03CB0" w:rsidR="0030675A" w:rsidRPr="00DF7D4E" w:rsidRDefault="0043771C" w:rsidP="0043771C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Las ofertas estarán vigentes por el término de noventa (90) días calendario, contados desde la fecha de presentación de ofertas establecidas en el cronograma.</w:t>
            </w:r>
          </w:p>
          <w:p w14:paraId="052387AC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3F188A35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La presentación de la oferta implica la aceptación por parte del proponente de la distribución de riesgos efectuada dentro del presente proceso, estudios previos, matriz de riesgos, pliego electrónico, sus adendas y demás anexos. </w:t>
            </w:r>
          </w:p>
          <w:p w14:paraId="2B7AD9FD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2309845F" w14:textId="78472F06" w:rsidR="0030675A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lang w:eastAsia="es-CO"/>
              </w:rPr>
              <w:t>Toda propuesta que se presente fuera del término del proceso, o que sea remitida en físico, por mensaje, correo electrónico, o entregadas en lugar diferente al señalado dentro de la plataforma SECOP II será RECHAZADA, excepto cuando se configure lo indicado en la guía de indisponibilidad de CCE.</w:t>
            </w:r>
          </w:p>
        </w:tc>
      </w:tr>
      <w:tr w:rsidR="0030675A" w:rsidRPr="00DF7D4E" w14:paraId="7992C8FB" w14:textId="77777777" w:rsidTr="0043771C">
        <w:trPr>
          <w:trHeight w:val="2250"/>
        </w:trPr>
        <w:tc>
          <w:tcPr>
            <w:tcW w:w="1835" w:type="dxa"/>
            <w:shd w:val="clear" w:color="auto" w:fill="auto"/>
            <w:vAlign w:val="center"/>
            <w:hideMark/>
          </w:tcPr>
          <w:p w14:paraId="7A92B95C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lastRenderedPageBreak/>
              <w:t>Presupuesto disponible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69DE0032" w14:textId="6DE572DB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El presupuesto total del contrato será hasta por la suma de</w:t>
            </w:r>
            <w:r w:rsidRPr="00DF7D4E">
              <w:rPr>
                <w:rStyle w:val="Nmerodepgina"/>
                <w:rFonts w:ascii="Arial" w:hAnsi="Arial" w:cs="Arial"/>
                <w:b/>
                <w:bCs/>
                <w:color w:val="E36C0A" w:themeColor="accent6" w:themeShade="BF"/>
              </w:rPr>
              <w:t> </w:t>
            </w:r>
            <w:r w:rsidR="00D90C77" w:rsidRPr="00D90C77"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  <w:t>TRESCIENTOS SETENTA Y CINCO MILLONES QUINIENTOS VEINTISEIS MIL QUINIENTOS TREINTA Y DOS PESOS ($375.526.532) M/CTE</w:t>
            </w:r>
            <w:r w:rsidRPr="00D90C77"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  <w:t> </w:t>
            </w:r>
            <w:r w:rsidRPr="00DF7D4E">
              <w:rPr>
                <w:rFonts w:ascii="Arial" w:eastAsia="Times New Roman" w:hAnsi="Arial" w:cs="Arial"/>
                <w:lang w:eastAsia="es-CO"/>
              </w:rPr>
              <w:t>Incluido IVA y demás impuestos de ley a los que hubiera lugar. Dentro de este valor se encuentran incluidos todos los costos directos e indirectos en que se incurra durante la ejecución del contrato, así como todos los impuestos, tasas y contribuciones. </w:t>
            </w:r>
          </w:p>
          <w:p w14:paraId="04BA6F16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7F444833" w14:textId="4AF1E7B8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 xml:space="preserve">El </w:t>
            </w:r>
            <w:r w:rsidRPr="00D90C77">
              <w:rPr>
                <w:rFonts w:ascii="Arial" w:eastAsia="Times New Roman" w:hAnsi="Arial" w:cs="Arial"/>
                <w:color w:val="000000" w:themeColor="text1"/>
                <w:lang w:eastAsia="es-CO"/>
              </w:rPr>
              <w:t>SENA cuenta con el Certificado de Disponibilidad Presupuestal CDP No.</w:t>
            </w:r>
            <w:r w:rsidRPr="00D90C77"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  <w:t> </w:t>
            </w:r>
            <w:r w:rsidR="00D90C77" w:rsidRPr="00D90C77"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  <w:t>1323</w:t>
            </w:r>
            <w:r w:rsidR="0043771C" w:rsidRPr="00D90C77">
              <w:rPr>
                <w:rFonts w:ascii="Arial" w:eastAsia="Times New Roman" w:hAnsi="Arial" w:cs="Arial"/>
                <w:color w:val="000000" w:themeColor="text1"/>
                <w:lang w:eastAsia="es-CO"/>
              </w:rPr>
              <w:t> </w:t>
            </w:r>
            <w:r w:rsidRPr="00D90C77">
              <w:rPr>
                <w:rFonts w:ascii="Arial" w:eastAsia="Times New Roman" w:hAnsi="Arial" w:cs="Arial"/>
                <w:color w:val="000000" w:themeColor="text1"/>
                <w:lang w:eastAsia="es-CO"/>
              </w:rPr>
              <w:t>del </w:t>
            </w:r>
            <w:r w:rsidR="00D90C77" w:rsidRPr="00D90C77">
              <w:rPr>
                <w:rStyle w:val="Nmerodepgina"/>
                <w:b/>
                <w:bCs/>
                <w:color w:val="000000" w:themeColor="text1"/>
              </w:rPr>
              <w:t>26 de enero del 2023</w:t>
            </w:r>
          </w:p>
        </w:tc>
      </w:tr>
      <w:tr w:rsidR="0030675A" w:rsidRPr="00DF7D4E" w14:paraId="703CE61E" w14:textId="77777777" w:rsidTr="0043771C">
        <w:trPr>
          <w:trHeight w:val="1005"/>
        </w:trPr>
        <w:tc>
          <w:tcPr>
            <w:tcW w:w="1835" w:type="dxa"/>
            <w:shd w:val="clear" w:color="auto" w:fill="auto"/>
            <w:vAlign w:val="center"/>
            <w:hideMark/>
          </w:tcPr>
          <w:p w14:paraId="0F353A26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Acuerdo Internacional o Tratado De Libre Comercio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702D66FD" w14:textId="77777777" w:rsidR="00D90C77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tbl>
            <w:tblPr>
              <w:tblW w:w="70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6"/>
              <w:gridCol w:w="764"/>
              <w:gridCol w:w="1186"/>
              <w:gridCol w:w="1435"/>
              <w:gridCol w:w="1435"/>
              <w:gridCol w:w="1435"/>
            </w:tblGrid>
            <w:tr w:rsidR="00D90C77" w:rsidRPr="00D90C77" w14:paraId="7A1D287D" w14:textId="77777777" w:rsidTr="00D90C77">
              <w:trPr>
                <w:trHeight w:val="823"/>
                <w:tblHeader/>
              </w:trPr>
              <w:tc>
                <w:tcPr>
                  <w:tcW w:w="1540" w:type="dxa"/>
                  <w:gridSpan w:val="2"/>
                  <w:vMerge w:val="restart"/>
                  <w:shd w:val="clear" w:color="auto" w:fill="EEECE1"/>
                  <w:vAlign w:val="center"/>
                </w:tcPr>
                <w:p w14:paraId="18D4EB4D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bookmarkStart w:id="0" w:name="_Hlk134643200"/>
                </w:p>
                <w:p w14:paraId="3B53B853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  <w:p w14:paraId="15D30958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ACUERDO COMERCIAL</w:t>
                  </w:r>
                </w:p>
              </w:tc>
              <w:tc>
                <w:tcPr>
                  <w:tcW w:w="1186" w:type="dxa"/>
                  <w:shd w:val="clear" w:color="auto" w:fill="EEECE1"/>
                  <w:vAlign w:val="center"/>
                </w:tcPr>
                <w:p w14:paraId="5C1A297E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  <w:p w14:paraId="72B6AD46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  <w:p w14:paraId="652242D9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ENTIDAD ESTATAL CUBIERTA</w:t>
                  </w:r>
                </w:p>
              </w:tc>
              <w:tc>
                <w:tcPr>
                  <w:tcW w:w="1435" w:type="dxa"/>
                  <w:shd w:val="clear" w:color="auto" w:fill="EEECE1"/>
                  <w:vAlign w:val="center"/>
                </w:tcPr>
                <w:p w14:paraId="6E6B78BD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  <w:p w14:paraId="2C03D8CE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DEL PROCESO DE CONTRATACIÓN SUPERIOR AL UMBRAL DEL ACUERDO COMERCIAL</w:t>
                  </w:r>
                </w:p>
              </w:tc>
              <w:tc>
                <w:tcPr>
                  <w:tcW w:w="1435" w:type="dxa"/>
                  <w:shd w:val="clear" w:color="auto" w:fill="EEECE1"/>
                  <w:vAlign w:val="center"/>
                </w:tcPr>
                <w:p w14:paraId="2AA13147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  <w:p w14:paraId="04EC2D7D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EXCEPCION APLICABLE AL PROCESO DE CONTRATACION</w:t>
                  </w:r>
                </w:p>
              </w:tc>
              <w:tc>
                <w:tcPr>
                  <w:tcW w:w="1435" w:type="dxa"/>
                  <w:shd w:val="clear" w:color="auto" w:fill="EEECE1"/>
                  <w:vAlign w:val="center"/>
                </w:tcPr>
                <w:p w14:paraId="7399CCD4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  <w:p w14:paraId="6E53D899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PROCESO DE CONTATACION CUBIERTO POR EL ACUERDO COMERCIAL</w:t>
                  </w:r>
                </w:p>
                <w:p w14:paraId="21A961E4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</w:tc>
            </w:tr>
            <w:tr w:rsidR="00D90C77" w:rsidRPr="00D90C77" w14:paraId="41E5DCC9" w14:textId="77777777" w:rsidTr="00D90C77">
              <w:trPr>
                <w:trHeight w:val="24"/>
                <w:tblHeader/>
              </w:trPr>
              <w:tc>
                <w:tcPr>
                  <w:tcW w:w="1540" w:type="dxa"/>
                  <w:gridSpan w:val="2"/>
                  <w:vMerge/>
                  <w:shd w:val="clear" w:color="auto" w:fill="EEECE1"/>
                </w:tcPr>
                <w:p w14:paraId="4BA73A3F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1186" w:type="dxa"/>
                  <w:shd w:val="clear" w:color="auto" w:fill="EEECE1"/>
                  <w:vAlign w:val="center"/>
                </w:tcPr>
                <w:p w14:paraId="69726005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SI/NO</w:t>
                  </w:r>
                </w:p>
              </w:tc>
              <w:tc>
                <w:tcPr>
                  <w:tcW w:w="1435" w:type="dxa"/>
                  <w:shd w:val="clear" w:color="auto" w:fill="EEECE1"/>
                  <w:vAlign w:val="center"/>
                </w:tcPr>
                <w:p w14:paraId="63DA978D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SI/NO</w:t>
                  </w:r>
                </w:p>
              </w:tc>
              <w:tc>
                <w:tcPr>
                  <w:tcW w:w="1435" w:type="dxa"/>
                  <w:shd w:val="clear" w:color="auto" w:fill="EEECE1"/>
                  <w:vAlign w:val="center"/>
                </w:tcPr>
                <w:p w14:paraId="53F4E01A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SI/NO</w:t>
                  </w:r>
                </w:p>
              </w:tc>
              <w:tc>
                <w:tcPr>
                  <w:tcW w:w="1435" w:type="dxa"/>
                  <w:shd w:val="clear" w:color="auto" w:fill="EEECE1"/>
                  <w:vAlign w:val="center"/>
                </w:tcPr>
                <w:p w14:paraId="74462427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SI/NO</w:t>
                  </w:r>
                </w:p>
              </w:tc>
            </w:tr>
            <w:tr w:rsidR="00D90C77" w:rsidRPr="00D90C77" w14:paraId="1DE2728E" w14:textId="77777777" w:rsidTr="00D90C77">
              <w:trPr>
                <w:trHeight w:val="94"/>
              </w:trPr>
              <w:tc>
                <w:tcPr>
                  <w:tcW w:w="776" w:type="dxa"/>
                  <w:vMerge w:val="restart"/>
                  <w:shd w:val="clear" w:color="auto" w:fill="auto"/>
                  <w:vAlign w:val="center"/>
                </w:tcPr>
                <w:p w14:paraId="2A53E529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ALIANZA PACIFICA</w:t>
                  </w:r>
                </w:p>
              </w:tc>
              <w:tc>
                <w:tcPr>
                  <w:tcW w:w="763" w:type="dxa"/>
                  <w:vAlign w:val="center"/>
                </w:tcPr>
                <w:p w14:paraId="6F8B1D13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CHILE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46E7512C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3321D4C9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33ECE7A8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227FDA32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1971618F" w14:textId="77777777" w:rsidTr="00D90C77">
              <w:trPr>
                <w:trHeight w:val="94"/>
              </w:trPr>
              <w:tc>
                <w:tcPr>
                  <w:tcW w:w="776" w:type="dxa"/>
                  <w:vMerge/>
                  <w:shd w:val="clear" w:color="auto" w:fill="auto"/>
                </w:tcPr>
                <w:p w14:paraId="13516284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763" w:type="dxa"/>
                  <w:vAlign w:val="center"/>
                </w:tcPr>
                <w:p w14:paraId="343D2CE2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PERU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29EFA628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69C60E04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6E14A636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29396200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428D35CE" w14:textId="77777777" w:rsidTr="00D90C77">
              <w:trPr>
                <w:trHeight w:val="94"/>
              </w:trPr>
              <w:tc>
                <w:tcPr>
                  <w:tcW w:w="776" w:type="dxa"/>
                  <w:vMerge/>
                  <w:shd w:val="clear" w:color="auto" w:fill="auto"/>
                </w:tcPr>
                <w:p w14:paraId="2DB87056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763" w:type="dxa"/>
                  <w:vAlign w:val="center"/>
                </w:tcPr>
                <w:p w14:paraId="17BA4E5D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MEXICO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615D0553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48A21C31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0E2051E1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08F1E28F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18731A4F" w14:textId="77777777" w:rsidTr="00D90C77">
              <w:trPr>
                <w:trHeight w:val="94"/>
              </w:trPr>
              <w:tc>
                <w:tcPr>
                  <w:tcW w:w="1540" w:type="dxa"/>
                  <w:gridSpan w:val="2"/>
                  <w:shd w:val="clear" w:color="auto" w:fill="auto"/>
                </w:tcPr>
                <w:p w14:paraId="3E55FFF8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CANADÁ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0449A8A9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18D80D86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338B9503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0CE06AEF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04D85ED3" w14:textId="77777777" w:rsidTr="00D90C77">
              <w:trPr>
                <w:trHeight w:val="188"/>
              </w:trPr>
              <w:tc>
                <w:tcPr>
                  <w:tcW w:w="1540" w:type="dxa"/>
                  <w:gridSpan w:val="2"/>
                  <w:shd w:val="clear" w:color="auto" w:fill="auto"/>
                </w:tcPr>
                <w:p w14:paraId="12C5071E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CHILE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2BAEC924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6B67293E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6FA60E15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50771E75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550F1761" w14:textId="77777777" w:rsidTr="00D90C77">
              <w:trPr>
                <w:trHeight w:val="40"/>
              </w:trPr>
              <w:tc>
                <w:tcPr>
                  <w:tcW w:w="1540" w:type="dxa"/>
                  <w:gridSpan w:val="2"/>
                  <w:shd w:val="clear" w:color="auto" w:fill="auto"/>
                </w:tcPr>
                <w:p w14:paraId="7BBA82D7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lastRenderedPageBreak/>
                    <w:t>COREA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3D3A692B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04E1623A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5582091C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78A4604B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523511C7" w14:textId="77777777" w:rsidTr="00D90C77">
              <w:trPr>
                <w:trHeight w:val="100"/>
              </w:trPr>
              <w:tc>
                <w:tcPr>
                  <w:tcW w:w="1540" w:type="dxa"/>
                  <w:gridSpan w:val="2"/>
                  <w:shd w:val="clear" w:color="auto" w:fill="auto"/>
                </w:tcPr>
                <w:p w14:paraId="3F00C113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COSTA RICA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1AFBD1C4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49AB1A34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44191A1A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120B2FCA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415CFCAC" w14:textId="77777777" w:rsidTr="00D90C77">
              <w:trPr>
                <w:trHeight w:val="193"/>
              </w:trPr>
              <w:tc>
                <w:tcPr>
                  <w:tcW w:w="1540" w:type="dxa"/>
                  <w:gridSpan w:val="2"/>
                  <w:shd w:val="clear" w:color="auto" w:fill="auto"/>
                </w:tcPr>
                <w:p w14:paraId="58F7DE60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ESTADOS UNIDOS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381AF5F9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7D5B16EA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2A8AF776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30442570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4331B152" w14:textId="77777777" w:rsidTr="00D90C77">
              <w:trPr>
                <w:trHeight w:val="40"/>
              </w:trPr>
              <w:tc>
                <w:tcPr>
                  <w:tcW w:w="1540" w:type="dxa"/>
                  <w:gridSpan w:val="2"/>
                  <w:shd w:val="clear" w:color="auto" w:fill="auto"/>
                </w:tcPr>
                <w:p w14:paraId="27563B29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ESTADOS AELC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32286438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SI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52998764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66EBF95E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05CA7686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6888992A" w14:textId="77777777" w:rsidTr="00D90C77">
              <w:trPr>
                <w:trHeight w:val="40"/>
              </w:trPr>
              <w:tc>
                <w:tcPr>
                  <w:tcW w:w="1540" w:type="dxa"/>
                  <w:gridSpan w:val="2"/>
                  <w:shd w:val="clear" w:color="auto" w:fill="auto"/>
                </w:tcPr>
                <w:p w14:paraId="646C6AEE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MÉXICO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2E4F2BFE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2E576898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6A546755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430D1918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2695662E" w14:textId="77777777" w:rsidTr="00D90C77">
              <w:trPr>
                <w:trHeight w:val="40"/>
              </w:trPr>
              <w:tc>
                <w:tcPr>
                  <w:tcW w:w="776" w:type="dxa"/>
                  <w:vMerge w:val="restart"/>
                  <w:shd w:val="clear" w:color="auto" w:fill="auto"/>
                  <w:vAlign w:val="center"/>
                </w:tcPr>
                <w:p w14:paraId="5B68CC3A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TRIANGULO DEL NORTE</w:t>
                  </w:r>
                </w:p>
              </w:tc>
              <w:tc>
                <w:tcPr>
                  <w:tcW w:w="763" w:type="dxa"/>
                </w:tcPr>
                <w:p w14:paraId="5E6FC375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 xml:space="preserve">EL SALVADOR 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00AA390C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1D5B3729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4F5FE368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2CA3E503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48A6D34E" w14:textId="77777777" w:rsidTr="00D90C77">
              <w:trPr>
                <w:trHeight w:val="40"/>
              </w:trPr>
              <w:tc>
                <w:tcPr>
                  <w:tcW w:w="776" w:type="dxa"/>
                  <w:vMerge/>
                  <w:shd w:val="clear" w:color="auto" w:fill="auto"/>
                </w:tcPr>
                <w:p w14:paraId="4C7DAE21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763" w:type="dxa"/>
                </w:tcPr>
                <w:p w14:paraId="0C8E0367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GUATEMALA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3F2550F9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15A03009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3D5F7900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12B1C387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tr w:rsidR="00D90C77" w:rsidRPr="00D90C77" w14:paraId="379D200F" w14:textId="77777777" w:rsidTr="00D90C77">
              <w:trPr>
                <w:trHeight w:val="40"/>
              </w:trPr>
              <w:tc>
                <w:tcPr>
                  <w:tcW w:w="776" w:type="dxa"/>
                  <w:vMerge/>
                  <w:shd w:val="clear" w:color="auto" w:fill="auto"/>
                </w:tcPr>
                <w:p w14:paraId="43053931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763" w:type="dxa"/>
                </w:tcPr>
                <w:p w14:paraId="3A6FEF2F" w14:textId="77777777" w:rsidR="00D90C77" w:rsidRPr="00D90C77" w:rsidRDefault="00D90C77" w:rsidP="00D90C77">
                  <w:pPr>
                    <w:spacing w:line="240" w:lineRule="auto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HONDURAS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14:paraId="7337A481" w14:textId="77777777" w:rsidR="00D90C77" w:rsidRPr="00D90C77" w:rsidRDefault="00D90C77" w:rsidP="00D90C77">
                  <w:pPr>
                    <w:spacing w:line="240" w:lineRule="auto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38AEDF2D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27B493FF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435" w:type="dxa"/>
                  <w:shd w:val="clear" w:color="auto" w:fill="auto"/>
                  <w:vAlign w:val="center"/>
                </w:tcPr>
                <w:p w14:paraId="559E5E86" w14:textId="77777777" w:rsidR="00D90C77" w:rsidRPr="00D90C77" w:rsidRDefault="00D90C77" w:rsidP="00D90C77">
                  <w:pPr>
                    <w:spacing w:line="240" w:lineRule="auto"/>
                    <w:ind w:left="799"/>
                    <w:jc w:val="center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D90C77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</w:t>
                  </w:r>
                </w:p>
              </w:tc>
            </w:tr>
            <w:bookmarkEnd w:id="0"/>
          </w:tbl>
          <w:p w14:paraId="78E7B9C2" w14:textId="42206772" w:rsidR="00D90C77" w:rsidRPr="00DF7D4E" w:rsidRDefault="00D90C77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0087AE78" w14:textId="302790B8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30675A" w:rsidRPr="00DF7D4E" w14:paraId="21F7907A" w14:textId="77777777" w:rsidTr="0043771C">
        <w:trPr>
          <w:trHeight w:val="1005"/>
        </w:trPr>
        <w:tc>
          <w:tcPr>
            <w:tcW w:w="1835" w:type="dxa"/>
            <w:shd w:val="clear" w:color="auto" w:fill="auto"/>
            <w:vAlign w:val="center"/>
            <w:hideMark/>
          </w:tcPr>
          <w:p w14:paraId="6B54F366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lastRenderedPageBreak/>
              <w:t>Convocatoria Limitada a Mipymes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C9B5C5D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De conformidad con lo establecido por el artículo 5° del Decreto 1086 de 2021 y en consonancia con los artículos 2.2.1.2.4.2.2., 2.2.1.2.4.2.3. y 2.2.1.2.4.2.4. del Decreto 1082 de 2015, los procesos cuya cuantía sea inferior a los ciento veinticinco mil dólares de los Estados Unidos de América (US$125.000), liquidados con la tasa de cambio que para el efecto determina cada dos años el Ministerio de Comercio, Industria y Turismo, serán susceptibles de Limitación a MiPymes.</w:t>
            </w:r>
          </w:p>
          <w:p w14:paraId="5F33157A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Ahora bien, para la vigencia 2022, el umbral para las convocatorias limitadas a Mipyme es de $457’297.264 como se observa a continuación:</w:t>
            </w:r>
          </w:p>
          <w:p w14:paraId="45CBE447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4F81BD"/>
                <w:sz w:val="20"/>
                <w:szCs w:val="20"/>
              </w:rPr>
            </w:pPr>
            <w:r w:rsidRPr="00D1317C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90F825E" wp14:editId="0308FD69">
                  <wp:simplePos x="0" y="0"/>
                  <wp:positionH relativeFrom="column">
                    <wp:posOffset>1878965</wp:posOffset>
                  </wp:positionH>
                  <wp:positionV relativeFrom="paragraph">
                    <wp:posOffset>22860</wp:posOffset>
                  </wp:positionV>
                  <wp:extent cx="1792605" cy="944880"/>
                  <wp:effectExtent l="0" t="0" r="0" b="0"/>
                  <wp:wrapNone/>
                  <wp:docPr id="34" name="Picture 18" descr="P3142C1T36#yIS1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8" descr="P3142C1T36#yIS1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605" cy="94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A015468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4F81BD"/>
                <w:sz w:val="20"/>
                <w:szCs w:val="20"/>
              </w:rPr>
            </w:pPr>
          </w:p>
          <w:p w14:paraId="600FE0BD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4F81BD"/>
                <w:sz w:val="20"/>
                <w:szCs w:val="20"/>
              </w:rPr>
            </w:pPr>
          </w:p>
          <w:p w14:paraId="5C2D8D06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i/>
                <w:color w:val="4F81BD"/>
                <w:sz w:val="20"/>
                <w:szCs w:val="20"/>
              </w:rPr>
            </w:pPr>
          </w:p>
          <w:p w14:paraId="5A87FB44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DBF429C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  <w:lang w:val="es-ES"/>
              </w:rPr>
              <w:t>Artículo 2.2.1.2.4.2.3. Limitaciones territoriales. De conformidad con el parágrafo 1 del artículo 12 de la Ley 1150 de 2007, las Entidades Estatales, independientemente de su régimen de contratación, los patrimonios autónomos constituidos por Entidades Estatales y los particulares que ejecuten recursos públicos, pueden realizar convocatorias limitadas a MiPymes colombianas que tengan domicilio en los departamentos o municipios en donde se va a ejecutar el contrato. Cada MiPymes deberá acreditar su domicilio con los documentos a los que se refiere el siguiente artículo.</w:t>
            </w:r>
          </w:p>
          <w:p w14:paraId="1D6B2B86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  <w:lang w:val="es-ES"/>
              </w:rPr>
              <w:lastRenderedPageBreak/>
              <w:t>Artículo 2.2.1.2.4.2.4. Acreditación de requisitos para participar en convocatorias limitadas. La Mipyme colombianas deben acreditar que tiene el tamaño empresarial establecido por la ley de la siguiente manera: Las personas naturales mediante certificación expedida por ellos y un contador público, adjuntando copia del registro mercantil.</w:t>
            </w:r>
          </w:p>
          <w:p w14:paraId="337166C8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  <w:lang w:val="es-ES"/>
              </w:rPr>
              <w:t>Por lo anterior, y teniendo en cuenta que el presupuesto oficial NO supera los (US$ 125.000) dólares americanos, la presente convocatoria podrá ser limitada en su participación exclusivamente a MIPYMES (Micro, Pequeña y Mediana Empresa), en cumplimiento de los requisitos establecidos en el artículo en cita)</w:t>
            </w: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21"/>
              <w:gridCol w:w="708"/>
              <w:gridCol w:w="426"/>
              <w:gridCol w:w="644"/>
              <w:gridCol w:w="273"/>
            </w:tblGrid>
            <w:tr w:rsidR="00D90C77" w:rsidRPr="00D1317C" w14:paraId="15C49B13" w14:textId="77777777" w:rsidTr="00865899">
              <w:trPr>
                <w:trHeight w:val="504"/>
                <w:jc w:val="center"/>
              </w:trPr>
              <w:tc>
                <w:tcPr>
                  <w:tcW w:w="5321" w:type="dxa"/>
                  <w:tcBorders>
                    <w:left w:val="single" w:sz="4" w:space="0" w:color="auto"/>
                  </w:tcBorders>
                </w:tcPr>
                <w:p w14:paraId="2080DBDA" w14:textId="77777777" w:rsidR="00D90C77" w:rsidRPr="00D1317C" w:rsidRDefault="00D90C77" w:rsidP="00D90C77">
                  <w:pPr>
                    <w:pStyle w:val="TableParagraph"/>
                    <w:ind w:left="107"/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</w:pPr>
                </w:p>
                <w:p w14:paraId="0A7F01D5" w14:textId="77777777" w:rsidR="00D90C77" w:rsidRPr="00D1317C" w:rsidRDefault="00D90C77" w:rsidP="00D90C77">
                  <w:pPr>
                    <w:pStyle w:val="TableParagraph"/>
                    <w:ind w:left="107"/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</w:pPr>
                  <w:r w:rsidRPr="00D1317C"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  <w:t>El Proceso de selección es inferior a ciento veinticinco mil dólares de los Estados Unidos de América (US$125.000)</w:t>
                  </w:r>
                </w:p>
              </w:tc>
              <w:tc>
                <w:tcPr>
                  <w:tcW w:w="708" w:type="dxa"/>
                </w:tcPr>
                <w:p w14:paraId="4575EE5E" w14:textId="77777777" w:rsidR="00D90C77" w:rsidRPr="00D1317C" w:rsidRDefault="00D90C77" w:rsidP="00D90C77">
                  <w:pPr>
                    <w:pStyle w:val="TableParagraph"/>
                    <w:spacing w:before="126"/>
                    <w:ind w:left="220"/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</w:pPr>
                  <w:r w:rsidRPr="00D1317C"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  <w:t>SI</w:t>
                  </w:r>
                </w:p>
              </w:tc>
              <w:tc>
                <w:tcPr>
                  <w:tcW w:w="426" w:type="dxa"/>
                </w:tcPr>
                <w:p w14:paraId="58466982" w14:textId="77777777" w:rsidR="00D90C77" w:rsidRPr="00D1317C" w:rsidRDefault="00D90C77" w:rsidP="00D90C77">
                  <w:pPr>
                    <w:pStyle w:val="TableParagraph"/>
                    <w:spacing w:before="126"/>
                    <w:ind w:left="107"/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</w:pPr>
                  <w:r w:rsidRPr="00D1317C"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  <w:t>X</w:t>
                  </w:r>
                </w:p>
              </w:tc>
              <w:tc>
                <w:tcPr>
                  <w:tcW w:w="644" w:type="dxa"/>
                </w:tcPr>
                <w:p w14:paraId="204A8682" w14:textId="77777777" w:rsidR="00D90C77" w:rsidRPr="00D1317C" w:rsidRDefault="00D90C77" w:rsidP="00D90C77">
                  <w:pPr>
                    <w:pStyle w:val="TableParagraph"/>
                    <w:spacing w:before="126"/>
                    <w:ind w:left="138"/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</w:pPr>
                  <w:r w:rsidRPr="00D1317C"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  <w:t>NO</w:t>
                  </w:r>
                </w:p>
              </w:tc>
              <w:tc>
                <w:tcPr>
                  <w:tcW w:w="273" w:type="dxa"/>
                </w:tcPr>
                <w:p w14:paraId="6616DA61" w14:textId="77777777" w:rsidR="00D90C77" w:rsidRPr="00D1317C" w:rsidRDefault="00D90C77" w:rsidP="00D90C77">
                  <w:pPr>
                    <w:pStyle w:val="TableParagraph"/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val="es-ES" w:eastAsia="en-US" w:bidi="ar-SA"/>
                    </w:rPr>
                  </w:pPr>
                </w:p>
              </w:tc>
            </w:tr>
          </w:tbl>
          <w:p w14:paraId="327DE798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32A74D5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D1317C">
              <w:rPr>
                <w:rFonts w:ascii="Arial" w:hAnsi="Arial" w:cs="Arial"/>
                <w:bCs/>
                <w:sz w:val="20"/>
                <w:szCs w:val="20"/>
              </w:rPr>
              <w:t>.SOLICITUD</w:t>
            </w:r>
            <w:proofErr w:type="gramEnd"/>
            <w:r w:rsidRPr="00D1317C">
              <w:rPr>
                <w:rFonts w:ascii="Arial" w:hAnsi="Arial" w:cs="Arial"/>
                <w:bCs/>
                <w:sz w:val="20"/>
                <w:szCs w:val="20"/>
              </w:rPr>
              <w:t xml:space="preserve"> DE LIMITACIÓN A MIPYME:</w:t>
            </w:r>
          </w:p>
          <w:p w14:paraId="2ED0D537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"…Artículo 2.2.1.2.4.2.2. Convocatorias Imitadas a MiPymes. Las Entidades Estatales independientemente de su régimen de contratación, los patrimonios autónomos constituidos por Entidades Estatales y los particulares que ejecuten recursos públicos, deben limitar la convocatoria de los Procesos de Contratación con pluralidad de oferentes a las MiPymes colombianas con mínimo un año de existencia, cuando concurran los siguientes requisitos:</w:t>
            </w:r>
          </w:p>
          <w:p w14:paraId="1C905D8C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1.El valor del Proceso de Contratación sea menor a ciento veinticinco mil dólares de los Estados Unidos de América (US$125.000), liquidados con la tasa de cambio que para el efecto determina cada dos años el Ministerio de Comercio, Industria y Turismo.</w:t>
            </w:r>
          </w:p>
          <w:p w14:paraId="69619109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2.Se hayan recibido solicitudes de por lo menos dos (2) MiPymes colombianas para limitar la convocatoria a MiPymes colombianas. Las Entidades Estatales independientemente de su régimen de contratación, los patrimonios autónomos constituidos por Entidades Estatales y los particulares que ejecuten recursos públicos, deben recibir estas solicitudes por lo menos un (1) día hábil antes de la expedición del acto administrativo de apertura, o el que haga sus veces de acuerdo con la normativa aplicable a cada Proceso de Contratación.</w:t>
            </w:r>
          </w:p>
          <w:p w14:paraId="5F05E38E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 Para la acreditación deberán observarse los rangos de clasificación empresarial establecidos de conformidad con la Ley 590 de 2000 y el Decreto 1074 de 2015, o las normas que lo modifiquen, sustituyan o complementen.”</w:t>
            </w:r>
          </w:p>
          <w:p w14:paraId="7FF79DE4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Para las personas Naturales deben entregar certificación expedida por la persona natural y un contador público y copia del registro mercantil.</w:t>
            </w:r>
          </w:p>
          <w:p w14:paraId="597135D4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 xml:space="preserve">Por otro lado, el parágrafo 1 del artículo 2.2.1.2.4.2.4. establece que las MiPymes también podrán acreditar su condición con la copia del certificado del REGISTRO </w:t>
            </w:r>
            <w:r w:rsidRPr="00D1317C">
              <w:rPr>
                <w:rFonts w:ascii="Arial" w:hAnsi="Arial" w:cs="Arial"/>
                <w:bCs/>
                <w:sz w:val="20"/>
                <w:szCs w:val="20"/>
              </w:rPr>
              <w:lastRenderedPageBreak/>
              <w:t>ÚNICO DE PROPONENTES - RUP, el cual deberá encontrarse vigente y en firme al momento de su presentación.</w:t>
            </w:r>
          </w:p>
          <w:p w14:paraId="672AE58C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Tratándose de personas jurídicas, las solicitudes solo las podrán realizar MiPymes, cuyo objeto social les permita ejecutar el contrato relacionado con el proceso contractual. Parágrafo. Las cooperativas y demás entidades de economía solidaria, siempre que tengan la calidad de MiPymes, podrán solicitar y participar en las convocatorias limitadas en las mismas condiciones dispuestas en el presente artículo.</w:t>
            </w:r>
          </w:p>
          <w:p w14:paraId="73B51C66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El comité estructurador técnico deberá tener en cuenta que los proponentes aporten copia del registro mercantil, del certificado de existencia y representación legal o del Registro Único de Proponentes, según corresponda, con una fecha de máximo sesenta (60) días calendario anteriores a la prevista en el cronograma del Proceso de Contratación para el inicio del plazo para solicitar la convocatoria limitada</w:t>
            </w:r>
          </w:p>
          <w:p w14:paraId="060F6E84" w14:textId="77777777" w:rsidR="00D90C77" w:rsidRPr="00D1317C" w:rsidRDefault="00D90C77" w:rsidP="00D90C7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1317C">
              <w:rPr>
                <w:rFonts w:ascii="Arial" w:hAnsi="Arial" w:cs="Arial"/>
                <w:bCs/>
                <w:sz w:val="20"/>
                <w:szCs w:val="20"/>
              </w:rPr>
              <w:t>Por lo anterior, este proceso se limitará a MiPymes siempre que se cumplan con los preceptos legales antes señalados. Los interesados, deberán remitir la solicitud para limitar la convocatoria a MiPymes colombiana, a través de la sección MENSAJES de la plataforma SECOP II del presente proceso de contratación, dentro del término que se establece en el cronograma.</w:t>
            </w:r>
          </w:p>
          <w:p w14:paraId="509FEA97" w14:textId="5ACE5F34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30675A" w:rsidRPr="00DF7D4E" w14:paraId="63AAD36E" w14:textId="77777777" w:rsidTr="0043771C">
        <w:trPr>
          <w:trHeight w:val="1365"/>
        </w:trPr>
        <w:tc>
          <w:tcPr>
            <w:tcW w:w="1835" w:type="dxa"/>
            <w:shd w:val="clear" w:color="auto" w:fill="auto"/>
            <w:vAlign w:val="center"/>
            <w:hideMark/>
          </w:tcPr>
          <w:p w14:paraId="316E6832" w14:textId="77777777" w:rsidR="0030675A" w:rsidRPr="00DF7D4E" w:rsidRDefault="0030675A" w:rsidP="0043771C">
            <w:pPr>
              <w:spacing w:after="0" w:line="240" w:lineRule="auto"/>
              <w:ind w:left="165" w:right="129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lastRenderedPageBreak/>
              <w:t>Condiciones para participar el proceso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73A011C4" w14:textId="0A27106F" w:rsidR="0030675A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Podrán participar personas naturales, jurídicas, nacionales o extranjeras, consorcios y/o uniones temporales, cuyo objeto social se encuentre relacionado con el objeto de la presente contratación, quienes deberán acreditar no encontrarse incursos en algunas de las causales e inhabilidades e incompatibilidades establecidas en la Constitución Política de Colombia y demás disposiciones legales vigentes.</w:t>
            </w:r>
          </w:p>
          <w:p w14:paraId="17AE27FA" w14:textId="77777777" w:rsidR="0043771C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5ED6709B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Las condiciones para participar en el presente proceso de selección se encuentran descritas en el estudio previo, pliego electrónico y demás documentos que hacen parte integral del proceso.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45E2A9B5" w14:textId="77777777" w:rsidTr="0043771C">
        <w:trPr>
          <w:trHeight w:val="300"/>
        </w:trPr>
        <w:tc>
          <w:tcPr>
            <w:tcW w:w="1835" w:type="dxa"/>
            <w:shd w:val="clear" w:color="auto" w:fill="auto"/>
            <w:vAlign w:val="center"/>
            <w:hideMark/>
          </w:tcPr>
          <w:p w14:paraId="2B7E1D18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Precalificación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202EFE68" w14:textId="41C7CAEC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 xml:space="preserve">El presente proceso de </w:t>
            </w:r>
            <w:r w:rsidRPr="00D90C77">
              <w:rPr>
                <w:rFonts w:ascii="Arial" w:eastAsia="Times New Roman" w:hAnsi="Arial" w:cs="Arial"/>
                <w:color w:val="000000" w:themeColor="text1"/>
                <w:lang w:val="es-ES" w:eastAsia="es-CO"/>
              </w:rPr>
              <w:t>contratación </w:t>
            </w:r>
            <w:r w:rsidRPr="00D90C77">
              <w:rPr>
                <w:rStyle w:val="Nmerodepgina"/>
                <w:rFonts w:ascii="Arial" w:hAnsi="Arial" w:cs="Arial"/>
                <w:b/>
                <w:bCs/>
                <w:color w:val="000000" w:themeColor="text1"/>
              </w:rPr>
              <w:t>NO </w:t>
            </w:r>
            <w:r w:rsidRPr="00D90C77">
              <w:rPr>
                <w:rFonts w:ascii="Arial" w:eastAsia="Times New Roman" w:hAnsi="Arial" w:cs="Arial"/>
                <w:color w:val="000000" w:themeColor="text1"/>
                <w:lang w:val="es-ES" w:eastAsia="es-CO"/>
              </w:rPr>
              <w:t xml:space="preserve">da </w:t>
            </w:r>
            <w:r w:rsidRPr="00DF7D4E">
              <w:rPr>
                <w:rFonts w:ascii="Arial" w:eastAsia="Times New Roman" w:hAnsi="Arial" w:cs="Arial"/>
                <w:lang w:val="es-ES" w:eastAsia="es-CO"/>
              </w:rPr>
              <w:t>lugar a precalificación.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6B262F77" w14:textId="77777777" w:rsidTr="0043771C">
        <w:trPr>
          <w:trHeight w:val="300"/>
        </w:trPr>
        <w:tc>
          <w:tcPr>
            <w:tcW w:w="1835" w:type="dxa"/>
            <w:shd w:val="clear" w:color="auto" w:fill="auto"/>
            <w:vAlign w:val="center"/>
            <w:hideMark/>
          </w:tcPr>
          <w:p w14:paraId="23955B00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Cronograma del Proceso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3D0C519" w14:textId="77777777" w:rsidR="0030675A" w:rsidRPr="00DF7D4E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 cronograma del proceso será el consignado en el pliego electrónico del mismo (SECOP II), en conjunto con las adendas que lo modifiquen.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3358BDAD" w14:textId="77777777" w:rsidTr="0043771C">
        <w:trPr>
          <w:trHeight w:val="675"/>
        </w:trPr>
        <w:tc>
          <w:tcPr>
            <w:tcW w:w="1835" w:type="dxa"/>
            <w:shd w:val="clear" w:color="auto" w:fill="auto"/>
            <w:vAlign w:val="center"/>
            <w:hideMark/>
          </w:tcPr>
          <w:p w14:paraId="32F7CAD6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lang w:val="es-ES" w:eastAsia="es-CO"/>
              </w:rPr>
              <w:t>Consulta del proceso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672D4F14" w14:textId="1F0F0BC4" w:rsidR="0030675A" w:rsidRDefault="0030675A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val="es-ES" w:eastAsia="es-CO"/>
              </w:rPr>
              <w:t>El proceso y sus documentos podrán ser consultados por los interesados y la ciudadanía en general en la plataforma SECOP II.</w:t>
            </w: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  <w:p w14:paraId="1F431414" w14:textId="77777777" w:rsidR="0043771C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  <w:p w14:paraId="503F9C37" w14:textId="77777777" w:rsidR="0030675A" w:rsidRPr="00DF7D4E" w:rsidRDefault="002E0E03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hyperlink r:id="rId11" w:tgtFrame="_blank" w:history="1">
              <w:r w:rsidR="0030675A" w:rsidRPr="00DF7D4E">
                <w:rPr>
                  <w:rFonts w:ascii="Arial" w:eastAsia="Times New Roman" w:hAnsi="Arial" w:cs="Arial"/>
                  <w:color w:val="0000FF"/>
                  <w:u w:val="single"/>
                  <w:lang w:val="es-ES" w:eastAsia="es-CO"/>
                </w:rPr>
                <w:t>https://www.colombiacompra.gov.co/secop-ii</w:t>
              </w:r>
            </w:hyperlink>
            <w:r w:rsidR="0030675A"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30675A" w:rsidRPr="00DF7D4E" w14:paraId="3E9871FB" w14:textId="77777777" w:rsidTr="0043771C">
        <w:trPr>
          <w:trHeight w:val="1365"/>
        </w:trPr>
        <w:tc>
          <w:tcPr>
            <w:tcW w:w="1835" w:type="dxa"/>
            <w:shd w:val="clear" w:color="auto" w:fill="auto"/>
            <w:vAlign w:val="center"/>
            <w:hideMark/>
          </w:tcPr>
          <w:p w14:paraId="6E716B90" w14:textId="77777777" w:rsidR="0030675A" w:rsidRPr="00DF7D4E" w:rsidRDefault="0030675A" w:rsidP="0030675A">
            <w:pPr>
              <w:spacing w:after="0" w:line="240" w:lineRule="auto"/>
              <w:ind w:left="165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Invitación a las veedurías ciudadanas</w:t>
            </w:r>
            <w:r w:rsidRPr="00DF7D4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  <w:p w14:paraId="10386BBA" w14:textId="77777777" w:rsidR="0030675A" w:rsidRPr="00DF7D4E" w:rsidRDefault="0030675A" w:rsidP="0030675A">
            <w:pPr>
              <w:spacing w:after="0" w:line="240" w:lineRule="auto"/>
              <w:ind w:left="420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  <w:p w14:paraId="5F896E26" w14:textId="77777777" w:rsidR="0030675A" w:rsidRPr="00DF7D4E" w:rsidRDefault="0030675A" w:rsidP="0030675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DF7D4E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13" w:type="dxa"/>
            <w:shd w:val="clear" w:color="auto" w:fill="auto"/>
            <w:vAlign w:val="center"/>
            <w:hideMark/>
          </w:tcPr>
          <w:p w14:paraId="36538EC2" w14:textId="59FEEC36" w:rsidR="0030675A" w:rsidRPr="00DF7D4E" w:rsidRDefault="0043771C" w:rsidP="0030675A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43771C">
              <w:rPr>
                <w:rFonts w:ascii="Arial" w:eastAsia="Times New Roman" w:hAnsi="Arial" w:cs="Arial"/>
                <w:color w:val="000000"/>
                <w:lang w:eastAsia="es-CO"/>
              </w:rPr>
              <w:t>En cumplimiento de lo dispuesto en el inciso 3 del artículo 66 de la Ley 80 de 1993, El Servicio Nacional de Aprendizaje–SENA, Oficina de Sistemas, invita a todas las personas y organizaciones interesadas en hacer control social al presente Proceso de Contratación, en cualquiera de sus fases o etapas, a que presenten las recomendaciones que consideren convenientes, intervengan en las audiencias y a que consulten los Documentos del Proceso en el SECOP II.</w:t>
            </w:r>
          </w:p>
        </w:tc>
      </w:tr>
    </w:tbl>
    <w:p w14:paraId="79598B4A" w14:textId="77777777" w:rsidR="0030675A" w:rsidRPr="00DF7D4E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DF7D4E">
        <w:rPr>
          <w:rFonts w:ascii="Arial" w:eastAsia="Times New Roman" w:hAnsi="Arial" w:cs="Arial"/>
          <w:lang w:eastAsia="es-CO"/>
        </w:rPr>
        <w:t> </w:t>
      </w:r>
    </w:p>
    <w:p w14:paraId="4B681F0D" w14:textId="2084614E" w:rsidR="00D90C77" w:rsidRDefault="00D90C77" w:rsidP="00D90C77">
      <w:pPr>
        <w:spacing w:after="0" w:line="240" w:lineRule="auto"/>
        <w:textAlignment w:val="baseline"/>
        <w:rPr>
          <w:rFonts w:ascii="Arial" w:hAnsi="Arial" w:cs="Arial"/>
          <w:vertAlign w:val="superscript"/>
        </w:rPr>
      </w:pPr>
      <w:r>
        <w:rPr>
          <w:rFonts w:ascii="Arial" w:eastAsia="Times New Roman" w:hAnsi="Arial" w:cs="Arial"/>
          <w:color w:val="000000" w:themeColor="text1"/>
          <w:lang w:val="es-ES" w:eastAsia="es-CO"/>
        </w:rPr>
        <w:lastRenderedPageBreak/>
        <w:t>Dado en</w:t>
      </w:r>
      <w:r>
        <w:rPr>
          <w:rStyle w:val="Nmerodepgina"/>
          <w:rFonts w:ascii="Arial" w:hAnsi="Arial" w:cs="Arial"/>
          <w:b/>
          <w:bCs/>
          <w:color w:val="000000" w:themeColor="text1"/>
        </w:rPr>
        <w:t xml:space="preserve"> Campoalegre</w:t>
      </w:r>
      <w:r>
        <w:rPr>
          <w:rFonts w:ascii="Arial" w:eastAsia="Times New Roman" w:hAnsi="Arial" w:cs="Arial"/>
          <w:color w:val="000000" w:themeColor="text1"/>
          <w:lang w:val="es-ES" w:eastAsia="es-CO"/>
        </w:rPr>
        <w:t xml:space="preserve">, a los </w:t>
      </w:r>
      <w:r w:rsidR="002E0E03">
        <w:rPr>
          <w:rFonts w:ascii="Arial" w:eastAsia="Times New Roman" w:hAnsi="Arial" w:cs="Arial"/>
          <w:color w:val="000000" w:themeColor="text1"/>
          <w:lang w:val="es-ES" w:eastAsia="es-CO"/>
        </w:rPr>
        <w:t>23</w:t>
      </w:r>
      <w:r>
        <w:rPr>
          <w:rFonts w:ascii="Arial" w:eastAsia="Times New Roman" w:hAnsi="Arial" w:cs="Arial"/>
          <w:color w:val="000000" w:themeColor="text1"/>
          <w:lang w:val="es-ES" w:eastAsia="es-CO"/>
        </w:rPr>
        <w:t xml:space="preserve"> días del mes de mayo de 2023.</w:t>
      </w:r>
    </w:p>
    <w:p w14:paraId="3B322286" w14:textId="24FE23EF" w:rsidR="00E34BBD" w:rsidRPr="00DF7D4E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DF7D4E" w:rsidSect="00A15A42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5BB6C" w14:textId="77777777" w:rsidR="00F17508" w:rsidRDefault="00F17508" w:rsidP="001A74F0">
      <w:pPr>
        <w:spacing w:after="0" w:line="240" w:lineRule="auto"/>
      </w:pPr>
      <w:r>
        <w:separator/>
      </w:r>
    </w:p>
  </w:endnote>
  <w:endnote w:type="continuationSeparator" w:id="0">
    <w:p w14:paraId="571A7A3A" w14:textId="77777777" w:rsidR="00F17508" w:rsidRDefault="00F175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E0E0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03362" w:rsidRPr="0020336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F04AFA2" w14:textId="3416E513" w:rsidR="001D259B" w:rsidRPr="00A15A42" w:rsidRDefault="001D259B" w:rsidP="001D259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75C2C">
          <w:rPr>
            <w:rFonts w:ascii="Arial" w:hAnsi="Arial" w:cs="Arial"/>
            <w:sz w:val="20"/>
            <w:szCs w:val="20"/>
          </w:rPr>
          <w:t>60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p w14:paraId="3C7F8B46" w14:textId="294599F7" w:rsidR="00A15A42" w:rsidRPr="00A15A42" w:rsidRDefault="002E0E0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63974" w14:textId="77777777" w:rsidR="00F17508" w:rsidRDefault="00F17508" w:rsidP="001A74F0">
      <w:pPr>
        <w:spacing w:after="0" w:line="240" w:lineRule="auto"/>
      </w:pPr>
      <w:r>
        <w:separator/>
      </w:r>
    </w:p>
  </w:footnote>
  <w:footnote w:type="continuationSeparator" w:id="0">
    <w:p w14:paraId="03589BF2" w14:textId="77777777" w:rsidR="00F17508" w:rsidRDefault="00F175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E0E0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07516446">
    <w:abstractNumId w:val="5"/>
  </w:num>
  <w:num w:numId="2" w16cid:durableId="1276406999">
    <w:abstractNumId w:val="15"/>
  </w:num>
  <w:num w:numId="3" w16cid:durableId="1296984877">
    <w:abstractNumId w:val="11"/>
  </w:num>
  <w:num w:numId="4" w16cid:durableId="1255942451">
    <w:abstractNumId w:val="14"/>
  </w:num>
  <w:num w:numId="5" w16cid:durableId="296224988">
    <w:abstractNumId w:val="7"/>
  </w:num>
  <w:num w:numId="6" w16cid:durableId="2046060624">
    <w:abstractNumId w:val="12"/>
  </w:num>
  <w:num w:numId="7" w16cid:durableId="619268110">
    <w:abstractNumId w:val="16"/>
  </w:num>
  <w:num w:numId="8" w16cid:durableId="513957035">
    <w:abstractNumId w:val="22"/>
  </w:num>
  <w:num w:numId="9" w16cid:durableId="36509684">
    <w:abstractNumId w:val="21"/>
  </w:num>
  <w:num w:numId="10" w16cid:durableId="1241212325">
    <w:abstractNumId w:val="17"/>
  </w:num>
  <w:num w:numId="11" w16cid:durableId="1873609839">
    <w:abstractNumId w:val="18"/>
  </w:num>
  <w:num w:numId="12" w16cid:durableId="1900087257">
    <w:abstractNumId w:val="0"/>
  </w:num>
  <w:num w:numId="13" w16cid:durableId="1557860094">
    <w:abstractNumId w:val="3"/>
  </w:num>
  <w:num w:numId="14" w16cid:durableId="833496846">
    <w:abstractNumId w:val="2"/>
  </w:num>
  <w:num w:numId="15" w16cid:durableId="136843696">
    <w:abstractNumId w:val="19"/>
  </w:num>
  <w:num w:numId="16" w16cid:durableId="1795444102">
    <w:abstractNumId w:val="23"/>
  </w:num>
  <w:num w:numId="17" w16cid:durableId="1181167946">
    <w:abstractNumId w:val="8"/>
  </w:num>
  <w:num w:numId="18" w16cid:durableId="1305231702">
    <w:abstractNumId w:val="1"/>
  </w:num>
  <w:num w:numId="19" w16cid:durableId="551307763">
    <w:abstractNumId w:val="20"/>
  </w:num>
  <w:num w:numId="20" w16cid:durableId="644429645">
    <w:abstractNumId w:val="4"/>
  </w:num>
  <w:num w:numId="21" w16cid:durableId="1182083624">
    <w:abstractNumId w:val="13"/>
  </w:num>
  <w:num w:numId="22" w16cid:durableId="613024257">
    <w:abstractNumId w:val="9"/>
  </w:num>
  <w:num w:numId="23" w16cid:durableId="1556963688">
    <w:abstractNumId w:val="24"/>
  </w:num>
  <w:num w:numId="24" w16cid:durableId="1401752338">
    <w:abstractNumId w:val="10"/>
  </w:num>
  <w:num w:numId="25" w16cid:durableId="3613192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B"/>
    <w:rsid w:val="001D259E"/>
    <w:rsid w:val="001E5CA9"/>
    <w:rsid w:val="00203362"/>
    <w:rsid w:val="00237DC2"/>
    <w:rsid w:val="00242FE7"/>
    <w:rsid w:val="00261E0B"/>
    <w:rsid w:val="0029071C"/>
    <w:rsid w:val="002E0E03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3771C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5C2C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4DBD"/>
    <w:rsid w:val="00B87091"/>
    <w:rsid w:val="00BA3FD2"/>
    <w:rsid w:val="00BB20FB"/>
    <w:rsid w:val="00BB4039"/>
    <w:rsid w:val="00BC3EBF"/>
    <w:rsid w:val="00C127EE"/>
    <w:rsid w:val="00C2511A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90C77"/>
    <w:rsid w:val="00DA7FED"/>
    <w:rsid w:val="00DC1D2D"/>
    <w:rsid w:val="00DC39A3"/>
    <w:rsid w:val="00DD209B"/>
    <w:rsid w:val="00DE5034"/>
    <w:rsid w:val="00DF7D4E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1750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D541A409-E82B-48F6-B79D-D2CDA9E56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table" w:customStyle="1" w:styleId="TableNormal">
    <w:name w:val="Table Normal"/>
    <w:uiPriority w:val="2"/>
    <w:semiHidden/>
    <w:unhideWhenUsed/>
    <w:qFormat/>
    <w:rsid w:val="00D90C77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90C77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ecop-ii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lombiacompra.gov.co/secop-i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angostura@sena.edu.co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4A6C6A"/>
    <w:rsid w:val="008407BD"/>
    <w:rsid w:val="00924FDA"/>
    <w:rsid w:val="009E6A90"/>
    <w:rsid w:val="00A8087D"/>
    <w:rsid w:val="00AF205E"/>
    <w:rsid w:val="00B96D21"/>
    <w:rsid w:val="00BE46C2"/>
    <w:rsid w:val="00CF1A6E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DC5FEF7-2925-461C-8215-8F4F7EC26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1722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AdminSena</cp:lastModifiedBy>
  <cp:revision>2</cp:revision>
  <dcterms:created xsi:type="dcterms:W3CDTF">2023-05-23T14:36:00Z</dcterms:created>
  <dcterms:modified xsi:type="dcterms:W3CDTF">2023-05-23T14:36:00Z</dcterms:modified>
</cp:coreProperties>
</file>