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BD32E" w14:textId="77777777" w:rsidR="00DC2EE6" w:rsidRPr="0026093C" w:rsidRDefault="00DC2EE6" w:rsidP="0034439C">
      <w:pPr>
        <w:pStyle w:val="Prrafodelista"/>
        <w:ind w:left="0"/>
        <w:rPr>
          <w:rFonts w:cstheme="minorHAnsi"/>
          <w:b/>
          <w:color w:val="1A1818" w:themeColor="text1"/>
          <w:szCs w:val="20"/>
          <w:lang w:val="es-CO"/>
        </w:rPr>
      </w:pPr>
      <w:bookmarkStart w:id="0" w:name="_GoBack"/>
      <w:bookmarkEnd w:id="0"/>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340AC2C2" w:rsidR="00DC179A" w:rsidRPr="0026093C" w:rsidRDefault="00DC179A" w:rsidP="00DC179A">
      <w:pPr>
        <w:jc w:val="both"/>
        <w:rPr>
          <w:rFonts w:eastAsia="Arial" w:cstheme="minorHAnsi"/>
          <w:szCs w:val="20"/>
          <w:lang w:val="es-CO"/>
        </w:rPr>
      </w:pPr>
      <w:r w:rsidRPr="0026093C">
        <w:rPr>
          <w:rFonts w:eastAsia="Arial" w:cstheme="minorHAnsi"/>
          <w:szCs w:val="20"/>
          <w:lang w:val="es-CO"/>
        </w:rPr>
        <w:t>Para efectos de interpretación del pliego de condiciones: [</w:t>
      </w:r>
      <w:r w:rsidRPr="0026093C">
        <w:rPr>
          <w:rFonts w:eastAsia="Arial" w:cstheme="minorHAnsi"/>
          <w:szCs w:val="20"/>
          <w:highlight w:val="lightGray"/>
          <w:lang w:val="es-CO"/>
        </w:rPr>
        <w:t xml:space="preserve">La </w:t>
      </w:r>
      <w:r w:rsidR="001E142F" w:rsidRPr="0026093C">
        <w:rPr>
          <w:rFonts w:eastAsia="Arial" w:cstheme="minorHAnsi"/>
          <w:szCs w:val="20"/>
          <w:highlight w:val="lightGray"/>
          <w:lang w:val="es-CO"/>
        </w:rPr>
        <w:t>E</w:t>
      </w:r>
      <w:r w:rsidRPr="0026093C">
        <w:rPr>
          <w:rFonts w:eastAsia="Arial" w:cstheme="minorHAnsi"/>
          <w:szCs w:val="20"/>
          <w:highlight w:val="lightGray"/>
          <w:lang w:val="es-CO"/>
        </w:rPr>
        <w:t xml:space="preserve">ntidad deberá incluir en orden alfabético los conceptos adicionales que apliquen al </w:t>
      </w:r>
      <w:r w:rsidR="001E142F"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1E142F"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26093C">
        <w:rPr>
          <w:rFonts w:eastAsia="Arial" w:cstheme="minorHAnsi"/>
          <w:szCs w:val="20"/>
          <w:lang w:val="es-CO"/>
        </w:rPr>
        <w:t xml:space="preserve">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 xml:space="preserve">Contribuciones parafiscales y gravámenes establecidos con carácter obligatorio por la ley que afectan a un determinado y único grupo social y económico y se </w:t>
      </w:r>
      <w:r w:rsidRPr="0026093C">
        <w:rPr>
          <w:rFonts w:asciiTheme="minorHAnsi" w:hAnsiTheme="minorHAnsi" w:cstheme="minorHAnsi"/>
          <w:bCs/>
          <w:sz w:val="20"/>
          <w:szCs w:val="20"/>
          <w:lang w:val="es-CO"/>
        </w:rPr>
        <w:lastRenderedPageBreak/>
        <w:t>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BRT (por sus siglas en inglés Bus Rapid Transit)-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1"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1"/>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Engineering, Procurement and Construction):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aplique una política contable retroactivamente o realice una reexpresión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2"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2"/>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de la</w:t>
      </w:r>
      <w:r w:rsidR="00A71756" w:rsidRPr="0026093C">
        <w:rPr>
          <w:rFonts w:asciiTheme="minorHAnsi" w:hAnsiTheme="minorHAnsi" w:cstheme="minorHAnsi"/>
          <w:sz w:val="20"/>
          <w:szCs w:val="20"/>
          <w:lang w:val="es-CO"/>
        </w:rPr>
        <w:t>persona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44201060" w14:textId="50EBCEAC" w:rsidR="00DC179A" w:rsidRPr="0026093C" w:rsidRDefault="00DC179A" w:rsidP="5FB46408">
      <w:pPr>
        <w:jc w:val="both"/>
        <w:rPr>
          <w:rFonts w:eastAsia="Arial" w:cstheme="minorHAnsi"/>
          <w:szCs w:val="20"/>
          <w:lang w:val="es-CO"/>
        </w:rPr>
      </w:pPr>
      <w:r w:rsidRPr="0026093C">
        <w:rPr>
          <w:rFonts w:eastAsia="Arial" w:cstheme="minorHAnsi"/>
          <w:szCs w:val="20"/>
          <w:lang w:val="es-CO"/>
        </w:rPr>
        <w:t>[</w:t>
      </w:r>
      <w:r w:rsidRPr="0026093C">
        <w:rPr>
          <w:rFonts w:eastAsia="Arial" w:cstheme="minorHAnsi"/>
          <w:szCs w:val="20"/>
          <w:highlight w:val="lightGray"/>
          <w:lang w:val="es-CO"/>
        </w:rPr>
        <w:t>La Entidad</w:t>
      </w:r>
      <w:r w:rsidR="6F1EB4EA" w:rsidRPr="0026093C">
        <w:rPr>
          <w:rFonts w:eastAsia="Arial" w:cstheme="minorHAnsi"/>
          <w:szCs w:val="20"/>
          <w:highlight w:val="lightGray"/>
          <w:lang w:val="es-CO"/>
        </w:rPr>
        <w:t xml:space="preserve"> </w:t>
      </w:r>
      <w:r w:rsidRPr="0026093C">
        <w:rPr>
          <w:rFonts w:eastAsia="Arial" w:cstheme="minorHAnsi"/>
          <w:szCs w:val="20"/>
          <w:highlight w:val="lightGray"/>
          <w:lang w:val="es-CO"/>
        </w:rPr>
        <w:t xml:space="preserve">deberá incorporar en orden alfabético los conceptos adicionales que apliquen al </w:t>
      </w:r>
      <w:r w:rsidR="008D392A"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8D392A"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incluidos en el presente anexo</w:t>
      </w:r>
      <w:r w:rsidR="00943950" w:rsidRPr="0026093C">
        <w:rPr>
          <w:rFonts w:cstheme="minorHAnsi"/>
          <w:szCs w:val="20"/>
          <w:highlight w:val="lightGray"/>
          <w:lang w:val="es-ES"/>
        </w:rPr>
        <w:t xml:space="preserve"> o en la normatividad que sea aplicable en la materia de infraestructura de transporte, como es el caso de la Ley 1682 de 2013.</w:t>
      </w:r>
      <w:r w:rsidRPr="0026093C">
        <w:rPr>
          <w:rFonts w:eastAsia="Arial" w:cstheme="minorHAnsi"/>
          <w:szCs w:val="20"/>
          <w:lang w:val="es-CO"/>
        </w:rPr>
        <w:t xml:space="preserve">] </w:t>
      </w:r>
    </w:p>
    <w:p w14:paraId="1D2107FF" w14:textId="77777777" w:rsidR="00DC179A" w:rsidRPr="0026093C" w:rsidRDefault="00DC179A" w:rsidP="00DC179A">
      <w:pPr>
        <w:rPr>
          <w:rFonts w:eastAsia="Arial" w:cstheme="minorHAnsi"/>
          <w:szCs w:val="20"/>
          <w:lang w:val="es-CO"/>
        </w:rPr>
      </w:pPr>
    </w:p>
    <w:p w14:paraId="173C824D" w14:textId="5E492357" w:rsidR="00DC179A" w:rsidRPr="0026093C" w:rsidRDefault="00DC179A" w:rsidP="00DC179A">
      <w:pPr>
        <w:jc w:val="both"/>
        <w:rPr>
          <w:rFonts w:cstheme="minorHAnsi"/>
          <w:b/>
          <w:szCs w:val="20"/>
          <w:lang w:val="es-CO"/>
        </w:rPr>
      </w:pPr>
      <w:r w:rsidRPr="0026093C">
        <w:rPr>
          <w:rFonts w:eastAsia="Arial" w:cstheme="minorHAnsi"/>
          <w:szCs w:val="20"/>
          <w:lang w:val="es-CO"/>
        </w:rPr>
        <w:t>[</w:t>
      </w:r>
      <w:r w:rsidRPr="0026093C">
        <w:rPr>
          <w:rFonts w:eastAsia="Arial" w:cstheme="minorHAnsi"/>
          <w:szCs w:val="20"/>
          <w:highlight w:val="lightGray"/>
          <w:lang w:val="es-CO"/>
        </w:rPr>
        <w:t xml:space="preserve">Respecto a la categorización de las vías, se maneja en los </w:t>
      </w:r>
      <w:r w:rsidR="008354AC" w:rsidRPr="0026093C">
        <w:rPr>
          <w:rFonts w:eastAsia="Arial" w:cstheme="minorHAnsi"/>
          <w:szCs w:val="20"/>
          <w:highlight w:val="lightGray"/>
          <w:lang w:val="es-CO"/>
        </w:rPr>
        <w:t xml:space="preserve">Documentos Tipo </w:t>
      </w:r>
      <w:r w:rsidRPr="0026093C">
        <w:rPr>
          <w:rFonts w:eastAsia="Arial" w:cstheme="minorHAnsi"/>
          <w:szCs w:val="20"/>
          <w:highlight w:val="lightGray"/>
          <w:lang w:val="es-CO"/>
        </w:rPr>
        <w:t xml:space="preserve">la definición de </w:t>
      </w:r>
      <w:r w:rsidR="008354AC" w:rsidRPr="0026093C">
        <w:rPr>
          <w:rFonts w:eastAsia="Arial" w:cstheme="minorHAnsi"/>
          <w:szCs w:val="20"/>
          <w:highlight w:val="lightGray"/>
          <w:lang w:val="es-CO"/>
        </w:rPr>
        <w:t xml:space="preserve">Vías </w:t>
      </w:r>
      <w:r w:rsidRPr="0026093C">
        <w:rPr>
          <w:rFonts w:eastAsia="Arial" w:cstheme="minorHAnsi"/>
          <w:szCs w:val="20"/>
          <w:highlight w:val="lightGray"/>
          <w:lang w:val="es-CO"/>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26093C">
        <w:rPr>
          <w:rFonts w:eastAsia="Arial" w:cstheme="minorHAnsi"/>
          <w:i/>
          <w:iCs/>
          <w:szCs w:val="20"/>
          <w:highlight w:val="lightGray"/>
          <w:lang w:val="es-CO"/>
        </w:rPr>
        <w:t>matriz y guía para realizar la categorización de la red vial nacional</w:t>
      </w:r>
      <w:r w:rsidRPr="0026093C">
        <w:rPr>
          <w:rFonts w:eastAsia="Arial" w:cstheme="minorHAnsi"/>
          <w:szCs w:val="20"/>
          <w:highlight w:val="lightGray"/>
          <w:lang w:val="es-CO"/>
        </w:rPr>
        <w:t>.</w:t>
      </w:r>
      <w:r w:rsidRPr="0026093C">
        <w:rPr>
          <w:rFonts w:eastAsia="Arial" w:cstheme="minorHAnsi"/>
          <w:szCs w:val="20"/>
          <w:lang w:val="es-CO"/>
        </w:rPr>
        <w:t>]</w:t>
      </w:r>
    </w:p>
    <w:p w14:paraId="075F9473"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w:t>
      </w:r>
      <w:r w:rsidRPr="0026093C">
        <w:rPr>
          <w:rFonts w:cstheme="minorHAnsi"/>
          <w:szCs w:val="20"/>
          <w:lang w:val="es-CO"/>
        </w:rPr>
        <w:lastRenderedPageBreak/>
        <w:t xml:space="preserve">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ciclousarios.</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lastRenderedPageBreak/>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lastRenderedPageBreak/>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(Cutter Suction Dredger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con Tolva (TSHD – Trailing Suction Hopper dredger):</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r w:rsidRPr="0026093C">
        <w:rPr>
          <w:rFonts w:asciiTheme="minorHAnsi" w:hAnsiTheme="minorHAnsi" w:cstheme="minorHAnsi"/>
          <w:bCs/>
          <w:sz w:val="20"/>
          <w:szCs w:val="20"/>
          <w:lang w:val="es-CO"/>
        </w:rPr>
        <w:lastRenderedPageBreak/>
        <w:t>Dragalinas, Dragas de Cuchara Almeja, Dragas de Pala (Dipper)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lastRenderedPageBreak/>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axeo;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w:t>
      </w:r>
      <w:r w:rsidRPr="0026093C">
        <w:rPr>
          <w:rFonts w:asciiTheme="minorHAnsi" w:hAnsiTheme="minorHAnsi" w:cstheme="minorHAnsi"/>
          <w:sz w:val="20"/>
          <w:szCs w:val="20"/>
          <w:lang w:val="es-CO" w:eastAsia="es-CO"/>
        </w:rPr>
        <w:lastRenderedPageBreak/>
        <w:t xml:space="preserve">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 contratante mediante alguno de los documentos válidos establecidos en el presente pliego </w:t>
      </w:r>
      <w:r w:rsidRPr="0026093C">
        <w:rPr>
          <w:rFonts w:asciiTheme="minorHAnsi" w:hAnsiTheme="minorHAnsi" w:cstheme="minorHAnsi"/>
          <w:sz w:val="20"/>
          <w:szCs w:val="20"/>
          <w:lang w:val="es-CO"/>
        </w:rPr>
        <w:lastRenderedPageBreak/>
        <w:t>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A6531" w14:textId="77777777" w:rsidR="00297D49" w:rsidRDefault="00297D49" w:rsidP="004F2C35">
      <w:r>
        <w:separator/>
      </w:r>
    </w:p>
  </w:endnote>
  <w:endnote w:type="continuationSeparator" w:id="0">
    <w:p w14:paraId="663936B6" w14:textId="77777777" w:rsidR="00297D49" w:rsidRDefault="00297D49" w:rsidP="004F2C35">
      <w:r>
        <w:continuationSeparator/>
      </w:r>
    </w:p>
  </w:endnote>
  <w:endnote w:type="continuationNotice" w:id="1">
    <w:p w14:paraId="3C527630" w14:textId="77777777" w:rsidR="00297D49" w:rsidRDefault="00297D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8AF43" w14:textId="77777777" w:rsidR="00073CA9" w:rsidRDefault="38D03E88" w:rsidP="009A67BC">
    <w:pPr>
      <w:pStyle w:val="Piedepgina"/>
      <w:jc w:val="center"/>
    </w:pPr>
    <w:r>
      <w:rPr>
        <w:noProof/>
        <w:lang w:val="es-CO" w:eastAsia="es-CO"/>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lang w:val="es-CO" w:eastAsia="es-CO"/>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80A243" w14:textId="77777777" w:rsidR="00297D49" w:rsidRDefault="00297D49" w:rsidP="004F2C35">
      <w:r>
        <w:separator/>
      </w:r>
    </w:p>
  </w:footnote>
  <w:footnote w:type="continuationSeparator" w:id="0">
    <w:p w14:paraId="3F714C6B" w14:textId="77777777" w:rsidR="00297D49" w:rsidRDefault="00297D49" w:rsidP="004F2C35">
      <w:r>
        <w:continuationSeparator/>
      </w:r>
    </w:p>
  </w:footnote>
  <w:footnote w:type="continuationNotice" w:id="1">
    <w:p w14:paraId="6909095A" w14:textId="77777777" w:rsidR="00297D49" w:rsidRDefault="00297D49"/>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FF5FCBE"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3020D0">
            <w:rPr>
              <w:rFonts w:ascii="Arial" w:eastAsia="Arial" w:hAnsi="Arial" w:cs="Arial"/>
              <w:noProof/>
              <w:color w:val="1A1818" w:themeColor="text1"/>
              <w:sz w:val="16"/>
              <w:szCs w:val="16"/>
            </w:rPr>
            <w:t>18</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3020D0">
            <w:rPr>
              <w:rFonts w:ascii="Arial" w:eastAsia="Arial" w:hAnsi="Arial" w:cs="Arial"/>
              <w:noProof/>
              <w:color w:val="1A1818" w:themeColor="text1"/>
              <w:sz w:val="16"/>
              <w:szCs w:val="16"/>
            </w:rPr>
            <w:t>18</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93BEF" w14:textId="445EF8CF"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pt;height:176.4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97D49"/>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0D0"/>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ECEF7A0-24F4-48E1-AE21-9E94306FE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8030</Words>
  <Characters>44170</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Alix Juliana Londoño Ocampo</cp:lastModifiedBy>
  <cp:revision>2</cp:revision>
  <cp:lastPrinted>2022-06-28T19:27:00Z</cp:lastPrinted>
  <dcterms:created xsi:type="dcterms:W3CDTF">2023-05-16T01:14:00Z</dcterms:created>
  <dcterms:modified xsi:type="dcterms:W3CDTF">2023-05-16T01:14:00Z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