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022B" w14:textId="77777777" w:rsidR="003326AB" w:rsidRPr="00653CBD" w:rsidRDefault="003326AB" w:rsidP="003326AB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653CBD">
        <w:rPr>
          <w:rFonts w:ascii="Arial" w:hAnsi="Arial" w:cs="Arial"/>
          <w:b/>
          <w:bCs/>
          <w:color w:val="000000" w:themeColor="text1"/>
        </w:rPr>
        <w:t>SEGUNDA PARTE</w:t>
      </w:r>
    </w:p>
    <w:p w14:paraId="352396FE" w14:textId="77777777" w:rsidR="003326AB" w:rsidRDefault="003326AB" w:rsidP="003326AB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653CBD">
        <w:rPr>
          <w:rFonts w:ascii="Arial" w:hAnsi="Arial" w:cs="Arial"/>
          <w:b/>
          <w:bCs/>
          <w:color w:val="000000" w:themeColor="text1"/>
        </w:rPr>
        <w:t>INFORME MENSUAL DE EJECUCIÓN CONTRACTUAL DEL 1 AL 3</w:t>
      </w:r>
      <w:r>
        <w:rPr>
          <w:rFonts w:ascii="Arial" w:hAnsi="Arial" w:cs="Arial"/>
          <w:b/>
          <w:bCs/>
          <w:color w:val="000000" w:themeColor="text1"/>
        </w:rPr>
        <w:t>0</w:t>
      </w:r>
      <w:r w:rsidRPr="00653CBD">
        <w:rPr>
          <w:rFonts w:ascii="Arial" w:hAnsi="Arial" w:cs="Arial"/>
          <w:b/>
          <w:bCs/>
          <w:color w:val="000000" w:themeColor="text1"/>
        </w:rPr>
        <w:t xml:space="preserve"> DE </w:t>
      </w:r>
      <w:r>
        <w:rPr>
          <w:rFonts w:ascii="Arial" w:hAnsi="Arial" w:cs="Arial"/>
          <w:b/>
          <w:bCs/>
          <w:color w:val="000000" w:themeColor="text1"/>
        </w:rPr>
        <w:t>ABRIL</w:t>
      </w:r>
      <w:r w:rsidRPr="00653CBD">
        <w:rPr>
          <w:rFonts w:ascii="Arial" w:hAnsi="Arial" w:cs="Arial"/>
          <w:b/>
          <w:bCs/>
          <w:color w:val="000000" w:themeColor="text1"/>
        </w:rPr>
        <w:t xml:space="preserve"> DE </w:t>
      </w:r>
    </w:p>
    <w:p w14:paraId="277E192B" w14:textId="71B5D7C2" w:rsidR="003326AB" w:rsidRDefault="003326AB" w:rsidP="003326AB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653CBD">
        <w:rPr>
          <w:rFonts w:ascii="Arial" w:hAnsi="Arial" w:cs="Arial"/>
          <w:b/>
          <w:bCs/>
          <w:color w:val="000000" w:themeColor="text1"/>
        </w:rPr>
        <w:t xml:space="preserve">2023 </w:t>
      </w:r>
    </w:p>
    <w:p w14:paraId="682318C6" w14:textId="257A41F7" w:rsidR="003326AB" w:rsidRDefault="003326AB" w:rsidP="003326AB">
      <w:pPr>
        <w:jc w:val="center"/>
        <w:rPr>
          <w:rFonts w:ascii="Arial" w:hAnsi="Arial" w:cs="Arial"/>
          <w:b/>
          <w:bCs/>
          <w:color w:val="000000" w:themeColor="text1"/>
        </w:rPr>
      </w:pPr>
    </w:p>
    <w:p w14:paraId="7BF29FEC" w14:textId="249E5989" w:rsidR="003326AB" w:rsidRDefault="003326AB" w:rsidP="003326AB">
      <w:pPr>
        <w:rPr>
          <w:rFonts w:cs="Calibri"/>
          <w:color w:val="000000"/>
          <w:lang w:eastAsia="es-ES"/>
        </w:rPr>
      </w:pPr>
      <w:r w:rsidRPr="00653CBD">
        <w:rPr>
          <w:rFonts w:cs="Calibri"/>
          <w:color w:val="000000"/>
          <w:lang w:eastAsia="es-ES"/>
        </w:rPr>
        <w:t xml:space="preserve">Se participó de manera virtual </w:t>
      </w:r>
      <w:r>
        <w:rPr>
          <w:rFonts w:cs="Calibri"/>
          <w:color w:val="000000"/>
          <w:lang w:eastAsia="es-ES"/>
        </w:rPr>
        <w:t xml:space="preserve">y presenciales </w:t>
      </w:r>
      <w:r w:rsidRPr="00653CBD">
        <w:rPr>
          <w:rFonts w:cs="Calibri"/>
          <w:color w:val="000000"/>
          <w:lang w:eastAsia="es-ES"/>
        </w:rPr>
        <w:t xml:space="preserve">en </w:t>
      </w:r>
      <w:r w:rsidRPr="00653CBD">
        <w:rPr>
          <w:rFonts w:cs="Calibri"/>
          <w:color w:val="000000"/>
          <w:lang w:eastAsia="es-ES"/>
        </w:rPr>
        <w:t xml:space="preserve">jornadas </w:t>
      </w:r>
      <w:r>
        <w:rPr>
          <w:rFonts w:cs="Calibri"/>
          <w:color w:val="000000"/>
          <w:lang w:eastAsia="es-ES"/>
        </w:rPr>
        <w:t xml:space="preserve">de </w:t>
      </w:r>
      <w:r w:rsidRPr="00653CBD">
        <w:rPr>
          <w:rFonts w:cs="Calibri"/>
          <w:color w:val="000000"/>
          <w:lang w:eastAsia="es-ES"/>
        </w:rPr>
        <w:t xml:space="preserve">seguimiento dirigidas </w:t>
      </w:r>
      <w:r>
        <w:rPr>
          <w:rFonts w:cs="Calibri"/>
          <w:color w:val="000000"/>
          <w:lang w:eastAsia="es-ES"/>
        </w:rPr>
        <w:t xml:space="preserve">a actores del </w:t>
      </w:r>
      <w:r w:rsidRPr="00653CBD">
        <w:rPr>
          <w:rFonts w:cs="Calibri"/>
          <w:color w:val="000000"/>
          <w:lang w:eastAsia="es-ES"/>
        </w:rPr>
        <w:t>proceso ECCL</w:t>
      </w:r>
    </w:p>
    <w:p w14:paraId="6E8A516A" w14:textId="47BAF649" w:rsidR="003326AB" w:rsidRPr="003F0860" w:rsidRDefault="003326AB" w:rsidP="003326AB">
      <w:pPr>
        <w:pStyle w:val="Sinespaciado"/>
        <w:jc w:val="both"/>
        <w:rPr>
          <w:rFonts w:ascii="Calibri" w:hAnsi="Calibri" w:cs="Calibri"/>
          <w:color w:val="000000" w:themeColor="text1"/>
        </w:rPr>
      </w:pPr>
      <w:r w:rsidRPr="003F0860">
        <w:rPr>
          <w:rFonts w:ascii="Calibri" w:hAnsi="Calibri" w:cs="Calibri"/>
          <w:color w:val="000000" w:themeColor="text1"/>
        </w:rPr>
        <w:t>Pantallazo corresponde a la</w:t>
      </w:r>
      <w:r w:rsidR="00C629AC">
        <w:rPr>
          <w:rFonts w:ascii="Calibri" w:hAnsi="Calibri" w:cs="Calibri"/>
          <w:color w:val="000000" w:themeColor="text1"/>
        </w:rPr>
        <w:t>s</w:t>
      </w:r>
      <w:r w:rsidRPr="003F0860">
        <w:rPr>
          <w:rFonts w:ascii="Calibri" w:hAnsi="Calibri" w:cs="Calibri"/>
          <w:color w:val="000000" w:themeColor="text1"/>
        </w:rPr>
        <w:t xml:space="preserve"> reuni</w:t>
      </w:r>
      <w:r w:rsidR="00C629AC">
        <w:rPr>
          <w:rFonts w:ascii="Calibri" w:hAnsi="Calibri" w:cs="Calibri"/>
          <w:color w:val="000000" w:themeColor="text1"/>
        </w:rPr>
        <w:t>ones</w:t>
      </w:r>
      <w:r w:rsidRPr="003F0860">
        <w:rPr>
          <w:rFonts w:ascii="Calibri" w:hAnsi="Calibri" w:cs="Calibri"/>
          <w:color w:val="000000" w:themeColor="text1"/>
        </w:rPr>
        <w:t xml:space="preserve"> de </w:t>
      </w:r>
      <w:r w:rsidR="002619EA">
        <w:rPr>
          <w:rFonts w:ascii="Calibri" w:hAnsi="Calibri" w:cs="Calibri"/>
          <w:color w:val="000000" w:themeColor="text1"/>
        </w:rPr>
        <w:t xml:space="preserve">presentación de fases de construcción de instrumentos de </w:t>
      </w:r>
      <w:r w:rsidR="00876C21">
        <w:rPr>
          <w:rFonts w:ascii="Calibri" w:hAnsi="Calibri" w:cs="Calibri"/>
          <w:color w:val="000000" w:themeColor="text1"/>
        </w:rPr>
        <w:t xml:space="preserve">evaluadores </w:t>
      </w:r>
      <w:r w:rsidR="00876C21" w:rsidRPr="003F0860">
        <w:rPr>
          <w:rFonts w:ascii="Calibri" w:hAnsi="Calibri" w:cs="Calibri"/>
          <w:color w:val="000000" w:themeColor="text1"/>
        </w:rPr>
        <w:t>abril</w:t>
      </w:r>
      <w:r w:rsidR="004E2557">
        <w:rPr>
          <w:rFonts w:ascii="Calibri" w:hAnsi="Calibri" w:cs="Calibri"/>
          <w:color w:val="000000" w:themeColor="text1"/>
        </w:rPr>
        <w:t xml:space="preserve"> 24-25-26</w:t>
      </w:r>
    </w:p>
    <w:p w14:paraId="4B6249B7" w14:textId="1FF6E005" w:rsidR="003326AB" w:rsidRDefault="003326AB" w:rsidP="003326AB"/>
    <w:p w14:paraId="5CFCE726" w14:textId="68DD56EB" w:rsidR="002619EA" w:rsidRDefault="002619EA" w:rsidP="003326AB">
      <w:r>
        <w:rPr>
          <w:noProof/>
        </w:rPr>
        <w:drawing>
          <wp:inline distT="0" distB="0" distL="0" distR="0" wp14:anchorId="0E5C54D5" wp14:editId="006ECC76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D6EC9" w14:textId="40FFF9F3" w:rsidR="002619EA" w:rsidRDefault="002619EA" w:rsidP="003326AB"/>
    <w:p w14:paraId="3724AC74" w14:textId="14F8BB6E" w:rsidR="002619EA" w:rsidRDefault="002619EA" w:rsidP="003326AB"/>
    <w:p w14:paraId="253B23E9" w14:textId="77777777" w:rsidR="002619EA" w:rsidRDefault="002619EA" w:rsidP="003326AB"/>
    <w:p w14:paraId="4DBC4D97" w14:textId="71D83003" w:rsidR="002619EA" w:rsidRDefault="002619EA" w:rsidP="003326AB">
      <w:r>
        <w:rPr>
          <w:noProof/>
        </w:rPr>
        <w:lastRenderedPageBreak/>
        <w:drawing>
          <wp:inline distT="0" distB="0" distL="0" distR="0" wp14:anchorId="0DB6E026" wp14:editId="6BE006A2">
            <wp:extent cx="5612130" cy="315531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74C94" w14:textId="5A119900" w:rsidR="002619EA" w:rsidRDefault="002619EA" w:rsidP="003326AB">
      <w:r>
        <w:rPr>
          <w:noProof/>
        </w:rPr>
        <w:drawing>
          <wp:inline distT="0" distB="0" distL="0" distR="0" wp14:anchorId="4C1FEBFA" wp14:editId="2B3D1C5F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77AD3" w14:textId="4BDA5CA3" w:rsidR="00C629AC" w:rsidRDefault="00C629AC" w:rsidP="003326AB"/>
    <w:p w14:paraId="1320B06F" w14:textId="681D5648" w:rsidR="00C629AC" w:rsidRDefault="00C629AC" w:rsidP="003326AB"/>
    <w:p w14:paraId="36D3AD37" w14:textId="77777777" w:rsidR="00C629AC" w:rsidRDefault="00C629AC" w:rsidP="003326AB"/>
    <w:p w14:paraId="530A7D56" w14:textId="54773DFB" w:rsidR="00C629AC" w:rsidRDefault="00C629AC" w:rsidP="003326AB"/>
    <w:p w14:paraId="7D91BC0B" w14:textId="5C2AF40C" w:rsidR="00C629AC" w:rsidRDefault="00C629AC" w:rsidP="003326AB">
      <w:pPr>
        <w:rPr>
          <w:rFonts w:cs="Calibri"/>
          <w:color w:val="000000" w:themeColor="text1"/>
        </w:rPr>
      </w:pPr>
      <w:r>
        <w:lastRenderedPageBreak/>
        <w:t xml:space="preserve">Pantallazo de activación de Batería de proyecto 127 alcaldía municipal de Paipa pruebas de conocimiento en acompañamiento con dinamizadora Yineth Velandia del proceso </w:t>
      </w:r>
      <w:r w:rsidRPr="003F0860">
        <w:rPr>
          <w:rFonts w:cs="Calibri"/>
          <w:color w:val="000000" w:themeColor="text1"/>
        </w:rPr>
        <w:t>ECCL</w:t>
      </w:r>
    </w:p>
    <w:p w14:paraId="76E14626" w14:textId="3B4D1F2F" w:rsidR="00C629AC" w:rsidRDefault="00C629AC" w:rsidP="003326AB">
      <w:pPr>
        <w:rPr>
          <w:rFonts w:cs="Calibri"/>
          <w:color w:val="000000" w:themeColor="text1"/>
        </w:rPr>
      </w:pPr>
    </w:p>
    <w:p w14:paraId="75C52795" w14:textId="6F49D1FB" w:rsidR="00EF2BA9" w:rsidRDefault="00C629AC" w:rsidP="003326AB">
      <w:r>
        <w:rPr>
          <w:noProof/>
        </w:rPr>
        <w:drawing>
          <wp:inline distT="0" distB="0" distL="0" distR="0" wp14:anchorId="1D7ADD4A" wp14:editId="51457E0E">
            <wp:extent cx="5612130" cy="3155315"/>
            <wp:effectExtent l="0" t="0" r="762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08599" w14:textId="77777777" w:rsidR="00DE1FAD" w:rsidRDefault="00DE1FAD" w:rsidP="003326AB"/>
    <w:p w14:paraId="18777026" w14:textId="4F736542" w:rsidR="00EF2BA9" w:rsidRDefault="00EF2BA9" w:rsidP="003326AB">
      <w:r>
        <w:t>Sensibilización e inducción virtual de proyecto 127 Alcaldía Municipal de Paipa</w:t>
      </w:r>
    </w:p>
    <w:p w14:paraId="5470AC74" w14:textId="4CAE6D08" w:rsidR="00EF2BA9" w:rsidRDefault="00EF2BA9" w:rsidP="003326AB">
      <w:r>
        <w:rPr>
          <w:noProof/>
        </w:rPr>
        <w:drawing>
          <wp:inline distT="0" distB="0" distL="0" distR="0" wp14:anchorId="21E75E0D" wp14:editId="7C70BC64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sectPr w:rsidR="00EF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6AB"/>
    <w:rsid w:val="002619EA"/>
    <w:rsid w:val="003326AB"/>
    <w:rsid w:val="003D2B1A"/>
    <w:rsid w:val="004A573F"/>
    <w:rsid w:val="004E2557"/>
    <w:rsid w:val="006D5D45"/>
    <w:rsid w:val="00876C21"/>
    <w:rsid w:val="008B0F2A"/>
    <w:rsid w:val="00A46FE3"/>
    <w:rsid w:val="00C629AC"/>
    <w:rsid w:val="00DE1FAD"/>
    <w:rsid w:val="00EF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F301"/>
  <w15:chartTrackingRefBased/>
  <w15:docId w15:val="{5D4DC315-FFD4-4D58-AEC3-4D476D1B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326AB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26AB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2023-06-06T16:29:00Z</dcterms:created>
  <dcterms:modified xsi:type="dcterms:W3CDTF">2023-06-06T18:51:00Z</dcterms:modified>
</cp:coreProperties>
</file>