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b w:val="1"/>
          <w:color w:val="1a1818"/>
          <w:sz w:val="20"/>
          <w:szCs w:val="20"/>
        </w:rPr>
      </w:pPr>
      <w:r w:rsidDel="00000000" w:rsidR="00000000" w:rsidRPr="00000000">
        <w:rPr>
          <w:rFonts w:ascii="Arial" w:cs="Arial" w:eastAsia="Arial" w:hAnsi="Arial"/>
          <w:b w:val="1"/>
          <w:color w:val="1a1818"/>
          <w:sz w:val="20"/>
          <w:szCs w:val="20"/>
          <w:rtl w:val="0"/>
        </w:rPr>
        <w:t xml:space="preserve">MATRIZ 2 – INDICADORES FINANCIEROS Y ORGANIZACIONALES</w:t>
      </w:r>
    </w:p>
    <w:p w:rsidR="00000000" w:rsidDel="00000000" w:rsidP="00000000" w:rsidRDefault="00000000" w:rsidRPr="00000000" w14:paraId="00000002">
      <w:pPr>
        <w:jc w:val="center"/>
        <w:rPr>
          <w:rFonts w:ascii="Arial" w:cs="Arial" w:eastAsia="Arial" w:hAnsi="Arial"/>
          <w:b w:val="1"/>
          <w:color w:val="1a1818"/>
          <w:sz w:val="20"/>
          <w:szCs w:val="20"/>
        </w:rPr>
      </w:pPr>
      <w:r w:rsidDel="00000000" w:rsidR="00000000" w:rsidRPr="00000000">
        <w:rPr>
          <w:rFonts w:ascii="Arial" w:cs="Arial" w:eastAsia="Arial" w:hAnsi="Arial"/>
          <w:b w:val="1"/>
          <w:color w:val="1a1818"/>
          <w:sz w:val="20"/>
          <w:szCs w:val="20"/>
          <w:rtl w:val="0"/>
        </w:rPr>
        <w:t xml:space="preserve">OBRAS PARA INFRAESTRUCTURA DE TRANSPORTE </w:t>
      </w:r>
    </w:p>
    <w:p w:rsidR="00000000" w:rsidDel="00000000" w:rsidP="00000000" w:rsidRDefault="00000000" w:rsidRPr="00000000" w14:paraId="00000003">
      <w:pPr>
        <w:jc w:val="center"/>
        <w:rPr>
          <w:rFonts w:ascii="Arial" w:cs="Arial" w:eastAsia="Arial" w:hAnsi="Arial"/>
          <w:b w:val="1"/>
          <w:color w:val="1a1818"/>
          <w:sz w:val="20"/>
          <w:szCs w:val="20"/>
        </w:rPr>
      </w:pPr>
      <w:r w:rsidDel="00000000" w:rsidR="00000000" w:rsidRPr="00000000">
        <w:rPr>
          <w:rtl w:val="0"/>
        </w:rPr>
      </w:r>
    </w:p>
    <w:p w:rsidR="00000000" w:rsidDel="00000000" w:rsidP="00000000" w:rsidRDefault="00000000" w:rsidRPr="00000000" w14:paraId="00000004">
      <w:pPr>
        <w:jc w:val="center"/>
        <w:rPr>
          <w:rFonts w:ascii="Arial" w:cs="Arial" w:eastAsia="Arial" w:hAnsi="Arial"/>
          <w:b w:val="1"/>
          <w:color w:val="1a1818"/>
          <w:sz w:val="20"/>
          <w:szCs w:val="20"/>
        </w:rPr>
      </w:pPr>
      <w:r w:rsidDel="00000000" w:rsidR="00000000" w:rsidRPr="00000000">
        <w:rPr>
          <w:rtl w:val="0"/>
        </w:rPr>
      </w:r>
    </w:p>
    <w:p w:rsidR="00000000" w:rsidDel="00000000" w:rsidP="00000000" w:rsidRDefault="00000000" w:rsidRPr="00000000" w14:paraId="000000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Índices de capacidad financiera y organizacionales para Mipyme.</w:t>
      </w:r>
    </w:p>
    <w:p w:rsidR="00000000" w:rsidDel="00000000" w:rsidP="00000000" w:rsidRDefault="00000000" w:rsidRPr="00000000" w14:paraId="00000006">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persona natural o jurídica que demuestre la condición de Mipyme de conformidad con lo previsto en el artículo 2.2.1.2.4.2.4. del Decreto 1082 de 2015, en concordancia con el parágrafo del artículo 2.2.1.13.2.4 del Decreto 1074 de 2015 o las normas que los modifiquen, sustituyan o complementen, probará los siguientes indicadores:</w:t>
      </w:r>
    </w:p>
    <w:p w:rsidR="00000000" w:rsidDel="00000000" w:rsidP="00000000" w:rsidRDefault="00000000" w:rsidRPr="00000000" w14:paraId="00000008">
      <w:pPr>
        <w:ind w:left="720" w:firstLine="0"/>
        <w:rPr>
          <w:rFonts w:ascii="Arial" w:cs="Arial" w:eastAsia="Arial" w:hAnsi="Arial"/>
          <w:sz w:val="20"/>
          <w:szCs w:val="20"/>
        </w:rPr>
      </w:pPr>
      <w:r w:rsidDel="00000000" w:rsidR="00000000" w:rsidRPr="00000000">
        <w:rPr>
          <w:rtl w:val="0"/>
        </w:rPr>
      </w:r>
    </w:p>
    <w:tbl>
      <w:tblPr>
        <w:tblStyle w:val="Table1"/>
        <w:tblW w:w="495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9"/>
        <w:gridCol w:w="2268"/>
        <w:tblGridChange w:id="0">
          <w:tblGrid>
            <w:gridCol w:w="2689"/>
            <w:gridCol w:w="2268"/>
          </w:tblGrid>
        </w:tblGridChange>
      </w:tblGrid>
      <w:tr>
        <w:trPr>
          <w:cantSplit w:val="0"/>
          <w:trHeight w:val="20" w:hRule="atLeast"/>
          <w:tblHeader w:val="0"/>
        </w:trPr>
        <w:tc>
          <w:tcPr>
            <w:shd w:fill="3a3939" w:val="clear"/>
            <w:vAlign w:val="center"/>
          </w:tcPr>
          <w:p w:rsidR="00000000" w:rsidDel="00000000" w:rsidP="00000000" w:rsidRDefault="00000000" w:rsidRPr="00000000" w14:paraId="00000009">
            <w:pPr>
              <w:ind w:left="174" w:hanging="174"/>
              <w:jc w:val="center"/>
              <w:rPr>
                <w:rFonts w:ascii="Arial" w:cs="Arial" w:eastAsia="Arial" w:hAnsi="Arial"/>
                <w:b w:val="1"/>
                <w:color w:val="ffffff"/>
                <w:sz w:val="18"/>
                <w:szCs w:val="18"/>
              </w:rPr>
            </w:pPr>
            <w:r w:rsidDel="00000000" w:rsidR="00000000" w:rsidRPr="00000000">
              <w:rPr>
                <w:rFonts w:ascii="Arial" w:cs="Arial" w:eastAsia="Arial" w:hAnsi="Arial"/>
                <w:b w:val="1"/>
                <w:color w:val="ffffff"/>
                <w:sz w:val="18"/>
                <w:szCs w:val="18"/>
                <w:rtl w:val="0"/>
              </w:rPr>
              <w:t xml:space="preserve">Indicador</w:t>
            </w:r>
          </w:p>
        </w:tc>
        <w:tc>
          <w:tcPr>
            <w:shd w:fill="3a3939" w:val="clear"/>
            <w:vAlign w:val="center"/>
          </w:tcPr>
          <w:p w:rsidR="00000000" w:rsidDel="00000000" w:rsidP="00000000" w:rsidRDefault="00000000" w:rsidRPr="00000000" w14:paraId="0000000A">
            <w:pPr>
              <w:ind w:left="174" w:hanging="174"/>
              <w:jc w:val="center"/>
              <w:rPr>
                <w:rFonts w:ascii="Arial" w:cs="Arial" w:eastAsia="Arial" w:hAnsi="Arial"/>
                <w:b w:val="1"/>
                <w:color w:val="ffffff"/>
                <w:sz w:val="18"/>
                <w:szCs w:val="18"/>
              </w:rPr>
            </w:pPr>
            <w:r w:rsidDel="00000000" w:rsidR="00000000" w:rsidRPr="00000000">
              <w:rPr>
                <w:rFonts w:ascii="Arial" w:cs="Arial" w:eastAsia="Arial" w:hAnsi="Arial"/>
                <w:b w:val="1"/>
                <w:color w:val="ffffff"/>
                <w:sz w:val="18"/>
                <w:szCs w:val="18"/>
                <w:rtl w:val="0"/>
              </w:rPr>
              <w:t xml:space="preserve">Valor concertado</w:t>
            </w:r>
          </w:p>
        </w:tc>
      </w:tr>
      <w:tr>
        <w:trPr>
          <w:cantSplit w:val="0"/>
          <w:trHeight w:val="20" w:hRule="atLeast"/>
          <w:tblHeader w:val="0"/>
        </w:trPr>
        <w:tc>
          <w:tcPr>
            <w:vAlign w:val="center"/>
          </w:tcPr>
          <w:p w:rsidR="00000000" w:rsidDel="00000000" w:rsidP="00000000" w:rsidRDefault="00000000" w:rsidRPr="00000000" w14:paraId="0000000B">
            <w:pPr>
              <w:jc w:val="center"/>
              <w:rPr>
                <w:sz w:val="18"/>
                <w:szCs w:val="18"/>
              </w:rPr>
            </w:pPr>
            <w:r w:rsidDel="00000000" w:rsidR="00000000" w:rsidRPr="00000000">
              <w:rPr>
                <w:rtl w:val="0"/>
              </w:rPr>
            </w:r>
          </w:p>
          <w:p w:rsidR="00000000" w:rsidDel="00000000" w:rsidP="00000000" w:rsidRDefault="00000000" w:rsidRPr="00000000" w14:paraId="0000000C">
            <w:pPr>
              <w:jc w:val="center"/>
              <w:rPr>
                <w:sz w:val="18"/>
                <w:szCs w:val="18"/>
              </w:rPr>
            </w:pPr>
            <w:r w:rsidDel="00000000" w:rsidR="00000000" w:rsidRPr="00000000">
              <w:rPr>
                <w:sz w:val="18"/>
                <w:szCs w:val="18"/>
                <w:rtl w:val="0"/>
              </w:rPr>
              <w:t xml:space="preserve">Índice de liquidez</w:t>
            </w:r>
          </w:p>
        </w:tc>
        <w:tc>
          <w:tcPr>
            <w:vAlign w:val="center"/>
          </w:tcPr>
          <w:p w:rsidR="00000000" w:rsidDel="00000000" w:rsidP="00000000" w:rsidRDefault="00000000" w:rsidRPr="00000000" w14:paraId="0000000D">
            <w:pPr>
              <w:spacing w:before="240" w:lineRule="auto"/>
              <w:jc w:val="center"/>
              <w:rPr>
                <w:rFonts w:ascii="Arial" w:cs="Arial" w:eastAsia="Arial" w:hAnsi="Arial"/>
                <w:sz w:val="18"/>
                <w:szCs w:val="18"/>
              </w:rPr>
            </w:pPr>
            <m:oMath>
              <m:r>
                <m:t>≥</m:t>
              </m:r>
            </m:oMath>
            <w:r w:rsidDel="00000000" w:rsidR="00000000" w:rsidRPr="00000000">
              <w:rPr>
                <w:rFonts w:ascii="Arial" w:cs="Arial" w:eastAsia="Arial" w:hAnsi="Arial"/>
                <w:sz w:val="18"/>
                <w:szCs w:val="18"/>
                <w:rtl w:val="0"/>
              </w:rPr>
              <w:t xml:space="preserve">1,11</w:t>
            </w:r>
          </w:p>
          <w:p w:rsidR="00000000" w:rsidDel="00000000" w:rsidP="00000000" w:rsidRDefault="00000000" w:rsidRPr="00000000" w14:paraId="0000000E">
            <w:pPr>
              <w:jc w:val="center"/>
              <w:rPr>
                <w:sz w:val="18"/>
                <w:szCs w:val="18"/>
              </w:rPr>
            </w:pPr>
            <w:r w:rsidDel="00000000" w:rsidR="00000000" w:rsidRPr="00000000">
              <w:rPr>
                <w:rtl w:val="0"/>
              </w:rPr>
            </w:r>
          </w:p>
        </w:tc>
      </w:tr>
      <w:tr>
        <w:trPr>
          <w:cantSplit w:val="0"/>
          <w:trHeight w:val="20" w:hRule="atLeast"/>
          <w:tblHeader w:val="0"/>
        </w:trPr>
        <w:tc>
          <w:tcPr>
            <w:vAlign w:val="center"/>
          </w:tcPr>
          <w:p w:rsidR="00000000" w:rsidDel="00000000" w:rsidP="00000000" w:rsidRDefault="00000000" w:rsidRPr="00000000" w14:paraId="0000000F">
            <w:pPr>
              <w:jc w:val="center"/>
              <w:rPr>
                <w:sz w:val="18"/>
                <w:szCs w:val="18"/>
              </w:rPr>
            </w:pPr>
            <w:r w:rsidDel="00000000" w:rsidR="00000000" w:rsidRPr="00000000">
              <w:rPr>
                <w:rtl w:val="0"/>
              </w:rPr>
            </w:r>
          </w:p>
          <w:p w:rsidR="00000000" w:rsidDel="00000000" w:rsidP="00000000" w:rsidRDefault="00000000" w:rsidRPr="00000000" w14:paraId="00000010">
            <w:pPr>
              <w:jc w:val="center"/>
              <w:rPr>
                <w:sz w:val="18"/>
                <w:szCs w:val="18"/>
              </w:rPr>
            </w:pPr>
            <w:r w:rsidDel="00000000" w:rsidR="00000000" w:rsidRPr="00000000">
              <w:rPr>
                <w:sz w:val="18"/>
                <w:szCs w:val="18"/>
                <w:rtl w:val="0"/>
              </w:rPr>
              <w:t xml:space="preserve">Índice de endeudamiento</w:t>
            </w:r>
          </w:p>
        </w:tc>
        <w:tc>
          <w:tcPr>
            <w:vAlign w:val="center"/>
          </w:tcPr>
          <w:p w:rsidR="00000000" w:rsidDel="00000000" w:rsidP="00000000" w:rsidRDefault="00000000" w:rsidRPr="00000000" w14:paraId="00000011">
            <w:pPr>
              <w:jc w:val="center"/>
              <w:rPr>
                <w:sz w:val="18"/>
                <w:szCs w:val="18"/>
              </w:rPr>
            </w:pPr>
            <w:r w:rsidDel="00000000" w:rsidR="00000000" w:rsidRPr="00000000">
              <w:rPr>
                <w:rtl w:val="0"/>
              </w:rPr>
            </w:r>
          </w:p>
          <w:p w:rsidR="00000000" w:rsidDel="00000000" w:rsidP="00000000" w:rsidRDefault="00000000" w:rsidRPr="00000000" w14:paraId="00000012">
            <w:pPr>
              <w:jc w:val="center"/>
              <w:rPr>
                <w:sz w:val="18"/>
                <w:szCs w:val="18"/>
              </w:rPr>
            </w:pPr>
            <m:oMath>
              <m:r>
                <w:rPr>
                  <w:rFonts w:ascii="Cambria Math" w:cs="Cambria Math" w:eastAsia="Cambria Math" w:hAnsi="Cambria Math"/>
                  <w:sz w:val="18"/>
                  <w:szCs w:val="18"/>
                </w:rPr>
                <m:t xml:space="preserve">≤ </m:t>
              </m:r>
            </m:oMath>
            <w:r w:rsidDel="00000000" w:rsidR="00000000" w:rsidRPr="00000000">
              <w:rPr>
                <w:sz w:val="18"/>
                <w:szCs w:val="18"/>
                <w:rtl w:val="0"/>
              </w:rPr>
              <w:t xml:space="preserve">75%</w:t>
            </w:r>
          </w:p>
          <w:p w:rsidR="00000000" w:rsidDel="00000000" w:rsidP="00000000" w:rsidRDefault="00000000" w:rsidRPr="00000000" w14:paraId="00000013">
            <w:pPr>
              <w:jc w:val="center"/>
              <w:rPr>
                <w:sz w:val="18"/>
                <w:szCs w:val="18"/>
              </w:rPr>
            </w:pPr>
            <w:r w:rsidDel="00000000" w:rsidR="00000000" w:rsidRPr="00000000">
              <w:rPr>
                <w:rtl w:val="0"/>
              </w:rPr>
            </w:r>
          </w:p>
        </w:tc>
      </w:tr>
      <w:tr>
        <w:trPr>
          <w:cantSplit w:val="0"/>
          <w:trHeight w:val="20" w:hRule="atLeast"/>
          <w:tblHeader w:val="0"/>
        </w:trPr>
        <w:tc>
          <w:tcPr>
            <w:vAlign w:val="center"/>
          </w:tcPr>
          <w:p w:rsidR="00000000" w:rsidDel="00000000" w:rsidP="00000000" w:rsidRDefault="00000000" w:rsidRPr="00000000" w14:paraId="00000014">
            <w:pPr>
              <w:jc w:val="center"/>
              <w:rPr>
                <w:sz w:val="18"/>
                <w:szCs w:val="18"/>
              </w:rPr>
            </w:pPr>
            <w:r w:rsidDel="00000000" w:rsidR="00000000" w:rsidRPr="00000000">
              <w:rPr>
                <w:rtl w:val="0"/>
              </w:rPr>
            </w:r>
          </w:p>
          <w:p w:rsidR="00000000" w:rsidDel="00000000" w:rsidP="00000000" w:rsidRDefault="00000000" w:rsidRPr="00000000" w14:paraId="00000015">
            <w:pPr>
              <w:jc w:val="center"/>
              <w:rPr>
                <w:sz w:val="18"/>
                <w:szCs w:val="18"/>
              </w:rPr>
            </w:pPr>
            <w:r w:rsidDel="00000000" w:rsidR="00000000" w:rsidRPr="00000000">
              <w:rPr>
                <w:sz w:val="18"/>
                <w:szCs w:val="18"/>
                <w:rtl w:val="0"/>
              </w:rPr>
              <w:t xml:space="preserve">Razón de cobertura de intereses</w:t>
            </w:r>
          </w:p>
        </w:tc>
        <w:tc>
          <w:tcPr>
            <w:vAlign w:val="center"/>
          </w:tcPr>
          <w:p w:rsidR="00000000" w:rsidDel="00000000" w:rsidP="00000000" w:rsidRDefault="00000000" w:rsidRPr="00000000" w14:paraId="00000016">
            <w:pPr>
              <w:jc w:val="center"/>
              <w:rPr>
                <w:sz w:val="18"/>
                <w:szCs w:val="18"/>
              </w:rPr>
            </w:pPr>
            <w:r w:rsidDel="00000000" w:rsidR="00000000" w:rsidRPr="00000000">
              <w:rPr>
                <w:rtl w:val="0"/>
              </w:rPr>
            </w:r>
          </w:p>
          <w:p w:rsidR="00000000" w:rsidDel="00000000" w:rsidP="00000000" w:rsidRDefault="00000000" w:rsidRPr="00000000" w14:paraId="00000017">
            <w:pPr>
              <w:jc w:val="center"/>
              <w:rPr>
                <w:rFonts w:ascii="Cambria Math" w:cs="Cambria Math" w:eastAsia="Cambria Math" w:hAnsi="Cambria Math"/>
                <w:sz w:val="18"/>
                <w:szCs w:val="18"/>
              </w:rPr>
            </w:pPr>
            <m:oMath>
              <m:r>
                <w:rPr>
                  <w:rFonts w:ascii="Cambria Math" w:cs="Cambria Math" w:eastAsia="Cambria Math" w:hAnsi="Cambria Math"/>
                  <w:sz w:val="18"/>
                  <w:szCs w:val="18"/>
                </w:rPr>
                <m:t xml:space="preserve">≥0</m:t>
              </m:r>
            </m:oMath>
            <w:r w:rsidDel="00000000" w:rsidR="00000000" w:rsidRPr="00000000">
              <w:rPr>
                <w:rtl w:val="0"/>
              </w:rPr>
            </w:r>
          </w:p>
          <w:p w:rsidR="00000000" w:rsidDel="00000000" w:rsidP="00000000" w:rsidRDefault="00000000" w:rsidRPr="00000000" w14:paraId="00000018">
            <w:pPr>
              <w:jc w:val="center"/>
              <w:rPr>
                <w:sz w:val="18"/>
                <w:szCs w:val="18"/>
              </w:rPr>
            </w:pPr>
            <w:r w:rsidDel="00000000" w:rsidR="00000000" w:rsidRPr="00000000">
              <w:rPr>
                <w:rtl w:val="0"/>
              </w:rPr>
            </w:r>
          </w:p>
        </w:tc>
      </w:tr>
      <w:tr>
        <w:trPr>
          <w:cantSplit w:val="0"/>
          <w:trHeight w:val="20" w:hRule="atLeast"/>
          <w:tblHeader w:val="0"/>
        </w:trPr>
        <w:tc>
          <w:tcPr>
            <w:vAlign w:val="center"/>
          </w:tcPr>
          <w:p w:rsidR="00000000" w:rsidDel="00000000" w:rsidP="00000000" w:rsidRDefault="00000000" w:rsidRPr="00000000" w14:paraId="00000019">
            <w:pPr>
              <w:jc w:val="center"/>
              <w:rPr>
                <w:sz w:val="18"/>
                <w:szCs w:val="18"/>
              </w:rPr>
            </w:pPr>
            <w:r w:rsidDel="00000000" w:rsidR="00000000" w:rsidRPr="00000000">
              <w:rPr>
                <w:rtl w:val="0"/>
              </w:rPr>
            </w:r>
          </w:p>
          <w:p w:rsidR="00000000" w:rsidDel="00000000" w:rsidP="00000000" w:rsidRDefault="00000000" w:rsidRPr="00000000" w14:paraId="0000001A">
            <w:pPr>
              <w:jc w:val="center"/>
              <w:rPr>
                <w:sz w:val="18"/>
                <w:szCs w:val="18"/>
              </w:rPr>
            </w:pPr>
            <w:r w:rsidDel="00000000" w:rsidR="00000000" w:rsidRPr="00000000">
              <w:rPr>
                <w:sz w:val="18"/>
                <w:szCs w:val="18"/>
                <w:rtl w:val="0"/>
              </w:rPr>
              <w:t xml:space="preserve">Capital de trabajo</w:t>
            </w:r>
          </w:p>
        </w:tc>
        <w:tc>
          <w:tcPr>
            <w:vAlign w:val="center"/>
          </w:tcPr>
          <w:p w:rsidR="00000000" w:rsidDel="00000000" w:rsidP="00000000" w:rsidRDefault="00000000" w:rsidRPr="00000000" w14:paraId="0000001B">
            <w:pPr>
              <w:jc w:val="center"/>
              <w:rPr>
                <w:sz w:val="18"/>
                <w:szCs w:val="18"/>
              </w:rPr>
            </w:pPr>
            <w:r w:rsidDel="00000000" w:rsidR="00000000" w:rsidRPr="00000000">
              <w:rPr>
                <w:rtl w:val="0"/>
              </w:rPr>
            </w:r>
          </w:p>
          <w:p w:rsidR="00000000" w:rsidDel="00000000" w:rsidP="00000000" w:rsidRDefault="00000000" w:rsidRPr="00000000" w14:paraId="0000001C">
            <w:pPr>
              <w:spacing w:before="240" w:lineRule="auto"/>
              <w:jc w:val="center"/>
              <w:rPr>
                <w:sz w:val="18"/>
                <w:szCs w:val="18"/>
                <w:highlight w:val="yellow"/>
              </w:rPr>
            </w:pPr>
            <m:oMath>
              <m:r>
                <m:t>≥</m:t>
              </m:r>
            </m:oMath>
            <w:r w:rsidDel="00000000" w:rsidR="00000000" w:rsidRPr="00000000">
              <w:rPr>
                <w:rFonts w:ascii="Arial" w:cs="Arial" w:eastAsia="Arial" w:hAnsi="Arial"/>
                <w:sz w:val="18"/>
                <w:szCs w:val="18"/>
                <w:rtl w:val="0"/>
              </w:rPr>
              <w:t xml:space="preserve">$32.447.878</w:t>
            </w:r>
            <w:r w:rsidDel="00000000" w:rsidR="00000000" w:rsidRPr="00000000">
              <w:rPr>
                <w:rtl w:val="0"/>
              </w:rPr>
            </w:r>
          </w:p>
          <w:p w:rsidR="00000000" w:rsidDel="00000000" w:rsidP="00000000" w:rsidRDefault="00000000" w:rsidRPr="00000000" w14:paraId="0000001D">
            <w:pPr>
              <w:jc w:val="center"/>
              <w:rPr>
                <w:sz w:val="18"/>
                <w:szCs w:val="18"/>
              </w:rPr>
            </w:pPr>
            <w:r w:rsidDel="00000000" w:rsidR="00000000" w:rsidRPr="00000000">
              <w:rPr>
                <w:rtl w:val="0"/>
              </w:rPr>
            </w:r>
          </w:p>
        </w:tc>
      </w:tr>
      <w:tr>
        <w:trPr>
          <w:cantSplit w:val="0"/>
          <w:trHeight w:val="20" w:hRule="atLeast"/>
          <w:tblHeader w:val="0"/>
        </w:trPr>
        <w:tc>
          <w:tcPr>
            <w:vAlign w:val="center"/>
          </w:tcPr>
          <w:p w:rsidR="00000000" w:rsidDel="00000000" w:rsidP="00000000" w:rsidRDefault="00000000" w:rsidRPr="00000000" w14:paraId="0000001E">
            <w:pPr>
              <w:jc w:val="center"/>
              <w:rPr>
                <w:sz w:val="18"/>
                <w:szCs w:val="18"/>
              </w:rPr>
            </w:pPr>
            <w:r w:rsidDel="00000000" w:rsidR="00000000" w:rsidRPr="00000000">
              <w:rPr>
                <w:rtl w:val="0"/>
              </w:rPr>
            </w:r>
          </w:p>
          <w:p w:rsidR="00000000" w:rsidDel="00000000" w:rsidP="00000000" w:rsidRDefault="00000000" w:rsidRPr="00000000" w14:paraId="0000001F">
            <w:pPr>
              <w:jc w:val="center"/>
              <w:rPr>
                <w:sz w:val="18"/>
                <w:szCs w:val="18"/>
              </w:rPr>
            </w:pPr>
            <w:r w:rsidDel="00000000" w:rsidR="00000000" w:rsidRPr="00000000">
              <w:rPr>
                <w:sz w:val="18"/>
                <w:szCs w:val="18"/>
                <w:rtl w:val="0"/>
              </w:rPr>
              <w:t xml:space="preserve">Rentabilidad del patrimonio</w:t>
            </w:r>
          </w:p>
        </w:tc>
        <w:tc>
          <w:tcPr>
            <w:vAlign w:val="center"/>
          </w:tcPr>
          <w:p w:rsidR="00000000" w:rsidDel="00000000" w:rsidP="00000000" w:rsidRDefault="00000000" w:rsidRPr="00000000" w14:paraId="00000020">
            <w:pPr>
              <w:jc w:val="center"/>
              <w:rPr>
                <w:sz w:val="18"/>
                <w:szCs w:val="18"/>
              </w:rPr>
            </w:pPr>
            <w:r w:rsidDel="00000000" w:rsidR="00000000" w:rsidRPr="00000000">
              <w:rPr>
                <w:rtl w:val="0"/>
              </w:rPr>
            </w:r>
          </w:p>
          <w:p w:rsidR="00000000" w:rsidDel="00000000" w:rsidP="00000000" w:rsidRDefault="00000000" w:rsidRPr="00000000" w14:paraId="00000021">
            <w:pPr>
              <w:jc w:val="center"/>
              <w:rPr>
                <w:rFonts w:ascii="Cambria Math" w:cs="Cambria Math" w:eastAsia="Cambria Math" w:hAnsi="Cambria Math"/>
                <w:sz w:val="18"/>
                <w:szCs w:val="18"/>
              </w:rPr>
            </w:pPr>
            <m:oMath>
              <m:r>
                <w:rPr>
                  <w:rFonts w:ascii="Cambria Math" w:cs="Cambria Math" w:eastAsia="Cambria Math" w:hAnsi="Cambria Math"/>
                  <w:sz w:val="18"/>
                  <w:szCs w:val="18"/>
                </w:rPr>
                <m:t xml:space="preserve">≥0</m:t>
              </m:r>
            </m:oMath>
            <w:r w:rsidDel="00000000" w:rsidR="00000000" w:rsidRPr="00000000">
              <w:rPr>
                <w:rtl w:val="0"/>
              </w:rPr>
            </w:r>
          </w:p>
          <w:p w:rsidR="00000000" w:rsidDel="00000000" w:rsidP="00000000" w:rsidRDefault="00000000" w:rsidRPr="00000000" w14:paraId="00000022">
            <w:pPr>
              <w:jc w:val="center"/>
              <w:rPr>
                <w:sz w:val="18"/>
                <w:szCs w:val="18"/>
              </w:rPr>
            </w:pPr>
            <w:r w:rsidDel="00000000" w:rsidR="00000000" w:rsidRPr="00000000">
              <w:rPr>
                <w:rtl w:val="0"/>
              </w:rPr>
            </w:r>
          </w:p>
        </w:tc>
      </w:tr>
      <w:tr>
        <w:trPr>
          <w:cantSplit w:val="0"/>
          <w:trHeight w:val="20" w:hRule="atLeast"/>
          <w:tblHeader w:val="0"/>
        </w:trPr>
        <w:tc>
          <w:tcPr>
            <w:vAlign w:val="center"/>
          </w:tcPr>
          <w:p w:rsidR="00000000" w:rsidDel="00000000" w:rsidP="00000000" w:rsidRDefault="00000000" w:rsidRPr="00000000" w14:paraId="00000023">
            <w:pPr>
              <w:jc w:val="center"/>
              <w:rPr>
                <w:sz w:val="18"/>
                <w:szCs w:val="18"/>
              </w:rPr>
            </w:pPr>
            <w:r w:rsidDel="00000000" w:rsidR="00000000" w:rsidRPr="00000000">
              <w:rPr>
                <w:rtl w:val="0"/>
              </w:rPr>
            </w:r>
          </w:p>
          <w:p w:rsidR="00000000" w:rsidDel="00000000" w:rsidP="00000000" w:rsidRDefault="00000000" w:rsidRPr="00000000" w14:paraId="00000024">
            <w:pPr>
              <w:jc w:val="center"/>
              <w:rPr>
                <w:sz w:val="18"/>
                <w:szCs w:val="18"/>
              </w:rPr>
            </w:pPr>
            <w:r w:rsidDel="00000000" w:rsidR="00000000" w:rsidRPr="00000000">
              <w:rPr>
                <w:sz w:val="18"/>
                <w:szCs w:val="18"/>
                <w:rtl w:val="0"/>
              </w:rPr>
              <w:t xml:space="preserve">Rentabilidad del activo</w:t>
            </w:r>
          </w:p>
        </w:tc>
        <w:tc>
          <w:tcPr>
            <w:vAlign w:val="center"/>
          </w:tcPr>
          <w:p w:rsidR="00000000" w:rsidDel="00000000" w:rsidP="00000000" w:rsidRDefault="00000000" w:rsidRPr="00000000" w14:paraId="00000025">
            <w:pPr>
              <w:jc w:val="center"/>
              <w:rPr>
                <w:sz w:val="18"/>
                <w:szCs w:val="18"/>
              </w:rPr>
            </w:pPr>
            <w:r w:rsidDel="00000000" w:rsidR="00000000" w:rsidRPr="00000000">
              <w:rPr>
                <w:rtl w:val="0"/>
              </w:rPr>
            </w:r>
          </w:p>
          <w:p w:rsidR="00000000" w:rsidDel="00000000" w:rsidP="00000000" w:rsidRDefault="00000000" w:rsidRPr="00000000" w14:paraId="00000026">
            <w:pPr>
              <w:jc w:val="center"/>
              <w:rPr>
                <w:rFonts w:ascii="Cambria Math" w:cs="Cambria Math" w:eastAsia="Cambria Math" w:hAnsi="Cambria Math"/>
                <w:sz w:val="18"/>
                <w:szCs w:val="18"/>
              </w:rPr>
            </w:pPr>
            <m:oMath>
              <m:r>
                <w:rPr>
                  <w:rFonts w:ascii="Cambria Math" w:cs="Cambria Math" w:eastAsia="Cambria Math" w:hAnsi="Cambria Math"/>
                  <w:sz w:val="18"/>
                  <w:szCs w:val="18"/>
                </w:rPr>
                <m:t xml:space="preserve">≥0</m:t>
              </m:r>
            </m:oMath>
            <w:r w:rsidDel="00000000" w:rsidR="00000000" w:rsidRPr="00000000">
              <w:rPr>
                <w:rtl w:val="0"/>
              </w:rPr>
            </w:r>
          </w:p>
          <w:p w:rsidR="00000000" w:rsidDel="00000000" w:rsidP="00000000" w:rsidRDefault="00000000" w:rsidRPr="00000000" w14:paraId="00000027">
            <w:pPr>
              <w:jc w:val="center"/>
              <w:rPr>
                <w:sz w:val="18"/>
                <w:szCs w:val="18"/>
              </w:rPr>
            </w:pPr>
            <w:r w:rsidDel="00000000" w:rsidR="00000000" w:rsidRPr="00000000">
              <w:rPr>
                <w:rtl w:val="0"/>
              </w:rPr>
            </w:r>
          </w:p>
        </w:tc>
      </w:tr>
    </w:tbl>
    <w:p w:rsidR="00000000" w:rsidDel="00000000" w:rsidP="00000000" w:rsidRDefault="00000000" w:rsidRPr="00000000" w14:paraId="00000028">
      <w:pPr>
        <w:ind w:left="720" w:firstLine="0"/>
        <w:rPr>
          <w:b w:val="1"/>
          <w:sz w:val="20"/>
          <w:szCs w:val="20"/>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Tratándose de Proponente Plurales estos indicadores solo se aplicarán si por lo menos uno de los integrantes acredita la calidad de Mipyme de conformidad con lo previsto en el artículo 2.2.1.2.4.2.4. del Decreto 1082 de 2015, o </w:t>
      </w:r>
      <w:r w:rsidDel="00000000" w:rsidR="00000000" w:rsidRPr="00000000">
        <w:rPr>
          <w:sz w:val="20"/>
          <w:szCs w:val="20"/>
          <w:rtl w:val="0"/>
        </w:rPr>
        <w:t xml:space="preserve">las normas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que los modifiquen, sustituyan o complementen, y tienen una participación igual o superior al diez por ciento (10 %) en el consorcio o en la unión temporal.</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acreditar la calidad de Mipyme el Proponente entregará copia del certificado del Registro Único de Proponentes, el cual deberá encontrarse vigente y en firme al momento de su presentación.</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36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Índices de capacidad financiera y organizacionales para los demás Proponentes</w:t>
      </w:r>
      <w:r w:rsidDel="00000000" w:rsidR="00000000" w:rsidRPr="00000000">
        <w:rPr>
          <w:rtl w:val="0"/>
        </w:rPr>
      </w:r>
    </w:p>
    <w:p w:rsidR="00000000" w:rsidDel="00000000" w:rsidP="00000000" w:rsidRDefault="00000000" w:rsidRPr="00000000" w14:paraId="0000002E">
      <w:pPr>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Proponentes que </w:t>
      </w: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NO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demuestren la condición de Mipyme de conformidad con lo en el artículo 2.2.1.2.4.2.4. del Decreto 1082 de 2015, en concordancia con el parágrafo del artículo 2.2.1.13.2.4 del Decreto 1074 de 2015 o las normas que los modifiquen, sustituyan o complementen, acreditarán los siguientes indicadores:</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1">
      <w:pPr>
        <w:jc w:val="both"/>
        <w:rPr>
          <w:rFonts w:ascii="Arial" w:cs="Arial" w:eastAsia="Arial" w:hAnsi="Arial"/>
          <w:b w:val="1"/>
          <w:sz w:val="20"/>
          <w:szCs w:val="20"/>
        </w:rPr>
      </w:pPr>
      <w:r w:rsidDel="00000000" w:rsidR="00000000" w:rsidRPr="00000000">
        <w:rPr>
          <w:rtl w:val="0"/>
        </w:rPr>
      </w:r>
    </w:p>
    <w:tbl>
      <w:tblPr>
        <w:tblStyle w:val="Table2"/>
        <w:tblW w:w="495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9"/>
        <w:gridCol w:w="2268"/>
        <w:tblGridChange w:id="0">
          <w:tblGrid>
            <w:gridCol w:w="2689"/>
            <w:gridCol w:w="2268"/>
          </w:tblGrid>
        </w:tblGridChange>
      </w:tblGrid>
      <w:tr>
        <w:trPr>
          <w:cantSplit w:val="0"/>
          <w:trHeight w:val="20" w:hRule="atLeast"/>
          <w:tblHeader w:val="1"/>
        </w:trPr>
        <w:tc>
          <w:tcPr>
            <w:shd w:fill="3a3939" w:val="clear"/>
            <w:vAlign w:val="center"/>
          </w:tcPr>
          <w:p w:rsidR="00000000" w:rsidDel="00000000" w:rsidP="00000000" w:rsidRDefault="00000000" w:rsidRPr="00000000" w14:paraId="00000032">
            <w:pPr>
              <w:ind w:left="174" w:hanging="174"/>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Indicador</w:t>
            </w:r>
          </w:p>
        </w:tc>
        <w:tc>
          <w:tcPr>
            <w:shd w:fill="3a3939" w:val="clear"/>
            <w:vAlign w:val="center"/>
          </w:tcPr>
          <w:p w:rsidR="00000000" w:rsidDel="00000000" w:rsidP="00000000" w:rsidRDefault="00000000" w:rsidRPr="00000000" w14:paraId="00000033">
            <w:pPr>
              <w:ind w:left="174" w:hanging="174"/>
              <w:jc w:val="center"/>
              <w:rPr>
                <w:rFonts w:ascii="Arial" w:cs="Arial" w:eastAsia="Arial" w:hAnsi="Arial"/>
                <w:b w:val="1"/>
                <w:color w:val="ffffff"/>
                <w:sz w:val="20"/>
                <w:szCs w:val="20"/>
              </w:rPr>
            </w:pPr>
            <w:r w:rsidDel="00000000" w:rsidR="00000000" w:rsidRPr="00000000">
              <w:rPr>
                <w:rFonts w:ascii="Arial" w:cs="Arial" w:eastAsia="Arial" w:hAnsi="Arial"/>
                <w:b w:val="1"/>
                <w:color w:val="ffffff"/>
                <w:sz w:val="20"/>
                <w:szCs w:val="20"/>
                <w:rtl w:val="0"/>
              </w:rPr>
              <w:t xml:space="preserve">Valor concertado</w:t>
            </w:r>
          </w:p>
        </w:tc>
      </w:tr>
      <w:tr>
        <w:trPr>
          <w:cantSplit w:val="0"/>
          <w:trHeight w:val="20" w:hRule="atLeast"/>
          <w:tblHeader w:val="0"/>
        </w:trPr>
        <w:tc>
          <w:tcPr>
            <w:vAlign w:val="center"/>
          </w:tcPr>
          <w:p w:rsidR="00000000" w:rsidDel="00000000" w:rsidP="00000000" w:rsidRDefault="00000000" w:rsidRPr="00000000" w14:paraId="00000034">
            <w:pPr>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35">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Índice de liquidez</w:t>
            </w:r>
          </w:p>
        </w:tc>
        <w:tc>
          <w:tcPr>
            <w:vAlign w:val="center"/>
          </w:tcPr>
          <w:p w:rsidR="00000000" w:rsidDel="00000000" w:rsidP="00000000" w:rsidRDefault="00000000" w:rsidRPr="00000000" w14:paraId="00000036">
            <w:pPr>
              <w:spacing w:before="240" w:lineRule="auto"/>
              <w:jc w:val="center"/>
              <w:rPr>
                <w:rFonts w:ascii="Arial" w:cs="Arial" w:eastAsia="Arial" w:hAnsi="Arial"/>
                <w:sz w:val="18"/>
                <w:szCs w:val="18"/>
              </w:rPr>
            </w:pPr>
            <m:oMath>
              <m:r>
                <m:t>≥</m:t>
              </m:r>
            </m:oMath>
            <w:r w:rsidDel="00000000" w:rsidR="00000000" w:rsidRPr="00000000">
              <w:rPr>
                <w:rFonts w:ascii="Arial" w:cs="Arial" w:eastAsia="Arial" w:hAnsi="Arial"/>
                <w:sz w:val="18"/>
                <w:szCs w:val="18"/>
                <w:rtl w:val="0"/>
              </w:rPr>
              <w:t xml:space="preserve">1,21</w:t>
            </w:r>
          </w:p>
          <w:p w:rsidR="00000000" w:rsidDel="00000000" w:rsidP="00000000" w:rsidRDefault="00000000" w:rsidRPr="00000000" w14:paraId="00000037">
            <w:pPr>
              <w:jc w:val="center"/>
              <w:rPr>
                <w:rFonts w:ascii="Arial" w:cs="Arial" w:eastAsia="Arial" w:hAnsi="Arial"/>
                <w:sz w:val="18"/>
                <w:szCs w:val="18"/>
              </w:rPr>
            </w:pPr>
            <w:r w:rsidDel="00000000" w:rsidR="00000000" w:rsidRPr="00000000">
              <w:rPr>
                <w:rtl w:val="0"/>
              </w:rPr>
            </w:r>
          </w:p>
        </w:tc>
      </w:tr>
      <w:tr>
        <w:trPr>
          <w:cantSplit w:val="0"/>
          <w:trHeight w:val="20" w:hRule="atLeast"/>
          <w:tblHeader w:val="0"/>
        </w:trPr>
        <w:tc>
          <w:tcPr>
            <w:vAlign w:val="center"/>
          </w:tcPr>
          <w:p w:rsidR="00000000" w:rsidDel="00000000" w:rsidP="00000000" w:rsidRDefault="00000000" w:rsidRPr="00000000" w14:paraId="00000038">
            <w:pPr>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39">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Índice de endeudamiento</w:t>
            </w:r>
          </w:p>
        </w:tc>
        <w:tc>
          <w:tcPr>
            <w:vAlign w:val="center"/>
          </w:tcPr>
          <w:p w:rsidR="00000000" w:rsidDel="00000000" w:rsidP="00000000" w:rsidRDefault="00000000" w:rsidRPr="00000000" w14:paraId="0000003A">
            <w:pPr>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3B">
            <w:pPr>
              <w:jc w:val="center"/>
              <w:rPr>
                <w:rFonts w:ascii="Arial" w:cs="Arial" w:eastAsia="Arial" w:hAnsi="Arial"/>
                <w:sz w:val="18"/>
                <w:szCs w:val="18"/>
              </w:rPr>
            </w:pPr>
            <m:oMath>
              <m:r>
                <w:rPr>
                  <w:rFonts w:ascii="Cambria Math" w:cs="Cambria Math" w:eastAsia="Cambria Math" w:hAnsi="Cambria Math"/>
                  <w:sz w:val="18"/>
                  <w:szCs w:val="18"/>
                </w:rPr>
                <m:t xml:space="preserve">≤ </m:t>
              </m:r>
            </m:oMath>
            <w:r w:rsidDel="00000000" w:rsidR="00000000" w:rsidRPr="00000000">
              <w:rPr>
                <w:rFonts w:ascii="Arial" w:cs="Arial" w:eastAsia="Arial" w:hAnsi="Arial"/>
                <w:sz w:val="18"/>
                <w:szCs w:val="18"/>
                <w:rtl w:val="0"/>
              </w:rPr>
              <w:t xml:space="preserve">70%</w:t>
            </w:r>
          </w:p>
          <w:p w:rsidR="00000000" w:rsidDel="00000000" w:rsidP="00000000" w:rsidRDefault="00000000" w:rsidRPr="00000000" w14:paraId="0000003C">
            <w:pPr>
              <w:jc w:val="center"/>
              <w:rPr>
                <w:rFonts w:ascii="Arial" w:cs="Arial" w:eastAsia="Arial" w:hAnsi="Arial"/>
                <w:sz w:val="18"/>
                <w:szCs w:val="18"/>
              </w:rPr>
            </w:pPr>
            <w:r w:rsidDel="00000000" w:rsidR="00000000" w:rsidRPr="00000000">
              <w:rPr>
                <w:rtl w:val="0"/>
              </w:rPr>
            </w:r>
          </w:p>
        </w:tc>
      </w:tr>
      <w:tr>
        <w:trPr>
          <w:cantSplit w:val="0"/>
          <w:trHeight w:val="20" w:hRule="atLeast"/>
          <w:tblHeader w:val="0"/>
        </w:trPr>
        <w:tc>
          <w:tcPr>
            <w:vAlign w:val="center"/>
          </w:tcPr>
          <w:p w:rsidR="00000000" w:rsidDel="00000000" w:rsidP="00000000" w:rsidRDefault="00000000" w:rsidRPr="00000000" w14:paraId="0000003D">
            <w:pPr>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3E">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Razón de cobertura de intereses</w:t>
            </w:r>
          </w:p>
        </w:tc>
        <w:tc>
          <w:tcPr>
            <w:vAlign w:val="center"/>
          </w:tcPr>
          <w:p w:rsidR="00000000" w:rsidDel="00000000" w:rsidP="00000000" w:rsidRDefault="00000000" w:rsidRPr="00000000" w14:paraId="0000003F">
            <w:pPr>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40">
            <w:pPr>
              <w:jc w:val="center"/>
              <w:rPr>
                <w:rFonts w:ascii="Cambria Math" w:cs="Cambria Math" w:eastAsia="Cambria Math" w:hAnsi="Cambria Math"/>
                <w:sz w:val="18"/>
                <w:szCs w:val="18"/>
              </w:rPr>
            </w:pPr>
            <m:oMath>
              <m:r>
                <w:rPr>
                  <w:rFonts w:ascii="Cambria Math" w:cs="Cambria Math" w:eastAsia="Cambria Math" w:hAnsi="Cambria Math"/>
                  <w:sz w:val="18"/>
                  <w:szCs w:val="18"/>
                </w:rPr>
                <m:t xml:space="preserve">≥1</m:t>
              </m:r>
            </m:oMath>
            <w:r w:rsidDel="00000000" w:rsidR="00000000" w:rsidRPr="00000000">
              <w:rPr>
                <w:rtl w:val="0"/>
              </w:rPr>
            </w:r>
          </w:p>
          <w:p w:rsidR="00000000" w:rsidDel="00000000" w:rsidP="00000000" w:rsidRDefault="00000000" w:rsidRPr="00000000" w14:paraId="00000041">
            <w:pPr>
              <w:jc w:val="center"/>
              <w:rPr>
                <w:rFonts w:ascii="Arial" w:cs="Arial" w:eastAsia="Arial" w:hAnsi="Arial"/>
                <w:sz w:val="18"/>
                <w:szCs w:val="18"/>
              </w:rPr>
            </w:pPr>
            <w:r w:rsidDel="00000000" w:rsidR="00000000" w:rsidRPr="00000000">
              <w:rPr>
                <w:rtl w:val="0"/>
              </w:rPr>
            </w:r>
          </w:p>
        </w:tc>
      </w:tr>
      <w:tr>
        <w:trPr>
          <w:cantSplit w:val="0"/>
          <w:trHeight w:val="20" w:hRule="atLeast"/>
          <w:tblHeader w:val="0"/>
        </w:trPr>
        <w:tc>
          <w:tcPr>
            <w:vAlign w:val="center"/>
          </w:tcPr>
          <w:p w:rsidR="00000000" w:rsidDel="00000000" w:rsidP="00000000" w:rsidRDefault="00000000" w:rsidRPr="00000000" w14:paraId="00000042">
            <w:pPr>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43">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Capital de trabajo</w:t>
            </w:r>
          </w:p>
        </w:tc>
        <w:tc>
          <w:tcPr>
            <w:vAlign w:val="center"/>
          </w:tcPr>
          <w:p w:rsidR="00000000" w:rsidDel="00000000" w:rsidP="00000000" w:rsidRDefault="00000000" w:rsidRPr="00000000" w14:paraId="00000044">
            <w:pPr>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45">
            <w:pPr>
              <w:spacing w:before="240" w:lineRule="auto"/>
              <w:jc w:val="center"/>
              <w:rPr>
                <w:rFonts w:ascii="Arial" w:cs="Arial" w:eastAsia="Arial" w:hAnsi="Arial"/>
                <w:sz w:val="18"/>
                <w:szCs w:val="18"/>
                <w:highlight w:val="yellow"/>
              </w:rPr>
            </w:pPr>
            <m:oMath>
              <m:r>
                <m:t>≥</m:t>
              </m:r>
            </m:oMath>
            <w:r w:rsidDel="00000000" w:rsidR="00000000" w:rsidRPr="00000000">
              <w:rPr>
                <w:rFonts w:ascii="Arial" w:cs="Arial" w:eastAsia="Arial" w:hAnsi="Arial"/>
                <w:sz w:val="18"/>
                <w:szCs w:val="18"/>
                <w:rtl w:val="0"/>
              </w:rPr>
              <w:t xml:space="preserve">$32.447.878</w:t>
            </w:r>
            <w:r w:rsidDel="00000000" w:rsidR="00000000" w:rsidRPr="00000000">
              <w:rPr>
                <w:rtl w:val="0"/>
              </w:rPr>
            </w:r>
          </w:p>
          <w:p w:rsidR="00000000" w:rsidDel="00000000" w:rsidP="00000000" w:rsidRDefault="00000000" w:rsidRPr="00000000" w14:paraId="00000046">
            <w:pPr>
              <w:jc w:val="center"/>
              <w:rPr>
                <w:rFonts w:ascii="Arial" w:cs="Arial" w:eastAsia="Arial" w:hAnsi="Arial"/>
                <w:sz w:val="18"/>
                <w:szCs w:val="18"/>
              </w:rPr>
            </w:pPr>
            <w:r w:rsidDel="00000000" w:rsidR="00000000" w:rsidRPr="00000000">
              <w:rPr>
                <w:rtl w:val="0"/>
              </w:rPr>
            </w:r>
          </w:p>
        </w:tc>
      </w:tr>
      <w:tr>
        <w:trPr>
          <w:cantSplit w:val="0"/>
          <w:trHeight w:val="20" w:hRule="atLeast"/>
          <w:tblHeader w:val="0"/>
        </w:trPr>
        <w:tc>
          <w:tcPr>
            <w:vAlign w:val="center"/>
          </w:tcPr>
          <w:p w:rsidR="00000000" w:rsidDel="00000000" w:rsidP="00000000" w:rsidRDefault="00000000" w:rsidRPr="00000000" w14:paraId="00000047">
            <w:pPr>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48">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Rentabilidad del patrimonio</w:t>
            </w:r>
          </w:p>
        </w:tc>
        <w:tc>
          <w:tcPr>
            <w:vAlign w:val="center"/>
          </w:tcPr>
          <w:p w:rsidR="00000000" w:rsidDel="00000000" w:rsidP="00000000" w:rsidRDefault="00000000" w:rsidRPr="00000000" w14:paraId="00000049">
            <w:pPr>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4A">
            <w:pPr>
              <w:jc w:val="center"/>
              <w:rPr>
                <w:rFonts w:ascii="Cambria Math" w:cs="Cambria Math" w:eastAsia="Cambria Math" w:hAnsi="Cambria Math"/>
                <w:sz w:val="18"/>
                <w:szCs w:val="18"/>
              </w:rPr>
            </w:pPr>
            <m:oMath>
              <m:r>
                <w:rPr>
                  <w:rFonts w:ascii="Cambria Math" w:cs="Cambria Math" w:eastAsia="Cambria Math" w:hAnsi="Cambria Math"/>
                  <w:sz w:val="18"/>
                  <w:szCs w:val="18"/>
                </w:rPr>
                <m:t xml:space="preserve">≥0,04</m:t>
              </m:r>
            </m:oMath>
            <w:r w:rsidDel="00000000" w:rsidR="00000000" w:rsidRPr="00000000">
              <w:rPr>
                <w:rtl w:val="0"/>
              </w:rPr>
            </w:r>
          </w:p>
          <w:p w:rsidR="00000000" w:rsidDel="00000000" w:rsidP="00000000" w:rsidRDefault="00000000" w:rsidRPr="00000000" w14:paraId="0000004B">
            <w:pPr>
              <w:jc w:val="center"/>
              <w:rPr>
                <w:rFonts w:ascii="Arial" w:cs="Arial" w:eastAsia="Arial" w:hAnsi="Arial"/>
                <w:sz w:val="18"/>
                <w:szCs w:val="18"/>
              </w:rPr>
            </w:pPr>
            <w:r w:rsidDel="00000000" w:rsidR="00000000" w:rsidRPr="00000000">
              <w:rPr>
                <w:rtl w:val="0"/>
              </w:rPr>
            </w:r>
          </w:p>
        </w:tc>
      </w:tr>
      <w:tr>
        <w:trPr>
          <w:cantSplit w:val="0"/>
          <w:trHeight w:val="20" w:hRule="atLeast"/>
          <w:tblHeader w:val="0"/>
        </w:trPr>
        <w:tc>
          <w:tcPr>
            <w:vAlign w:val="center"/>
          </w:tcPr>
          <w:p w:rsidR="00000000" w:rsidDel="00000000" w:rsidP="00000000" w:rsidRDefault="00000000" w:rsidRPr="00000000" w14:paraId="0000004C">
            <w:pPr>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4D">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Rentabilidad del activo</w:t>
            </w:r>
          </w:p>
        </w:tc>
        <w:tc>
          <w:tcPr>
            <w:vAlign w:val="center"/>
          </w:tcPr>
          <w:p w:rsidR="00000000" w:rsidDel="00000000" w:rsidP="00000000" w:rsidRDefault="00000000" w:rsidRPr="00000000" w14:paraId="0000004E">
            <w:pPr>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4F">
            <w:pPr>
              <w:jc w:val="center"/>
              <w:rPr>
                <w:rFonts w:ascii="Cambria Math" w:cs="Cambria Math" w:eastAsia="Cambria Math" w:hAnsi="Cambria Math"/>
                <w:sz w:val="18"/>
                <w:szCs w:val="18"/>
              </w:rPr>
            </w:pPr>
            <m:oMath>
              <m:r>
                <w:rPr>
                  <w:rFonts w:ascii="Cambria Math" w:cs="Cambria Math" w:eastAsia="Cambria Math" w:hAnsi="Cambria Math"/>
                  <w:sz w:val="18"/>
                  <w:szCs w:val="18"/>
                </w:rPr>
                <m:t xml:space="preserve">≥0,02</m:t>
              </m:r>
            </m:oMath>
            <w:r w:rsidDel="00000000" w:rsidR="00000000" w:rsidRPr="00000000">
              <w:rPr>
                <w:rtl w:val="0"/>
              </w:rPr>
            </w:r>
          </w:p>
          <w:p w:rsidR="00000000" w:rsidDel="00000000" w:rsidP="00000000" w:rsidRDefault="00000000" w:rsidRPr="00000000" w14:paraId="00000050">
            <w:pPr>
              <w:jc w:val="center"/>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051">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2">
      <w:pPr>
        <w:jc w:val="both"/>
        <w:rPr/>
      </w:pPr>
      <w:r w:rsidDel="00000000" w:rsidR="00000000" w:rsidRPr="00000000">
        <w:rPr>
          <w:rFonts w:ascii="Arial" w:cs="Arial" w:eastAsia="Arial" w:hAnsi="Arial"/>
          <w:sz w:val="20"/>
          <w:szCs w:val="20"/>
          <w:rtl w:val="0"/>
        </w:rPr>
        <w:t xml:space="preserve">Los indicadores definidos en la presente matriz deben ser usados por las Entidades en la estructuración de los Documentos del Proceso de Contratación de obra pública para infraestructura de transporte. </w:t>
      </w:r>
      <w:r w:rsidDel="00000000" w:rsidR="00000000" w:rsidRPr="00000000">
        <w:rPr>
          <w:rtl w:val="0"/>
        </w:rPr>
      </w:r>
    </w:p>
    <w:p w:rsidR="00000000" w:rsidDel="00000000" w:rsidP="00000000" w:rsidRDefault="00000000" w:rsidRPr="00000000" w14:paraId="00000053">
      <w:pPr>
        <w:rPr>
          <w:color w:val="1a1818"/>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1418" w:top="1418" w:left="1701" w:right="1701" w:header="851"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ambria Math">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4"/>
      <w:tblW w:w="3964.0000000000005"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768"/>
      <w:gridCol w:w="1922"/>
      <w:gridCol w:w="991"/>
      <w:gridCol w:w="283"/>
      <w:tblGridChange w:id="0">
        <w:tblGrid>
          <w:gridCol w:w="768"/>
          <w:gridCol w:w="1922"/>
          <w:gridCol w:w="991"/>
          <w:gridCol w:w="283"/>
        </w:tblGrid>
      </w:tblGridChange>
    </w:tblGrid>
    <w:tr>
      <w:trPr>
        <w:cantSplit w:val="0"/>
        <w:trHeight w:val="220" w:hRule="atLeast"/>
        <w:tblHeader w:val="0"/>
      </w:trPr>
      <w:tc>
        <w:tcPr>
          <w:shd w:fill="auto" w:val="clear"/>
          <w:vAlign w:val="center"/>
        </w:tcPr>
        <w:p w:rsidR="00000000" w:rsidDel="00000000" w:rsidP="00000000" w:rsidRDefault="00000000" w:rsidRPr="00000000" w14:paraId="00000068">
          <w:pPr>
            <w:spacing w:after="4" w:line="249" w:lineRule="auto"/>
            <w:ind w:left="10" w:hanging="10"/>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Código</w:t>
          </w:r>
        </w:p>
      </w:tc>
      <w:tc>
        <w:tcPr>
          <w:shd w:fill="auto" w:val="clear"/>
          <w:vAlign w:val="center"/>
        </w:tcPr>
        <w:p w:rsidR="00000000" w:rsidDel="00000000" w:rsidP="00000000" w:rsidRDefault="00000000" w:rsidRPr="00000000" w14:paraId="00000069">
          <w:pPr>
            <w:spacing w:after="4" w:line="249" w:lineRule="auto"/>
            <w:ind w:left="10" w:hanging="10"/>
            <w:rPr>
              <w:rFonts w:ascii="Arial" w:cs="Arial" w:eastAsia="Arial" w:hAnsi="Arial"/>
              <w:sz w:val="16"/>
              <w:szCs w:val="16"/>
            </w:rPr>
          </w:pPr>
          <w:r w:rsidDel="00000000" w:rsidR="00000000" w:rsidRPr="00000000">
            <w:rPr>
              <w:rFonts w:ascii="Arial" w:cs="Arial" w:eastAsia="Arial" w:hAnsi="Arial"/>
              <w:sz w:val="16"/>
              <w:szCs w:val="16"/>
              <w:rtl w:val="0"/>
            </w:rPr>
            <w:t xml:space="preserve">CCE-EICP-FM-12</w:t>
          </w:r>
        </w:p>
      </w:tc>
      <w:tc>
        <w:tcPr>
          <w:shd w:fill="auto" w:val="clear"/>
          <w:vAlign w:val="center"/>
        </w:tcPr>
        <w:p w:rsidR="00000000" w:rsidDel="00000000" w:rsidP="00000000" w:rsidRDefault="00000000" w:rsidRPr="00000000" w14:paraId="0000006A">
          <w:pPr>
            <w:spacing w:after="4" w:line="249" w:lineRule="auto"/>
            <w:ind w:left="10" w:hanging="1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Versión</w:t>
          </w:r>
        </w:p>
      </w:tc>
      <w:tc>
        <w:tcPr>
          <w:shd w:fill="auto" w:val="clear"/>
          <w:vAlign w:val="center"/>
        </w:tcPr>
        <w:p w:rsidR="00000000" w:rsidDel="00000000" w:rsidP="00000000" w:rsidRDefault="00000000" w:rsidRPr="00000000" w14:paraId="0000006B">
          <w:pPr>
            <w:spacing w:after="4" w:line="249" w:lineRule="auto"/>
            <w:ind w:left="10" w:hanging="10"/>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r>
  </w:tbl>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16"/>
        <w:szCs w:val="16"/>
        <w:u w:val="none"/>
        <w:shd w:fill="auto" w:val="clear"/>
        <w:vertAlign w:val="baseline"/>
      </w:rPr>
      <w:drawing>
        <wp:inline distB="0" distT="0" distL="0" distR="0">
          <wp:extent cx="1562642" cy="365821"/>
          <wp:effectExtent b="0" l="0" r="0" t="0"/>
          <wp:docPr id="10"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562642" cy="365821"/>
                  </a:xfrm>
                  <a:prstGeom prst="rect"/>
                  <a:ln/>
                </pic:spPr>
              </pic:pic>
            </a:graphicData>
          </a:graphic>
        </wp:inline>
      </w:drawing>
    </w:r>
    <w:r w:rsidDel="00000000" w:rsidR="00000000" w:rsidRPr="00000000">
      <w:rPr>
        <w:rtl w:val="0"/>
      </w:rPr>
    </w:r>
  </w:p>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16"/>
        <w:szCs w:val="16"/>
        <w:u w:val="none"/>
        <w:shd w:fill="auto" w:val="clear"/>
        <w:vertAlign w:val="baseline"/>
      </w:rPr>
      <w:drawing>
        <wp:inline distB="0" distT="0" distL="0" distR="0">
          <wp:extent cx="5607050" cy="362585"/>
          <wp:effectExtent b="0" l="0" r="0" t="0"/>
          <wp:docPr id="9" name="image3.jpg"/>
          <a:graphic>
            <a:graphicData uri="http://schemas.openxmlformats.org/drawingml/2006/picture">
              <pic:pic>
                <pic:nvPicPr>
                  <pic:cNvPr id="0" name="image3.jpg"/>
                  <pic:cNvPicPr preferRelativeResize="0"/>
                </pic:nvPicPr>
                <pic:blipFill>
                  <a:blip r:embed="rId2"/>
                  <a:srcRect b="0" l="0" r="0" t="0"/>
                  <a:stretch>
                    <a:fillRect/>
                  </a:stretch>
                </pic:blipFill>
                <pic:spPr>
                  <a:xfrm>
                    <a:off x="0" y="0"/>
                    <a:ext cx="5607050" cy="362585"/>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drawing>
        <wp:inline distB="0" distT="0" distL="0" distR="0">
          <wp:extent cx="1500803" cy="616644"/>
          <wp:effectExtent b="0" l="0" r="0" t="0"/>
          <wp:docPr id="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00803" cy="616644"/>
                  </a:xfrm>
                  <a:prstGeom prst="rect"/>
                  <a:ln/>
                </pic:spPr>
              </pic:pic>
            </a:graphicData>
          </a:graphic>
        </wp:inline>
      </w:drawing>
    </w:r>
    <w:r w:rsidDel="00000000" w:rsidR="00000000" w:rsidRPr="00000000">
      <w:rPr>
        <w:rtl w:val="0"/>
      </w:rPr>
    </w:r>
  </w:p>
  <w:p w:rsidR="00000000" w:rsidDel="00000000" w:rsidP="00000000" w:rsidRDefault="00000000" w:rsidRPr="00000000" w14:paraId="0000005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jc w:val="both"/>
      <w:rPr>
        <w:rFonts w:ascii="Arial" w:cs="Arial" w:eastAsia="Arial" w:hAnsi="Arial"/>
        <w:b w:val="1"/>
        <w:i w:val="0"/>
        <w:smallCaps w:val="0"/>
        <w:strike w:val="0"/>
        <w:color w:val="4e4d4d"/>
        <w:sz w:val="24"/>
        <w:szCs w:val="24"/>
        <w:u w:val="none"/>
        <w:shd w:fill="auto" w:val="clear"/>
        <w:vertAlign w:val="baseline"/>
      </w:rPr>
    </w:pPr>
    <w:r w:rsidDel="00000000" w:rsidR="00000000" w:rsidRPr="00000000">
      <w:rPr>
        <w:rFonts w:ascii="Arial" w:cs="Arial" w:eastAsia="Arial" w:hAnsi="Arial"/>
        <w:b w:val="1"/>
        <w:i w:val="0"/>
        <w:smallCaps w:val="0"/>
        <w:strike w:val="0"/>
        <w:color w:val="4e4d4d"/>
        <w:sz w:val="24"/>
        <w:szCs w:val="24"/>
        <w:u w:val="none"/>
        <w:shd w:fill="auto" w:val="clear"/>
        <w:vertAlign w:val="baseline"/>
        <w:rtl w:val="0"/>
      </w:rPr>
      <w:t xml:space="preserve">TÍTULO DEL DOCUMENTO</w:t>
    </w:r>
  </w:p>
  <w:p w:rsidR="00000000" w:rsidDel="00000000" w:rsidP="00000000" w:rsidRDefault="00000000" w:rsidRPr="00000000" w14:paraId="00000056">
    <w:pPr>
      <w:rPr>
        <w:color w:val="4e4d4d"/>
      </w:rPr>
    </w:pPr>
    <w:r w:rsidDel="00000000" w:rsidR="00000000" w:rsidRPr="00000000">
      <w:rPr>
        <w:color w:val="4e4d4d"/>
        <w:rtl w:val="0"/>
      </w:rPr>
      <w:t xml:space="preserve">_______________________________________________________________________________</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1a1818"/>
      </w:rPr>
    </w:pPr>
    <w:r w:rsidDel="00000000" w:rsidR="00000000" w:rsidRPr="00000000">
      <w:rPr>
        <w:rtl w:val="0"/>
      </w:rPr>
    </w:r>
  </w:p>
  <w:tbl>
    <w:tblPr>
      <w:tblStyle w:val="Table3"/>
      <w:tblW w:w="8653.0" w:type="dxa"/>
      <w:jc w:val="center"/>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270"/>
      <w:gridCol w:w="4456"/>
      <w:gridCol w:w="933"/>
      <w:gridCol w:w="1994"/>
      <w:tblGridChange w:id="0">
        <w:tblGrid>
          <w:gridCol w:w="1270"/>
          <w:gridCol w:w="4456"/>
          <w:gridCol w:w="933"/>
          <w:gridCol w:w="1994"/>
        </w:tblGrid>
      </w:tblGridChange>
    </w:tblGrid>
    <w:tr>
      <w:trPr>
        <w:cantSplit w:val="0"/>
        <w:trHeight w:val="146" w:hRule="atLeast"/>
        <w:tblHeader w:val="0"/>
      </w:trPr>
      <w:tc>
        <w:tcPr>
          <w:gridSpan w:val="4"/>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58">
          <w:pPr>
            <w:tabs>
              <w:tab w:val="center" w:leader="none" w:pos="4419"/>
              <w:tab w:val="right" w:leader="none" w:pos="8838"/>
            </w:tabs>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MATRIZ 2 – INDICADORES FINANCIEROS Y ORGANIZACIONALES</w:t>
          </w:r>
        </w:p>
        <w:p w:rsidR="00000000" w:rsidDel="00000000" w:rsidP="00000000" w:rsidRDefault="00000000" w:rsidRPr="00000000" w14:paraId="00000059">
          <w:pPr>
            <w:tabs>
              <w:tab w:val="center" w:leader="none" w:pos="4419"/>
              <w:tab w:val="right" w:leader="none" w:pos="8838"/>
            </w:tabs>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SELECCIÓN ABREVIADA DE OBRA PÚBLICA DE INFRAESTRUCTURA DE TRANSPORTE (VERSIÓN 2) </w:t>
          </w:r>
        </w:p>
      </w:tc>
    </w:tr>
    <w:tr>
      <w:trPr>
        <w:cantSplit w:val="0"/>
        <w:trHeight w:val="234"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5D">
          <w:pPr>
            <w:spacing w:after="4" w:line="246.99999999999994" w:lineRule="auto"/>
            <w:ind w:left="10" w:hanging="10"/>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Código</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5E">
          <w:pPr>
            <w:spacing w:after="4" w:line="246.99999999999994" w:lineRule="auto"/>
            <w:ind w:left="10" w:hanging="10"/>
            <w:rPr>
              <w:rFonts w:ascii="Arial" w:cs="Arial" w:eastAsia="Arial" w:hAnsi="Arial"/>
              <w:sz w:val="16"/>
              <w:szCs w:val="16"/>
            </w:rPr>
          </w:pPr>
          <w:r w:rsidDel="00000000" w:rsidR="00000000" w:rsidRPr="00000000">
            <w:rPr>
              <w:rFonts w:ascii="Arial" w:cs="Arial" w:eastAsia="Arial" w:hAnsi="Arial"/>
              <w:sz w:val="16"/>
              <w:szCs w:val="16"/>
              <w:rtl w:val="0"/>
            </w:rPr>
            <w:t xml:space="preserve">CCE-EICP-FM-12</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5F">
          <w:pPr>
            <w:spacing w:after="4" w:line="246.99999999999994" w:lineRule="auto"/>
            <w:ind w:left="10" w:hanging="1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Página</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60">
          <w:pPr>
            <w:spacing w:after="4" w:line="246.99999999999994" w:lineRule="auto"/>
            <w:ind w:left="10" w:hanging="10"/>
            <w:rPr>
              <w:rFonts w:ascii="Arial" w:cs="Arial" w:eastAsia="Arial" w:hAnsi="Arial"/>
              <w:sz w:val="16"/>
              <w:szCs w:val="16"/>
            </w:rPr>
          </w:pPr>
          <w:r w:rsidDel="00000000" w:rsidR="00000000" w:rsidRPr="00000000">
            <w:rPr>
              <w:rFonts w:ascii="Arial" w:cs="Arial" w:eastAsia="Arial" w:hAnsi="Arial"/>
              <w:sz w:val="16"/>
              <w:szCs w:val="16"/>
            </w:rPr>
            <w:fldChar w:fldCharType="begin"/>
            <w:instrText xml:space="preserve">PAGE</w:instrText>
            <w:fldChar w:fldCharType="separate"/>
            <w:fldChar w:fldCharType="end"/>
          </w:r>
          <w:r w:rsidDel="00000000" w:rsidR="00000000" w:rsidRPr="00000000">
            <w:rPr>
              <w:rFonts w:ascii="Arial" w:cs="Arial" w:eastAsia="Arial" w:hAnsi="Arial"/>
              <w:sz w:val="16"/>
              <w:szCs w:val="16"/>
              <w:rtl w:val="0"/>
            </w:rPr>
            <w:t xml:space="preserve"> de </w:t>
          </w:r>
          <w:r w:rsidDel="00000000" w:rsidR="00000000" w:rsidRPr="00000000">
            <w:rPr>
              <w:rFonts w:ascii="Arial" w:cs="Arial" w:eastAsia="Arial" w:hAnsi="Arial"/>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73"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61">
          <w:pPr>
            <w:spacing w:after="4" w:line="246.99999999999994" w:lineRule="auto"/>
            <w:ind w:left="10" w:hanging="10"/>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Versión No.</w:t>
          </w:r>
        </w:p>
      </w:tc>
      <w:tc>
        <w:tcPr>
          <w:gridSpan w:val="3"/>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62">
          <w:pPr>
            <w:spacing w:after="4" w:line="246.99999999999994" w:lineRule="auto"/>
            <w:ind w:left="10" w:hanging="10"/>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r>
  </w:tbl>
  <w:p w:rsidR="00000000" w:rsidDel="00000000" w:rsidP="00000000" w:rsidRDefault="00000000" w:rsidRPr="00000000" w14:paraId="00000065">
    <w:pPr>
      <w:rPr>
        <w:color w:val="4e4d4d"/>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080" w:hanging="360"/>
      </w:pPr>
      <w:rPr>
        <w:b w:val="1"/>
        <w:i w:val="0"/>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s-MX"/>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jc w:val="both"/>
    </w:pPr>
    <w:rPr>
      <w:rFonts w:ascii="Arial" w:cs="Arial" w:eastAsia="Arial" w:hAnsi="Arial"/>
      <w:b w:val="1"/>
      <w:color w:val="4e4d4d"/>
    </w:rPr>
  </w:style>
  <w:style w:type="paragraph" w:styleId="Heading2">
    <w:name w:val="heading 2"/>
    <w:basedOn w:val="Normal"/>
    <w:next w:val="Normal"/>
    <w:pPr>
      <w:keepNext w:val="1"/>
      <w:keepLines w:val="1"/>
      <w:spacing w:before="200" w:lineRule="auto"/>
      <w:ind w:left="1080" w:hanging="360"/>
    </w:pPr>
    <w:rPr>
      <w:rFonts w:ascii="Arial" w:cs="Arial" w:eastAsia="Arial" w:hAnsi="Arial"/>
      <w:b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color w:val="1a181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rFonts w:ascii="Arial" w:cs="Arial" w:eastAsia="Arial" w:hAnsi="Arial"/>
      <w:color w:val="4e4d4d"/>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jc w:val="both"/>
    </w:pPr>
    <w:rPr>
      <w:rFonts w:ascii="Arial" w:cs="Arial" w:eastAsia="Arial" w:hAnsi="Arial"/>
      <w:b w:val="1"/>
      <w:color w:val="4e4d4d"/>
    </w:rPr>
  </w:style>
  <w:style w:type="paragraph" w:styleId="Heading2">
    <w:name w:val="heading 2"/>
    <w:basedOn w:val="Normal"/>
    <w:next w:val="Normal"/>
    <w:pPr>
      <w:keepNext w:val="1"/>
      <w:keepLines w:val="1"/>
      <w:spacing w:before="200" w:lineRule="auto"/>
      <w:ind w:left="720" w:hanging="360"/>
    </w:pPr>
    <w:rPr>
      <w:rFonts w:ascii="Arial" w:cs="Arial" w:eastAsia="Arial" w:hAnsi="Arial"/>
      <w:b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color w:val="1a181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ind w:left="1068" w:hanging="360"/>
    </w:pPr>
    <w:rPr>
      <w:rFonts w:ascii="Arial" w:cs="Arial" w:eastAsia="Arial" w:hAnsi="Arial"/>
      <w:color w:val="4e4d4d"/>
    </w:rPr>
  </w:style>
  <w:style w:type="paragraph" w:styleId="Normal" w:default="1">
    <w:name w:val="Normal"/>
    <w:qFormat w:val="1"/>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val="1"/>
    <w:rsid w:val="00F56D6D"/>
    <w:pPr>
      <w:keepNext w:val="1"/>
      <w:keepLines w:val="1"/>
      <w:spacing w:before="480"/>
      <w:jc w:val="both"/>
      <w:outlineLvl w:val="0"/>
    </w:pPr>
    <w:rPr>
      <w:rFonts w:asciiTheme="majorHAnsi" w:cstheme="majorBidi" w:eastAsiaTheme="majorEastAsia" w:hAnsiTheme="majorHAnsi"/>
      <w:b w:val="1"/>
      <w:bCs w:val="1"/>
      <w:color w:val="4e4d4d" w:themeColor="background2"/>
      <w:szCs w:val="28"/>
    </w:rPr>
  </w:style>
  <w:style w:type="paragraph" w:styleId="Ttulo2">
    <w:name w:val="heading 2"/>
    <w:aliases w:val="Título 2 CCE"/>
    <w:basedOn w:val="Normal"/>
    <w:next w:val="Normal"/>
    <w:link w:val="Ttulo2Car"/>
    <w:uiPriority w:val="9"/>
    <w:unhideWhenUsed w:val="1"/>
    <w:qFormat w:val="1"/>
    <w:rsid w:val="00F56D6D"/>
    <w:pPr>
      <w:keepNext w:val="1"/>
      <w:keepLines w:val="1"/>
      <w:numPr>
        <w:numId w:val="1"/>
      </w:numPr>
      <w:spacing w:before="200"/>
      <w:outlineLvl w:val="1"/>
    </w:pPr>
    <w:rPr>
      <w:rFonts w:asciiTheme="majorHAnsi" w:cstheme="majorBidi" w:eastAsiaTheme="majorEastAsia" w:hAnsiTheme="majorHAnsi"/>
      <w:b w:val="1"/>
      <w:bCs w:val="1"/>
      <w:color w:val="4e4d4d" w:themeColor="background2"/>
      <w:szCs w:val="26"/>
    </w:rPr>
  </w:style>
  <w:style w:type="paragraph" w:styleId="Ttulo3">
    <w:name w:val="heading 3"/>
    <w:basedOn w:val="Normal"/>
    <w:next w:val="Normal"/>
    <w:link w:val="Ttulo3Car"/>
    <w:uiPriority w:val="9"/>
    <w:unhideWhenUsed w:val="1"/>
    <w:rsid w:val="00F56D6D"/>
    <w:pPr>
      <w:keepNext w:val="1"/>
      <w:keepLines w:val="1"/>
      <w:spacing w:before="200"/>
      <w:outlineLvl w:val="2"/>
    </w:pPr>
    <w:rPr>
      <w:rFonts w:asciiTheme="majorHAnsi" w:cstheme="majorBidi" w:eastAsiaTheme="majorEastAsia" w:hAnsiTheme="majorHAnsi"/>
      <w:b w:val="1"/>
      <w:bCs w:val="1"/>
      <w:color w:val="1a1818" w:themeColor="accent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4F2C35"/>
    <w:pPr>
      <w:tabs>
        <w:tab w:val="center" w:pos="4419"/>
        <w:tab w:val="right" w:pos="8838"/>
      </w:tabs>
    </w:pPr>
  </w:style>
  <w:style w:type="character" w:styleId="EncabezadoCar" w:customStyle="1">
    <w:name w:val="Encabezado Car"/>
    <w:basedOn w:val="Fuentedeprrafopredeter"/>
    <w:link w:val="Encabezado"/>
    <w:uiPriority w:val="99"/>
    <w:rsid w:val="004F2C35"/>
  </w:style>
  <w:style w:type="paragraph" w:styleId="Piedepgina">
    <w:name w:val="footer"/>
    <w:basedOn w:val="Normal"/>
    <w:link w:val="PiedepginaCar"/>
    <w:uiPriority w:val="99"/>
    <w:unhideWhenUsed w:val="1"/>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val="1"/>
    <w:unhideWhenUsed w:val="1"/>
    <w:rsid w:val="004F2C35"/>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4F2C35"/>
    <w:rPr>
      <w:rFonts w:ascii="Tahoma" w:cs="Tahoma" w:hAnsi="Tahoma"/>
      <w:sz w:val="16"/>
      <w:szCs w:val="16"/>
    </w:rPr>
  </w:style>
  <w:style w:type="paragraph" w:styleId="NormalWeb">
    <w:name w:val="Normal (Web)"/>
    <w:basedOn w:val="Normal"/>
    <w:uiPriority w:val="99"/>
    <w:semiHidden w:val="1"/>
    <w:unhideWhenUsed w:val="1"/>
    <w:rsid w:val="00F56D6D"/>
    <w:pPr>
      <w:spacing w:after="100" w:afterAutospacing="1" w:before="100" w:beforeAutospacing="1"/>
    </w:pPr>
    <w:rPr>
      <w:rFonts w:ascii="Times New Roman" w:cs="Times New Roman" w:eastAsia="Times New Roman" w:hAnsi="Times New Roman"/>
      <w:szCs w:val="24"/>
      <w:lang w:eastAsia="es-CO"/>
    </w:rPr>
  </w:style>
  <w:style w:type="paragraph" w:styleId="Sinespaciado">
    <w:name w:val="No Spacing"/>
    <w:aliases w:val="Encabezado CCE"/>
    <w:basedOn w:val="Normal"/>
    <w:next w:val="Normal"/>
    <w:uiPriority w:val="1"/>
    <w:qFormat w:val="1"/>
    <w:rsid w:val="00F56D6D"/>
    <w:pPr>
      <w:jc w:val="both"/>
    </w:pPr>
    <w:rPr>
      <w:b w:val="1"/>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cstheme="majorBidi" w:eastAsiaTheme="majorEastAsia" w:hAnsiTheme="majorHAnsi"/>
      <w:b w:val="1"/>
      <w:bCs w:val="1"/>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cstheme="majorBidi" w:eastAsiaTheme="majorEastAsia" w:hAnsiTheme="majorHAnsi"/>
      <w:b w:val="1"/>
      <w:bCs w:val="1"/>
      <w:color w:val="4e4d4d" w:themeColor="background2"/>
      <w:sz w:val="20"/>
      <w:szCs w:val="26"/>
    </w:rPr>
  </w:style>
  <w:style w:type="paragraph" w:styleId="Ttulo">
    <w:name w:val="Title"/>
    <w:aliases w:val="Título 3 CCE"/>
    <w:basedOn w:val="Normal"/>
    <w:next w:val="Normal"/>
    <w:link w:val="TtuloCar"/>
    <w:uiPriority w:val="10"/>
    <w:qFormat w:val="1"/>
    <w:rsid w:val="00F56D6D"/>
    <w:pPr>
      <w:numPr>
        <w:numId w:val="2"/>
      </w:numPr>
      <w:spacing w:after="300"/>
      <w:contextualSpacing w:val="1"/>
    </w:pPr>
    <w:rPr>
      <w:rFonts w:asciiTheme="majorHAnsi" w:cstheme="majorBidi" w:eastAsiaTheme="majorEastAsia" w:hAnsiTheme="majorHAnsi"/>
      <w:color w:val="4e4d4d" w:themeColor="background2"/>
      <w:spacing w:val="5"/>
      <w:kern w:val="28"/>
      <w:szCs w:val="52"/>
    </w:rPr>
  </w:style>
  <w:style w:type="character" w:styleId="TtuloCar" w:customStyle="1">
    <w:name w:val="Título Car"/>
    <w:aliases w:val="Título 3 CCE Car"/>
    <w:basedOn w:val="Fuentedeprrafopredeter"/>
    <w:link w:val="Ttulo"/>
    <w:uiPriority w:val="10"/>
    <w:rsid w:val="00F56D6D"/>
    <w:rPr>
      <w:rFonts w:asciiTheme="majorHAnsi" w:cstheme="majorBidi" w:eastAsiaTheme="majorEastAsia" w:hAnsiTheme="majorHAnsi"/>
      <w:color w:val="4e4d4d" w:themeColor="background2"/>
      <w:spacing w:val="5"/>
      <w:kern w:val="28"/>
      <w:sz w:val="20"/>
      <w:szCs w:val="52"/>
    </w:rPr>
  </w:style>
  <w:style w:type="character" w:styleId="Ttulo3Car" w:customStyle="1">
    <w:name w:val="Título 3 Car"/>
    <w:basedOn w:val="Fuentedeprrafopredeter"/>
    <w:link w:val="Ttulo3"/>
    <w:uiPriority w:val="9"/>
    <w:rsid w:val="00F56D6D"/>
    <w:rPr>
      <w:rFonts w:asciiTheme="majorHAnsi" w:cstheme="majorBidi" w:eastAsiaTheme="majorEastAsia" w:hAnsiTheme="majorHAnsi"/>
      <w:b w:val="1"/>
      <w:bCs w:val="1"/>
      <w:color w:val="1a1818" w:themeColor="accent1"/>
    </w:rPr>
  </w:style>
  <w:style w:type="paragraph" w:styleId="Subttulo">
    <w:name w:val="Subtitle"/>
    <w:basedOn w:val="Normal"/>
    <w:next w:val="Normal"/>
    <w:link w:val="SubttuloCar"/>
    <w:uiPriority w:val="11"/>
    <w:qFormat w:val="1"/>
    <w:rsid w:val="006D761F"/>
    <w:pPr>
      <w:numPr>
        <w:ilvl w:val="1"/>
      </w:numPr>
    </w:pPr>
    <w:rPr>
      <w:rFonts w:asciiTheme="majorHAnsi" w:cstheme="majorBidi" w:eastAsiaTheme="majorEastAsia" w:hAnsiTheme="majorHAnsi"/>
      <w:i w:val="1"/>
      <w:iCs w:val="1"/>
      <w:color w:val="1a1818" w:themeColor="accent1"/>
      <w:spacing w:val="15"/>
      <w:szCs w:val="24"/>
    </w:rPr>
  </w:style>
  <w:style w:type="character" w:styleId="SubttuloCar" w:customStyle="1">
    <w:name w:val="Subtítulo Car"/>
    <w:basedOn w:val="Fuentedeprrafopredeter"/>
    <w:link w:val="Subttulo"/>
    <w:uiPriority w:val="11"/>
    <w:rsid w:val="006D761F"/>
    <w:rPr>
      <w:rFonts w:asciiTheme="majorHAnsi" w:cstheme="majorBidi" w:eastAsiaTheme="majorEastAsia" w:hAnsiTheme="majorHAnsi"/>
      <w:i w:val="1"/>
      <w:iCs w:val="1"/>
      <w:color w:val="1a1818" w:themeColor="accent1"/>
      <w:spacing w:val="15"/>
      <w:sz w:val="24"/>
      <w:szCs w:val="24"/>
    </w:rPr>
  </w:style>
  <w:style w:type="paragraph" w:styleId="Prrafodelista">
    <w:name w:val="List Paragraph"/>
    <w:basedOn w:val="Normal"/>
    <w:uiPriority w:val="34"/>
    <w:qFormat w:val="1"/>
    <w:rsid w:val="00B30435"/>
    <w:pPr>
      <w:ind w:left="720"/>
      <w:contextualSpacing w:val="1"/>
    </w:pPr>
  </w:style>
  <w:style w:type="table" w:styleId="Tablaconcuadrcula">
    <w:name w:val="Table Grid"/>
    <w:basedOn w:val="Tablanormal"/>
    <w:uiPriority w:val="59"/>
    <w:rsid w:val="00A0687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basedOn w:val="Fuentedeprrafopredeter"/>
    <w:uiPriority w:val="99"/>
    <w:unhideWhenUsed w:val="1"/>
    <w:rsid w:val="00A06874"/>
    <w:rPr>
      <w:color w:val="0078ae" w:themeColor="hyperlink"/>
      <w:u w:val="single"/>
    </w:rPr>
  </w:style>
  <w:style w:type="paragraph" w:styleId="paragraph" w:customStyle="1">
    <w:name w:val="paragraph"/>
    <w:basedOn w:val="Normal"/>
    <w:rsid w:val="000D7CD2"/>
    <w:pPr>
      <w:spacing w:after="100" w:afterAutospacing="1" w:before="100" w:beforeAutospacing="1"/>
    </w:pPr>
    <w:rPr>
      <w:rFonts w:ascii="Times New Roman" w:cs="Times New Roman" w:eastAsia="Times New Roman" w:hAnsi="Times New Roman"/>
      <w:szCs w:val="24"/>
      <w:lang w:eastAsia="es-CO" w:val="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character" w:styleId="Refdecomentario">
    <w:name w:val="annotation reference"/>
    <w:basedOn w:val="Fuentedeprrafopredeter"/>
    <w:uiPriority w:val="99"/>
    <w:semiHidden w:val="1"/>
    <w:unhideWhenUsed w:val="1"/>
    <w:rsid w:val="008B3011"/>
    <w:rPr>
      <w:sz w:val="16"/>
      <w:szCs w:val="16"/>
    </w:rPr>
  </w:style>
  <w:style w:type="paragraph" w:styleId="Textocomentario">
    <w:name w:val="annotation text"/>
    <w:basedOn w:val="Normal"/>
    <w:link w:val="TextocomentarioCar"/>
    <w:uiPriority w:val="99"/>
    <w:unhideWhenUsed w:val="1"/>
    <w:rsid w:val="008B3011"/>
    <w:rPr>
      <w:sz w:val="20"/>
      <w:szCs w:val="20"/>
    </w:rPr>
  </w:style>
  <w:style w:type="character" w:styleId="TextocomentarioCar" w:customStyle="1">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val="1"/>
    <w:unhideWhenUsed w:val="1"/>
    <w:rsid w:val="008B3011"/>
    <w:rPr>
      <w:b w:val="1"/>
      <w:bCs w:val="1"/>
    </w:rPr>
  </w:style>
  <w:style w:type="character" w:styleId="AsuntodelcomentarioCar" w:customStyle="1">
    <w:name w:val="Asunto del comentario Car"/>
    <w:basedOn w:val="TextocomentarioCar"/>
    <w:link w:val="Asuntodelcomentario"/>
    <w:uiPriority w:val="99"/>
    <w:semiHidden w:val="1"/>
    <w:rsid w:val="008B3011"/>
    <w:rPr>
      <w:b w:val="1"/>
      <w:bCs w:val="1"/>
      <w:sz w:val="20"/>
      <w:szCs w:val="20"/>
      <w:lang w:val="es-MX"/>
    </w:rPr>
  </w:style>
  <w:style w:type="table" w:styleId="Cuadrculadetablaclara1" w:customStyle="1">
    <w:name w:val="Cuadrícula de tabla clara1"/>
    <w:basedOn w:val="Tablanormal"/>
    <w:next w:val="Tablaconcuadrculaclara"/>
    <w:uiPriority w:val="99"/>
    <w:rsid w:val="008E7D95"/>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8E7D95"/>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table" w:styleId="Cuadrculadetablaclara11" w:customStyle="1">
    <w:name w:val="Cuadrícula de tabla clara11"/>
    <w:basedOn w:val="Tablanormal"/>
    <w:uiPriority w:val="99"/>
    <w:rsid w:val="00703A6F"/>
    <w:pPr>
      <w:spacing w:after="0" w:line="240" w:lineRule="auto"/>
    </w:pPr>
    <w:rPr>
      <w:rFonts w:ascii="Calibri" w:cs="Times New Roman" w:eastAsia="Calibri" w:hAnsi="Calibri"/>
    </w:rPr>
    <w:tblPr>
      <w:tblInd w:w="0.0" w:type="nil"/>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1" w:customStyle="1">
    <w:name w:val="Tabla con cuadrícula1"/>
    <w:basedOn w:val="Tablanormal"/>
    <w:next w:val="Tablaconcuadrcula"/>
    <w:uiPriority w:val="59"/>
    <w:rsid w:val="00A8791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Revisin">
    <w:name w:val="Revision"/>
    <w:hidden w:val="1"/>
    <w:uiPriority w:val="99"/>
    <w:semiHidden w:val="1"/>
    <w:rsid w:val="00226CE0"/>
    <w:pPr>
      <w:spacing w:after="0" w:line="240" w:lineRule="auto"/>
    </w:pPr>
    <w:rPr>
      <w:sz w:val="24"/>
      <w:lang w:val="es-MX"/>
    </w:rPr>
  </w:style>
  <w:style w:type="paragraph" w:styleId="Subtitle">
    <w:name w:val="Subtitle"/>
    <w:basedOn w:val="Normal"/>
    <w:next w:val="Normal"/>
    <w:pPr/>
    <w:rPr>
      <w:rFonts w:ascii="Arial" w:cs="Arial" w:eastAsia="Arial" w:hAnsi="Arial"/>
      <w:i w:val="1"/>
      <w:color w:val="1a1818"/>
    </w:rPr>
  </w:style>
  <w:style w:type="table" w:styleId="Tab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rPr>
      <w:rFonts w:ascii="Arial" w:cs="Arial" w:eastAsia="Arial" w:hAnsi="Arial"/>
      <w:i w:val="1"/>
      <w:color w:val="1a1818"/>
    </w:rPr>
  </w:style>
  <w:style w:type="table" w:styleId="Tab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1.xml"/><Relationship Id="rId12" Type="http://schemas.openxmlformats.org/officeDocument/2006/relationships/footer" Target="footer2.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CambriaMath-regular.ttf"/></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OB6RrvONbllfk6bTok3Yla7+gMg==">AMUW2mVo46cFvHkpgH4K3KDt4fWWDY1cSyeZbySYTO1HU8B9OL3n5ybUitl7HP5OTwMoq3zKFzc/qnvJlxVEnvwouiFrA41JP82ZTNNlM3C8VaGmEuzwJ4Y=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2022-08-01T21:30:00Z</dcterms:created>
  <dc:creator>Natalia Andrea Estupiñán Castro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2.29269E7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