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5BF41" w14:textId="292E7436" w:rsidR="007C32ED" w:rsidRPr="0090542B" w:rsidRDefault="0077727E" w:rsidP="001E33E1">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p>
    <w:p w14:paraId="63BD3C85" w14:textId="77777777" w:rsidR="000E47FD" w:rsidRPr="0090542B" w:rsidRDefault="000E47FD" w:rsidP="000E47FD">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Para el Proceso Contractual, en atención a lo dis</w:t>
      </w:r>
      <w:r>
        <w:rPr>
          <w:rFonts w:ascii="Arial" w:hAnsi="Arial" w:cs="Arial"/>
          <w:color w:val="000000" w:themeColor="text1"/>
          <w:sz w:val="20"/>
          <w:szCs w:val="20"/>
          <w:lang w:val="es-ES" w:eastAsia="es-CO"/>
        </w:rPr>
        <w:t>pu</w:t>
      </w:r>
      <w:r w:rsidRPr="1D2C459F">
        <w:rPr>
          <w:rFonts w:ascii="Arial" w:hAnsi="Arial" w:cs="Arial"/>
          <w:color w:val="000000" w:themeColor="text1"/>
          <w:sz w:val="20"/>
          <w:szCs w:val="20"/>
          <w:lang w:val="es-ES" w:eastAsia="es-CO"/>
        </w:rPr>
        <w:t xml:space="preserve">esto en la Ley 1150 de 2007 y </w:t>
      </w:r>
      <w:r>
        <w:rPr>
          <w:rFonts w:ascii="Arial" w:hAnsi="Arial" w:cs="Arial"/>
          <w:color w:val="000000" w:themeColor="text1"/>
          <w:sz w:val="20"/>
          <w:szCs w:val="20"/>
          <w:lang w:val="es-ES" w:eastAsia="es-CO"/>
        </w:rPr>
        <w:t xml:space="preserve">en </w:t>
      </w:r>
      <w:r w:rsidRPr="1D2C459F">
        <w:rPr>
          <w:rFonts w:ascii="Arial" w:hAnsi="Arial"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6DC7932E" w14:textId="77777777" w:rsidR="000E47FD" w:rsidRPr="0090542B" w:rsidRDefault="000E47FD" w:rsidP="000E47FD">
      <w:pPr>
        <w:rPr>
          <w:rFonts w:ascii="Arial" w:hAnsi="Arial" w:cs="Arial"/>
          <w:color w:val="000000" w:themeColor="text1"/>
          <w:sz w:val="20"/>
          <w:szCs w:val="20"/>
          <w:lang w:val="es-ES_tradnl" w:eastAsia="es-CO"/>
        </w:rPr>
      </w:pPr>
    </w:p>
    <w:p w14:paraId="1C6635E3" w14:textId="77777777" w:rsidR="000E47FD" w:rsidRPr="0090542B" w:rsidRDefault="000E47FD" w:rsidP="000E47FD">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 xml:space="preserve">Corresponderá al contratista seleccionado la asunción del riesgo previsible propio de este tipo de contratación </w:t>
      </w:r>
      <w:r>
        <w:rPr>
          <w:rFonts w:ascii="Arial" w:hAnsi="Arial" w:cs="Arial"/>
          <w:color w:val="000000" w:themeColor="text1"/>
          <w:sz w:val="20"/>
          <w:szCs w:val="20"/>
          <w:lang w:val="es-ES" w:eastAsia="es-CO"/>
        </w:rPr>
        <w:t>asumiendo</w:t>
      </w:r>
      <w:r w:rsidRPr="1D2C459F">
        <w:rPr>
          <w:rFonts w:ascii="Arial" w:hAnsi="Arial" w:cs="Arial"/>
          <w:color w:val="000000" w:themeColor="text1"/>
          <w:sz w:val="20"/>
          <w:szCs w:val="20"/>
          <w:lang w:val="es-ES" w:eastAsia="es-CO"/>
        </w:rPr>
        <w:t xml:space="preserve"> su costo, siempre que el mismo no se encuentre expresamente </w:t>
      </w:r>
      <w:r>
        <w:rPr>
          <w:rFonts w:ascii="Arial" w:hAnsi="Arial" w:cs="Arial"/>
          <w:color w:val="000000" w:themeColor="text1"/>
          <w:sz w:val="20"/>
          <w:szCs w:val="20"/>
          <w:lang w:val="es-ES" w:eastAsia="es-CO"/>
        </w:rPr>
        <w:t>a cargo de</w:t>
      </w:r>
      <w:r w:rsidRPr="1D2C459F">
        <w:rPr>
          <w:rFonts w:ascii="Arial" w:hAnsi="Arial" w:cs="Arial"/>
          <w:color w:val="000000" w:themeColor="text1"/>
          <w:sz w:val="20"/>
          <w:szCs w:val="20"/>
          <w:lang w:val="es-ES" w:eastAsia="es-CO"/>
        </w:rPr>
        <w:t xml:space="preserve"> la Entidad Estatal en el </w:t>
      </w:r>
      <w:r>
        <w:rPr>
          <w:rFonts w:ascii="Arial" w:hAnsi="Arial" w:cs="Arial"/>
          <w:color w:val="000000" w:themeColor="text1"/>
          <w:sz w:val="20"/>
          <w:szCs w:val="20"/>
          <w:lang w:val="es-ES" w:eastAsia="es-CO"/>
        </w:rPr>
        <w:t>c</w:t>
      </w:r>
      <w:r w:rsidRPr="1D2C459F">
        <w:rPr>
          <w:rFonts w:ascii="Arial" w:hAnsi="Arial" w:cs="Arial"/>
          <w:color w:val="000000" w:themeColor="text1"/>
          <w:sz w:val="20"/>
          <w:szCs w:val="20"/>
          <w:lang w:val="es-ES" w:eastAsia="es-CO"/>
        </w:rPr>
        <w:t xml:space="preserve">ontrato. </w:t>
      </w:r>
    </w:p>
    <w:p w14:paraId="182E07C7" w14:textId="77777777" w:rsidR="000E47FD" w:rsidRPr="0090542B" w:rsidRDefault="000E47FD" w:rsidP="000E47FD">
      <w:pPr>
        <w:rPr>
          <w:rFonts w:ascii="Arial" w:hAnsi="Arial" w:cs="Arial"/>
          <w:color w:val="000000" w:themeColor="text1"/>
          <w:sz w:val="20"/>
          <w:szCs w:val="20"/>
          <w:lang w:val="es-ES_tradnl" w:eastAsia="es-CO"/>
        </w:rPr>
      </w:pPr>
    </w:p>
    <w:p w14:paraId="38ED2D9E" w14:textId="77777777" w:rsidR="000E47FD" w:rsidRPr="0090542B" w:rsidRDefault="000E47FD" w:rsidP="000E47FD">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Pr>
          <w:rFonts w:ascii="Arial" w:hAnsi="Arial" w:cs="Arial"/>
          <w:color w:val="000000" w:themeColor="text1"/>
          <w:sz w:val="20"/>
          <w:szCs w:val="20"/>
          <w:lang w:val="es-ES" w:eastAsia="es-CO"/>
        </w:rPr>
        <w:t xml:space="preserve">de </w:t>
      </w:r>
      <w:r w:rsidRPr="1D2C459F">
        <w:rPr>
          <w:rFonts w:ascii="Arial" w:hAnsi="Arial" w:cs="Arial"/>
          <w:color w:val="000000" w:themeColor="text1"/>
          <w:sz w:val="20"/>
          <w:szCs w:val="20"/>
          <w:lang w:val="es-ES" w:eastAsia="es-CO"/>
        </w:rPr>
        <w:t>Contra</w:t>
      </w:r>
      <w:r>
        <w:rPr>
          <w:rFonts w:ascii="Arial" w:hAnsi="Arial" w:cs="Arial"/>
          <w:color w:val="000000" w:themeColor="text1"/>
          <w:sz w:val="20"/>
          <w:szCs w:val="20"/>
          <w:lang w:val="es-ES" w:eastAsia="es-CO"/>
        </w:rPr>
        <w:t>tación</w:t>
      </w:r>
      <w:r w:rsidRPr="1D2C459F">
        <w:rPr>
          <w:rFonts w:ascii="Arial" w:hAnsi="Arial" w:cs="Arial"/>
          <w:color w:val="000000" w:themeColor="text1"/>
          <w:sz w:val="20"/>
          <w:szCs w:val="20"/>
          <w:lang w:val="es-ES" w:eastAsia="es-CO"/>
        </w:rPr>
        <w:t>.</w:t>
      </w:r>
    </w:p>
    <w:p w14:paraId="7DFBD572" w14:textId="77777777" w:rsidR="000E47FD" w:rsidRDefault="000E47FD" w:rsidP="000E47FD">
      <w:pPr>
        <w:rPr>
          <w:rFonts w:ascii="Arial" w:hAnsi="Arial" w:cs="Arial"/>
          <w:color w:val="000000" w:themeColor="text1"/>
          <w:sz w:val="20"/>
          <w:szCs w:val="20"/>
          <w:lang w:val="es-ES" w:eastAsia="es-CO"/>
        </w:rPr>
      </w:pPr>
    </w:p>
    <w:p w14:paraId="41386875" w14:textId="77777777" w:rsidR="000E47FD" w:rsidRDefault="000E47FD" w:rsidP="000E47FD">
      <w:pPr>
        <w:rPr>
          <w:rFonts w:ascii="Arial" w:eastAsia="Arial" w:hAnsi="Arial" w:cs="Arial"/>
          <w:color w:val="000000" w:themeColor="text1"/>
          <w:sz w:val="20"/>
          <w:szCs w:val="20"/>
          <w:lang w:val="es-ES"/>
        </w:rPr>
      </w:pPr>
      <w:r>
        <w:rPr>
          <w:rFonts w:ascii="Arial" w:eastAsia="Arial" w:hAnsi="Arial" w:cs="Arial"/>
          <w:color w:val="000000" w:themeColor="text1"/>
          <w:sz w:val="20"/>
          <w:szCs w:val="20"/>
          <w:lang w:val="es-ES"/>
        </w:rPr>
        <w:t>La</w:t>
      </w:r>
      <w:r w:rsidRPr="1D2C459F">
        <w:rPr>
          <w:rFonts w:ascii="Arial" w:eastAsia="Arial" w:hAnsi="Arial" w:cs="Arial"/>
          <w:color w:val="000000" w:themeColor="text1"/>
          <w:sz w:val="20"/>
          <w:szCs w:val="20"/>
          <w:lang w:val="es-ES"/>
        </w:rPr>
        <w:t xml:space="preserve"> tipificación, estimación y asignación de los Riesgos que puedan afectar el Proceso de Contratación o la ejecución del </w:t>
      </w:r>
      <w:r>
        <w:rPr>
          <w:rFonts w:ascii="Arial" w:eastAsia="Arial" w:hAnsi="Arial" w:cs="Arial"/>
          <w:color w:val="000000" w:themeColor="text1"/>
          <w:sz w:val="20"/>
          <w:szCs w:val="20"/>
          <w:lang w:val="es-ES"/>
        </w:rPr>
        <w:t>C</w:t>
      </w:r>
      <w:r w:rsidRPr="1D2C459F">
        <w:rPr>
          <w:rFonts w:ascii="Arial" w:eastAsia="Arial" w:hAnsi="Arial"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66EAB15E" w14:textId="77777777" w:rsidR="00BF12C1" w:rsidRPr="000E47FD" w:rsidRDefault="00BF12C1" w:rsidP="00BF12C1">
      <w:pPr>
        <w:rPr>
          <w:rFonts w:ascii="Arial" w:hAnsi="Arial" w:cs="Arial"/>
          <w:color w:val="000000" w:themeColor="text1"/>
          <w:sz w:val="20"/>
          <w:szCs w:val="20"/>
          <w:lang w:val="es-ES" w:eastAsia="es-CO"/>
        </w:rPr>
      </w:pPr>
    </w:p>
    <w:p w14:paraId="54A35198" w14:textId="77777777" w:rsidR="00BF12C1" w:rsidRPr="00E20BE5" w:rsidRDefault="00BF12C1" w:rsidP="00BF12C1">
      <w:pPr>
        <w:spacing w:after="100" w:afterAutospacing="1"/>
        <w:rPr>
          <w:rFonts w:ascii="Arial" w:eastAsia="SimSun" w:hAnsi="Arial" w:cs="Arial"/>
          <w:color w:val="262626" w:themeColor="text1" w:themeTint="D9"/>
          <w:kern w:val="3"/>
          <w:sz w:val="20"/>
          <w:szCs w:val="20"/>
          <w:lang w:eastAsia="zh-CN" w:bidi="hi-IN"/>
        </w:rPr>
      </w:pPr>
      <w:r w:rsidRPr="00E20BE5">
        <w:rPr>
          <w:rFonts w:ascii="Arial" w:eastAsia="SimSun" w:hAnsi="Arial" w:cs="Arial"/>
          <w:b/>
          <w:color w:val="262626" w:themeColor="text1" w:themeTint="D9"/>
          <w:kern w:val="3"/>
          <w:sz w:val="20"/>
          <w:szCs w:val="20"/>
          <w:u w:val="single"/>
          <w:lang w:eastAsia="zh-CN" w:bidi="hi-IN"/>
        </w:rPr>
        <w:t>Matriz de Riesgos</w:t>
      </w:r>
    </w:p>
    <w:p w14:paraId="187E0405" w14:textId="77777777" w:rsidR="00BF12C1" w:rsidRDefault="00BF12C1" w:rsidP="00BF12C1">
      <w:pPr>
        <w:spacing w:after="100" w:afterAutospacing="1"/>
        <w:rPr>
          <w:rFonts w:ascii="Arial" w:eastAsia="SimSun" w:hAnsi="Arial" w:cs="Arial"/>
          <w:kern w:val="3"/>
          <w:sz w:val="20"/>
          <w:szCs w:val="20"/>
          <w:lang w:eastAsia="zh-CN" w:bidi="hi-IN"/>
        </w:rPr>
      </w:pPr>
    </w:p>
    <w:tbl>
      <w:tblPr>
        <w:tblStyle w:val="Tablaconcuadrcula"/>
        <w:tblW w:w="0" w:type="auto"/>
        <w:tblLayout w:type="fixed"/>
        <w:tblLook w:val="04A0" w:firstRow="1" w:lastRow="0" w:firstColumn="1" w:lastColumn="0" w:noHBand="0" w:noVBand="1"/>
      </w:tblPr>
      <w:tblGrid>
        <w:gridCol w:w="421"/>
        <w:gridCol w:w="421"/>
        <w:gridCol w:w="422"/>
        <w:gridCol w:w="858"/>
        <w:gridCol w:w="598"/>
        <w:gridCol w:w="1435"/>
        <w:gridCol w:w="448"/>
        <w:gridCol w:w="414"/>
        <w:gridCol w:w="415"/>
        <w:gridCol w:w="414"/>
        <w:gridCol w:w="1008"/>
        <w:gridCol w:w="1339"/>
        <w:gridCol w:w="543"/>
        <w:gridCol w:w="411"/>
        <w:gridCol w:w="411"/>
        <w:gridCol w:w="411"/>
        <w:gridCol w:w="412"/>
        <w:gridCol w:w="411"/>
        <w:gridCol w:w="448"/>
        <w:gridCol w:w="456"/>
        <w:gridCol w:w="445"/>
        <w:gridCol w:w="600"/>
      </w:tblGrid>
      <w:tr w:rsidR="00BF12C1" w:rsidRPr="004D7C35" w14:paraId="4A785B28" w14:textId="77777777" w:rsidTr="00BF12C1">
        <w:trPr>
          <w:cantSplit/>
          <w:trHeight w:val="1212"/>
        </w:trPr>
        <w:tc>
          <w:tcPr>
            <w:tcW w:w="421" w:type="dxa"/>
            <w:vMerge w:val="restart"/>
            <w:shd w:val="clear" w:color="auto" w:fill="4D4D4D"/>
            <w:textDirection w:val="btLr"/>
          </w:tcPr>
          <w:p w14:paraId="356CF874"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No.</w:t>
            </w:r>
          </w:p>
        </w:tc>
        <w:tc>
          <w:tcPr>
            <w:tcW w:w="421" w:type="dxa"/>
            <w:vMerge w:val="restart"/>
            <w:shd w:val="clear" w:color="auto" w:fill="4D4D4D"/>
            <w:textDirection w:val="btLr"/>
          </w:tcPr>
          <w:p w14:paraId="30843C4E"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Clase</w:t>
            </w:r>
          </w:p>
        </w:tc>
        <w:tc>
          <w:tcPr>
            <w:tcW w:w="422" w:type="dxa"/>
            <w:vMerge w:val="restart"/>
            <w:shd w:val="clear" w:color="auto" w:fill="4D4D4D"/>
            <w:textDirection w:val="btLr"/>
          </w:tcPr>
          <w:p w14:paraId="5C0A3EB9"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Fuente</w:t>
            </w:r>
          </w:p>
        </w:tc>
        <w:tc>
          <w:tcPr>
            <w:tcW w:w="858" w:type="dxa"/>
            <w:vMerge w:val="restart"/>
            <w:shd w:val="clear" w:color="auto" w:fill="4D4D4D"/>
            <w:textDirection w:val="btLr"/>
          </w:tcPr>
          <w:p w14:paraId="10151680"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Etapa</w:t>
            </w:r>
          </w:p>
        </w:tc>
        <w:tc>
          <w:tcPr>
            <w:tcW w:w="598" w:type="dxa"/>
            <w:vMerge w:val="restart"/>
            <w:shd w:val="clear" w:color="auto" w:fill="4D4D4D"/>
            <w:textDirection w:val="btLr"/>
          </w:tcPr>
          <w:p w14:paraId="140CF76E"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Tipo</w:t>
            </w:r>
          </w:p>
        </w:tc>
        <w:tc>
          <w:tcPr>
            <w:tcW w:w="1435" w:type="dxa"/>
            <w:vMerge w:val="restart"/>
            <w:shd w:val="clear" w:color="auto" w:fill="4D4D4D"/>
            <w:textDirection w:val="btLr"/>
          </w:tcPr>
          <w:p w14:paraId="507D0303"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Descripción</w:t>
            </w:r>
          </w:p>
          <w:p w14:paraId="66E971F0"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(Qué puede pasar y como puede ocurrir)</w:t>
            </w:r>
          </w:p>
          <w:p w14:paraId="24C4FAF3"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48" w:type="dxa"/>
            <w:vMerge w:val="restart"/>
            <w:shd w:val="clear" w:color="auto" w:fill="4D4D4D"/>
            <w:textDirection w:val="btLr"/>
          </w:tcPr>
          <w:p w14:paraId="33DC124C"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Consecuencia de la ocurrencia del evento</w:t>
            </w:r>
          </w:p>
        </w:tc>
        <w:tc>
          <w:tcPr>
            <w:tcW w:w="414" w:type="dxa"/>
            <w:vMerge w:val="restart"/>
            <w:shd w:val="clear" w:color="auto" w:fill="4D4D4D"/>
            <w:textDirection w:val="btLr"/>
          </w:tcPr>
          <w:p w14:paraId="1CB6B52B"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Probabilidad</w:t>
            </w:r>
          </w:p>
        </w:tc>
        <w:tc>
          <w:tcPr>
            <w:tcW w:w="415" w:type="dxa"/>
            <w:vMerge w:val="restart"/>
            <w:shd w:val="clear" w:color="auto" w:fill="4D4D4D"/>
            <w:textDirection w:val="btLr"/>
          </w:tcPr>
          <w:p w14:paraId="2850F802"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Impacto</w:t>
            </w:r>
          </w:p>
        </w:tc>
        <w:tc>
          <w:tcPr>
            <w:tcW w:w="414" w:type="dxa"/>
            <w:vMerge w:val="restart"/>
            <w:shd w:val="clear" w:color="auto" w:fill="4D4D4D"/>
            <w:textDirection w:val="btLr"/>
          </w:tcPr>
          <w:p w14:paraId="45471FD8"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Valoración del riesgo</w:t>
            </w:r>
          </w:p>
        </w:tc>
        <w:tc>
          <w:tcPr>
            <w:tcW w:w="1008" w:type="dxa"/>
            <w:vMerge w:val="restart"/>
            <w:shd w:val="clear" w:color="auto" w:fill="4D4D4D"/>
            <w:textDirection w:val="btLr"/>
          </w:tcPr>
          <w:p w14:paraId="549D875F"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Categoría</w:t>
            </w:r>
          </w:p>
        </w:tc>
        <w:tc>
          <w:tcPr>
            <w:tcW w:w="1339" w:type="dxa"/>
            <w:vMerge w:val="restart"/>
            <w:shd w:val="clear" w:color="auto" w:fill="BFBFBF" w:themeFill="background1" w:themeFillShade="BF"/>
            <w:textDirection w:val="btLr"/>
          </w:tcPr>
          <w:p w14:paraId="3A5F228D"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¿A quién se le asigna?</w:t>
            </w:r>
          </w:p>
        </w:tc>
        <w:tc>
          <w:tcPr>
            <w:tcW w:w="543" w:type="dxa"/>
            <w:vMerge w:val="restart"/>
            <w:shd w:val="clear" w:color="auto" w:fill="BFBFBF" w:themeFill="background1" w:themeFillShade="BF"/>
            <w:textDirection w:val="btLr"/>
          </w:tcPr>
          <w:p w14:paraId="6EBD494C"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Tratamiento/Controles a ser implementados</w:t>
            </w:r>
          </w:p>
        </w:tc>
        <w:tc>
          <w:tcPr>
            <w:tcW w:w="1645" w:type="dxa"/>
            <w:gridSpan w:val="4"/>
            <w:shd w:val="clear" w:color="auto" w:fill="BFBFBF" w:themeFill="background1" w:themeFillShade="BF"/>
          </w:tcPr>
          <w:p w14:paraId="6EB1CCC9"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p>
          <w:p w14:paraId="360A35AE"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p>
          <w:p w14:paraId="40BA1506"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Impacto después del tratamiento</w:t>
            </w:r>
          </w:p>
        </w:tc>
        <w:tc>
          <w:tcPr>
            <w:tcW w:w="411" w:type="dxa"/>
            <w:vMerge w:val="restart"/>
            <w:shd w:val="clear" w:color="auto" w:fill="BFBFBF" w:themeFill="background1" w:themeFillShade="BF"/>
            <w:textDirection w:val="btLr"/>
          </w:tcPr>
          <w:p w14:paraId="3DC56597"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¿Afecta la ejecución del contrato?</w:t>
            </w:r>
          </w:p>
        </w:tc>
        <w:tc>
          <w:tcPr>
            <w:tcW w:w="448" w:type="dxa"/>
            <w:vMerge w:val="restart"/>
            <w:shd w:val="clear" w:color="auto" w:fill="BFBFBF" w:themeFill="background1" w:themeFillShade="BF"/>
            <w:textDirection w:val="btLr"/>
          </w:tcPr>
          <w:p w14:paraId="58D72699"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4"/>
                <w:szCs w:val="14"/>
                <w:lang w:eastAsia="zh-CN" w:bidi="hi-IN"/>
              </w:rPr>
            </w:pPr>
            <w:r w:rsidRPr="009771F1">
              <w:rPr>
                <w:rFonts w:ascii="Arial" w:eastAsia="SimSun" w:hAnsi="Arial" w:cs="Arial"/>
                <w:b/>
                <w:color w:val="404040" w:themeColor="text1" w:themeTint="BF"/>
                <w:kern w:val="3"/>
                <w:sz w:val="14"/>
                <w:szCs w:val="14"/>
                <w:lang w:eastAsia="zh-CN" w:bidi="hi-IN"/>
              </w:rPr>
              <w:t>Persona responsable por implementar el tratamiento</w:t>
            </w:r>
          </w:p>
        </w:tc>
        <w:tc>
          <w:tcPr>
            <w:tcW w:w="456" w:type="dxa"/>
            <w:vMerge w:val="restart"/>
            <w:shd w:val="clear" w:color="auto" w:fill="BFBFBF" w:themeFill="background1" w:themeFillShade="BF"/>
            <w:textDirection w:val="btLr"/>
          </w:tcPr>
          <w:p w14:paraId="50F0A621"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4"/>
                <w:szCs w:val="14"/>
                <w:lang w:eastAsia="zh-CN" w:bidi="hi-IN"/>
              </w:rPr>
            </w:pPr>
            <w:r w:rsidRPr="009771F1">
              <w:rPr>
                <w:rFonts w:ascii="Arial" w:eastAsia="SimSun" w:hAnsi="Arial" w:cs="Arial"/>
                <w:b/>
                <w:color w:val="404040" w:themeColor="text1" w:themeTint="BF"/>
                <w:kern w:val="3"/>
                <w:sz w:val="14"/>
                <w:szCs w:val="14"/>
                <w:lang w:eastAsia="zh-CN" w:bidi="hi-IN"/>
              </w:rPr>
              <w:t>Fecha estimada en que se completa el tratamiento</w:t>
            </w:r>
          </w:p>
        </w:tc>
        <w:tc>
          <w:tcPr>
            <w:tcW w:w="1045" w:type="dxa"/>
            <w:gridSpan w:val="2"/>
            <w:shd w:val="clear" w:color="auto" w:fill="BFBFBF" w:themeFill="background1" w:themeFillShade="BF"/>
          </w:tcPr>
          <w:p w14:paraId="3B222511"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p>
          <w:p w14:paraId="27F4D84A"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p>
          <w:p w14:paraId="771A63EC"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Monitoreo y revisión</w:t>
            </w:r>
          </w:p>
        </w:tc>
      </w:tr>
      <w:tr w:rsidR="00BF12C1" w:rsidRPr="004D7C35" w14:paraId="7495FB94" w14:textId="77777777" w:rsidTr="00BF12C1">
        <w:trPr>
          <w:cantSplit/>
          <w:trHeight w:val="2063"/>
        </w:trPr>
        <w:tc>
          <w:tcPr>
            <w:tcW w:w="421" w:type="dxa"/>
            <w:vMerge/>
            <w:shd w:val="clear" w:color="auto" w:fill="4D4D4D"/>
            <w:textDirection w:val="btLr"/>
          </w:tcPr>
          <w:p w14:paraId="064DE247"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1" w:type="dxa"/>
            <w:vMerge/>
            <w:shd w:val="clear" w:color="auto" w:fill="4D4D4D"/>
            <w:textDirection w:val="btLr"/>
          </w:tcPr>
          <w:p w14:paraId="74EE81FA"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2" w:type="dxa"/>
            <w:vMerge/>
            <w:shd w:val="clear" w:color="auto" w:fill="4D4D4D"/>
            <w:textDirection w:val="btLr"/>
          </w:tcPr>
          <w:p w14:paraId="7CFD38E5"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858" w:type="dxa"/>
            <w:vMerge/>
            <w:shd w:val="clear" w:color="auto" w:fill="4D4D4D"/>
            <w:textDirection w:val="btLr"/>
          </w:tcPr>
          <w:p w14:paraId="197CAABF"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598" w:type="dxa"/>
            <w:vMerge/>
            <w:shd w:val="clear" w:color="auto" w:fill="4D4D4D"/>
            <w:textDirection w:val="btLr"/>
          </w:tcPr>
          <w:p w14:paraId="5EAF171C"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435" w:type="dxa"/>
            <w:vMerge/>
            <w:shd w:val="clear" w:color="auto" w:fill="4D4D4D"/>
            <w:textDirection w:val="btLr"/>
          </w:tcPr>
          <w:p w14:paraId="7E167013"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48" w:type="dxa"/>
            <w:vMerge/>
            <w:shd w:val="clear" w:color="auto" w:fill="4D4D4D"/>
            <w:textDirection w:val="btLr"/>
          </w:tcPr>
          <w:p w14:paraId="3DD6801D"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4" w:type="dxa"/>
            <w:vMerge/>
            <w:shd w:val="clear" w:color="auto" w:fill="4D4D4D"/>
            <w:textDirection w:val="btLr"/>
          </w:tcPr>
          <w:p w14:paraId="68FDB213"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5" w:type="dxa"/>
            <w:vMerge/>
            <w:shd w:val="clear" w:color="auto" w:fill="4D4D4D"/>
            <w:textDirection w:val="btLr"/>
          </w:tcPr>
          <w:p w14:paraId="67A55F10"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4" w:type="dxa"/>
            <w:vMerge/>
            <w:shd w:val="clear" w:color="auto" w:fill="4D4D4D"/>
            <w:textDirection w:val="btLr"/>
          </w:tcPr>
          <w:p w14:paraId="4E3CD2B0"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008" w:type="dxa"/>
            <w:vMerge/>
            <w:shd w:val="clear" w:color="auto" w:fill="4D4D4D"/>
            <w:textDirection w:val="btLr"/>
          </w:tcPr>
          <w:p w14:paraId="0E6B76AB"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339" w:type="dxa"/>
            <w:vMerge/>
            <w:shd w:val="clear" w:color="auto" w:fill="BFBFBF" w:themeFill="background1" w:themeFillShade="BF"/>
            <w:textDirection w:val="btLr"/>
          </w:tcPr>
          <w:p w14:paraId="4BB43199"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543" w:type="dxa"/>
            <w:vMerge/>
            <w:shd w:val="clear" w:color="auto" w:fill="BFBFBF" w:themeFill="background1" w:themeFillShade="BF"/>
            <w:textDirection w:val="btLr"/>
          </w:tcPr>
          <w:p w14:paraId="5ADF8C41"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11" w:type="dxa"/>
            <w:shd w:val="clear" w:color="auto" w:fill="BFBFBF" w:themeFill="background1" w:themeFillShade="BF"/>
            <w:textDirection w:val="btLr"/>
          </w:tcPr>
          <w:p w14:paraId="4D147301"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Probabilidad</w:t>
            </w:r>
          </w:p>
        </w:tc>
        <w:tc>
          <w:tcPr>
            <w:tcW w:w="411" w:type="dxa"/>
            <w:shd w:val="clear" w:color="auto" w:fill="BFBFBF" w:themeFill="background1" w:themeFillShade="BF"/>
            <w:textDirection w:val="btLr"/>
          </w:tcPr>
          <w:p w14:paraId="248CBB97"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Impacto</w:t>
            </w:r>
          </w:p>
        </w:tc>
        <w:tc>
          <w:tcPr>
            <w:tcW w:w="411" w:type="dxa"/>
            <w:shd w:val="clear" w:color="auto" w:fill="BFBFBF" w:themeFill="background1" w:themeFillShade="BF"/>
            <w:textDirection w:val="btLr"/>
          </w:tcPr>
          <w:p w14:paraId="46055B9C"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Valoración del Riesgo</w:t>
            </w:r>
          </w:p>
        </w:tc>
        <w:tc>
          <w:tcPr>
            <w:tcW w:w="412" w:type="dxa"/>
            <w:shd w:val="clear" w:color="auto" w:fill="BFBFBF" w:themeFill="background1" w:themeFillShade="BF"/>
            <w:textDirection w:val="btLr"/>
          </w:tcPr>
          <w:p w14:paraId="56983BA6"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Categoría</w:t>
            </w:r>
          </w:p>
        </w:tc>
        <w:tc>
          <w:tcPr>
            <w:tcW w:w="411" w:type="dxa"/>
            <w:vMerge/>
            <w:shd w:val="clear" w:color="auto" w:fill="BFBFBF" w:themeFill="background1" w:themeFillShade="BF"/>
            <w:textDirection w:val="btLr"/>
          </w:tcPr>
          <w:p w14:paraId="29353030"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48" w:type="dxa"/>
            <w:vMerge/>
            <w:shd w:val="clear" w:color="auto" w:fill="BFBFBF" w:themeFill="background1" w:themeFillShade="BF"/>
            <w:textDirection w:val="btLr"/>
          </w:tcPr>
          <w:p w14:paraId="788675F4"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56" w:type="dxa"/>
            <w:vMerge/>
            <w:shd w:val="clear" w:color="auto" w:fill="BFBFBF" w:themeFill="background1" w:themeFillShade="BF"/>
            <w:textDirection w:val="btLr"/>
          </w:tcPr>
          <w:p w14:paraId="59680DA5"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45" w:type="dxa"/>
            <w:shd w:val="clear" w:color="auto" w:fill="BFBFBF" w:themeFill="background1" w:themeFillShade="BF"/>
            <w:textDirection w:val="btLr"/>
          </w:tcPr>
          <w:p w14:paraId="07E06476" w14:textId="77777777" w:rsidR="00BF12C1" w:rsidRPr="007115DA" w:rsidRDefault="00BF12C1" w:rsidP="00A866CE">
            <w:pPr>
              <w:spacing w:after="100" w:afterAutospacing="1"/>
              <w:ind w:left="113" w:right="113"/>
              <w:jc w:val="center"/>
              <w:rPr>
                <w:rFonts w:ascii="Arial" w:eastAsia="SimSun" w:hAnsi="Arial" w:cs="Arial"/>
                <w:b/>
                <w:color w:val="404040" w:themeColor="text1" w:themeTint="BF"/>
                <w:kern w:val="3"/>
                <w:sz w:val="14"/>
                <w:szCs w:val="14"/>
                <w:lang w:eastAsia="zh-CN" w:bidi="hi-IN"/>
              </w:rPr>
            </w:pPr>
            <w:r w:rsidRPr="007115DA">
              <w:rPr>
                <w:rFonts w:ascii="Arial" w:eastAsia="SimSun" w:hAnsi="Arial" w:cs="Arial"/>
                <w:b/>
                <w:color w:val="404040" w:themeColor="text1" w:themeTint="BF"/>
                <w:kern w:val="3"/>
                <w:sz w:val="14"/>
                <w:szCs w:val="14"/>
                <w:lang w:eastAsia="zh-CN" w:bidi="hi-IN"/>
              </w:rPr>
              <w:t>¿Cómo se realiza el monitoreo?</w:t>
            </w:r>
          </w:p>
        </w:tc>
        <w:tc>
          <w:tcPr>
            <w:tcW w:w="600" w:type="dxa"/>
            <w:shd w:val="clear" w:color="auto" w:fill="BFBFBF" w:themeFill="background1" w:themeFillShade="BF"/>
            <w:textDirection w:val="btLr"/>
          </w:tcPr>
          <w:p w14:paraId="467ABD76"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Periodicidad</w:t>
            </w:r>
          </w:p>
          <w:p w14:paraId="6DC3335A"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¿Cuándo?</w:t>
            </w:r>
          </w:p>
        </w:tc>
      </w:tr>
      <w:tr w:rsidR="00BF12C1" w:rsidRPr="004D7C35" w14:paraId="2602EA7B" w14:textId="77777777" w:rsidTr="00BF12C1">
        <w:trPr>
          <w:cantSplit/>
          <w:trHeight w:val="1134"/>
        </w:trPr>
        <w:tc>
          <w:tcPr>
            <w:tcW w:w="421" w:type="dxa"/>
            <w:shd w:val="clear" w:color="auto" w:fill="auto"/>
          </w:tcPr>
          <w:p w14:paraId="38E14E9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24592">
              <w:rPr>
                <w:rFonts w:ascii="Arial" w:eastAsia="SimSun" w:hAnsi="Arial" w:cs="Arial"/>
                <w:kern w:val="3"/>
                <w:sz w:val="16"/>
                <w:szCs w:val="20"/>
                <w:lang w:eastAsia="zh-CN" w:bidi="hi-IN"/>
              </w:rPr>
              <w:t>1</w:t>
            </w:r>
          </w:p>
        </w:tc>
        <w:tc>
          <w:tcPr>
            <w:tcW w:w="421" w:type="dxa"/>
            <w:shd w:val="clear" w:color="auto" w:fill="auto"/>
          </w:tcPr>
          <w:p w14:paraId="369080A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24592">
              <w:rPr>
                <w:rFonts w:ascii="Arial" w:eastAsia="SimSun" w:hAnsi="Arial" w:cs="Arial"/>
                <w:kern w:val="3"/>
                <w:sz w:val="16"/>
                <w:szCs w:val="20"/>
                <w:lang w:eastAsia="zh-CN" w:bidi="hi-IN"/>
              </w:rPr>
              <w:t>G</w:t>
            </w:r>
          </w:p>
        </w:tc>
        <w:tc>
          <w:tcPr>
            <w:tcW w:w="422" w:type="dxa"/>
            <w:shd w:val="clear" w:color="auto" w:fill="auto"/>
          </w:tcPr>
          <w:p w14:paraId="60A5187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38A80F67"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PRECONTRACTUAL - CONTRACTUAL</w:t>
            </w:r>
          </w:p>
        </w:tc>
        <w:tc>
          <w:tcPr>
            <w:tcW w:w="598" w:type="dxa"/>
            <w:shd w:val="clear" w:color="auto" w:fill="auto"/>
            <w:textDirection w:val="btLr"/>
          </w:tcPr>
          <w:p w14:paraId="2263C686"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A24592">
              <w:rPr>
                <w:rFonts w:ascii="Arial" w:eastAsia="SimSun" w:hAnsi="Arial" w:cs="Arial"/>
                <w:kern w:val="3"/>
                <w:sz w:val="16"/>
                <w:szCs w:val="20"/>
                <w:lang w:eastAsia="zh-CN" w:bidi="hi-IN"/>
              </w:rPr>
              <w:t>Riesgo regulatorio</w:t>
            </w:r>
          </w:p>
        </w:tc>
        <w:tc>
          <w:tcPr>
            <w:tcW w:w="1435" w:type="dxa"/>
            <w:shd w:val="clear" w:color="auto" w:fill="auto"/>
          </w:tcPr>
          <w:p w14:paraId="68C3CFE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24592">
              <w:rPr>
                <w:rFonts w:ascii="Arial" w:eastAsia="SimSun" w:hAnsi="Arial" w:cs="Arial"/>
                <w:kern w:val="3"/>
                <w:sz w:val="16"/>
                <w:szCs w:val="20"/>
                <w:lang w:eastAsia="zh-CN" w:bidi="hi-IN"/>
              </w:rPr>
              <w:t>Riesgo ocasionado por cambios en la normatividad técnica durante la ejecución del proyecto.</w:t>
            </w:r>
          </w:p>
        </w:tc>
        <w:tc>
          <w:tcPr>
            <w:tcW w:w="448" w:type="dxa"/>
            <w:shd w:val="clear" w:color="auto" w:fill="auto"/>
          </w:tcPr>
          <w:p w14:paraId="3B0CC1B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737064A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39D2D02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4" w:type="dxa"/>
            <w:shd w:val="clear" w:color="auto" w:fill="auto"/>
          </w:tcPr>
          <w:p w14:paraId="6787844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1008" w:type="dxa"/>
            <w:shd w:val="clear" w:color="auto" w:fill="auto"/>
          </w:tcPr>
          <w:p w14:paraId="54EADFD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BAJO</w:t>
            </w:r>
          </w:p>
        </w:tc>
        <w:tc>
          <w:tcPr>
            <w:tcW w:w="1339" w:type="dxa"/>
            <w:shd w:val="clear" w:color="auto" w:fill="auto"/>
          </w:tcPr>
          <w:p w14:paraId="519A874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INVIAS</w:t>
            </w:r>
          </w:p>
        </w:tc>
        <w:tc>
          <w:tcPr>
            <w:tcW w:w="543" w:type="dxa"/>
            <w:shd w:val="clear" w:color="auto" w:fill="auto"/>
          </w:tcPr>
          <w:p w14:paraId="3044D43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B8EDE0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2E8C9C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790935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5071E44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3C4F1F9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SI</w:t>
            </w:r>
          </w:p>
        </w:tc>
        <w:tc>
          <w:tcPr>
            <w:tcW w:w="448" w:type="dxa"/>
            <w:shd w:val="clear" w:color="auto" w:fill="auto"/>
          </w:tcPr>
          <w:p w14:paraId="427B5BE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1181F01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40E51C5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307C277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0DF0A2B3" w14:textId="77777777" w:rsidTr="00BF12C1">
        <w:trPr>
          <w:cantSplit/>
          <w:trHeight w:val="1134"/>
        </w:trPr>
        <w:tc>
          <w:tcPr>
            <w:tcW w:w="421" w:type="dxa"/>
            <w:shd w:val="clear" w:color="auto" w:fill="auto"/>
          </w:tcPr>
          <w:p w14:paraId="58EA39E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24592">
              <w:rPr>
                <w:rFonts w:ascii="Arial" w:eastAsia="SimSun" w:hAnsi="Arial" w:cs="Arial"/>
                <w:kern w:val="3"/>
                <w:sz w:val="16"/>
                <w:szCs w:val="20"/>
                <w:lang w:eastAsia="zh-CN" w:bidi="hi-IN"/>
              </w:rPr>
              <w:lastRenderedPageBreak/>
              <w:t>2</w:t>
            </w:r>
          </w:p>
        </w:tc>
        <w:tc>
          <w:tcPr>
            <w:tcW w:w="421" w:type="dxa"/>
            <w:shd w:val="clear" w:color="auto" w:fill="auto"/>
          </w:tcPr>
          <w:p w14:paraId="2CBBA51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G</w:t>
            </w:r>
          </w:p>
        </w:tc>
        <w:tc>
          <w:tcPr>
            <w:tcW w:w="422" w:type="dxa"/>
            <w:shd w:val="clear" w:color="auto" w:fill="auto"/>
          </w:tcPr>
          <w:p w14:paraId="35B82A5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753DD333"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5FDC4C2D"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Riesgo operacional</w:t>
            </w:r>
          </w:p>
        </w:tc>
        <w:tc>
          <w:tcPr>
            <w:tcW w:w="1435" w:type="dxa"/>
            <w:shd w:val="clear" w:color="auto" w:fill="auto"/>
          </w:tcPr>
          <w:p w14:paraId="216355E8"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Riesgo del contrato ocasionado a causa de la coordinación Interinstitucional. Cuando el INVIAS y/o CONTRATISTA dependen de decisiones de otras entidades oficiales. Se refiere a los mayores costos asumidos por el CONTRATISTA debido a demoras ocasionadas por otras entidades públicas. Riesgo que asume el INVIAS, excepto para los permisos ambientales a cargo del CONTRATISTA.</w:t>
            </w:r>
          </w:p>
        </w:tc>
        <w:tc>
          <w:tcPr>
            <w:tcW w:w="448" w:type="dxa"/>
            <w:shd w:val="clear" w:color="auto" w:fill="auto"/>
          </w:tcPr>
          <w:p w14:paraId="7AE36CE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01D6195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w:t>
            </w:r>
          </w:p>
        </w:tc>
        <w:tc>
          <w:tcPr>
            <w:tcW w:w="415" w:type="dxa"/>
            <w:shd w:val="clear" w:color="auto" w:fill="auto"/>
          </w:tcPr>
          <w:p w14:paraId="0D97BBD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w:t>
            </w:r>
          </w:p>
        </w:tc>
        <w:tc>
          <w:tcPr>
            <w:tcW w:w="414" w:type="dxa"/>
            <w:shd w:val="clear" w:color="auto" w:fill="auto"/>
          </w:tcPr>
          <w:p w14:paraId="110EADC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1008" w:type="dxa"/>
            <w:shd w:val="clear" w:color="auto" w:fill="auto"/>
          </w:tcPr>
          <w:p w14:paraId="7B2EA23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BAJO</w:t>
            </w:r>
          </w:p>
        </w:tc>
        <w:tc>
          <w:tcPr>
            <w:tcW w:w="1339" w:type="dxa"/>
            <w:shd w:val="clear" w:color="auto" w:fill="auto"/>
          </w:tcPr>
          <w:p w14:paraId="4712AEF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INVIAS</w:t>
            </w:r>
          </w:p>
        </w:tc>
        <w:tc>
          <w:tcPr>
            <w:tcW w:w="543" w:type="dxa"/>
            <w:shd w:val="clear" w:color="auto" w:fill="auto"/>
          </w:tcPr>
          <w:p w14:paraId="32CE109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66058A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9362E6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E9DF0B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5C278BA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4250E8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4CAA7BB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4358603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306FDDD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4E9D91D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3C25B124" w14:textId="77777777" w:rsidTr="00BF12C1">
        <w:trPr>
          <w:cantSplit/>
          <w:trHeight w:val="1134"/>
        </w:trPr>
        <w:tc>
          <w:tcPr>
            <w:tcW w:w="421" w:type="dxa"/>
            <w:shd w:val="clear" w:color="auto" w:fill="auto"/>
          </w:tcPr>
          <w:p w14:paraId="639E6C5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21" w:type="dxa"/>
            <w:shd w:val="clear" w:color="auto" w:fill="auto"/>
          </w:tcPr>
          <w:p w14:paraId="4FAF321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E</w:t>
            </w:r>
          </w:p>
        </w:tc>
        <w:tc>
          <w:tcPr>
            <w:tcW w:w="422" w:type="dxa"/>
            <w:shd w:val="clear" w:color="auto" w:fill="auto"/>
          </w:tcPr>
          <w:p w14:paraId="0F21E9E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23166629"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PRECONTRACTUAL</w:t>
            </w:r>
          </w:p>
        </w:tc>
        <w:tc>
          <w:tcPr>
            <w:tcW w:w="598" w:type="dxa"/>
            <w:shd w:val="clear" w:color="auto" w:fill="auto"/>
            <w:textDirection w:val="btLr"/>
          </w:tcPr>
          <w:p w14:paraId="2D59EB51"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Riesgo General</w:t>
            </w:r>
          </w:p>
        </w:tc>
        <w:tc>
          <w:tcPr>
            <w:tcW w:w="1435" w:type="dxa"/>
            <w:shd w:val="clear" w:color="auto" w:fill="auto"/>
          </w:tcPr>
          <w:p w14:paraId="6DA553A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 xml:space="preserve">Errores involuntarios que hayan quedado en los pliegos de </w:t>
            </w:r>
            <w:proofErr w:type="gramStart"/>
            <w:r w:rsidRPr="00B35131">
              <w:rPr>
                <w:rFonts w:ascii="Arial" w:eastAsia="SimSun" w:hAnsi="Arial" w:cs="Arial"/>
                <w:kern w:val="3"/>
                <w:sz w:val="16"/>
                <w:szCs w:val="20"/>
                <w:lang w:eastAsia="zh-CN" w:bidi="hi-IN"/>
              </w:rPr>
              <w:t>condiciones ,</w:t>
            </w:r>
            <w:proofErr w:type="gramEnd"/>
            <w:r w:rsidRPr="00B35131">
              <w:rPr>
                <w:rFonts w:ascii="Arial" w:eastAsia="SimSun" w:hAnsi="Arial" w:cs="Arial"/>
                <w:kern w:val="3"/>
                <w:sz w:val="16"/>
                <w:szCs w:val="20"/>
                <w:lang w:eastAsia="zh-CN" w:bidi="hi-IN"/>
              </w:rPr>
              <w:t xml:space="preserve"> unidades, especificaciones, descripción del proyecto, anexos técnicos, estudios previos, operaciones aritméticas, etc. Riesgo que asume el CONTRATISTA y el INVIAS</w:t>
            </w:r>
          </w:p>
        </w:tc>
        <w:tc>
          <w:tcPr>
            <w:tcW w:w="448" w:type="dxa"/>
            <w:shd w:val="clear" w:color="auto" w:fill="auto"/>
          </w:tcPr>
          <w:p w14:paraId="7A86DD3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22E2A0E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5" w:type="dxa"/>
            <w:shd w:val="clear" w:color="auto" w:fill="auto"/>
          </w:tcPr>
          <w:p w14:paraId="6B44018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2AFC888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7</w:t>
            </w:r>
          </w:p>
        </w:tc>
        <w:tc>
          <w:tcPr>
            <w:tcW w:w="1008" w:type="dxa"/>
            <w:shd w:val="clear" w:color="auto" w:fill="auto"/>
          </w:tcPr>
          <w:p w14:paraId="350EFBF6"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ALTO</w:t>
            </w:r>
          </w:p>
        </w:tc>
        <w:tc>
          <w:tcPr>
            <w:tcW w:w="1339" w:type="dxa"/>
            <w:shd w:val="clear" w:color="auto" w:fill="auto"/>
          </w:tcPr>
          <w:p w14:paraId="1AE4E07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INVIAS 50% CONTRATISTA 50%</w:t>
            </w:r>
          </w:p>
        </w:tc>
        <w:tc>
          <w:tcPr>
            <w:tcW w:w="543" w:type="dxa"/>
            <w:shd w:val="clear" w:color="auto" w:fill="auto"/>
          </w:tcPr>
          <w:p w14:paraId="5982FAE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0DF93E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C3A030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892CB8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0297E06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789874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12173B7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2050DCB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5930DAF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424DC25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5A596AAC" w14:textId="77777777" w:rsidTr="00BF12C1">
        <w:trPr>
          <w:cantSplit/>
          <w:trHeight w:val="1134"/>
        </w:trPr>
        <w:tc>
          <w:tcPr>
            <w:tcW w:w="421" w:type="dxa"/>
            <w:shd w:val="clear" w:color="auto" w:fill="auto"/>
          </w:tcPr>
          <w:p w14:paraId="0D097FA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4</w:t>
            </w:r>
          </w:p>
        </w:tc>
        <w:tc>
          <w:tcPr>
            <w:tcW w:w="421" w:type="dxa"/>
            <w:shd w:val="clear" w:color="auto" w:fill="auto"/>
          </w:tcPr>
          <w:p w14:paraId="40721D41"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w:t>
            </w:r>
          </w:p>
        </w:tc>
        <w:tc>
          <w:tcPr>
            <w:tcW w:w="422" w:type="dxa"/>
            <w:shd w:val="clear" w:color="auto" w:fill="auto"/>
          </w:tcPr>
          <w:p w14:paraId="74D9115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467A2DF0"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58411E09"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GENERAL</w:t>
            </w:r>
          </w:p>
        </w:tc>
        <w:tc>
          <w:tcPr>
            <w:tcW w:w="1435" w:type="dxa"/>
            <w:shd w:val="clear" w:color="auto" w:fill="auto"/>
          </w:tcPr>
          <w:p w14:paraId="552A34E8"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1132D">
              <w:rPr>
                <w:rFonts w:ascii="Arial" w:eastAsia="SimSun" w:hAnsi="Arial" w:cs="Arial"/>
                <w:kern w:val="3"/>
                <w:sz w:val="16"/>
                <w:szCs w:val="20"/>
                <w:lang w:eastAsia="zh-CN" w:bidi="hi-IN"/>
              </w:rPr>
              <w:t>Riesgo presentado por accidentalidad y/o muerte de personal del CONTRATISTA desde la adjudicación y/o durante la ejecución del contrato, por causas externas al proyecto o por ausencia o falta o deficiencia del SISTEMA DE SEGURIDAD INDUSTRIAL de la obra. Riesgo que asume el CONTRATISTA.</w:t>
            </w:r>
          </w:p>
        </w:tc>
        <w:tc>
          <w:tcPr>
            <w:tcW w:w="448" w:type="dxa"/>
            <w:shd w:val="clear" w:color="auto" w:fill="auto"/>
          </w:tcPr>
          <w:p w14:paraId="4F3C88D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605B654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2D49D46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4" w:type="dxa"/>
            <w:shd w:val="clear" w:color="auto" w:fill="auto"/>
          </w:tcPr>
          <w:p w14:paraId="0465307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1008" w:type="dxa"/>
            <w:shd w:val="clear" w:color="auto" w:fill="auto"/>
          </w:tcPr>
          <w:p w14:paraId="3900BA3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MEDIO</w:t>
            </w:r>
          </w:p>
        </w:tc>
        <w:tc>
          <w:tcPr>
            <w:tcW w:w="1339" w:type="dxa"/>
            <w:shd w:val="clear" w:color="auto" w:fill="auto"/>
          </w:tcPr>
          <w:p w14:paraId="6BF4B54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25DB7B2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011361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F556B9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B0D92A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02BF710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560C0B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6BCCE5E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2E9D723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6934148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0E0469B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5EF90188" w14:textId="77777777" w:rsidTr="00BF12C1">
        <w:trPr>
          <w:cantSplit/>
          <w:trHeight w:val="1134"/>
        </w:trPr>
        <w:tc>
          <w:tcPr>
            <w:tcW w:w="421" w:type="dxa"/>
            <w:shd w:val="clear" w:color="auto" w:fill="auto"/>
          </w:tcPr>
          <w:p w14:paraId="335E41B8"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21" w:type="dxa"/>
            <w:shd w:val="clear" w:color="auto" w:fill="auto"/>
          </w:tcPr>
          <w:p w14:paraId="420C05A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6241173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7625042D"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PRECONTRACTUAL</w:t>
            </w:r>
          </w:p>
        </w:tc>
        <w:tc>
          <w:tcPr>
            <w:tcW w:w="598" w:type="dxa"/>
            <w:shd w:val="clear" w:color="auto" w:fill="auto"/>
            <w:textDirection w:val="btLr"/>
          </w:tcPr>
          <w:p w14:paraId="051E3913"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GENERAL</w:t>
            </w:r>
          </w:p>
        </w:tc>
        <w:tc>
          <w:tcPr>
            <w:tcW w:w="1435" w:type="dxa"/>
            <w:shd w:val="clear" w:color="auto" w:fill="auto"/>
          </w:tcPr>
          <w:p w14:paraId="738031C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1132D">
              <w:rPr>
                <w:rFonts w:ascii="Arial" w:eastAsia="SimSun" w:hAnsi="Arial" w:cs="Arial"/>
                <w:kern w:val="3"/>
                <w:sz w:val="16"/>
                <w:szCs w:val="20"/>
                <w:lang w:eastAsia="zh-CN" w:bidi="hi-IN"/>
              </w:rPr>
              <w:t>Errores cometidos por el  CONTRATISTA en la elaboración de las propuestas (Sobre 1 y Sobre 2) y/o en los documentos  elaborados por el   CONTRATISTA durante la ejecución del contrato. Riesgo que asume el CONTRATISTA.</w:t>
            </w:r>
          </w:p>
        </w:tc>
        <w:tc>
          <w:tcPr>
            <w:tcW w:w="448" w:type="dxa"/>
            <w:shd w:val="clear" w:color="auto" w:fill="auto"/>
          </w:tcPr>
          <w:p w14:paraId="180312D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48F575E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0BB9E01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4" w:type="dxa"/>
            <w:shd w:val="clear" w:color="auto" w:fill="auto"/>
          </w:tcPr>
          <w:p w14:paraId="74D58CE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1008" w:type="dxa"/>
            <w:shd w:val="clear" w:color="auto" w:fill="auto"/>
          </w:tcPr>
          <w:p w14:paraId="3F8BFBA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MEDIO</w:t>
            </w:r>
          </w:p>
        </w:tc>
        <w:tc>
          <w:tcPr>
            <w:tcW w:w="1339" w:type="dxa"/>
            <w:shd w:val="clear" w:color="auto" w:fill="auto"/>
          </w:tcPr>
          <w:p w14:paraId="7842C95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35327F2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D4584F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F09CFB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6737CD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278A507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03E2D8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6C64E89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763B8ED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65E3E04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72205F6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307DC94F" w14:textId="77777777" w:rsidTr="00BF12C1">
        <w:trPr>
          <w:cantSplit/>
          <w:trHeight w:val="1134"/>
        </w:trPr>
        <w:tc>
          <w:tcPr>
            <w:tcW w:w="421" w:type="dxa"/>
            <w:shd w:val="clear" w:color="auto" w:fill="auto"/>
          </w:tcPr>
          <w:p w14:paraId="11BC95D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6</w:t>
            </w:r>
          </w:p>
        </w:tc>
        <w:tc>
          <w:tcPr>
            <w:tcW w:w="421" w:type="dxa"/>
            <w:shd w:val="clear" w:color="auto" w:fill="auto"/>
          </w:tcPr>
          <w:p w14:paraId="0ACD7EB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08825CD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0C306658"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37D30753"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A1132D">
              <w:rPr>
                <w:rFonts w:ascii="Arial" w:eastAsia="SimSun" w:hAnsi="Arial" w:cs="Arial"/>
                <w:kern w:val="3"/>
                <w:sz w:val="16"/>
                <w:szCs w:val="20"/>
                <w:lang w:eastAsia="zh-CN" w:bidi="hi-IN"/>
              </w:rPr>
              <w:t>Riesgo operacional</w:t>
            </w:r>
          </w:p>
        </w:tc>
        <w:tc>
          <w:tcPr>
            <w:tcW w:w="1435" w:type="dxa"/>
            <w:shd w:val="clear" w:color="auto" w:fill="auto"/>
          </w:tcPr>
          <w:p w14:paraId="35CCCE5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1132D">
              <w:rPr>
                <w:rFonts w:ascii="Arial" w:eastAsia="SimSun" w:hAnsi="Arial" w:cs="Arial"/>
                <w:kern w:val="3"/>
                <w:sz w:val="16"/>
                <w:szCs w:val="20"/>
                <w:lang w:eastAsia="zh-CN" w:bidi="hi-IN"/>
              </w:rPr>
              <w:t>Demora en la legalización del contrato por parte del CONTRATISTA. Riesgo que asume el contratista</w:t>
            </w:r>
          </w:p>
        </w:tc>
        <w:tc>
          <w:tcPr>
            <w:tcW w:w="448" w:type="dxa"/>
            <w:shd w:val="clear" w:color="auto" w:fill="auto"/>
          </w:tcPr>
          <w:p w14:paraId="0D14117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55EE7E0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3965F28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4" w:type="dxa"/>
            <w:shd w:val="clear" w:color="auto" w:fill="auto"/>
          </w:tcPr>
          <w:p w14:paraId="1715843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1008" w:type="dxa"/>
            <w:shd w:val="clear" w:color="auto" w:fill="auto"/>
          </w:tcPr>
          <w:p w14:paraId="2F7E697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MEDIO</w:t>
            </w:r>
          </w:p>
        </w:tc>
        <w:tc>
          <w:tcPr>
            <w:tcW w:w="1339" w:type="dxa"/>
            <w:shd w:val="clear" w:color="auto" w:fill="auto"/>
          </w:tcPr>
          <w:p w14:paraId="1FA1674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0E04EA1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D95242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D990E64"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3C9CF8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302BF0B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0BDB76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2931C2F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75120BD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505D568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27CE4D7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0A0D5E85" w14:textId="77777777" w:rsidTr="00BF12C1">
        <w:trPr>
          <w:cantSplit/>
          <w:trHeight w:val="1134"/>
        </w:trPr>
        <w:tc>
          <w:tcPr>
            <w:tcW w:w="421" w:type="dxa"/>
            <w:shd w:val="clear" w:color="auto" w:fill="auto"/>
          </w:tcPr>
          <w:p w14:paraId="64A0ACB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7</w:t>
            </w:r>
          </w:p>
        </w:tc>
        <w:tc>
          <w:tcPr>
            <w:tcW w:w="421" w:type="dxa"/>
            <w:shd w:val="clear" w:color="auto" w:fill="auto"/>
          </w:tcPr>
          <w:p w14:paraId="030E101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4D8B292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6EB59F5E"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48AFDBD3"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7961EB">
              <w:rPr>
                <w:rFonts w:ascii="Arial" w:eastAsia="SimSun" w:hAnsi="Arial" w:cs="Arial"/>
                <w:kern w:val="3"/>
                <w:sz w:val="16"/>
                <w:szCs w:val="20"/>
                <w:lang w:eastAsia="zh-CN" w:bidi="hi-IN"/>
              </w:rPr>
              <w:t>Riesgo social o político</w:t>
            </w:r>
          </w:p>
        </w:tc>
        <w:tc>
          <w:tcPr>
            <w:tcW w:w="1435" w:type="dxa"/>
            <w:shd w:val="clear" w:color="auto" w:fill="auto"/>
          </w:tcPr>
          <w:p w14:paraId="1D90FF1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7961EB">
              <w:rPr>
                <w:rFonts w:ascii="Arial" w:eastAsia="SimSun" w:hAnsi="Arial" w:cs="Arial"/>
                <w:kern w:val="3"/>
                <w:sz w:val="16"/>
                <w:szCs w:val="20"/>
                <w:lang w:eastAsia="zh-CN" w:bidi="hi-IN"/>
              </w:rPr>
              <w:t>Paros y/o problemas de Orden Público que se puedan presentar por transportadores de carga y/o pasajeros. Riesgo que asume el INVIAS y el CONTRATISTA</w:t>
            </w:r>
          </w:p>
        </w:tc>
        <w:tc>
          <w:tcPr>
            <w:tcW w:w="448" w:type="dxa"/>
            <w:shd w:val="clear" w:color="auto" w:fill="auto"/>
          </w:tcPr>
          <w:p w14:paraId="5E974CE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6D6F210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5B53BA5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4" w:type="dxa"/>
            <w:shd w:val="clear" w:color="auto" w:fill="auto"/>
          </w:tcPr>
          <w:p w14:paraId="3620E53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1008" w:type="dxa"/>
            <w:shd w:val="clear" w:color="auto" w:fill="auto"/>
          </w:tcPr>
          <w:p w14:paraId="2707272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RIESGO MEDIO </w:t>
            </w:r>
          </w:p>
        </w:tc>
        <w:tc>
          <w:tcPr>
            <w:tcW w:w="1339" w:type="dxa"/>
            <w:shd w:val="clear" w:color="auto" w:fill="auto"/>
          </w:tcPr>
          <w:p w14:paraId="5875124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INVIAS 25% CONTRATISTA 75%</w:t>
            </w:r>
          </w:p>
        </w:tc>
        <w:tc>
          <w:tcPr>
            <w:tcW w:w="543" w:type="dxa"/>
            <w:shd w:val="clear" w:color="auto" w:fill="auto"/>
          </w:tcPr>
          <w:p w14:paraId="1E4A055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8BC415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92257F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59506D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4133CF0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B9A1B7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621D12A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106169E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0428CFF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2CBDD7D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041CE407" w14:textId="77777777" w:rsidTr="00BF12C1">
        <w:trPr>
          <w:cantSplit/>
          <w:trHeight w:val="1134"/>
        </w:trPr>
        <w:tc>
          <w:tcPr>
            <w:tcW w:w="421" w:type="dxa"/>
            <w:shd w:val="clear" w:color="auto" w:fill="auto"/>
          </w:tcPr>
          <w:p w14:paraId="3DEFD5E1"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8</w:t>
            </w:r>
          </w:p>
        </w:tc>
        <w:tc>
          <w:tcPr>
            <w:tcW w:w="421" w:type="dxa"/>
            <w:shd w:val="clear" w:color="auto" w:fill="auto"/>
          </w:tcPr>
          <w:p w14:paraId="34ECF01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w:t>
            </w:r>
          </w:p>
        </w:tc>
        <w:tc>
          <w:tcPr>
            <w:tcW w:w="422" w:type="dxa"/>
            <w:shd w:val="clear" w:color="auto" w:fill="auto"/>
          </w:tcPr>
          <w:p w14:paraId="00C40DB6"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7C4EA0AF"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6F7741CC"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303C97">
              <w:rPr>
                <w:rFonts w:ascii="Arial" w:eastAsia="SimSun" w:hAnsi="Arial" w:cs="Arial"/>
                <w:kern w:val="3"/>
                <w:sz w:val="16"/>
                <w:szCs w:val="20"/>
                <w:lang w:eastAsia="zh-CN" w:bidi="hi-IN"/>
              </w:rPr>
              <w:t>Riesgo operacional</w:t>
            </w:r>
          </w:p>
        </w:tc>
        <w:tc>
          <w:tcPr>
            <w:tcW w:w="1435" w:type="dxa"/>
            <w:shd w:val="clear" w:color="auto" w:fill="auto"/>
          </w:tcPr>
          <w:p w14:paraId="4D242DF6"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303C97">
              <w:rPr>
                <w:rFonts w:ascii="Arial" w:eastAsia="SimSun" w:hAnsi="Arial" w:cs="Arial"/>
                <w:kern w:val="3"/>
                <w:sz w:val="16"/>
                <w:szCs w:val="20"/>
                <w:lang w:eastAsia="zh-CN" w:bidi="hi-IN"/>
              </w:rPr>
              <w:t>Problemas presentados entre asociados de Microempresas, socios y/o consorciados y/o integrantes de uniones temporales y/o familiares de las empresas y/o firmas que conforman la FIRMA CONTRATISTA y que contratan con INVIAS. Riesgo que asume el CONTRATISTA.</w:t>
            </w:r>
          </w:p>
        </w:tc>
        <w:tc>
          <w:tcPr>
            <w:tcW w:w="448" w:type="dxa"/>
            <w:shd w:val="clear" w:color="auto" w:fill="auto"/>
          </w:tcPr>
          <w:p w14:paraId="0004242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39EB308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0EB16E6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4" w:type="dxa"/>
            <w:shd w:val="clear" w:color="auto" w:fill="auto"/>
          </w:tcPr>
          <w:p w14:paraId="47E5586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1008" w:type="dxa"/>
            <w:shd w:val="clear" w:color="auto" w:fill="auto"/>
          </w:tcPr>
          <w:p w14:paraId="447E6D3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BAJO</w:t>
            </w:r>
          </w:p>
        </w:tc>
        <w:tc>
          <w:tcPr>
            <w:tcW w:w="1339" w:type="dxa"/>
            <w:shd w:val="clear" w:color="auto" w:fill="auto"/>
          </w:tcPr>
          <w:p w14:paraId="412FECF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66A24C04"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B4B2D8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E1FCDA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52209B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35DC71B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503ACE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590E27C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0F19377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55729EB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293F7FF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4B28840E" w14:textId="77777777" w:rsidTr="00BF12C1">
        <w:trPr>
          <w:cantSplit/>
          <w:trHeight w:val="1134"/>
        </w:trPr>
        <w:tc>
          <w:tcPr>
            <w:tcW w:w="421" w:type="dxa"/>
            <w:shd w:val="clear" w:color="auto" w:fill="auto"/>
          </w:tcPr>
          <w:p w14:paraId="636483F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9</w:t>
            </w:r>
          </w:p>
        </w:tc>
        <w:tc>
          <w:tcPr>
            <w:tcW w:w="421" w:type="dxa"/>
            <w:shd w:val="clear" w:color="auto" w:fill="auto"/>
          </w:tcPr>
          <w:p w14:paraId="2228312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7AF2F13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551BFC4E"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2DAB20F7"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303C97">
              <w:rPr>
                <w:rFonts w:ascii="Arial" w:eastAsia="SimSun" w:hAnsi="Arial" w:cs="Arial"/>
                <w:kern w:val="3"/>
                <w:sz w:val="16"/>
                <w:szCs w:val="20"/>
                <w:lang w:eastAsia="zh-CN" w:bidi="hi-IN"/>
              </w:rPr>
              <w:t>Riesgo financiero</w:t>
            </w:r>
          </w:p>
        </w:tc>
        <w:tc>
          <w:tcPr>
            <w:tcW w:w="1435" w:type="dxa"/>
            <w:shd w:val="clear" w:color="auto" w:fill="auto"/>
          </w:tcPr>
          <w:p w14:paraId="191C7B66"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303C97">
              <w:rPr>
                <w:rFonts w:ascii="Arial" w:eastAsia="SimSun" w:hAnsi="Arial" w:cs="Arial"/>
                <w:kern w:val="3"/>
                <w:sz w:val="16"/>
                <w:szCs w:val="20"/>
                <w:lang w:eastAsia="zh-CN" w:bidi="hi-IN"/>
              </w:rPr>
              <w:t>Demora en la radicación (en la ventanilla de radicación de cuentas de la Subdirección Financiera) oportuna por parte del  CONTRATISTA de las actas (correctamente diligenciadas y firmadas) y/o cuentas. Riesgo que asume el CONTRATISTA</w:t>
            </w:r>
          </w:p>
        </w:tc>
        <w:tc>
          <w:tcPr>
            <w:tcW w:w="448" w:type="dxa"/>
            <w:shd w:val="clear" w:color="auto" w:fill="auto"/>
          </w:tcPr>
          <w:p w14:paraId="74B6BF7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21DBEFA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5" w:type="dxa"/>
            <w:shd w:val="clear" w:color="auto" w:fill="auto"/>
          </w:tcPr>
          <w:p w14:paraId="0D86A99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02242B3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8</w:t>
            </w:r>
          </w:p>
        </w:tc>
        <w:tc>
          <w:tcPr>
            <w:tcW w:w="1008" w:type="dxa"/>
            <w:shd w:val="clear" w:color="auto" w:fill="auto"/>
          </w:tcPr>
          <w:p w14:paraId="4099D8E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EXTREMO</w:t>
            </w:r>
          </w:p>
        </w:tc>
        <w:tc>
          <w:tcPr>
            <w:tcW w:w="1339" w:type="dxa"/>
            <w:shd w:val="clear" w:color="auto" w:fill="auto"/>
          </w:tcPr>
          <w:p w14:paraId="6922270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5E40089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9975D6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EE7279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4E77AC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5F5E7F8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74F70A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4DA288B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6F64D07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099D5CB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74FA8E0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4DBE33FA" w14:textId="77777777" w:rsidTr="00BF12C1">
        <w:trPr>
          <w:cantSplit/>
          <w:trHeight w:val="1134"/>
        </w:trPr>
        <w:tc>
          <w:tcPr>
            <w:tcW w:w="421" w:type="dxa"/>
            <w:shd w:val="clear" w:color="auto" w:fill="auto"/>
          </w:tcPr>
          <w:p w14:paraId="6C5EE65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10</w:t>
            </w:r>
          </w:p>
        </w:tc>
        <w:tc>
          <w:tcPr>
            <w:tcW w:w="421" w:type="dxa"/>
            <w:shd w:val="clear" w:color="auto" w:fill="auto"/>
          </w:tcPr>
          <w:p w14:paraId="0FB6E4C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767486F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6F6B2459"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7C5E4A29"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E2AF0">
              <w:rPr>
                <w:rFonts w:ascii="Arial" w:eastAsia="SimSun" w:hAnsi="Arial" w:cs="Arial"/>
                <w:kern w:val="3"/>
                <w:sz w:val="16"/>
                <w:szCs w:val="20"/>
                <w:lang w:eastAsia="zh-CN" w:bidi="hi-IN"/>
              </w:rPr>
              <w:t>Riesgo general</w:t>
            </w:r>
          </w:p>
        </w:tc>
        <w:tc>
          <w:tcPr>
            <w:tcW w:w="1435" w:type="dxa"/>
            <w:shd w:val="clear" w:color="auto" w:fill="auto"/>
          </w:tcPr>
          <w:p w14:paraId="4850136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E2AF0">
              <w:rPr>
                <w:rFonts w:ascii="Arial" w:eastAsia="SimSun" w:hAnsi="Arial" w:cs="Arial"/>
                <w:kern w:val="3"/>
                <w:sz w:val="16"/>
                <w:szCs w:val="20"/>
                <w:lang w:eastAsia="zh-CN" w:bidi="hi-IN"/>
              </w:rPr>
              <w:t>Errores cometidos por el CONTRATISTA en la elaboración de las actas y/o cuentas que ocasionan demoras en su radicación. Riesgo que asume el CONTRATISTA</w:t>
            </w:r>
          </w:p>
        </w:tc>
        <w:tc>
          <w:tcPr>
            <w:tcW w:w="448" w:type="dxa"/>
            <w:shd w:val="clear" w:color="auto" w:fill="auto"/>
          </w:tcPr>
          <w:p w14:paraId="4304869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1FAD4A7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5" w:type="dxa"/>
            <w:shd w:val="clear" w:color="auto" w:fill="auto"/>
          </w:tcPr>
          <w:p w14:paraId="560DB23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667B71D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8</w:t>
            </w:r>
          </w:p>
        </w:tc>
        <w:tc>
          <w:tcPr>
            <w:tcW w:w="1008" w:type="dxa"/>
            <w:shd w:val="clear" w:color="auto" w:fill="auto"/>
          </w:tcPr>
          <w:p w14:paraId="28CA972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EXTREMO</w:t>
            </w:r>
          </w:p>
        </w:tc>
        <w:tc>
          <w:tcPr>
            <w:tcW w:w="1339" w:type="dxa"/>
            <w:shd w:val="clear" w:color="auto" w:fill="auto"/>
          </w:tcPr>
          <w:p w14:paraId="7F1665E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1951010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3A036F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46A678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1122A7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70F3E634"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7D343F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5EE323E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4AE6736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05E6C9C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01D7C57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267A63C7" w14:textId="77777777" w:rsidTr="00BF12C1">
        <w:trPr>
          <w:cantSplit/>
          <w:trHeight w:val="1134"/>
        </w:trPr>
        <w:tc>
          <w:tcPr>
            <w:tcW w:w="421" w:type="dxa"/>
            <w:shd w:val="clear" w:color="auto" w:fill="auto"/>
          </w:tcPr>
          <w:p w14:paraId="14DCD2F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11</w:t>
            </w:r>
          </w:p>
        </w:tc>
        <w:tc>
          <w:tcPr>
            <w:tcW w:w="421" w:type="dxa"/>
            <w:shd w:val="clear" w:color="auto" w:fill="auto"/>
          </w:tcPr>
          <w:p w14:paraId="76953F3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w:t>
            </w:r>
          </w:p>
        </w:tc>
        <w:tc>
          <w:tcPr>
            <w:tcW w:w="422" w:type="dxa"/>
            <w:shd w:val="clear" w:color="auto" w:fill="auto"/>
          </w:tcPr>
          <w:p w14:paraId="56A70EC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61EDB9A2"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77F76C8A"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E2AF0">
              <w:rPr>
                <w:rFonts w:ascii="Arial" w:eastAsia="SimSun" w:hAnsi="Arial" w:cs="Arial"/>
                <w:kern w:val="3"/>
                <w:sz w:val="16"/>
                <w:szCs w:val="20"/>
                <w:lang w:eastAsia="zh-CN" w:bidi="hi-IN"/>
              </w:rPr>
              <w:t>Riesgo general</w:t>
            </w:r>
          </w:p>
        </w:tc>
        <w:tc>
          <w:tcPr>
            <w:tcW w:w="1435" w:type="dxa"/>
            <w:shd w:val="clear" w:color="auto" w:fill="auto"/>
          </w:tcPr>
          <w:p w14:paraId="6A0BF18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E2AF0">
              <w:rPr>
                <w:rFonts w:ascii="Arial" w:eastAsia="SimSun" w:hAnsi="Arial" w:cs="Arial"/>
                <w:kern w:val="3"/>
                <w:sz w:val="16"/>
                <w:szCs w:val="20"/>
                <w:lang w:eastAsia="zh-CN" w:bidi="hi-IN"/>
              </w:rPr>
              <w:t xml:space="preserve">Accidentalidad presentada por la deficiente señalización preventiva ubicada en sitios críticos y en las zonas  donde </w:t>
            </w:r>
            <w:proofErr w:type="spellStart"/>
            <w:r w:rsidRPr="00DE2AF0">
              <w:rPr>
                <w:rFonts w:ascii="Arial" w:eastAsia="SimSun" w:hAnsi="Arial" w:cs="Arial"/>
                <w:kern w:val="3"/>
                <w:sz w:val="16"/>
                <w:szCs w:val="20"/>
                <w:lang w:eastAsia="zh-CN" w:bidi="hi-IN"/>
              </w:rPr>
              <w:t>este</w:t>
            </w:r>
            <w:proofErr w:type="spellEnd"/>
            <w:r w:rsidRPr="00DE2AF0">
              <w:rPr>
                <w:rFonts w:ascii="Arial" w:eastAsia="SimSun" w:hAnsi="Arial" w:cs="Arial"/>
                <w:kern w:val="3"/>
                <w:sz w:val="16"/>
                <w:szCs w:val="20"/>
                <w:lang w:eastAsia="zh-CN" w:bidi="hi-IN"/>
              </w:rPr>
              <w:t xml:space="preserve"> realizando los trabajos EL CONTRATISTA, equipos de comunicación y demás señalización necesaria, seguridad industrial, y elementos de protección personal, entre otras,  por parte del CONTRATISTA DE OBRA. Riesgo que asume el CONTRATISTA</w:t>
            </w:r>
          </w:p>
        </w:tc>
        <w:tc>
          <w:tcPr>
            <w:tcW w:w="448" w:type="dxa"/>
            <w:shd w:val="clear" w:color="auto" w:fill="auto"/>
          </w:tcPr>
          <w:p w14:paraId="673DAA9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43C59DC6"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5" w:type="dxa"/>
            <w:shd w:val="clear" w:color="auto" w:fill="auto"/>
          </w:tcPr>
          <w:p w14:paraId="0F427CA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04B44C8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8</w:t>
            </w:r>
          </w:p>
        </w:tc>
        <w:tc>
          <w:tcPr>
            <w:tcW w:w="1008" w:type="dxa"/>
            <w:shd w:val="clear" w:color="auto" w:fill="auto"/>
          </w:tcPr>
          <w:p w14:paraId="13E8FD0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EXTREMO</w:t>
            </w:r>
          </w:p>
        </w:tc>
        <w:tc>
          <w:tcPr>
            <w:tcW w:w="1339" w:type="dxa"/>
            <w:shd w:val="clear" w:color="auto" w:fill="auto"/>
          </w:tcPr>
          <w:p w14:paraId="6C3F1C6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4C30893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D0D8E1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C1143F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D69A11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2854DB7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A738F3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1E48F80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7061263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5A0348B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4B08AA4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65262269" w14:textId="77777777" w:rsidTr="00BF12C1">
        <w:trPr>
          <w:cantSplit/>
          <w:trHeight w:val="1134"/>
        </w:trPr>
        <w:tc>
          <w:tcPr>
            <w:tcW w:w="421" w:type="dxa"/>
            <w:shd w:val="clear" w:color="auto" w:fill="auto"/>
          </w:tcPr>
          <w:p w14:paraId="4052A348"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12</w:t>
            </w:r>
          </w:p>
        </w:tc>
        <w:tc>
          <w:tcPr>
            <w:tcW w:w="421" w:type="dxa"/>
            <w:shd w:val="clear" w:color="auto" w:fill="auto"/>
          </w:tcPr>
          <w:p w14:paraId="3D4EE0C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w:t>
            </w:r>
          </w:p>
        </w:tc>
        <w:tc>
          <w:tcPr>
            <w:tcW w:w="422" w:type="dxa"/>
            <w:shd w:val="clear" w:color="auto" w:fill="auto"/>
          </w:tcPr>
          <w:p w14:paraId="1611905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3ADB9BAC"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15EFDA32"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62772">
              <w:rPr>
                <w:rFonts w:ascii="Arial" w:eastAsia="SimSun" w:hAnsi="Arial" w:cs="Arial"/>
                <w:kern w:val="3"/>
                <w:sz w:val="16"/>
                <w:szCs w:val="20"/>
                <w:lang w:eastAsia="zh-CN" w:bidi="hi-IN"/>
              </w:rPr>
              <w:t>Riesgo General</w:t>
            </w:r>
          </w:p>
        </w:tc>
        <w:tc>
          <w:tcPr>
            <w:tcW w:w="1435" w:type="dxa"/>
            <w:shd w:val="clear" w:color="auto" w:fill="auto"/>
          </w:tcPr>
          <w:p w14:paraId="2D92794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62772">
              <w:rPr>
                <w:rFonts w:ascii="Arial" w:eastAsia="SimSun" w:hAnsi="Arial" w:cs="Arial"/>
                <w:kern w:val="3"/>
                <w:sz w:val="16"/>
                <w:szCs w:val="20"/>
                <w:lang w:eastAsia="zh-CN" w:bidi="hi-IN"/>
              </w:rPr>
              <w:t xml:space="preserve">Terminación </w:t>
            </w:r>
            <w:proofErr w:type="spellStart"/>
            <w:r w:rsidRPr="00D62772">
              <w:rPr>
                <w:rFonts w:ascii="Arial" w:eastAsia="SimSun" w:hAnsi="Arial" w:cs="Arial"/>
                <w:kern w:val="3"/>
                <w:sz w:val="16"/>
                <w:szCs w:val="20"/>
                <w:lang w:eastAsia="zh-CN" w:bidi="hi-IN"/>
              </w:rPr>
              <w:t>ó</w:t>
            </w:r>
            <w:proofErr w:type="spellEnd"/>
            <w:r w:rsidRPr="00D62772">
              <w:rPr>
                <w:rFonts w:ascii="Arial" w:eastAsia="SimSun" w:hAnsi="Arial" w:cs="Arial"/>
                <w:kern w:val="3"/>
                <w:sz w:val="16"/>
                <w:szCs w:val="20"/>
                <w:lang w:eastAsia="zh-CN" w:bidi="hi-IN"/>
              </w:rPr>
              <w:t xml:space="preserve"> modificación del contrato para el mantenimiento, por entrada en vigor de un contrato de concesión </w:t>
            </w:r>
            <w:proofErr w:type="spellStart"/>
            <w:r w:rsidRPr="00D62772">
              <w:rPr>
                <w:rFonts w:ascii="Arial" w:eastAsia="SimSun" w:hAnsi="Arial" w:cs="Arial"/>
                <w:kern w:val="3"/>
                <w:sz w:val="16"/>
                <w:szCs w:val="20"/>
                <w:lang w:eastAsia="zh-CN" w:bidi="hi-IN"/>
              </w:rPr>
              <w:t>ó</w:t>
            </w:r>
            <w:proofErr w:type="spellEnd"/>
            <w:r w:rsidRPr="00D62772">
              <w:rPr>
                <w:rFonts w:ascii="Arial" w:eastAsia="SimSun" w:hAnsi="Arial" w:cs="Arial"/>
                <w:kern w:val="3"/>
                <w:sz w:val="16"/>
                <w:szCs w:val="20"/>
                <w:lang w:eastAsia="zh-CN" w:bidi="hi-IN"/>
              </w:rPr>
              <w:t xml:space="preserve"> de mantenimiento integral y/o la transferencia o entrega  de la vía a otra Entidad. Riesgo que asume el CONTRATISTA</w:t>
            </w:r>
          </w:p>
        </w:tc>
        <w:tc>
          <w:tcPr>
            <w:tcW w:w="448" w:type="dxa"/>
            <w:shd w:val="clear" w:color="auto" w:fill="auto"/>
          </w:tcPr>
          <w:p w14:paraId="674416D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3A2E670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5" w:type="dxa"/>
            <w:shd w:val="clear" w:color="auto" w:fill="auto"/>
          </w:tcPr>
          <w:p w14:paraId="2133D868"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5D01C53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7</w:t>
            </w:r>
          </w:p>
        </w:tc>
        <w:tc>
          <w:tcPr>
            <w:tcW w:w="1008" w:type="dxa"/>
            <w:shd w:val="clear" w:color="auto" w:fill="auto"/>
          </w:tcPr>
          <w:p w14:paraId="27F82BC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ALTO</w:t>
            </w:r>
          </w:p>
        </w:tc>
        <w:tc>
          <w:tcPr>
            <w:tcW w:w="1339" w:type="dxa"/>
            <w:shd w:val="clear" w:color="auto" w:fill="auto"/>
          </w:tcPr>
          <w:p w14:paraId="76B4EFE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16642CA4"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C113A3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BF31104"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6E0B9C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464382F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703699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48F67A0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32B3626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26D24AA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6C85D41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1A5A2BFB" w14:textId="77777777" w:rsidTr="00BF12C1">
        <w:trPr>
          <w:cantSplit/>
          <w:trHeight w:val="1134"/>
        </w:trPr>
        <w:tc>
          <w:tcPr>
            <w:tcW w:w="421" w:type="dxa"/>
            <w:shd w:val="clear" w:color="auto" w:fill="auto"/>
          </w:tcPr>
          <w:p w14:paraId="03030ED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13</w:t>
            </w:r>
          </w:p>
        </w:tc>
        <w:tc>
          <w:tcPr>
            <w:tcW w:w="421" w:type="dxa"/>
            <w:shd w:val="clear" w:color="auto" w:fill="auto"/>
          </w:tcPr>
          <w:p w14:paraId="275DB2F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50A670B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1C3DF611"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1015B3C2"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Riesgo financiero</w:t>
            </w:r>
          </w:p>
        </w:tc>
        <w:tc>
          <w:tcPr>
            <w:tcW w:w="1435" w:type="dxa"/>
            <w:shd w:val="clear" w:color="auto" w:fill="auto"/>
          </w:tcPr>
          <w:p w14:paraId="2B9DDB31"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 xml:space="preserve">Insolvencia del </w:t>
            </w:r>
            <w:proofErr w:type="gramStart"/>
            <w:r w:rsidRPr="00DB6072">
              <w:rPr>
                <w:rFonts w:ascii="Arial" w:eastAsia="SimSun" w:hAnsi="Arial" w:cs="Arial"/>
                <w:kern w:val="3"/>
                <w:sz w:val="16"/>
                <w:szCs w:val="20"/>
                <w:lang w:eastAsia="zh-CN" w:bidi="hi-IN"/>
              </w:rPr>
              <w:t>CONTRATISTA .</w:t>
            </w:r>
            <w:proofErr w:type="gramEnd"/>
            <w:r w:rsidRPr="00DB6072">
              <w:rPr>
                <w:rFonts w:ascii="Arial" w:eastAsia="SimSun" w:hAnsi="Arial" w:cs="Arial"/>
                <w:kern w:val="3"/>
                <w:sz w:val="16"/>
                <w:szCs w:val="20"/>
                <w:lang w:eastAsia="zh-CN" w:bidi="hi-IN"/>
              </w:rPr>
              <w:t xml:space="preserve"> Riesgo que asume el CONTRATISTA</w:t>
            </w:r>
          </w:p>
        </w:tc>
        <w:tc>
          <w:tcPr>
            <w:tcW w:w="448" w:type="dxa"/>
            <w:shd w:val="clear" w:color="auto" w:fill="auto"/>
          </w:tcPr>
          <w:p w14:paraId="61EEA5B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1B5933A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482062E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1D7EA60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6</w:t>
            </w:r>
          </w:p>
        </w:tc>
        <w:tc>
          <w:tcPr>
            <w:tcW w:w="1008" w:type="dxa"/>
            <w:shd w:val="clear" w:color="auto" w:fill="auto"/>
          </w:tcPr>
          <w:p w14:paraId="1EB38B1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ALTO</w:t>
            </w:r>
          </w:p>
        </w:tc>
        <w:tc>
          <w:tcPr>
            <w:tcW w:w="1339" w:type="dxa"/>
            <w:shd w:val="clear" w:color="auto" w:fill="auto"/>
          </w:tcPr>
          <w:p w14:paraId="68ECE96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63C3A0C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2FD177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27A0A2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3EE4061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4CCA28E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28FCE2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61E49CC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1A5EC29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405B7B2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1090B41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2ED2A8CC" w14:textId="77777777" w:rsidTr="00BF12C1">
        <w:trPr>
          <w:cantSplit/>
          <w:trHeight w:val="1134"/>
        </w:trPr>
        <w:tc>
          <w:tcPr>
            <w:tcW w:w="421" w:type="dxa"/>
            <w:shd w:val="clear" w:color="auto" w:fill="auto"/>
          </w:tcPr>
          <w:p w14:paraId="1055EA31"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14</w:t>
            </w:r>
          </w:p>
        </w:tc>
        <w:tc>
          <w:tcPr>
            <w:tcW w:w="421" w:type="dxa"/>
            <w:shd w:val="clear" w:color="auto" w:fill="auto"/>
          </w:tcPr>
          <w:p w14:paraId="4B06218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45404B8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4E9F1319"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47AC8CBC"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Riesgo de la naturaleza</w:t>
            </w:r>
          </w:p>
        </w:tc>
        <w:tc>
          <w:tcPr>
            <w:tcW w:w="1435" w:type="dxa"/>
            <w:shd w:val="clear" w:color="auto" w:fill="auto"/>
          </w:tcPr>
          <w:p w14:paraId="419FDC4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Terremotos, huracanes, tornados, volcanes, inundaciones marinas, inundaciones fluviales, deslizamientos exorbitantes, tsunamis, vientos exorbitantes, incendios no provocados y/o demás fuerzas de la naturaleza. Riesgo que asume el INVIAS</w:t>
            </w:r>
          </w:p>
        </w:tc>
        <w:tc>
          <w:tcPr>
            <w:tcW w:w="448" w:type="dxa"/>
            <w:shd w:val="clear" w:color="auto" w:fill="auto"/>
          </w:tcPr>
          <w:p w14:paraId="2CD2F47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33F9ADE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5" w:type="dxa"/>
            <w:shd w:val="clear" w:color="auto" w:fill="auto"/>
          </w:tcPr>
          <w:p w14:paraId="0C908E7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4" w:type="dxa"/>
            <w:shd w:val="clear" w:color="auto" w:fill="auto"/>
          </w:tcPr>
          <w:p w14:paraId="20B6637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1008" w:type="dxa"/>
            <w:shd w:val="clear" w:color="auto" w:fill="auto"/>
          </w:tcPr>
          <w:p w14:paraId="1013A0B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MEDIO</w:t>
            </w:r>
          </w:p>
        </w:tc>
        <w:tc>
          <w:tcPr>
            <w:tcW w:w="1339" w:type="dxa"/>
            <w:shd w:val="clear" w:color="auto" w:fill="auto"/>
          </w:tcPr>
          <w:p w14:paraId="5C09019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INVIAS</w:t>
            </w:r>
          </w:p>
        </w:tc>
        <w:tc>
          <w:tcPr>
            <w:tcW w:w="543" w:type="dxa"/>
            <w:shd w:val="clear" w:color="auto" w:fill="auto"/>
          </w:tcPr>
          <w:p w14:paraId="608FD74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942803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73D3AA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30125B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3E10A4A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F89D6A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05FD077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5714DDB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568A7BC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19BAD03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47C0B461" w14:textId="77777777" w:rsidTr="00BF12C1">
        <w:trPr>
          <w:cantSplit/>
          <w:trHeight w:val="1134"/>
        </w:trPr>
        <w:tc>
          <w:tcPr>
            <w:tcW w:w="421" w:type="dxa"/>
            <w:shd w:val="clear" w:color="auto" w:fill="auto"/>
          </w:tcPr>
          <w:p w14:paraId="62A2534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15</w:t>
            </w:r>
          </w:p>
        </w:tc>
        <w:tc>
          <w:tcPr>
            <w:tcW w:w="421" w:type="dxa"/>
            <w:shd w:val="clear" w:color="auto" w:fill="auto"/>
          </w:tcPr>
          <w:p w14:paraId="0861BB5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285CA55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053FBEF2"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798CF033"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Riesgo General</w:t>
            </w:r>
          </w:p>
        </w:tc>
        <w:tc>
          <w:tcPr>
            <w:tcW w:w="1435" w:type="dxa"/>
            <w:shd w:val="clear" w:color="auto" w:fill="auto"/>
          </w:tcPr>
          <w:p w14:paraId="2EE7CDC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Accidentes del transportador que lleve insumos y/o elementos y/o materiales y/o personal del CONTRATISTA. Riesgo que asume el CONTRATISTA</w:t>
            </w:r>
          </w:p>
        </w:tc>
        <w:tc>
          <w:tcPr>
            <w:tcW w:w="448" w:type="dxa"/>
            <w:shd w:val="clear" w:color="auto" w:fill="auto"/>
          </w:tcPr>
          <w:p w14:paraId="0DCD87C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20DEEA9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22DB2C2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4" w:type="dxa"/>
            <w:shd w:val="clear" w:color="auto" w:fill="auto"/>
          </w:tcPr>
          <w:p w14:paraId="4D3A9B7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1008" w:type="dxa"/>
            <w:shd w:val="clear" w:color="auto" w:fill="auto"/>
          </w:tcPr>
          <w:p w14:paraId="5C6A9A9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BAJO</w:t>
            </w:r>
          </w:p>
        </w:tc>
        <w:tc>
          <w:tcPr>
            <w:tcW w:w="1339" w:type="dxa"/>
            <w:shd w:val="clear" w:color="auto" w:fill="auto"/>
          </w:tcPr>
          <w:p w14:paraId="00B875F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3F92043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FB834A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38C9CAD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30771C2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647EF42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569780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6A2E61A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106658C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4169B5B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0F6C45D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bl>
    <w:p w14:paraId="46D4D490" w14:textId="77777777" w:rsidR="00BF12C1" w:rsidRPr="00815604" w:rsidRDefault="00BF12C1" w:rsidP="00BF12C1">
      <w:pPr>
        <w:spacing w:after="100" w:afterAutospacing="1"/>
        <w:jc w:val="center"/>
        <w:rPr>
          <w:rFonts w:ascii="Arial" w:eastAsia="SimSun" w:hAnsi="Arial" w:cs="Arial"/>
          <w:kern w:val="3"/>
          <w:sz w:val="20"/>
          <w:szCs w:val="20"/>
          <w:lang w:eastAsia="zh-CN" w:bidi="hi-IN"/>
        </w:rPr>
      </w:pPr>
    </w:p>
    <w:p w14:paraId="6DEB84A8" w14:textId="77777777" w:rsidR="00BF12C1" w:rsidRDefault="00BF12C1" w:rsidP="00BF12C1">
      <w:pPr>
        <w:spacing w:after="100" w:afterAutospacing="1"/>
        <w:rPr>
          <w:rFonts w:ascii="Arial" w:eastAsia="SimSun" w:hAnsi="Arial" w:cs="Arial"/>
          <w:kern w:val="3"/>
          <w:sz w:val="20"/>
          <w:szCs w:val="20"/>
          <w:lang w:eastAsia="zh-CN" w:bidi="hi-IN"/>
        </w:rPr>
      </w:pPr>
    </w:p>
    <w:p w14:paraId="7F4D13E5" w14:textId="77777777" w:rsidR="00BF12C1" w:rsidRDefault="00BF12C1" w:rsidP="00BF12C1">
      <w:pPr>
        <w:spacing w:after="100" w:afterAutospacing="1"/>
        <w:rPr>
          <w:rFonts w:ascii="Arial" w:eastAsia="SimSun" w:hAnsi="Arial" w:cs="Arial"/>
          <w:kern w:val="3"/>
          <w:sz w:val="20"/>
          <w:szCs w:val="20"/>
          <w:lang w:eastAsia="zh-CN" w:bidi="hi-IN"/>
        </w:rPr>
      </w:pPr>
    </w:p>
    <w:p w14:paraId="4B012390" w14:textId="77777777" w:rsidR="00BF12C1" w:rsidRDefault="00BF12C1" w:rsidP="00BF12C1">
      <w:pPr>
        <w:spacing w:after="100" w:afterAutospacing="1"/>
        <w:rPr>
          <w:rFonts w:ascii="Arial" w:eastAsia="SimSun" w:hAnsi="Arial" w:cs="Arial"/>
          <w:kern w:val="3"/>
          <w:sz w:val="20"/>
          <w:szCs w:val="20"/>
          <w:lang w:eastAsia="zh-CN" w:bidi="hi-IN"/>
        </w:rPr>
      </w:pPr>
      <w:r w:rsidRPr="005E1E27">
        <w:rPr>
          <w:noProof/>
          <w:lang w:eastAsia="es-CO"/>
        </w:rPr>
        <w:drawing>
          <wp:inline distT="0" distB="0" distL="0" distR="0" wp14:anchorId="53609BF7" wp14:editId="4B019CF6">
            <wp:extent cx="11450320" cy="219853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499577" cy="2207991"/>
                    </a:xfrm>
                    <a:prstGeom prst="rect">
                      <a:avLst/>
                    </a:prstGeom>
                    <a:noFill/>
                    <a:ln>
                      <a:noFill/>
                    </a:ln>
                  </pic:spPr>
                </pic:pic>
              </a:graphicData>
            </a:graphic>
          </wp:inline>
        </w:drawing>
      </w:r>
    </w:p>
    <w:p w14:paraId="05BE3065" w14:textId="77777777" w:rsidR="00BF12C1" w:rsidRDefault="00BF12C1" w:rsidP="00BF12C1">
      <w:pPr>
        <w:spacing w:after="100" w:afterAutospacing="1"/>
        <w:rPr>
          <w:rFonts w:ascii="Arial" w:eastAsia="SimSun" w:hAnsi="Arial" w:cs="Arial"/>
          <w:kern w:val="3"/>
          <w:sz w:val="20"/>
          <w:szCs w:val="20"/>
          <w:lang w:eastAsia="zh-CN" w:bidi="hi-IN"/>
        </w:rPr>
      </w:pPr>
    </w:p>
    <w:p w14:paraId="6C534770" w14:textId="77777777" w:rsidR="00BF12C1" w:rsidRDefault="00BF12C1" w:rsidP="00BF12C1">
      <w:pPr>
        <w:spacing w:after="100" w:afterAutospacing="1"/>
        <w:rPr>
          <w:rFonts w:ascii="Arial" w:eastAsia="SimSun" w:hAnsi="Arial" w:cs="Arial"/>
          <w:kern w:val="3"/>
          <w:sz w:val="20"/>
          <w:szCs w:val="20"/>
          <w:lang w:eastAsia="zh-CN" w:bidi="hi-IN"/>
        </w:rPr>
      </w:pPr>
    </w:p>
    <w:p w14:paraId="51E88F18" w14:textId="77777777" w:rsidR="00BF12C1" w:rsidRDefault="00BF12C1" w:rsidP="00BF12C1">
      <w:pPr>
        <w:spacing w:after="100" w:afterAutospacing="1"/>
        <w:rPr>
          <w:rFonts w:ascii="Arial" w:eastAsia="SimSun" w:hAnsi="Arial" w:cs="Arial"/>
          <w:kern w:val="3"/>
          <w:sz w:val="20"/>
          <w:szCs w:val="20"/>
          <w:lang w:eastAsia="zh-CN" w:bidi="hi-IN"/>
        </w:rPr>
      </w:pPr>
    </w:p>
    <w:p w14:paraId="61C66BDA" w14:textId="77777777" w:rsidR="00BF12C1" w:rsidRDefault="00BF12C1" w:rsidP="00BF12C1">
      <w:pPr>
        <w:spacing w:after="100" w:afterAutospacing="1"/>
        <w:rPr>
          <w:rFonts w:ascii="Arial" w:eastAsia="SimSun" w:hAnsi="Arial" w:cs="Arial"/>
          <w:kern w:val="3"/>
          <w:sz w:val="20"/>
          <w:szCs w:val="20"/>
          <w:lang w:eastAsia="zh-CN" w:bidi="hi-IN"/>
        </w:rPr>
        <w:sectPr w:rsidR="00BF12C1" w:rsidSect="008D12E1">
          <w:pgSz w:w="15840" w:h="12240" w:orient="landscape" w:code="1"/>
          <w:pgMar w:top="1304" w:right="1134" w:bottom="1134" w:left="1134" w:header="720" w:footer="720" w:gutter="0"/>
          <w:cols w:space="720"/>
          <w:noEndnote/>
          <w:docGrid w:linePitch="299"/>
        </w:sectPr>
      </w:pPr>
    </w:p>
    <w:p w14:paraId="142465C3" w14:textId="77777777" w:rsidR="00BF12C1" w:rsidRPr="00DD4300" w:rsidRDefault="00BF12C1" w:rsidP="00BF12C1">
      <w:pPr>
        <w:rPr>
          <w:rFonts w:ascii="Arial" w:eastAsia="SimSun" w:hAnsi="Arial" w:cs="Arial"/>
          <w:kern w:val="3"/>
          <w:sz w:val="20"/>
          <w:szCs w:val="20"/>
          <w:lang w:eastAsia="zh-CN" w:bidi="hi-IN"/>
        </w:rPr>
      </w:pPr>
    </w:p>
    <w:p w14:paraId="168C9C57" w14:textId="77777777" w:rsidR="00D70D7B" w:rsidRPr="00FF5BE9" w:rsidRDefault="00D70D7B" w:rsidP="00BF12C1">
      <w:pPr>
        <w:rPr>
          <w:rFonts w:ascii="Arial" w:eastAsia="SimSun" w:hAnsi="Arial" w:cs="Arial"/>
          <w:b/>
          <w:kern w:val="3"/>
          <w:sz w:val="20"/>
          <w:szCs w:val="20"/>
          <w:lang w:eastAsia="zh-CN" w:bidi="hi-IN"/>
        </w:rPr>
      </w:pPr>
    </w:p>
    <w:sectPr w:rsidR="00D70D7B" w:rsidRPr="00FF5BE9" w:rsidSect="00363013">
      <w:headerReference w:type="default" r:id="rId12"/>
      <w:footerReference w:type="default" r:id="rId13"/>
      <w:pgSz w:w="12240" w:h="15840"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666A1" w14:textId="77777777" w:rsidR="00FF586C" w:rsidRDefault="00FF586C" w:rsidP="00091875">
      <w:pPr>
        <w:spacing w:line="240" w:lineRule="auto"/>
      </w:pPr>
      <w:r>
        <w:separator/>
      </w:r>
    </w:p>
  </w:endnote>
  <w:endnote w:type="continuationSeparator" w:id="0">
    <w:p w14:paraId="67A21E78" w14:textId="77777777" w:rsidR="00FF586C" w:rsidRDefault="00FF586C"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1CB9C" w14:textId="77777777" w:rsidR="00DF3659" w:rsidRDefault="00DF3659" w:rsidP="00DF3659">
    <w:pPr>
      <w:pStyle w:val="Piedepgina"/>
    </w:pPr>
    <w:r>
      <w:rPr>
        <w:noProof/>
        <w:sz w:val="20"/>
        <w:lang w:eastAsia="es-CO"/>
      </w:rPr>
      <w:drawing>
        <wp:anchor distT="0" distB="0" distL="114300" distR="114300" simplePos="0" relativeHeight="251660288" behindDoc="1" locked="0" layoutInCell="1" allowOverlap="1" wp14:anchorId="5D39A668" wp14:editId="07B1D17B">
          <wp:simplePos x="0" y="0"/>
          <wp:positionH relativeFrom="column">
            <wp:posOffset>4053605</wp:posOffset>
          </wp:positionH>
          <wp:positionV relativeFrom="paragraph">
            <wp:posOffset>87630</wp:posOffset>
          </wp:positionV>
          <wp:extent cx="1437640" cy="761365"/>
          <wp:effectExtent l="0" t="0" r="0" b="635"/>
          <wp:wrapTight wrapText="bothSides">
            <wp:wrapPolygon edited="0">
              <wp:start x="0" y="0"/>
              <wp:lineTo x="0" y="21078"/>
              <wp:lineTo x="21180" y="21078"/>
              <wp:lineTo x="21180" y="0"/>
              <wp:lineTo x="0" y="0"/>
            </wp:wrapPolygon>
          </wp:wrapTight>
          <wp:docPr id="18" name="Imagen 18"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tecna.png"/>
                  <pic:cNvPicPr/>
                </pic:nvPicPr>
                <pic:blipFill>
                  <a:blip r:embed="rId1">
                    <a:extLst>
                      <a:ext uri="{28A0092B-C50C-407E-A947-70E740481C1C}">
                        <a14:useLocalDpi xmlns:a14="http://schemas.microsoft.com/office/drawing/2010/main" val="0"/>
                      </a:ext>
                    </a:extLst>
                  </a:blip>
                  <a:stretch>
                    <a:fillRect/>
                  </a:stretch>
                </pic:blipFill>
                <pic:spPr>
                  <a:xfrm>
                    <a:off x="0" y="0"/>
                    <a:ext cx="1437640" cy="761365"/>
                  </a:xfrm>
                  <a:prstGeom prst="rect">
                    <a:avLst/>
                  </a:prstGeom>
                </pic:spPr>
              </pic:pic>
            </a:graphicData>
          </a:graphic>
          <wp14:sizeRelH relativeFrom="page">
            <wp14:pctWidth>0</wp14:pctWidth>
          </wp14:sizeRelH>
          <wp14:sizeRelV relativeFrom="page">
            <wp14:pctHeight>0</wp14:pctHeight>
          </wp14:sizeRelV>
        </wp:anchor>
      </w:drawing>
    </w:r>
    <w:r>
      <w:rPr>
        <w:b/>
        <w:bCs/>
        <w:noProof/>
        <w:sz w:val="20"/>
        <w:lang w:eastAsia="es-CO"/>
      </w:rPr>
      <w:drawing>
        <wp:anchor distT="0" distB="0" distL="114300" distR="114300" simplePos="0" relativeHeight="251659264" behindDoc="0" locked="0" layoutInCell="1" allowOverlap="1" wp14:anchorId="4BBE0C29" wp14:editId="54E56EBD">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CD14EF" w14:textId="77777777" w:rsidR="00DF3659" w:rsidRPr="001B5AE5" w:rsidRDefault="00DF3659" w:rsidP="00DF3659">
    <w:pPr>
      <w:pStyle w:val="Piedepgina"/>
      <w:tabs>
        <w:tab w:val="left" w:pos="709"/>
      </w:tabs>
      <w:ind w:left="567"/>
      <w:rPr>
        <w:rFonts w:ascii="Arial" w:hAnsi="Arial" w:cs="Arial"/>
        <w:sz w:val="16"/>
        <w:szCs w:val="16"/>
      </w:rPr>
    </w:pPr>
    <w:r w:rsidRPr="001B5AE5">
      <w:rPr>
        <w:rFonts w:ascii="Arial" w:hAnsi="Arial" w:cs="Arial"/>
        <w:sz w:val="16"/>
        <w:szCs w:val="16"/>
      </w:rPr>
      <w:t>Instituto Nacional de Vías</w:t>
    </w:r>
  </w:p>
  <w:p w14:paraId="2EA8F901" w14:textId="77777777" w:rsidR="00DF3659" w:rsidRPr="001B5AE5" w:rsidRDefault="00DF3659" w:rsidP="00DF3659">
    <w:pPr>
      <w:pStyle w:val="Piedepgina"/>
      <w:tabs>
        <w:tab w:val="left" w:pos="709"/>
      </w:tabs>
      <w:ind w:left="567"/>
      <w:rPr>
        <w:rFonts w:ascii="Arial" w:hAnsi="Arial" w:cs="Arial"/>
        <w:sz w:val="16"/>
        <w:szCs w:val="16"/>
      </w:rPr>
    </w:pPr>
    <w:r w:rsidRPr="001B5AE5">
      <w:rPr>
        <w:rFonts w:ascii="Arial" w:hAnsi="Arial" w:cs="Arial"/>
        <w:sz w:val="16"/>
        <w:szCs w:val="16"/>
      </w:rPr>
      <w:t xml:space="preserve">Carrera 25 G No. 73 B – 90 </w:t>
    </w:r>
  </w:p>
  <w:p w14:paraId="23656F96" w14:textId="77777777" w:rsidR="00DF3659" w:rsidRPr="001B5AE5" w:rsidRDefault="00DF3659" w:rsidP="00DF3659">
    <w:pPr>
      <w:pStyle w:val="Piedepgina"/>
      <w:tabs>
        <w:tab w:val="left" w:pos="709"/>
      </w:tabs>
      <w:ind w:left="567"/>
      <w:rPr>
        <w:rFonts w:ascii="Arial" w:hAnsi="Arial" w:cs="Arial"/>
        <w:sz w:val="16"/>
        <w:szCs w:val="16"/>
        <w:lang w:val="en-US"/>
      </w:rPr>
    </w:pPr>
    <w:r w:rsidRPr="001B5AE5">
      <w:rPr>
        <w:rFonts w:ascii="Arial" w:hAnsi="Arial" w:cs="Arial"/>
        <w:sz w:val="16"/>
        <w:szCs w:val="16"/>
        <w:lang w:val="en-US"/>
      </w:rPr>
      <w:t xml:space="preserve">CE. Central Point. </w:t>
    </w:r>
  </w:p>
  <w:p w14:paraId="05768744" w14:textId="77777777" w:rsidR="00DF3659" w:rsidRPr="001B5AE5" w:rsidRDefault="00DF3659" w:rsidP="00DF3659">
    <w:pPr>
      <w:pStyle w:val="Piedepgina"/>
      <w:tabs>
        <w:tab w:val="left" w:pos="709"/>
      </w:tabs>
      <w:ind w:left="567"/>
      <w:rPr>
        <w:rFonts w:ascii="Arial" w:hAnsi="Arial" w:cs="Arial"/>
        <w:sz w:val="16"/>
        <w:szCs w:val="16"/>
        <w:lang w:val="fr-FR"/>
      </w:rPr>
    </w:pPr>
    <w:r w:rsidRPr="001B5AE5">
      <w:rPr>
        <w:rFonts w:ascii="Arial" w:hAnsi="Arial" w:cs="Arial"/>
        <w:sz w:val="16"/>
        <w:szCs w:val="16"/>
        <w:lang w:val="fr-FR"/>
      </w:rPr>
      <w:t>PBX: 3770600</w:t>
    </w:r>
  </w:p>
  <w:p w14:paraId="2F2FF0E7" w14:textId="77777777" w:rsidR="00DF3659" w:rsidRPr="001B5AE5" w:rsidRDefault="00FF586C" w:rsidP="00DF3659">
    <w:pPr>
      <w:pStyle w:val="Piedepgina"/>
      <w:tabs>
        <w:tab w:val="left" w:pos="709"/>
      </w:tabs>
      <w:ind w:left="567"/>
      <w:rPr>
        <w:rFonts w:ascii="Arial" w:hAnsi="Arial" w:cs="Arial"/>
        <w:sz w:val="16"/>
        <w:szCs w:val="16"/>
        <w:lang w:val="fr-FR"/>
      </w:rPr>
    </w:pPr>
    <w:hyperlink r:id="rId3" w:history="1">
      <w:r w:rsidR="00DF3659" w:rsidRPr="001B5AE5">
        <w:rPr>
          <w:rStyle w:val="Hipervnculo"/>
          <w:rFonts w:ascii="Arial" w:hAnsi="Arial" w:cs="Arial"/>
          <w:b/>
          <w:bCs/>
          <w:sz w:val="16"/>
          <w:szCs w:val="16"/>
          <w:lang w:val="fr-FR"/>
        </w:rPr>
        <w:t>http://www.invias.gov.co</w:t>
      </w:r>
    </w:hyperlink>
    <w:r w:rsidR="00DF3659" w:rsidRPr="001B5AE5">
      <w:rPr>
        <w:rFonts w:ascii="Arial" w:hAnsi="Arial" w:cs="Arial"/>
        <w:b/>
        <w:bCs/>
        <w:sz w:val="16"/>
        <w:szCs w:val="16"/>
        <w:lang w:val="fr-FR"/>
      </w:rPr>
      <w:t xml:space="preserve">                        </w:t>
    </w:r>
  </w:p>
  <w:p w14:paraId="21ED77E0" w14:textId="7640C0E6" w:rsidR="00091875" w:rsidRPr="00DF3659" w:rsidRDefault="00091875" w:rsidP="001E33E1">
    <w:pPr>
      <w:pStyle w:val="Piedepgina"/>
      <w:jc w:val="right"/>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5F89D" w14:textId="77777777" w:rsidR="00FF586C" w:rsidRDefault="00FF586C" w:rsidP="00091875">
      <w:pPr>
        <w:spacing w:line="240" w:lineRule="auto"/>
      </w:pPr>
      <w:r>
        <w:separator/>
      </w:r>
    </w:p>
  </w:footnote>
  <w:footnote w:type="continuationSeparator" w:id="0">
    <w:p w14:paraId="4B953316" w14:textId="77777777" w:rsidR="00FF586C" w:rsidRDefault="00FF586C"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1E0D8" w14:textId="77777777" w:rsidR="00DF3659" w:rsidRPr="00714060" w:rsidRDefault="00DF3659" w:rsidP="00DF3659">
    <w:pPr>
      <w:pStyle w:val="Textoindependiente"/>
      <w:tabs>
        <w:tab w:val="left" w:pos="9072"/>
      </w:tabs>
      <w:ind w:left="284" w:right="338"/>
      <w:jc w:val="center"/>
      <w:rPr>
        <w:rFonts w:ascii="Arial" w:hAnsi="Arial" w:cs="Arial"/>
        <w:sz w:val="22"/>
        <w:szCs w:val="22"/>
      </w:rPr>
    </w:pPr>
    <w:r w:rsidRPr="001B5AE5">
      <w:rPr>
        <w:rStyle w:val="Portada"/>
        <w:rFonts w:ascii="Arial" w:hAnsi="Arial" w:cs="Arial"/>
        <w:noProof/>
        <w:sz w:val="20"/>
        <w:szCs w:val="20"/>
        <w:lang w:val="es-CO" w:eastAsia="es-CO" w:bidi="ar-SA"/>
      </w:rPr>
      <w:drawing>
        <wp:anchor distT="0" distB="0" distL="114300" distR="114300" simplePos="0" relativeHeight="251663360" behindDoc="0" locked="0" layoutInCell="1" allowOverlap="1" wp14:anchorId="06D1F3A5" wp14:editId="3F7CB5FE">
          <wp:simplePos x="0" y="0"/>
          <wp:positionH relativeFrom="column">
            <wp:posOffset>4587684</wp:posOffset>
          </wp:positionH>
          <wp:positionV relativeFrom="page">
            <wp:posOffset>398527</wp:posOffset>
          </wp:positionV>
          <wp:extent cx="2341245" cy="457200"/>
          <wp:effectExtent l="0" t="0" r="1905" b="0"/>
          <wp:wrapSquare wrapText="bothSides"/>
          <wp:docPr id="15" name="Imagen 15" descr="Imagen que contiene dibujo&#10;&#10;Descripción generada automáticamente">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0000000-0008-0000-0000-000002000000}"/>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41245" cy="457200"/>
                  </a:xfrm>
                  <a:prstGeom prst="rect">
                    <a:avLst/>
                  </a:prstGeom>
                </pic:spPr>
              </pic:pic>
            </a:graphicData>
          </a:graphic>
          <wp14:sizeRelH relativeFrom="margin">
            <wp14:pctWidth>0</wp14:pctWidth>
          </wp14:sizeRelH>
          <wp14:sizeRelV relativeFrom="margin">
            <wp14:pctHeight>0</wp14:pctHeight>
          </wp14:sizeRelV>
        </wp:anchor>
      </w:drawing>
    </w:r>
    <w:r w:rsidRPr="001B5AE5">
      <w:rPr>
        <w:rStyle w:val="Portada"/>
        <w:rFonts w:ascii="Arial" w:hAnsi="Arial" w:cs="Arial"/>
        <w:noProof/>
        <w:sz w:val="20"/>
        <w:szCs w:val="20"/>
        <w:lang w:val="es-CO" w:eastAsia="es-CO" w:bidi="ar-SA"/>
      </w:rPr>
      <w:drawing>
        <wp:anchor distT="0" distB="0" distL="114300" distR="114300" simplePos="0" relativeHeight="251662336" behindDoc="0" locked="0" layoutInCell="1" allowOverlap="1" wp14:anchorId="2E5E9BD4" wp14:editId="7E8CE396">
          <wp:simplePos x="0" y="0"/>
          <wp:positionH relativeFrom="column">
            <wp:posOffset>-71261</wp:posOffset>
          </wp:positionH>
          <wp:positionV relativeFrom="paragraph">
            <wp:posOffset>-141605</wp:posOffset>
          </wp:positionV>
          <wp:extent cx="3000375" cy="711200"/>
          <wp:effectExtent l="0" t="0" r="9525" b="0"/>
          <wp:wrapNone/>
          <wp:docPr id="16" name="Imagen 16"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2">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2DB83ED" w14:textId="77777777" w:rsidR="00DF3659" w:rsidRPr="001B5AE5" w:rsidRDefault="00DF3659" w:rsidP="00DF3659">
    <w:pPr>
      <w:tabs>
        <w:tab w:val="left" w:pos="9072"/>
      </w:tabs>
      <w:ind w:left="284" w:right="338"/>
      <w:jc w:val="left"/>
      <w:rPr>
        <w:rStyle w:val="Portada"/>
        <w:rFonts w:ascii="Arial" w:hAnsi="Arial" w:cs="Arial"/>
        <w:sz w:val="20"/>
        <w:szCs w:val="20"/>
      </w:rPr>
    </w:pPr>
  </w:p>
  <w:p w14:paraId="4A61038C" w14:textId="77777777" w:rsidR="00DF3659" w:rsidRDefault="00DF3659" w:rsidP="00DF3659">
    <w:pPr>
      <w:pStyle w:val="Encabezado"/>
    </w:pPr>
  </w:p>
  <w:p w14:paraId="2A0CDEE0" w14:textId="3A65701C" w:rsidR="00F8011E" w:rsidRDefault="00F801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91875"/>
    <w:rsid w:val="000A2F3B"/>
    <w:rsid w:val="000C2AAE"/>
    <w:rsid w:val="000D26C5"/>
    <w:rsid w:val="000E47FD"/>
    <w:rsid w:val="00101037"/>
    <w:rsid w:val="00103B17"/>
    <w:rsid w:val="00106362"/>
    <w:rsid w:val="001477DE"/>
    <w:rsid w:val="00150E48"/>
    <w:rsid w:val="0015719E"/>
    <w:rsid w:val="001653EA"/>
    <w:rsid w:val="001D1F23"/>
    <w:rsid w:val="001D4E64"/>
    <w:rsid w:val="001E33E1"/>
    <w:rsid w:val="001E546E"/>
    <w:rsid w:val="001E7630"/>
    <w:rsid w:val="00267732"/>
    <w:rsid w:val="00273844"/>
    <w:rsid w:val="00275402"/>
    <w:rsid w:val="00277255"/>
    <w:rsid w:val="002C3E53"/>
    <w:rsid w:val="00316FC7"/>
    <w:rsid w:val="003322F8"/>
    <w:rsid w:val="003539BA"/>
    <w:rsid w:val="00363013"/>
    <w:rsid w:val="00374B32"/>
    <w:rsid w:val="00375454"/>
    <w:rsid w:val="00382212"/>
    <w:rsid w:val="0039239D"/>
    <w:rsid w:val="003A1074"/>
    <w:rsid w:val="003B7338"/>
    <w:rsid w:val="003E331F"/>
    <w:rsid w:val="003E4428"/>
    <w:rsid w:val="003F1C55"/>
    <w:rsid w:val="003F4C27"/>
    <w:rsid w:val="003F50E3"/>
    <w:rsid w:val="004338C5"/>
    <w:rsid w:val="004D7C35"/>
    <w:rsid w:val="004F2F86"/>
    <w:rsid w:val="00511F46"/>
    <w:rsid w:val="00513343"/>
    <w:rsid w:val="00540CF2"/>
    <w:rsid w:val="00545461"/>
    <w:rsid w:val="00565A40"/>
    <w:rsid w:val="005752CE"/>
    <w:rsid w:val="0058222E"/>
    <w:rsid w:val="005A076F"/>
    <w:rsid w:val="005C1ED6"/>
    <w:rsid w:val="00617ED9"/>
    <w:rsid w:val="00637D0E"/>
    <w:rsid w:val="00686C25"/>
    <w:rsid w:val="006A3288"/>
    <w:rsid w:val="006B4FEE"/>
    <w:rsid w:val="006E6D9B"/>
    <w:rsid w:val="00721886"/>
    <w:rsid w:val="00760EFA"/>
    <w:rsid w:val="00762556"/>
    <w:rsid w:val="0076549F"/>
    <w:rsid w:val="0076567A"/>
    <w:rsid w:val="0077727E"/>
    <w:rsid w:val="00784DE2"/>
    <w:rsid w:val="007B33E6"/>
    <w:rsid w:val="007C32ED"/>
    <w:rsid w:val="007C5B18"/>
    <w:rsid w:val="007C702A"/>
    <w:rsid w:val="00805ECB"/>
    <w:rsid w:val="00815604"/>
    <w:rsid w:val="00833DA9"/>
    <w:rsid w:val="00833F3B"/>
    <w:rsid w:val="008537E3"/>
    <w:rsid w:val="0085653A"/>
    <w:rsid w:val="0085672F"/>
    <w:rsid w:val="00874392"/>
    <w:rsid w:val="00885039"/>
    <w:rsid w:val="0090542B"/>
    <w:rsid w:val="009160EA"/>
    <w:rsid w:val="009179E6"/>
    <w:rsid w:val="009321E7"/>
    <w:rsid w:val="0098628A"/>
    <w:rsid w:val="009E77AD"/>
    <w:rsid w:val="00A1437D"/>
    <w:rsid w:val="00A802EF"/>
    <w:rsid w:val="00A865C2"/>
    <w:rsid w:val="00A9107A"/>
    <w:rsid w:val="00AB5F8B"/>
    <w:rsid w:val="00AC57F3"/>
    <w:rsid w:val="00AE2ECB"/>
    <w:rsid w:val="00AE6C4B"/>
    <w:rsid w:val="00B10944"/>
    <w:rsid w:val="00B26E25"/>
    <w:rsid w:val="00B76DAD"/>
    <w:rsid w:val="00B773A4"/>
    <w:rsid w:val="00B81B1F"/>
    <w:rsid w:val="00B83621"/>
    <w:rsid w:val="00B92158"/>
    <w:rsid w:val="00B94790"/>
    <w:rsid w:val="00BA3870"/>
    <w:rsid w:val="00BF12C1"/>
    <w:rsid w:val="00C21B19"/>
    <w:rsid w:val="00C26A95"/>
    <w:rsid w:val="00C80D56"/>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3659"/>
    <w:rsid w:val="00DF421A"/>
    <w:rsid w:val="00E56873"/>
    <w:rsid w:val="00F6022F"/>
    <w:rsid w:val="00F63350"/>
    <w:rsid w:val="00F77C04"/>
    <w:rsid w:val="00F8011E"/>
    <w:rsid w:val="00FF586C"/>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DF3659"/>
    <w:pPr>
      <w:widowControl w:val="0"/>
      <w:autoSpaceDE w:val="0"/>
      <w:autoSpaceDN w:val="0"/>
      <w:spacing w:line="240" w:lineRule="auto"/>
      <w:contextualSpacing w:val="0"/>
      <w:jc w:val="left"/>
    </w:pPr>
    <w:rPr>
      <w:rFonts w:ascii="Arial Narrow" w:eastAsia="Arial Narrow" w:hAnsi="Arial Narrow" w:cs="Arial Narrow"/>
      <w:sz w:val="24"/>
      <w:szCs w:val="24"/>
      <w:lang w:val="es-ES" w:eastAsia="es-ES" w:bidi="es-ES"/>
    </w:rPr>
  </w:style>
  <w:style w:type="character" w:customStyle="1" w:styleId="TextoindependienteCar">
    <w:name w:val="Texto independiente Car"/>
    <w:basedOn w:val="Fuentedeprrafopredeter"/>
    <w:link w:val="Textoindependiente"/>
    <w:uiPriority w:val="1"/>
    <w:rsid w:val="00DF3659"/>
    <w:rPr>
      <w:rFonts w:ascii="Arial Narrow" w:eastAsia="Arial Narrow" w:hAnsi="Arial Narrow" w:cs="Arial Narrow"/>
      <w:sz w:val="24"/>
      <w:szCs w:val="24"/>
      <w:lang w:val="es-ES" w:eastAsia="es-ES" w:bidi="es-ES"/>
    </w:rPr>
  </w:style>
  <w:style w:type="character" w:customStyle="1" w:styleId="Portada">
    <w:name w:val="Portada"/>
    <w:qFormat/>
    <w:rsid w:val="00DF3659"/>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invias.gov.co" TargetMode="External"/><Relationship Id="rId2" Type="http://schemas.openxmlformats.org/officeDocument/2006/relationships/image" Target="media/image5.jpe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589272-8C4C-48D7-A531-3B3FF8A51865}">
  <ds:schemaRefs>
    <ds:schemaRef ds:uri="http://schemas.openxmlformats.org/officeDocument/2006/bibliography"/>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932</Words>
  <Characters>5126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Carlos Andrés Corredor Pinilla</cp:lastModifiedBy>
  <cp:revision>2</cp:revision>
  <cp:lastPrinted>2020-04-30T17:44:00Z</cp:lastPrinted>
  <dcterms:created xsi:type="dcterms:W3CDTF">2023-07-15T16:31:00Z</dcterms:created>
  <dcterms:modified xsi:type="dcterms:W3CDTF">2023-07-15T16:31:00Z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