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33F" w:rsidRPr="006C56FB" w:rsidRDefault="0006633F" w:rsidP="002225CF">
      <w:pPr>
        <w:tabs>
          <w:tab w:val="left" w:pos="2977"/>
        </w:tabs>
        <w:autoSpaceDE/>
        <w:autoSpaceDN/>
        <w:jc w:val="center"/>
        <w:rPr>
          <w:b/>
        </w:rPr>
      </w:pPr>
      <w:r w:rsidRPr="006C56FB">
        <w:rPr>
          <w:b/>
        </w:rPr>
        <w:t>CAUSALES DE RECHAZO Y DECLARATORIA DESIERTA DEL PROCESO</w:t>
      </w:r>
    </w:p>
    <w:p w:rsidR="0006633F" w:rsidRPr="006C56FB" w:rsidRDefault="0006633F" w:rsidP="0006633F">
      <w:pPr>
        <w:jc w:val="both"/>
        <w:rPr>
          <w:b/>
        </w:rPr>
      </w:pPr>
    </w:p>
    <w:p w:rsidR="0006633F" w:rsidRPr="006C56FB" w:rsidRDefault="0006633F" w:rsidP="0006633F">
      <w:pPr>
        <w:adjustRightInd w:val="0"/>
        <w:jc w:val="both"/>
      </w:pPr>
    </w:p>
    <w:p w:rsidR="0006633F" w:rsidRPr="006C56FB" w:rsidRDefault="0006633F" w:rsidP="0006633F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se compruebe que un proponente ha interferido, influenciado, u obtenido correspondencia interna, proyectos de concepto de evaluación o de respuesta a observaciones, no enviados oficialmente a los proponentes.</w:t>
      </w:r>
    </w:p>
    <w:p w:rsidR="0006633F" w:rsidRPr="006C56FB" w:rsidRDefault="0006633F" w:rsidP="0006633F">
      <w:pPr>
        <w:pStyle w:val="Prrafodelista"/>
        <w:adjustRightInd w:val="0"/>
        <w:ind w:left="284" w:hanging="284"/>
        <w:jc w:val="both"/>
      </w:pPr>
    </w:p>
    <w:p w:rsidR="0006633F" w:rsidRPr="006C56FB" w:rsidRDefault="0006633F" w:rsidP="0006633F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se compruebe confabulación entre los proponentes que altere de cualquier manera la aplicación del principio de selección objetiva.</w:t>
      </w:r>
    </w:p>
    <w:p w:rsidR="0006633F" w:rsidRPr="006C56FB" w:rsidRDefault="0006633F" w:rsidP="0006633F">
      <w:pPr>
        <w:pStyle w:val="Prrafodelista"/>
        <w:ind w:left="284" w:hanging="284"/>
      </w:pPr>
    </w:p>
    <w:p w:rsidR="0006633F" w:rsidRPr="006C56FB" w:rsidRDefault="0006633F" w:rsidP="0006633F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el proponente o alguno de sus integrantes se encuentre incurso en las causales de inhabilidades o incompatibilidad fijadas por la Constitución y la Ley.</w:t>
      </w:r>
    </w:p>
    <w:p w:rsidR="0006633F" w:rsidRPr="006C56FB" w:rsidRDefault="0006633F" w:rsidP="0006633F">
      <w:pPr>
        <w:pStyle w:val="Prrafodelista"/>
        <w:ind w:left="284" w:hanging="284"/>
      </w:pPr>
    </w:p>
    <w:p w:rsidR="0006633F" w:rsidRPr="006C56FB" w:rsidRDefault="0006633F" w:rsidP="0006633F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en la propuesta se encuentre información o documentos que no correspondan  a la realidad que le permita cumplir un requisito mínimo.</w:t>
      </w:r>
    </w:p>
    <w:p w:rsidR="0006633F" w:rsidRPr="006C56FB" w:rsidRDefault="0006633F" w:rsidP="0006633F">
      <w:pPr>
        <w:adjustRightInd w:val="0"/>
        <w:ind w:left="284" w:hanging="284"/>
        <w:jc w:val="both"/>
      </w:pPr>
    </w:p>
    <w:p w:rsidR="0006633F" w:rsidRPr="006C56FB" w:rsidRDefault="0006633F" w:rsidP="0006633F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el Objeto Social de la firma, incluido en el Certificado de Existencia y Representación Legal no faculte a la sociedad para desarrollar la actividad materia de la futura contratación.</w:t>
      </w:r>
    </w:p>
    <w:p w:rsidR="0006633F" w:rsidRPr="006C56FB" w:rsidRDefault="0006633F" w:rsidP="0006633F">
      <w:pPr>
        <w:pStyle w:val="Prrafodelista"/>
        <w:ind w:left="284" w:hanging="284"/>
      </w:pPr>
    </w:p>
    <w:p w:rsidR="0006633F" w:rsidRPr="006C56FB" w:rsidRDefault="0006633F" w:rsidP="0006633F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el oferente sea persona jurídica y se encuentre incurso en alguna de las causales de disolución o liquidación proferidas por Autoridad Competente.</w:t>
      </w:r>
    </w:p>
    <w:p w:rsidR="0006633F" w:rsidRPr="006C56FB" w:rsidRDefault="0006633F" w:rsidP="0006633F">
      <w:pPr>
        <w:adjustRightInd w:val="0"/>
        <w:ind w:left="284" w:hanging="284"/>
        <w:jc w:val="both"/>
      </w:pPr>
    </w:p>
    <w:p w:rsidR="0006633F" w:rsidRPr="006C56FB" w:rsidRDefault="0006633F" w:rsidP="0006633F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se presente más de una oferta (PARA EL MISMO ITEM O GRUPO) por un mismo oferente o se ostente la calidad de representante legal o socio de más de una persona jurídica participante en el presente proceso de selección.</w:t>
      </w:r>
    </w:p>
    <w:p w:rsidR="0006633F" w:rsidRPr="006C56FB" w:rsidRDefault="0006633F" w:rsidP="0006633F">
      <w:pPr>
        <w:pStyle w:val="Prrafodelista"/>
        <w:adjustRightInd w:val="0"/>
        <w:ind w:left="284" w:hanging="284"/>
        <w:jc w:val="both"/>
      </w:pPr>
    </w:p>
    <w:p w:rsidR="00F657AB" w:rsidRPr="00C43F6C" w:rsidRDefault="00F657AB" w:rsidP="00F657AB">
      <w:pPr>
        <w:pStyle w:val="Prrafodelista"/>
        <w:numPr>
          <w:ilvl w:val="0"/>
          <w:numId w:val="2"/>
        </w:numPr>
        <w:adjustRightInd w:val="0"/>
        <w:ind w:left="284" w:hanging="284"/>
        <w:jc w:val="both"/>
        <w:rPr>
          <w:color w:val="0D0D0D" w:themeColor="text1" w:themeTint="F2"/>
        </w:rPr>
      </w:pPr>
      <w:r w:rsidRPr="00C43F6C">
        <w:rPr>
          <w:color w:val="0D0D0D" w:themeColor="text1" w:themeTint="F2"/>
        </w:rPr>
        <w:t>Cuando al realizar el análisis de l</w:t>
      </w:r>
      <w:r>
        <w:rPr>
          <w:color w:val="0D0D0D" w:themeColor="text1" w:themeTint="F2"/>
        </w:rPr>
        <w:t>o</w:t>
      </w:r>
      <w:r w:rsidRPr="00C43F6C">
        <w:rPr>
          <w:color w:val="0D0D0D" w:themeColor="text1" w:themeTint="F2"/>
        </w:rPr>
        <w:t xml:space="preserve">s precios </w:t>
      </w:r>
      <w:r>
        <w:rPr>
          <w:color w:val="0D0D0D" w:themeColor="text1" w:themeTint="F2"/>
        </w:rPr>
        <w:t xml:space="preserve">y/o tarifas </w:t>
      </w:r>
      <w:r w:rsidRPr="00C43F6C">
        <w:rPr>
          <w:color w:val="0D0D0D" w:themeColor="text1" w:themeTint="F2"/>
        </w:rPr>
        <w:t>techo y los precios</w:t>
      </w:r>
      <w:r>
        <w:rPr>
          <w:color w:val="0D0D0D" w:themeColor="text1" w:themeTint="F2"/>
        </w:rPr>
        <w:t xml:space="preserve"> y/o tarifas </w:t>
      </w:r>
      <w:r w:rsidRPr="00C43F6C">
        <w:rPr>
          <w:color w:val="0D0D0D" w:themeColor="text1" w:themeTint="F2"/>
        </w:rPr>
        <w:t>ofertados, se obtenga un precio</w:t>
      </w:r>
      <w:r>
        <w:rPr>
          <w:color w:val="0D0D0D" w:themeColor="text1" w:themeTint="F2"/>
        </w:rPr>
        <w:t xml:space="preserve"> y/o tarifa </w:t>
      </w:r>
      <w:r w:rsidR="00236174">
        <w:rPr>
          <w:color w:val="0D0D0D" w:themeColor="text1" w:themeTint="F2"/>
        </w:rPr>
        <w:t>artificialmente bajo.</w:t>
      </w:r>
    </w:p>
    <w:p w:rsidR="0006633F" w:rsidRPr="006C56FB" w:rsidRDefault="0006633F" w:rsidP="0006633F">
      <w:pPr>
        <w:pStyle w:val="Prrafodelista"/>
        <w:adjustRightInd w:val="0"/>
        <w:ind w:left="284" w:hanging="284"/>
        <w:jc w:val="both"/>
      </w:pPr>
    </w:p>
    <w:p w:rsidR="0006633F" w:rsidRPr="006C56FB" w:rsidRDefault="0006633F" w:rsidP="0006633F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la oferta no cumpla con las especificaciones técnicas mínimas exigidas.</w:t>
      </w:r>
    </w:p>
    <w:p w:rsidR="0006633F" w:rsidRPr="006C56FB" w:rsidRDefault="0006633F" w:rsidP="0006633F">
      <w:pPr>
        <w:pStyle w:val="Prrafodelista"/>
        <w:adjustRightInd w:val="0"/>
        <w:ind w:left="284" w:hanging="284"/>
        <w:jc w:val="both"/>
      </w:pPr>
    </w:p>
    <w:p w:rsidR="0006633F" w:rsidRPr="006C56FB" w:rsidRDefault="0006633F" w:rsidP="0006633F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 xml:space="preserve">Cuando </w:t>
      </w:r>
      <w:r>
        <w:t xml:space="preserve">no se oferte la totalidad de los </w:t>
      </w:r>
      <w:r w:rsidR="00746F0F">
        <w:t xml:space="preserve">servicios </w:t>
      </w:r>
      <w:r w:rsidR="00D4091F">
        <w:t>mínimos</w:t>
      </w:r>
      <w:r w:rsidR="00746F0F">
        <w:t xml:space="preserve"> requeridos por esta entidad. </w:t>
      </w:r>
    </w:p>
    <w:p w:rsidR="0006633F" w:rsidRPr="006C56FB" w:rsidRDefault="0006633F" w:rsidP="0006633F">
      <w:pPr>
        <w:pStyle w:val="Prrafodelista"/>
        <w:ind w:left="284" w:hanging="284"/>
      </w:pPr>
    </w:p>
    <w:p w:rsidR="00B566BD" w:rsidRPr="006C56FB" w:rsidRDefault="00B566BD" w:rsidP="00B566BD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 xml:space="preserve">Cuando el valor de la oferta económica supere el valor </w:t>
      </w:r>
      <w:r>
        <w:t>y/o tarifa techo establecido por esta entidad o cuando no se oferte el valor estimado conforme a lo requerido dentro de la in</w:t>
      </w:r>
      <w:r w:rsidR="00412AF4">
        <w:t>vitación pública.</w:t>
      </w:r>
      <w:r>
        <w:t xml:space="preserve"> </w:t>
      </w:r>
    </w:p>
    <w:p w:rsidR="0006633F" w:rsidRPr="006C56FB" w:rsidRDefault="0006633F" w:rsidP="0006633F">
      <w:pPr>
        <w:pStyle w:val="Prrafodelista"/>
        <w:ind w:left="284" w:hanging="284"/>
      </w:pPr>
    </w:p>
    <w:p w:rsidR="0006633F" w:rsidRDefault="0006633F" w:rsidP="0006633F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 xml:space="preserve">La NO presentación de los documentos antes de la fecha establecida en </w:t>
      </w:r>
      <w:r w:rsidR="00E36F75">
        <w:t>la</w:t>
      </w:r>
      <w:r w:rsidR="00E36F75" w:rsidRPr="006C56FB">
        <w:t xml:space="preserve"> </w:t>
      </w:r>
      <w:r w:rsidR="006E01C0" w:rsidRPr="006E01C0">
        <w:t>cronología del proceso – publicación para observaciones y presentación de documentos habilitantes</w:t>
      </w:r>
      <w:r w:rsidRPr="006C56FB">
        <w:t xml:space="preserve">. </w:t>
      </w:r>
    </w:p>
    <w:p w:rsidR="0006633F" w:rsidRDefault="0006633F" w:rsidP="0006633F">
      <w:pPr>
        <w:pStyle w:val="Prrafodelista"/>
      </w:pPr>
      <w:bookmarkStart w:id="0" w:name="_GoBack"/>
      <w:bookmarkEnd w:id="0"/>
    </w:p>
    <w:p w:rsidR="00002FB5" w:rsidRPr="00C43F6C" w:rsidRDefault="00002FB5" w:rsidP="00002FB5">
      <w:pPr>
        <w:pStyle w:val="Prrafodelista"/>
        <w:numPr>
          <w:ilvl w:val="0"/>
          <w:numId w:val="2"/>
        </w:numPr>
        <w:adjustRightInd w:val="0"/>
        <w:ind w:left="284" w:hanging="284"/>
        <w:jc w:val="both"/>
        <w:rPr>
          <w:color w:val="0D0D0D" w:themeColor="text1" w:themeTint="F2"/>
        </w:rPr>
      </w:pPr>
      <w:r w:rsidRPr="00C43F6C">
        <w:rPr>
          <w:color w:val="0D0D0D" w:themeColor="text1" w:themeTint="F2"/>
        </w:rPr>
        <w:t xml:space="preserve">La no presentación de la oferta económica, o cuando supere la tarifa </w:t>
      </w:r>
      <w:r>
        <w:rPr>
          <w:color w:val="0D0D0D" w:themeColor="text1" w:themeTint="F2"/>
        </w:rPr>
        <w:t xml:space="preserve">y/o precio </w:t>
      </w:r>
      <w:r w:rsidRPr="00C43F6C">
        <w:rPr>
          <w:color w:val="0D0D0D" w:themeColor="text1" w:themeTint="F2"/>
        </w:rPr>
        <w:t xml:space="preserve">techo por </w:t>
      </w:r>
      <w:proofErr w:type="spellStart"/>
      <w:r w:rsidR="006C0DE5">
        <w:rPr>
          <w:color w:val="0D0D0D" w:themeColor="text1" w:themeTint="F2"/>
        </w:rPr>
        <w:t>item</w:t>
      </w:r>
      <w:proofErr w:type="spellEnd"/>
      <w:r w:rsidRPr="00C43F6C">
        <w:rPr>
          <w:color w:val="0D0D0D" w:themeColor="text1" w:themeTint="F2"/>
        </w:rPr>
        <w:t xml:space="preserve"> ofertado.</w:t>
      </w:r>
    </w:p>
    <w:p w:rsidR="00002FB5" w:rsidRPr="00C43F6C" w:rsidRDefault="00002FB5" w:rsidP="00002FB5">
      <w:pPr>
        <w:pStyle w:val="Prrafodelista"/>
        <w:rPr>
          <w:color w:val="0D0D0D" w:themeColor="text1" w:themeTint="F2"/>
        </w:rPr>
      </w:pPr>
    </w:p>
    <w:p w:rsidR="00002FB5" w:rsidRDefault="00002FB5" w:rsidP="00002FB5">
      <w:pPr>
        <w:pStyle w:val="Prrafodelista"/>
        <w:numPr>
          <w:ilvl w:val="0"/>
          <w:numId w:val="2"/>
        </w:numPr>
        <w:adjustRightInd w:val="0"/>
        <w:ind w:left="284" w:hanging="284"/>
        <w:jc w:val="both"/>
        <w:rPr>
          <w:color w:val="0D0D0D" w:themeColor="text1" w:themeTint="F2"/>
        </w:rPr>
      </w:pPr>
      <w:r w:rsidRPr="00C43F6C">
        <w:rPr>
          <w:color w:val="0D0D0D" w:themeColor="text1" w:themeTint="F2"/>
        </w:rPr>
        <w:t xml:space="preserve">En el evento en que la </w:t>
      </w:r>
      <w:r w:rsidR="00266B02" w:rsidRPr="00C43F6C">
        <w:rPr>
          <w:color w:val="0D0D0D" w:themeColor="text1" w:themeTint="F2"/>
        </w:rPr>
        <w:t xml:space="preserve">Policía Metropolitana </w:t>
      </w:r>
      <w:r w:rsidRPr="00C43F6C">
        <w:rPr>
          <w:color w:val="0D0D0D" w:themeColor="text1" w:themeTint="F2"/>
        </w:rPr>
        <w:t>de Ibagué - Área de Sanidad Tolima haya solicitado al oferente con posterioridad a la presentación de la oferta, aclaraciones o explicaciones relacionadas con información de la misma y éste no de respuesta dentro del término establecido para ello en el escrito de solicitud, o dentro del plazo señalado en el Cronograma del proceso.</w:t>
      </w:r>
    </w:p>
    <w:p w:rsidR="00F8397D" w:rsidRPr="00F8397D" w:rsidRDefault="00F8397D" w:rsidP="00F8397D">
      <w:pPr>
        <w:pStyle w:val="Prrafodelista"/>
        <w:rPr>
          <w:color w:val="0D0D0D" w:themeColor="text1" w:themeTint="F2"/>
        </w:rPr>
      </w:pPr>
    </w:p>
    <w:p w:rsidR="00002FB5" w:rsidRPr="00C43F6C" w:rsidRDefault="00002FB5" w:rsidP="00002FB5">
      <w:pPr>
        <w:pStyle w:val="Prrafodelista"/>
        <w:numPr>
          <w:ilvl w:val="0"/>
          <w:numId w:val="2"/>
        </w:numPr>
        <w:adjustRightInd w:val="0"/>
        <w:ind w:left="284" w:hanging="284"/>
        <w:jc w:val="both"/>
        <w:rPr>
          <w:color w:val="0D0D0D" w:themeColor="text1" w:themeTint="F2"/>
        </w:rPr>
      </w:pPr>
      <w:r w:rsidRPr="00C43F6C">
        <w:rPr>
          <w:color w:val="0D0D0D" w:themeColor="text1" w:themeTint="F2"/>
        </w:rPr>
        <w:t>Cuando dentro de la propuesta, en la oferta económica se observen errores aritméticos que puedan in</w:t>
      </w:r>
      <w:r w:rsidR="00315A3F">
        <w:rPr>
          <w:color w:val="0D0D0D" w:themeColor="text1" w:themeTint="F2"/>
        </w:rPr>
        <w:t>duc</w:t>
      </w:r>
      <w:r w:rsidRPr="00C43F6C">
        <w:rPr>
          <w:color w:val="0D0D0D" w:themeColor="text1" w:themeTint="F2"/>
        </w:rPr>
        <w:t xml:space="preserve">ir </w:t>
      </w:r>
      <w:r w:rsidR="00315A3F">
        <w:rPr>
          <w:color w:val="0D0D0D" w:themeColor="text1" w:themeTint="F2"/>
        </w:rPr>
        <w:t xml:space="preserve">en </w:t>
      </w:r>
      <w:r w:rsidRPr="00C43F6C">
        <w:rPr>
          <w:color w:val="0D0D0D" w:themeColor="text1" w:themeTint="F2"/>
        </w:rPr>
        <w:t>error al comité evaluador.</w:t>
      </w:r>
    </w:p>
    <w:p w:rsidR="00002FB5" w:rsidRPr="00C43F6C" w:rsidRDefault="00002FB5" w:rsidP="00002FB5">
      <w:pPr>
        <w:pStyle w:val="Prrafodelista"/>
        <w:rPr>
          <w:color w:val="0D0D0D" w:themeColor="text1" w:themeTint="F2"/>
        </w:rPr>
      </w:pPr>
    </w:p>
    <w:p w:rsidR="00002FB5" w:rsidRPr="00C43F6C" w:rsidRDefault="00002FB5" w:rsidP="00002FB5">
      <w:pPr>
        <w:pStyle w:val="Prrafodelista"/>
        <w:numPr>
          <w:ilvl w:val="0"/>
          <w:numId w:val="2"/>
        </w:numPr>
        <w:adjustRightInd w:val="0"/>
        <w:ind w:left="284" w:hanging="284"/>
        <w:jc w:val="both"/>
        <w:rPr>
          <w:color w:val="0D0D0D" w:themeColor="text1" w:themeTint="F2"/>
        </w:rPr>
      </w:pPr>
      <w:r w:rsidRPr="00C43F6C">
        <w:rPr>
          <w:color w:val="0D0D0D" w:themeColor="text1" w:themeTint="F2"/>
        </w:rPr>
        <w:t>Cuando no se oferte la totalidad de los ítems d</w:t>
      </w:r>
      <w:r>
        <w:rPr>
          <w:color w:val="0D0D0D" w:themeColor="text1" w:themeTint="F2"/>
        </w:rPr>
        <w:t xml:space="preserve">escritos en </w:t>
      </w:r>
      <w:r w:rsidR="00045007">
        <w:rPr>
          <w:color w:val="0D0D0D" w:themeColor="text1" w:themeTint="F2"/>
        </w:rPr>
        <w:t>la sección 4 “oferta económica”</w:t>
      </w:r>
      <w:r w:rsidR="00621E12">
        <w:rPr>
          <w:color w:val="0D0D0D" w:themeColor="text1" w:themeTint="F2"/>
        </w:rPr>
        <w:t xml:space="preserve"> del pliego virtual. </w:t>
      </w:r>
    </w:p>
    <w:p w:rsidR="00002FB5" w:rsidRDefault="00002FB5" w:rsidP="00002FB5">
      <w:pPr>
        <w:pStyle w:val="Prrafodelista"/>
        <w:adjustRightInd w:val="0"/>
        <w:ind w:left="644"/>
        <w:jc w:val="both"/>
        <w:rPr>
          <w:color w:val="0D0D0D" w:themeColor="text1" w:themeTint="F2"/>
        </w:rPr>
      </w:pPr>
    </w:p>
    <w:p w:rsidR="007429D7" w:rsidRDefault="007429D7" w:rsidP="00002FB5">
      <w:pPr>
        <w:pStyle w:val="Prrafodelista"/>
        <w:adjustRightInd w:val="0"/>
        <w:ind w:left="644"/>
        <w:jc w:val="both"/>
        <w:rPr>
          <w:color w:val="0D0D0D" w:themeColor="text1" w:themeTint="F2"/>
        </w:rPr>
      </w:pPr>
    </w:p>
    <w:p w:rsidR="00002FB5" w:rsidRPr="00C43F6C" w:rsidRDefault="00002FB5" w:rsidP="00002FB5">
      <w:pPr>
        <w:adjustRightInd w:val="0"/>
        <w:rPr>
          <w:b/>
          <w:bCs/>
          <w:color w:val="0D0D0D" w:themeColor="text1" w:themeTint="F2"/>
        </w:rPr>
      </w:pPr>
      <w:r w:rsidRPr="00C43F6C">
        <w:rPr>
          <w:b/>
          <w:bCs/>
          <w:color w:val="0D0D0D" w:themeColor="text1" w:themeTint="F2"/>
        </w:rPr>
        <w:lastRenderedPageBreak/>
        <w:t>CAUSALES PARA DECLARAR DESIERTO EL PROCESO</w:t>
      </w:r>
    </w:p>
    <w:p w:rsidR="00002FB5" w:rsidRPr="00C43F6C" w:rsidRDefault="00002FB5" w:rsidP="00002FB5">
      <w:pPr>
        <w:adjustRightInd w:val="0"/>
        <w:jc w:val="both"/>
        <w:rPr>
          <w:color w:val="0D0D0D" w:themeColor="text1" w:themeTint="F2"/>
        </w:rPr>
      </w:pPr>
    </w:p>
    <w:p w:rsidR="00002FB5" w:rsidRPr="00C43F6C" w:rsidRDefault="00002FB5" w:rsidP="00002FB5">
      <w:pPr>
        <w:adjustRightInd w:val="0"/>
        <w:jc w:val="both"/>
        <w:rPr>
          <w:color w:val="0D0D0D" w:themeColor="text1" w:themeTint="F2"/>
        </w:rPr>
      </w:pPr>
      <w:r w:rsidRPr="00C43F6C">
        <w:rPr>
          <w:color w:val="0D0D0D" w:themeColor="text1" w:themeTint="F2"/>
        </w:rPr>
        <w:t xml:space="preserve">La </w:t>
      </w:r>
      <w:r w:rsidR="00B43CFB" w:rsidRPr="00C43F6C">
        <w:rPr>
          <w:color w:val="0D0D0D" w:themeColor="text1" w:themeTint="F2"/>
        </w:rPr>
        <w:t xml:space="preserve">Policía Metropolitana </w:t>
      </w:r>
      <w:r w:rsidRPr="00C43F6C">
        <w:rPr>
          <w:color w:val="0D0D0D" w:themeColor="text1" w:themeTint="F2"/>
        </w:rPr>
        <w:t>de Ibagué- área de sanidad Tolima, declarará desierto el presente proceso al vencimiento del plazo previsto para adjudicar, cuando entre las propuestas presentadas no se logre adjudicar a ninguna el contrato ofrecido, ya sea porque las propuestas no cumplan con las condiciones para ser adjudicatarias, porque no se presenten propuestas, o por cualquier otra causa que impida la selección objetiva.</w:t>
      </w:r>
    </w:p>
    <w:p w:rsidR="00002FB5" w:rsidRPr="00C43F6C" w:rsidRDefault="00002FB5" w:rsidP="00002FB5">
      <w:pPr>
        <w:adjustRightInd w:val="0"/>
        <w:jc w:val="both"/>
        <w:rPr>
          <w:color w:val="0D0D0D" w:themeColor="text1" w:themeTint="F2"/>
        </w:rPr>
      </w:pPr>
    </w:p>
    <w:p w:rsidR="00002FB5" w:rsidRPr="00C43F6C" w:rsidRDefault="00002FB5" w:rsidP="00002FB5">
      <w:pPr>
        <w:adjustRightInd w:val="0"/>
        <w:jc w:val="both"/>
        <w:rPr>
          <w:color w:val="0D0D0D" w:themeColor="text1" w:themeTint="F2"/>
        </w:rPr>
      </w:pPr>
      <w:r w:rsidRPr="00C43F6C">
        <w:rPr>
          <w:color w:val="0D0D0D" w:themeColor="text1" w:themeTint="F2"/>
        </w:rPr>
        <w:t>Si de la consulta y análisis de precios o condiciones del mercado se desprende que no existen razones que justifiquen la diferencia de precios</w:t>
      </w:r>
      <w:r w:rsidR="00B43CFB">
        <w:rPr>
          <w:color w:val="0D0D0D" w:themeColor="text1" w:themeTint="F2"/>
        </w:rPr>
        <w:t xml:space="preserve"> y/o tarifas, entre los precios y/o tarifas de referencia </w:t>
      </w:r>
      <w:r w:rsidRPr="00C43F6C">
        <w:rPr>
          <w:color w:val="0D0D0D" w:themeColor="text1" w:themeTint="F2"/>
        </w:rPr>
        <w:t xml:space="preserve"> y los presentados por los oferentes en el presente proceso, la entidad podrá descalificarlos o declarar desierto el proceso, caso en el cual deberá darse inicio a uno nuevo.</w:t>
      </w:r>
    </w:p>
    <w:p w:rsidR="00002FB5" w:rsidRPr="00C43F6C" w:rsidRDefault="00002FB5" w:rsidP="00002FB5">
      <w:pPr>
        <w:adjustRightInd w:val="0"/>
        <w:jc w:val="both"/>
        <w:rPr>
          <w:color w:val="0D0D0D" w:themeColor="text1" w:themeTint="F2"/>
        </w:rPr>
      </w:pPr>
    </w:p>
    <w:p w:rsidR="00002FB5" w:rsidRPr="00C43F6C" w:rsidRDefault="00002FB5" w:rsidP="00002FB5">
      <w:pPr>
        <w:adjustRightInd w:val="0"/>
        <w:jc w:val="both"/>
        <w:rPr>
          <w:color w:val="0D0D0D" w:themeColor="text1" w:themeTint="F2"/>
        </w:rPr>
      </w:pPr>
      <w:r w:rsidRPr="00C43F6C">
        <w:rPr>
          <w:color w:val="0D0D0D" w:themeColor="text1" w:themeTint="F2"/>
        </w:rPr>
        <w:t>La declaratoria de desierta del proceso se hará mediante acto motivado, el cual se notificará a todos los proponentes. Contra este acto administrativo procede el recurso de reposición, en las condiciones establecidas en los artículos 51 y siguientes del Código Contencioso Administrativo.</w:t>
      </w:r>
    </w:p>
    <w:p w:rsidR="004D41DF" w:rsidRDefault="004D41DF" w:rsidP="00C2635E">
      <w:pPr>
        <w:pStyle w:val="Prrafodelista"/>
        <w:adjustRightInd w:val="0"/>
        <w:ind w:left="284"/>
        <w:jc w:val="both"/>
      </w:pPr>
    </w:p>
    <w:sectPr w:rsidR="004D41D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EB066F"/>
    <w:multiLevelType w:val="hybridMultilevel"/>
    <w:tmpl w:val="A79A2CD6"/>
    <w:lvl w:ilvl="0" w:tplc="0A0017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F531DB"/>
    <w:multiLevelType w:val="hybridMultilevel"/>
    <w:tmpl w:val="4E0467BE"/>
    <w:lvl w:ilvl="0" w:tplc="D2F203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17612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8A39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0E3C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24A1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649F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FCD0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90B4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E648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E276971"/>
    <w:multiLevelType w:val="hybridMultilevel"/>
    <w:tmpl w:val="D58A9CD0"/>
    <w:lvl w:ilvl="0" w:tplc="240A0019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33F"/>
    <w:rsid w:val="00002FB5"/>
    <w:rsid w:val="00045007"/>
    <w:rsid w:val="0006633F"/>
    <w:rsid w:val="00090DDF"/>
    <w:rsid w:val="001B092B"/>
    <w:rsid w:val="00221AD0"/>
    <w:rsid w:val="002225CF"/>
    <w:rsid w:val="00236174"/>
    <w:rsid w:val="00266B02"/>
    <w:rsid w:val="003050E0"/>
    <w:rsid w:val="00315A3F"/>
    <w:rsid w:val="0033664F"/>
    <w:rsid w:val="003526E8"/>
    <w:rsid w:val="00386CAC"/>
    <w:rsid w:val="00412AF4"/>
    <w:rsid w:val="00412E4D"/>
    <w:rsid w:val="00432993"/>
    <w:rsid w:val="00485C1D"/>
    <w:rsid w:val="004B01AD"/>
    <w:rsid w:val="004B364E"/>
    <w:rsid w:val="004D41DF"/>
    <w:rsid w:val="005A6E95"/>
    <w:rsid w:val="005F0457"/>
    <w:rsid w:val="00621E12"/>
    <w:rsid w:val="006C0DE5"/>
    <w:rsid w:val="006E01C0"/>
    <w:rsid w:val="006F4692"/>
    <w:rsid w:val="007127DE"/>
    <w:rsid w:val="007429D7"/>
    <w:rsid w:val="00746F0F"/>
    <w:rsid w:val="007A28E8"/>
    <w:rsid w:val="007D2157"/>
    <w:rsid w:val="009B5443"/>
    <w:rsid w:val="00AA5196"/>
    <w:rsid w:val="00AB0D20"/>
    <w:rsid w:val="00B1237B"/>
    <w:rsid w:val="00B43CFB"/>
    <w:rsid w:val="00B46D45"/>
    <w:rsid w:val="00B566BD"/>
    <w:rsid w:val="00C2635E"/>
    <w:rsid w:val="00D4091F"/>
    <w:rsid w:val="00D76B3C"/>
    <w:rsid w:val="00D77321"/>
    <w:rsid w:val="00E36F75"/>
    <w:rsid w:val="00E74CE6"/>
    <w:rsid w:val="00E94D33"/>
    <w:rsid w:val="00E9654D"/>
    <w:rsid w:val="00EA4AA6"/>
    <w:rsid w:val="00F63904"/>
    <w:rsid w:val="00F657AB"/>
    <w:rsid w:val="00F8397D"/>
    <w:rsid w:val="00FD06AD"/>
    <w:rsid w:val="00FD5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CB1323F-727A-4D6C-A559-8103B2424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633F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06633F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rsid w:val="0006633F"/>
    <w:rPr>
      <w:rFonts w:ascii="Arial" w:eastAsia="Times New Roman" w:hAnsi="Arial" w:cs="Arial"/>
      <w:sz w:val="20"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06633F"/>
    <w:pPr>
      <w:autoSpaceDE/>
      <w:autoSpaceDN/>
      <w:ind w:left="720"/>
      <w:contextualSpacing/>
    </w:pPr>
    <w:rPr>
      <w:rFonts w:ascii="Times New Roman" w:hAnsi="Times New Roman" w:cs="Times New Roman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593</Words>
  <Characters>3264</Characters>
  <Application>Microsoft Office Word</Application>
  <DocSecurity>0</DocSecurity>
  <Lines>27</Lines>
  <Paragraphs>7</Paragraphs>
  <ScaleCrop>false</ScaleCrop>
  <Company/>
  <LinksUpToDate>false</LinksUpToDate>
  <CharactersWithSpaces>3850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JOHN FREDY JIMENEZ SUAREZ</dc:creator>
  <cp:keywords/>
  <dc:description/>
  <cp:lastModifiedBy>DISAN - RUBELIO HUMBERTO CARDONA MANJARRES</cp:lastModifiedBy>
  <cp:revision>70</cp:revision>
  <dcterms:created xsi:type="dcterms:W3CDTF">2018-02-18T14:21:00Z</dcterms:created>
  <dcterms:modified xsi:type="dcterms:W3CDTF">2019-09-17T15:43:00Z</dcterms:modified>
</cp:coreProperties>
</file>