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67409" w14:textId="5E57B721" w:rsidR="00ED37CD" w:rsidRDefault="00ED37CD">
      <w:r>
        <w:rPr>
          <w:noProof/>
        </w:rPr>
        <w:drawing>
          <wp:inline distT="0" distB="0" distL="0" distR="0" wp14:anchorId="5BA05063" wp14:editId="5BD9FC66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37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7CD"/>
    <w:rsid w:val="00ED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0289F"/>
  <w15:chartTrackingRefBased/>
  <w15:docId w15:val="{932B01AE-B60B-4684-8E26-212B759EB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Municipio de Medellin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Leonor Sanchez Bernal</dc:creator>
  <cp:keywords/>
  <dc:description/>
  <cp:lastModifiedBy>Maria Leonor Sanchez Bernal</cp:lastModifiedBy>
  <cp:revision>1</cp:revision>
  <dcterms:created xsi:type="dcterms:W3CDTF">2023-06-14T14:03:00Z</dcterms:created>
  <dcterms:modified xsi:type="dcterms:W3CDTF">2023-06-14T14:04:00Z</dcterms:modified>
</cp:coreProperties>
</file>