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473" w:rsidRPr="00171473" w:rsidRDefault="00171473" w:rsidP="00171473">
      <w:pPr>
        <w:tabs>
          <w:tab w:val="left" w:pos="-142"/>
        </w:tabs>
        <w:autoSpaceDE w:val="0"/>
        <w:autoSpaceDN w:val="0"/>
        <w:adjustRightInd w:val="0"/>
        <w:spacing w:before="120" w:after="240" w:line="259" w:lineRule="auto"/>
        <w:jc w:val="center"/>
        <w:rPr>
          <w:rFonts w:ascii="Arial" w:hAnsi="Arial" w:cs="Arial"/>
          <w:b/>
          <w:color w:val="3B3838"/>
          <w:sz w:val="24"/>
          <w:szCs w:val="20"/>
          <w:lang w:val="es-CO" w:eastAsia="es-CO"/>
        </w:rPr>
      </w:pPr>
      <w:bookmarkStart w:id="0" w:name="_Toc520226858"/>
      <w:bookmarkStart w:id="1" w:name="_Toc520297828"/>
      <w:bookmarkStart w:id="2" w:name="_Toc520317093"/>
      <w:bookmarkStart w:id="3" w:name="_Toc533083694"/>
      <w:bookmarkStart w:id="4" w:name="_Toc5006125"/>
      <w:r>
        <w:rPr>
          <w:rFonts w:ascii="Arial" w:hAnsi="Arial" w:cs="Arial"/>
          <w:b/>
          <w:color w:val="3B3838"/>
          <w:sz w:val="24"/>
          <w:szCs w:val="20"/>
          <w:lang w:val="es-CO" w:eastAsia="es-CO"/>
        </w:rPr>
        <w:t>Anexo 3</w:t>
      </w:r>
    </w:p>
    <w:p w:rsidR="00171473" w:rsidRPr="00171473" w:rsidRDefault="00171473" w:rsidP="00171473">
      <w:pPr>
        <w:keepNext/>
        <w:spacing w:before="120"/>
        <w:jc w:val="center"/>
        <w:outlineLvl w:val="1"/>
        <w:rPr>
          <w:rFonts w:ascii="Arial" w:hAnsi="Arial" w:cs="Arial"/>
          <w:b/>
          <w:color w:val="3B3838"/>
          <w:lang w:val="es-CO" w:eastAsia="es-CO"/>
        </w:rPr>
      </w:pPr>
      <w:r w:rsidRPr="00171473">
        <w:rPr>
          <w:rFonts w:ascii="Arial" w:hAnsi="Arial" w:cs="Arial"/>
          <w:b/>
          <w:color w:val="3B3838"/>
          <w:lang w:val="es-CO" w:eastAsia="es-CO"/>
        </w:rPr>
        <w:t>GLOSARIO</w:t>
      </w:r>
    </w:p>
    <w:p w:rsidR="00171473" w:rsidRPr="00171473" w:rsidRDefault="00171473" w:rsidP="00171473">
      <w:pPr>
        <w:tabs>
          <w:tab w:val="left" w:pos="-142"/>
        </w:tabs>
        <w:autoSpaceDE w:val="0"/>
        <w:autoSpaceDN w:val="0"/>
        <w:adjustRightInd w:val="0"/>
        <w:spacing w:before="120" w:after="240"/>
        <w:jc w:val="both"/>
        <w:rPr>
          <w:rFonts w:ascii="Arial" w:hAnsi="Arial" w:cs="Arial"/>
          <w:lang w:val="es-CO" w:eastAsia="es-CO"/>
        </w:rPr>
      </w:pPr>
      <w:r w:rsidRPr="00171473">
        <w:rPr>
          <w:rFonts w:ascii="Arial" w:eastAsia="Arial" w:hAnsi="Arial" w:cs="Arial"/>
          <w:color w:val="3B3838"/>
          <w:lang w:eastAsia="es-ES"/>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w:t>
      </w:r>
      <w:r w:rsidRPr="00171473">
        <w:rPr>
          <w:rFonts w:ascii="Arial" w:eastAsia="Arial" w:hAnsi="Arial" w:cs="Arial"/>
          <w:lang w:eastAsia="es-ES"/>
        </w:rPr>
        <w:fldChar w:fldCharType="begin"/>
      </w:r>
      <w:r w:rsidRPr="00171473">
        <w:rPr>
          <w:rFonts w:ascii="Arial" w:eastAsia="Arial" w:hAnsi="Arial" w:cs="Arial"/>
          <w:lang w:eastAsia="es-ES"/>
        </w:rPr>
        <w:instrText xml:space="preserve"> REF _Ref511383013 \h  \* MERGEFORMAT </w:instrText>
      </w:r>
      <w:r w:rsidRPr="00171473">
        <w:rPr>
          <w:rFonts w:ascii="Arial" w:eastAsia="Arial" w:hAnsi="Arial" w:cs="Arial"/>
          <w:lang w:eastAsia="es-ES"/>
        </w:rPr>
      </w:r>
      <w:r w:rsidRPr="00171473">
        <w:rPr>
          <w:rFonts w:ascii="Arial" w:eastAsia="Arial" w:hAnsi="Arial" w:cs="Arial"/>
          <w:lang w:eastAsia="es-ES"/>
        </w:rPr>
        <w:fldChar w:fldCharType="separate"/>
      </w:r>
      <w:r w:rsidRPr="00171473">
        <w:rPr>
          <w:rFonts w:ascii="Arial" w:eastAsia="Arial" w:hAnsi="Arial" w:cs="Arial"/>
          <w:lang w:val="x-none" w:eastAsia="es-ES"/>
        </w:rPr>
        <w:t>Anexo 3 – Glosario</w:t>
      </w:r>
      <w:r w:rsidRPr="00171473">
        <w:rPr>
          <w:rFonts w:ascii="Arial" w:eastAsia="Arial" w:hAnsi="Arial" w:cs="Arial"/>
          <w:lang w:eastAsia="es-ES"/>
        </w:rPr>
        <w:fldChar w:fldCharType="end"/>
      </w:r>
      <w:r w:rsidRPr="00171473">
        <w:rPr>
          <w:rFonts w:ascii="Arial" w:eastAsia="Arial" w:hAnsi="Arial" w:cs="Arial"/>
          <w:lang w:eastAsia="es-ES"/>
        </w:rPr>
        <w:t>.</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color w:val="333333"/>
          <w:lang w:val="es-CO" w:eastAsia="es-CO"/>
        </w:rPr>
        <w:t>Artículo 2.2.1.1.1.3.1. </w:t>
      </w:r>
      <w:r w:rsidRPr="00171473">
        <w:rPr>
          <w:rFonts w:ascii="Arial" w:hAnsi="Arial" w:cs="Arial"/>
          <w:b/>
          <w:bCs/>
          <w:i/>
          <w:iCs/>
          <w:color w:val="333333"/>
          <w:lang w:val="es-CO" w:eastAsia="es-CO"/>
        </w:rPr>
        <w:t>Definiciones.</w:t>
      </w:r>
      <w:r w:rsidRPr="00171473">
        <w:rPr>
          <w:rFonts w:ascii="Arial" w:hAnsi="Arial" w:cs="Arial"/>
          <w:i/>
          <w:iCs/>
          <w:color w:val="333333"/>
          <w:lang w:val="es-CO" w:eastAsia="es-CO"/>
        </w:rPr>
        <w:t> </w:t>
      </w:r>
      <w:r w:rsidRPr="00171473">
        <w:rPr>
          <w:rFonts w:ascii="Arial" w:hAnsi="Arial" w:cs="Arial"/>
          <w:color w:val="333333"/>
          <w:lang w:val="es-CO" w:eastAsia="es-CO"/>
        </w:rPr>
        <w:t>Los términos no definidos en el Título I de la Parte 2 del presente decreto y utilizados frecuentemente deben entenderse de acuerdo con su significado natural y obvio. Para la interpretación del presente Título I, las expresiones aquí utilizadas con mayúscula inicial deben ser entendidas con el significado que a continuación se indica. Los términos definidos son utilizados en singular y en plural de acuerdo como lo requiera el contexto en el cual son utilizados.</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Acuerdos Comerciales:</w:t>
      </w:r>
      <w:r w:rsidRPr="00171473">
        <w:rPr>
          <w:rFonts w:ascii="Arial" w:hAnsi="Arial" w:cs="Arial"/>
          <w:i/>
          <w:iCs/>
          <w:color w:val="333333"/>
          <w:lang w:val="es-CO" w:eastAsia="es-CO"/>
        </w:rPr>
        <w:t> </w:t>
      </w:r>
      <w:r w:rsidRPr="00171473">
        <w:rPr>
          <w:rFonts w:ascii="Arial" w:hAnsi="Arial" w:cs="Arial"/>
          <w:color w:val="333333"/>
          <w:lang w:val="es-CO" w:eastAsia="es-CO"/>
        </w:rPr>
        <w:t>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Acuerdo Marco de Precios:</w:t>
      </w:r>
      <w:r w:rsidRPr="00171473">
        <w:rPr>
          <w:rFonts w:ascii="Arial" w:hAnsi="Arial" w:cs="Arial"/>
          <w:i/>
          <w:iCs/>
          <w:color w:val="333333"/>
          <w:lang w:val="es-CO" w:eastAsia="es-CO"/>
        </w:rPr>
        <w:t> </w:t>
      </w:r>
      <w:r w:rsidRPr="00171473">
        <w:rPr>
          <w:rFonts w:ascii="Arial" w:hAnsi="Arial" w:cs="Arial"/>
          <w:color w:val="333333"/>
          <w:lang w:val="es-CO" w:eastAsia="es-CO"/>
        </w:rPr>
        <w:t>Contrato celebrado entre uno o más proveedores y Colombia Compra Eficiente, o quien haga sus veces, para la provisión a las Entidades Estatales de Bienes y Servicios de Características Técnicas Uniformes, en la forma, plazo y condiciones establecidas en este.</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Adendas:</w:t>
      </w:r>
      <w:r w:rsidRPr="00171473">
        <w:rPr>
          <w:rFonts w:ascii="Arial" w:hAnsi="Arial" w:cs="Arial"/>
          <w:i/>
          <w:iCs/>
          <w:color w:val="333333"/>
          <w:lang w:val="es-CO" w:eastAsia="es-CO"/>
        </w:rPr>
        <w:t> </w:t>
      </w:r>
      <w:r w:rsidRPr="00171473">
        <w:rPr>
          <w:rFonts w:ascii="Arial" w:hAnsi="Arial" w:cs="Arial"/>
          <w:color w:val="333333"/>
          <w:lang w:val="es-CO" w:eastAsia="es-CO"/>
        </w:rPr>
        <w:t>Documento por medio del cual la Entidad Estatal modifica los pliegos de condiciones.</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Bienes Nacionales:</w:t>
      </w:r>
      <w:r w:rsidRPr="00171473">
        <w:rPr>
          <w:rFonts w:ascii="Arial" w:hAnsi="Arial" w:cs="Arial"/>
          <w:i/>
          <w:iCs/>
          <w:color w:val="333333"/>
          <w:lang w:val="es-CO" w:eastAsia="es-CO"/>
        </w:rPr>
        <w:t> </w:t>
      </w:r>
      <w:r w:rsidRPr="00171473">
        <w:rPr>
          <w:rFonts w:ascii="Arial" w:hAnsi="Arial" w:cs="Arial"/>
          <w:color w:val="333333"/>
          <w:lang w:val="es-CO" w:eastAsia="es-CO"/>
        </w:rPr>
        <w:t>Bienes definidos como nacionales en el Registro de Productores de Bienes Nacionales, de conformidad con el</w:t>
      </w:r>
      <w:hyperlink r:id="rId8" w:history="1">
        <w:r w:rsidRPr="00171473">
          <w:rPr>
            <w:rFonts w:ascii="Arial" w:hAnsi="Arial" w:cs="Arial"/>
            <w:color w:val="630E00"/>
            <w:u w:val="single"/>
            <w:lang w:val="es-CO" w:eastAsia="es-CO"/>
          </w:rPr>
          <w:t> Decreto 2680 de 2009​</w:t>
        </w:r>
      </w:hyperlink>
      <w:r w:rsidRPr="00171473">
        <w:rPr>
          <w:rFonts w:ascii="Arial" w:hAnsi="Arial" w:cs="Arial"/>
          <w:color w:val="333333"/>
          <w:lang w:val="es-CO" w:eastAsia="es-CO"/>
        </w:rPr>
        <w:t> o las normas que lo modifiquen, aclaren, adicionen o sustituyan.</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Bienes </w:t>
      </w:r>
      <w:r w:rsidRPr="00171473">
        <w:rPr>
          <w:rFonts w:ascii="Arial" w:hAnsi="Arial" w:cs="Arial"/>
          <w:b/>
          <w:bCs/>
          <w:color w:val="333333"/>
          <w:lang w:val="es-CO" w:eastAsia="es-CO"/>
        </w:rPr>
        <w:t>y </w:t>
      </w:r>
      <w:r w:rsidRPr="00171473">
        <w:rPr>
          <w:rFonts w:ascii="Arial" w:hAnsi="Arial" w:cs="Arial"/>
          <w:b/>
          <w:bCs/>
          <w:i/>
          <w:iCs/>
          <w:color w:val="333333"/>
          <w:lang w:val="es-CO" w:eastAsia="es-CO"/>
        </w:rPr>
        <w:t>Servicios de Características Técnicas Uniformes: </w:t>
      </w:r>
      <w:r w:rsidRPr="00171473">
        <w:rPr>
          <w:rFonts w:ascii="Arial" w:hAnsi="Arial" w:cs="Arial"/>
          <w:color w:val="333333"/>
          <w:lang w:val="es-CO" w:eastAsia="es-CO"/>
        </w:rPr>
        <w:t xml:space="preserve">Bienes y servicios de común utilización con especificaciones técnicas y </w:t>
      </w:r>
      <w:proofErr w:type="spellStart"/>
      <w:r w:rsidRPr="00171473">
        <w:rPr>
          <w:rFonts w:ascii="Arial" w:hAnsi="Arial" w:cs="Arial"/>
          <w:color w:val="333333"/>
          <w:lang w:val="es-CO" w:eastAsia="es-CO"/>
        </w:rPr>
        <w:t>pa</w:t>
      </w:r>
      <w:proofErr w:type="spellEnd"/>
      <w:r w:rsidRPr="00171473">
        <w:rPr>
          <w:rFonts w:ascii="Arial" w:hAnsi="Arial" w:cs="Arial"/>
          <w:color w:val="333333"/>
          <w:lang w:val="es-CO" w:eastAsia="es-CO"/>
        </w:rPr>
        <w:t>​​</w:t>
      </w:r>
      <w:proofErr w:type="spellStart"/>
      <w:r w:rsidRPr="00171473">
        <w:rPr>
          <w:rFonts w:ascii="Arial" w:hAnsi="Arial" w:cs="Arial"/>
          <w:color w:val="333333"/>
          <w:lang w:val="es-CO" w:eastAsia="es-CO"/>
        </w:rPr>
        <w:t>trones</w:t>
      </w:r>
      <w:proofErr w:type="spellEnd"/>
      <w:r w:rsidRPr="00171473">
        <w:rPr>
          <w:rFonts w:ascii="Arial" w:hAnsi="Arial" w:cs="Arial"/>
          <w:color w:val="333333"/>
          <w:lang w:val="es-CO" w:eastAsia="es-CO"/>
        </w:rPr>
        <w:t xml:space="preserve"> de desempeño y calidad iguales o similares, que en consecuencia pueden ser agrupados como bienes y servicios homogéneos para su adquisición y a los que se refiere el literal (</w:t>
      </w:r>
      <w:r w:rsidRPr="00171473">
        <w:rPr>
          <w:rFonts w:ascii="Arial" w:hAnsi="Arial" w:cs="Arial"/>
          <w:color w:val="333333"/>
          <w:u w:val="single"/>
          <w:lang w:val="es-CO" w:eastAsia="es-CO"/>
        </w:rPr>
        <w:t>a</w:t>
      </w:r>
      <w:r w:rsidRPr="00171473">
        <w:rPr>
          <w:rFonts w:ascii="Arial" w:hAnsi="Arial" w:cs="Arial"/>
          <w:color w:val="333333"/>
          <w:lang w:val="es-CO" w:eastAsia="es-CO"/>
        </w:rPr>
        <w:t>) del numeral 2 del artículo 2 de la </w:t>
      </w:r>
      <w:hyperlink r:id="rId9" w:history="1">
        <w:r w:rsidRPr="00171473">
          <w:rPr>
            <w:rFonts w:ascii="Arial" w:hAnsi="Arial" w:cs="Arial"/>
            <w:color w:val="630E00"/>
            <w:u w:val="single"/>
            <w:lang w:val="es-CO" w:eastAsia="es-CO"/>
          </w:rPr>
          <w:t>Ley 1150 de 2007</w:t>
        </w:r>
      </w:hyperlink>
      <w:r w:rsidRPr="00171473">
        <w:rPr>
          <w:rFonts w:ascii="Arial" w:hAnsi="Arial" w:cs="Arial"/>
          <w:color w:val="333333"/>
          <w:lang w:val="es-CO" w:eastAsia="es-CO"/>
        </w:rPr>
        <w:t>.</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Capacidad Residual o K de Contratación:</w:t>
      </w:r>
      <w:r w:rsidRPr="00171473">
        <w:rPr>
          <w:rFonts w:ascii="Arial" w:hAnsi="Arial" w:cs="Arial"/>
          <w:i/>
          <w:iCs/>
          <w:color w:val="333333"/>
          <w:lang w:val="es-CO" w:eastAsia="es-CO"/>
        </w:rPr>
        <w:t> </w:t>
      </w:r>
      <w:r w:rsidRPr="00171473">
        <w:rPr>
          <w:rFonts w:ascii="Arial" w:hAnsi="Arial" w:cs="Arial"/>
          <w:color w:val="333333"/>
          <w:lang w:val="es-CO" w:eastAsia="es-CO"/>
        </w:rPr>
        <w:t xml:space="preserve">Aptitud de un oferente para cumplir oportuna y cabalmente con el objeto de un contrato de obra, sin que sus otros compromisos </w:t>
      </w:r>
      <w:r w:rsidRPr="00171473">
        <w:rPr>
          <w:rFonts w:ascii="Arial" w:hAnsi="Arial" w:cs="Arial"/>
          <w:color w:val="333333"/>
          <w:lang w:val="es-CO" w:eastAsia="es-CO"/>
        </w:rPr>
        <w:lastRenderedPageBreak/>
        <w:t>contractuales afecten su habilidad de cumplir con el contrato que está en proceso de selección.</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Catálogo para Acuerdos Marco de Precios: </w:t>
      </w:r>
      <w:r w:rsidRPr="00171473">
        <w:rPr>
          <w:rFonts w:ascii="Arial" w:hAnsi="Arial" w:cs="Arial"/>
          <w:color w:val="333333"/>
          <w:lang w:val="es-CO" w:eastAsia="es-CO"/>
        </w:rPr>
        <w:t>Ficha que contiene: (a) la lista de bienes y/o servicios; (b) las condiciones de su contratación que están amparadas por un Acuerdo Marco de Precios; y (c) la lista de los contratistas que son parte del Acuerdo Marco de Precios.</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Clasificador de Bienes y Servicios:</w:t>
      </w:r>
      <w:r w:rsidRPr="00171473">
        <w:rPr>
          <w:rFonts w:ascii="Arial" w:hAnsi="Arial" w:cs="Arial"/>
          <w:i/>
          <w:iCs/>
          <w:color w:val="333333"/>
          <w:lang w:val="es-CO" w:eastAsia="es-CO"/>
        </w:rPr>
        <w:t> </w:t>
      </w:r>
      <w:r w:rsidRPr="00171473">
        <w:rPr>
          <w:rFonts w:ascii="Arial" w:hAnsi="Arial" w:cs="Arial"/>
          <w:color w:val="333333"/>
          <w:lang w:val="es-CO" w:eastAsia="es-CO"/>
        </w:rPr>
        <w:t>Sistema de codificación de las Naciones Unidas para estandarizar productos y servicios, conocido por las siglas UNSPSC.</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Colombia Compra Eficiente:</w:t>
      </w:r>
      <w:r w:rsidRPr="00171473">
        <w:rPr>
          <w:rFonts w:ascii="Arial" w:hAnsi="Arial" w:cs="Arial"/>
          <w:i/>
          <w:iCs/>
          <w:color w:val="333333"/>
          <w:lang w:val="es-CO" w:eastAsia="es-CO"/>
        </w:rPr>
        <w:t> </w:t>
      </w:r>
      <w:r w:rsidRPr="00171473">
        <w:rPr>
          <w:rFonts w:ascii="Arial" w:hAnsi="Arial" w:cs="Arial"/>
          <w:color w:val="333333"/>
          <w:lang w:val="es-CO" w:eastAsia="es-CO"/>
        </w:rPr>
        <w:t>Agencia Nacional de Contratación Pública creada por medio del </w:t>
      </w:r>
      <w:hyperlink r:id="rId10" w:history="1">
        <w:r w:rsidRPr="00171473">
          <w:rPr>
            <w:rFonts w:ascii="Arial" w:hAnsi="Arial" w:cs="Arial"/>
            <w:color w:val="630E00"/>
            <w:u w:val="single"/>
            <w:lang w:val="es-CO" w:eastAsia="es-CO"/>
          </w:rPr>
          <w:t>Decreto-Ley 4170 de 2011</w:t>
        </w:r>
      </w:hyperlink>
      <w:r w:rsidRPr="00171473">
        <w:rPr>
          <w:rFonts w:ascii="Arial" w:hAnsi="Arial" w:cs="Arial"/>
          <w:color w:val="333333"/>
          <w:lang w:val="es-CO" w:eastAsia="es-CO"/>
        </w:rPr>
        <w:t>.</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Cronograma: </w:t>
      </w:r>
      <w:r w:rsidRPr="00171473">
        <w:rPr>
          <w:rFonts w:ascii="Arial" w:hAnsi="Arial" w:cs="Arial"/>
          <w:color w:val="333333"/>
          <w:lang w:val="es-CO" w:eastAsia="es-CO"/>
        </w:rPr>
        <w:t>Documento en el cual la Entidad Estatal establece las fechas, horas y plazos para las actividades propias del Proceso de Contratación y el lugar en el que estas deben llevarse a cabo.</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Documentos del Proceso</w:t>
      </w:r>
      <w:r w:rsidRPr="00171473">
        <w:rPr>
          <w:rFonts w:ascii="Arial" w:hAnsi="Arial" w:cs="Arial"/>
          <w:i/>
          <w:iCs/>
          <w:color w:val="333333"/>
          <w:lang w:val="es-CO" w:eastAsia="es-CO"/>
        </w:rPr>
        <w:t> </w:t>
      </w:r>
      <w:r w:rsidRPr="00171473">
        <w:rPr>
          <w:rFonts w:ascii="Arial" w:hAnsi="Arial" w:cs="Arial"/>
          <w:color w:val="333333"/>
          <w:lang w:val="es-CO" w:eastAsia="es-CO"/>
        </w:rPr>
        <w:t>son: (a) los estudios y documentos previos; (b) el aviso de convocatoria; (c) los pliegos de condiciones o la invitación; (d) las Adendas; (e) la oferta; (f) el informe de evaluación; (g) el contrato; y cualquier otro documento expedido por la Entidad Estatal durante el Proceso de Contratación.</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Entidad Estatal: </w:t>
      </w:r>
      <w:r w:rsidRPr="00171473">
        <w:rPr>
          <w:rFonts w:ascii="Arial" w:hAnsi="Arial" w:cs="Arial"/>
          <w:color w:val="333333"/>
          <w:lang w:val="es-CO" w:eastAsia="es-CO"/>
        </w:rPr>
        <w:t>Cada una de las entidades: (a) a las que se refiere el artículo 2 de la </w:t>
      </w:r>
      <w:hyperlink r:id="rId11" w:history="1">
        <w:r w:rsidRPr="00171473">
          <w:rPr>
            <w:rFonts w:ascii="Arial" w:hAnsi="Arial" w:cs="Arial"/>
            <w:color w:val="630E00"/>
            <w:u w:val="single"/>
            <w:lang w:val="es-CO" w:eastAsia="es-CO"/>
          </w:rPr>
          <w:t>Ley 80 de 1993</w:t>
        </w:r>
      </w:hyperlink>
      <w:r w:rsidRPr="00171473">
        <w:rPr>
          <w:rFonts w:ascii="Arial" w:hAnsi="Arial" w:cs="Arial"/>
          <w:color w:val="333333"/>
          <w:lang w:val="es-CO" w:eastAsia="es-CO"/>
        </w:rPr>
        <w:t>; (b) a las que se refieren los artículos 10, 14 y 24 de la</w:t>
      </w:r>
      <w:hyperlink r:id="rId12" w:history="1">
        <w:r w:rsidRPr="00171473">
          <w:rPr>
            <w:rFonts w:ascii="Arial" w:hAnsi="Arial" w:cs="Arial"/>
            <w:color w:val="630E00"/>
            <w:u w:val="single"/>
            <w:lang w:val="es-CO" w:eastAsia="es-CO"/>
          </w:rPr>
          <w:t> Ley 1150 de 2007</w:t>
        </w:r>
      </w:hyperlink>
      <w:r w:rsidRPr="00171473">
        <w:rPr>
          <w:rFonts w:ascii="Arial" w:hAnsi="Arial" w:cs="Arial"/>
          <w:color w:val="333333"/>
          <w:lang w:val="es-CO" w:eastAsia="es-CO"/>
        </w:rPr>
        <w:t> y (c) aquellas entidades que por disposición de la ley deban aplicar la </w:t>
      </w:r>
      <w:hyperlink r:id="rId13" w:history="1">
        <w:r w:rsidRPr="00171473">
          <w:rPr>
            <w:rFonts w:ascii="Arial" w:hAnsi="Arial" w:cs="Arial"/>
            <w:color w:val="630E00"/>
            <w:u w:val="single"/>
            <w:lang w:val="es-CO" w:eastAsia="es-CO"/>
          </w:rPr>
          <w:t>Ley 80 de 1993​</w:t>
        </w:r>
      </w:hyperlink>
      <w:r w:rsidRPr="00171473">
        <w:rPr>
          <w:rFonts w:ascii="Arial" w:hAnsi="Arial" w:cs="Arial"/>
          <w:color w:val="333333"/>
          <w:lang w:val="es-CO" w:eastAsia="es-CO"/>
        </w:rPr>
        <w:t> y la </w:t>
      </w:r>
      <w:hyperlink r:id="rId14" w:history="1">
        <w:r w:rsidRPr="00171473">
          <w:rPr>
            <w:rFonts w:ascii="Arial" w:hAnsi="Arial" w:cs="Arial"/>
            <w:color w:val="630E00"/>
            <w:u w:val="single"/>
            <w:lang w:val="es-CO" w:eastAsia="es-CO"/>
          </w:rPr>
          <w:t>Ley 1150 de 2007</w:t>
        </w:r>
      </w:hyperlink>
      <w:r w:rsidRPr="00171473">
        <w:rPr>
          <w:rFonts w:ascii="Arial" w:hAnsi="Arial" w:cs="Arial"/>
          <w:color w:val="333333"/>
          <w:lang w:val="es-CO" w:eastAsia="es-CO"/>
        </w:rPr>
        <w:t>, o las normas que las modifiquen, aclaren, adicionen o sustituyan.</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Etapas del Contrato: </w:t>
      </w:r>
      <w:r w:rsidRPr="00171473">
        <w:rPr>
          <w:rFonts w:ascii="Arial" w:hAnsi="Arial" w:cs="Arial"/>
          <w:color w:val="333333"/>
          <w:lang w:val="es-CO" w:eastAsia="es-CO"/>
        </w:rPr>
        <w:t>Fases en las que se divide la ejecución del contrato, teniendo en cuenta las actividades propias de cada una de ellas las cuales pueden ser utilizadas por la Entidad Estatal para estructurar las garantías del contrato.</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Grandes Superficies:</w:t>
      </w:r>
      <w:r w:rsidRPr="00171473">
        <w:rPr>
          <w:rFonts w:ascii="Arial" w:hAnsi="Arial" w:cs="Arial"/>
          <w:i/>
          <w:iCs/>
          <w:color w:val="333333"/>
          <w:lang w:val="es-CO" w:eastAsia="es-CO"/>
        </w:rPr>
        <w:t> </w:t>
      </w:r>
      <w:r w:rsidRPr="00171473">
        <w:rPr>
          <w:rFonts w:ascii="Arial" w:hAnsi="Arial" w:cs="Arial"/>
          <w:color w:val="333333"/>
          <w:lang w:val="es-CO" w:eastAsia="es-CO"/>
        </w:rPr>
        <w:t>Establecimientos de comercio que venden bienes de consumo masivo al detal y tienen las condiciones financieras definidas por la Superintendencia de Industria y Comercio.</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Lance:</w:t>
      </w:r>
      <w:r w:rsidRPr="00171473">
        <w:rPr>
          <w:rFonts w:ascii="Arial" w:hAnsi="Arial" w:cs="Arial"/>
          <w:i/>
          <w:iCs/>
          <w:color w:val="333333"/>
          <w:lang w:val="es-CO" w:eastAsia="es-CO"/>
        </w:rPr>
        <w:t> </w:t>
      </w:r>
      <w:r w:rsidRPr="00171473">
        <w:rPr>
          <w:rFonts w:ascii="Arial" w:hAnsi="Arial" w:cs="Arial"/>
          <w:color w:val="333333"/>
          <w:lang w:val="es-CO" w:eastAsia="es-CO"/>
        </w:rPr>
        <w:t>Cada una de las posturas que hacen los oferentes en el marco de una subasta.</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Margen Mínimo:</w:t>
      </w:r>
      <w:r w:rsidRPr="00171473">
        <w:rPr>
          <w:rFonts w:ascii="Arial" w:hAnsi="Arial" w:cs="Arial"/>
          <w:i/>
          <w:iCs/>
          <w:color w:val="333333"/>
          <w:lang w:val="es-CO" w:eastAsia="es-CO"/>
        </w:rPr>
        <w:t> </w:t>
      </w:r>
      <w:r w:rsidRPr="00171473">
        <w:rPr>
          <w:rFonts w:ascii="Arial" w:hAnsi="Arial" w:cs="Arial"/>
          <w:color w:val="333333"/>
          <w:lang w:val="es-CO" w:eastAsia="es-CO"/>
        </w:rPr>
        <w:t>Valor mínimo en el cual el oferente en una subasta inversa debe reducir el valor del Lance o en una subasta de enajenación debe incrementar el valor del Lance, el cual puede ser expresado en dinero o en un porcentaje del precio de inicio de la subasta.</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proofErr w:type="spellStart"/>
      <w:r w:rsidRPr="00171473">
        <w:rPr>
          <w:rFonts w:ascii="Arial" w:hAnsi="Arial" w:cs="Arial"/>
          <w:b/>
          <w:bCs/>
          <w:i/>
          <w:iCs/>
          <w:color w:val="333333"/>
          <w:lang w:val="es-CO" w:eastAsia="es-CO"/>
        </w:rPr>
        <w:t>Mipyme</w:t>
      </w:r>
      <w:proofErr w:type="spellEnd"/>
      <w:r w:rsidRPr="00171473">
        <w:rPr>
          <w:rFonts w:ascii="Arial" w:hAnsi="Arial" w:cs="Arial"/>
          <w:b/>
          <w:bCs/>
          <w:i/>
          <w:iCs/>
          <w:color w:val="333333"/>
          <w:lang w:val="es-CO" w:eastAsia="es-CO"/>
        </w:rPr>
        <w:t>:</w:t>
      </w:r>
      <w:r w:rsidRPr="00171473">
        <w:rPr>
          <w:rFonts w:ascii="Arial" w:hAnsi="Arial" w:cs="Arial"/>
          <w:i/>
          <w:iCs/>
          <w:color w:val="333333"/>
          <w:lang w:val="es-CO" w:eastAsia="es-CO"/>
        </w:rPr>
        <w:t> </w:t>
      </w:r>
      <w:r w:rsidRPr="00171473">
        <w:rPr>
          <w:rFonts w:ascii="Arial" w:hAnsi="Arial" w:cs="Arial"/>
          <w:color w:val="333333"/>
          <w:lang w:val="es-CO" w:eastAsia="es-CO"/>
        </w:rPr>
        <w:t>Micro, pequeña y mediana empresa medida de acuerdo con la ley vigente aplicable.</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lastRenderedPageBreak/>
        <w:t>Período Contractual:</w:t>
      </w:r>
      <w:r w:rsidRPr="00171473">
        <w:rPr>
          <w:rFonts w:ascii="Arial" w:hAnsi="Arial" w:cs="Arial"/>
          <w:i/>
          <w:iCs/>
          <w:color w:val="333333"/>
          <w:lang w:val="es-CO" w:eastAsia="es-CO"/>
        </w:rPr>
        <w:t> </w:t>
      </w:r>
      <w:r w:rsidRPr="00171473">
        <w:rPr>
          <w:rFonts w:ascii="Arial" w:hAnsi="Arial" w:cs="Arial"/>
          <w:color w:val="333333"/>
          <w:lang w:val="es-CO" w:eastAsia="es-CO"/>
        </w:rPr>
        <w:t>Cada una de las fracciones temporales en las que se divide la ejecución del contrato, las cuales pueden ser utilizadas por la Entidad Estatal para estructurar las garantías del contrato.</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Plan Anual de Adquisiciones:</w:t>
      </w:r>
      <w:r w:rsidRPr="00171473">
        <w:rPr>
          <w:rFonts w:ascii="Arial" w:hAnsi="Arial" w:cs="Arial"/>
          <w:i/>
          <w:iCs/>
          <w:color w:val="333333"/>
          <w:lang w:val="es-CO" w:eastAsia="es-CO"/>
        </w:rPr>
        <w:t> </w:t>
      </w:r>
      <w:r w:rsidRPr="00171473">
        <w:rPr>
          <w:rFonts w:ascii="Arial" w:hAnsi="Arial" w:cs="Arial"/>
          <w:color w:val="333333"/>
          <w:lang w:val="es-CO" w:eastAsia="es-CO"/>
        </w:rPr>
        <w:t>Plan general de compras al que se refiere el </w:t>
      </w:r>
      <w:hyperlink r:id="rId15" w:history="1">
        <w:r w:rsidRPr="00171473">
          <w:rPr>
            <w:rFonts w:ascii="Arial" w:hAnsi="Arial" w:cs="Arial"/>
            <w:color w:val="630E00"/>
            <w:u w:val="single"/>
            <w:lang w:val="es-CO" w:eastAsia="es-CO"/>
          </w:rPr>
          <w:t>artículo 74 de la Ley 1474 de 2011</w:t>
        </w:r>
      </w:hyperlink>
      <w:r w:rsidRPr="00171473">
        <w:rPr>
          <w:rFonts w:ascii="Arial" w:hAnsi="Arial" w:cs="Arial"/>
          <w:color w:val="333333"/>
          <w:lang w:val="es-CO" w:eastAsia="es-CO"/>
        </w:rPr>
        <w:t> y el plan de compras al que se refiere la Ley Anual de Presupuesto. Es un instrumento de planeación contractual que las Entidades Estatales deben diligenciar, publicar y actualizar en los términos del presente título.</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Proceso de Contratación:</w:t>
      </w:r>
      <w:r w:rsidRPr="00171473">
        <w:rPr>
          <w:rFonts w:ascii="Arial" w:hAnsi="Arial" w:cs="Arial"/>
          <w:i/>
          <w:iCs/>
          <w:color w:val="333333"/>
          <w:lang w:val="es-CO" w:eastAsia="es-CO"/>
        </w:rPr>
        <w:t> </w:t>
      </w:r>
      <w:r w:rsidRPr="00171473">
        <w:rPr>
          <w:rFonts w:ascii="Arial" w:hAnsi="Arial" w:cs="Arial"/>
          <w:color w:val="333333"/>
          <w:lang w:val="es-CO" w:eastAsia="es-CO"/>
        </w:rPr>
        <w:t>Conjunto de actos y actividades, y su secuencia, adelan</w:t>
      </w:r>
      <w:r w:rsidRPr="00171473">
        <w:rPr>
          <w:rFonts w:ascii="Arial" w:hAnsi="Arial" w:cs="Arial"/>
          <w:color w:val="333333"/>
          <w:lang w:val="es-CO" w:eastAsia="es-CO"/>
        </w:rPr>
        <w:softHyphen/>
        <w:t>tadas por la Entidad Estatal desde la planeación hasta el vencimiento de las garantías de calidad, estabilidad y mantenimiento, o las condiciones de disposición final o recuperación ambiental de las obras o bienes o el vencimiento del plazo, lo que ocurra más tarde.</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Riesgo:</w:t>
      </w:r>
      <w:r w:rsidRPr="00171473">
        <w:rPr>
          <w:rFonts w:ascii="Arial" w:hAnsi="Arial" w:cs="Arial"/>
          <w:i/>
          <w:iCs/>
          <w:color w:val="333333"/>
          <w:lang w:val="es-CO" w:eastAsia="es-CO"/>
        </w:rPr>
        <w:t> </w:t>
      </w:r>
      <w:r w:rsidRPr="00171473">
        <w:rPr>
          <w:rFonts w:ascii="Arial" w:hAnsi="Arial" w:cs="Arial"/>
          <w:color w:val="333333"/>
          <w:lang w:val="es-CO" w:eastAsia="es-CO"/>
        </w:rPr>
        <w:t>Evento que puede generar efectos adversos y de distinta magnitud en el logro de los objetivos del Proceso de Contratación o en la ejecución de un Contrato.</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RUP: </w:t>
      </w:r>
      <w:r w:rsidRPr="00171473">
        <w:rPr>
          <w:rFonts w:ascii="Arial" w:hAnsi="Arial" w:cs="Arial"/>
          <w:color w:val="333333"/>
          <w:lang w:val="es-CO" w:eastAsia="es-CO"/>
        </w:rPr>
        <w:t>Registro único de proponentes que llevan las cámaras de comercio y en el cual los interesados en participar en Procesos de Contratación deben estar inscritos.</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Servicios Nacionales:</w:t>
      </w:r>
      <w:r w:rsidRPr="00171473">
        <w:rPr>
          <w:rFonts w:ascii="Arial" w:hAnsi="Arial" w:cs="Arial"/>
          <w:i/>
          <w:iCs/>
          <w:color w:val="333333"/>
          <w:lang w:val="es-CO" w:eastAsia="es-CO"/>
        </w:rPr>
        <w:t> </w:t>
      </w:r>
      <w:r w:rsidRPr="00171473">
        <w:rPr>
          <w:rFonts w:ascii="Arial" w:hAnsi="Arial" w:cs="Arial"/>
          <w:color w:val="333333"/>
          <w:lang w:val="es-CO" w:eastAsia="es-CO"/>
        </w:rPr>
        <w:t>Servicios prestados por personas naturales colombianas o residentes en Colombia o por personas jurídicas constituidas de conformidad con la legislación colombiana.</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SECOP: </w:t>
      </w:r>
      <w:r w:rsidRPr="00171473">
        <w:rPr>
          <w:rFonts w:ascii="Arial" w:hAnsi="Arial" w:cs="Arial"/>
          <w:color w:val="333333"/>
          <w:lang w:val="es-CO" w:eastAsia="es-CO"/>
        </w:rPr>
        <w:t>Sistema Electrónico para la Contratación Pública al que se refiere el artículo 3 de la </w:t>
      </w:r>
      <w:hyperlink r:id="rId16" w:history="1">
        <w:r w:rsidRPr="00171473">
          <w:rPr>
            <w:rFonts w:ascii="Arial" w:hAnsi="Arial" w:cs="Arial"/>
            <w:color w:val="630E00"/>
            <w:u w:val="single"/>
            <w:lang w:val="es-CO" w:eastAsia="es-CO"/>
          </w:rPr>
          <w:t xml:space="preserve">Ley 1150 de </w:t>
        </w:r>
        <w:proofErr w:type="gramStart"/>
        <w:r w:rsidRPr="00171473">
          <w:rPr>
            <w:rFonts w:ascii="Arial" w:hAnsi="Arial" w:cs="Arial"/>
            <w:color w:val="630E00"/>
            <w:u w:val="single"/>
            <w:lang w:val="es-CO" w:eastAsia="es-CO"/>
          </w:rPr>
          <w:t>2007​</w:t>
        </w:r>
        <w:proofErr w:type="gramEnd"/>
      </w:hyperlink>
      <w:r w:rsidRPr="00171473">
        <w:rPr>
          <w:rFonts w:ascii="Arial" w:hAnsi="Arial" w:cs="Arial"/>
          <w:color w:val="333333"/>
          <w:lang w:val="es-CO" w:eastAsia="es-CO"/>
        </w:rPr>
        <w:t>.</w:t>
      </w:r>
    </w:p>
    <w:p w:rsidR="00171473" w:rsidRPr="00171473" w:rsidRDefault="00171473" w:rsidP="00171473">
      <w:pPr>
        <w:shd w:val="clear" w:color="auto" w:fill="FFFFFF"/>
        <w:spacing w:after="150" w:line="240" w:lineRule="auto"/>
        <w:jc w:val="both"/>
        <w:rPr>
          <w:rFonts w:ascii="Arial" w:hAnsi="Arial" w:cs="Arial"/>
          <w:color w:val="333333"/>
          <w:lang w:val="es-CO" w:eastAsia="es-CO"/>
        </w:rPr>
      </w:pPr>
      <w:r w:rsidRPr="00171473">
        <w:rPr>
          <w:rFonts w:ascii="Arial" w:hAnsi="Arial" w:cs="Arial"/>
          <w:b/>
          <w:bCs/>
          <w:i/>
          <w:iCs/>
          <w:color w:val="333333"/>
          <w:lang w:val="es-CO" w:eastAsia="es-CO"/>
        </w:rPr>
        <w:t>SMMLV:</w:t>
      </w:r>
      <w:r w:rsidRPr="00171473">
        <w:rPr>
          <w:rFonts w:ascii="Arial" w:hAnsi="Arial" w:cs="Arial"/>
          <w:i/>
          <w:iCs/>
          <w:color w:val="333333"/>
          <w:lang w:val="es-CO" w:eastAsia="es-CO"/>
        </w:rPr>
        <w:t> </w:t>
      </w:r>
      <w:r w:rsidRPr="00171473">
        <w:rPr>
          <w:rFonts w:ascii="Arial" w:hAnsi="Arial" w:cs="Arial"/>
          <w:color w:val="333333"/>
          <w:lang w:val="es-CO" w:eastAsia="es-CO"/>
        </w:rPr>
        <w:t>Salario mínimo mensual legal vigente.</w:t>
      </w:r>
    </w:p>
    <w:p w:rsidR="00171473" w:rsidRPr="00171473" w:rsidRDefault="00171473" w:rsidP="00171473">
      <w:pPr>
        <w:shd w:val="clear" w:color="auto" w:fill="FFFFFF"/>
        <w:spacing w:after="150" w:line="240" w:lineRule="auto"/>
        <w:jc w:val="both"/>
        <w:rPr>
          <w:rFonts w:ascii="Arial" w:hAnsi="Arial" w:cs="Arial"/>
          <w:color w:val="333333"/>
          <w:sz w:val="18"/>
          <w:szCs w:val="18"/>
          <w:lang w:val="es-CO" w:eastAsia="es-CO"/>
        </w:rPr>
      </w:pPr>
      <w:r w:rsidRPr="00171473">
        <w:rPr>
          <w:rFonts w:ascii="Times New Roman" w:hAnsi="Times New Roman" w:cs="Arial"/>
          <w:i/>
          <w:iCs/>
          <w:color w:val="333333"/>
          <w:sz w:val="18"/>
          <w:szCs w:val="18"/>
          <w:lang w:val="es-CO" w:eastAsia="es-CO"/>
        </w:rPr>
        <w:t>(</w:t>
      </w:r>
      <w:hyperlink r:id="rId17" w:history="1">
        <w:r w:rsidRPr="00171473">
          <w:rPr>
            <w:rFonts w:ascii="Times New Roman" w:hAnsi="Times New Roman" w:cs="Arial"/>
            <w:i/>
            <w:iCs/>
            <w:color w:val="630E00"/>
            <w:sz w:val="18"/>
            <w:szCs w:val="18"/>
            <w:lang w:val="es-CO" w:eastAsia="es-CO"/>
          </w:rPr>
          <w:t>Decreto 1510 de 2013, artículo 3.)</w:t>
        </w:r>
      </w:hyperlink>
      <w:bookmarkStart w:id="5" w:name="_GoBack"/>
      <w:bookmarkEnd w:id="0"/>
      <w:bookmarkEnd w:id="1"/>
      <w:bookmarkEnd w:id="2"/>
      <w:bookmarkEnd w:id="3"/>
      <w:bookmarkEnd w:id="4"/>
      <w:bookmarkEnd w:id="5"/>
    </w:p>
    <w:sectPr w:rsidR="00171473" w:rsidRPr="00171473" w:rsidSect="006C6481">
      <w:headerReference w:type="default" r:id="rId18"/>
      <w:footerReference w:type="default" r:id="rId19"/>
      <w:pgSz w:w="12240" w:h="15840" w:code="1"/>
      <w:pgMar w:top="2835" w:right="1701" w:bottom="1134" w:left="1701" w:header="709" w:footer="4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AFC" w:rsidRDefault="00AD4AFC" w:rsidP="00FE4BFD">
      <w:pPr>
        <w:spacing w:after="0" w:line="240" w:lineRule="auto"/>
      </w:pPr>
      <w:r>
        <w:separator/>
      </w:r>
    </w:p>
  </w:endnote>
  <w:endnote w:type="continuationSeparator" w:id="0">
    <w:p w:rsidR="00AD4AFC" w:rsidRDefault="00AD4AFC" w:rsidP="00FE4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F47" w:rsidRDefault="00516F47" w:rsidP="007C164F">
    <w:pPr>
      <w:pStyle w:val="Piedepgina"/>
      <w:tabs>
        <w:tab w:val="clear" w:pos="4252"/>
      </w:tabs>
      <w:rPr>
        <w:rFonts w:ascii="Arial" w:hAnsi="Arial" w:cs="Arial"/>
        <w:sz w:val="18"/>
        <w:szCs w:val="18"/>
      </w:rPr>
    </w:pPr>
    <w:r>
      <w:rPr>
        <w:noProof/>
        <w:lang w:val="es-CO" w:eastAsia="es-CO"/>
      </w:rPr>
      <w:drawing>
        <wp:anchor distT="0" distB="0" distL="114300" distR="114300" simplePos="0" relativeHeight="251664384" behindDoc="0" locked="0" layoutInCell="1" allowOverlap="1" wp14:anchorId="3EFDC5E0" wp14:editId="289CFE50">
          <wp:simplePos x="0" y="0"/>
          <wp:positionH relativeFrom="column">
            <wp:posOffset>4425315</wp:posOffset>
          </wp:positionH>
          <wp:positionV relativeFrom="paragraph">
            <wp:posOffset>111760</wp:posOffset>
          </wp:positionV>
          <wp:extent cx="1638300" cy="67627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nuevos icontec 2013.png"/>
                  <pic:cNvPicPr/>
                </pic:nvPicPr>
                <pic:blipFill>
                  <a:blip r:embed="rId1" cstate="print">
                    <a:extLst>
                      <a:ext uri="{BEBA8EAE-BF5A-486C-A8C5-ECC9F3942E4B}">
                        <a14:imgProps xmlns:a14="http://schemas.microsoft.com/office/drawing/2010/main">
                          <a14:imgLayer r:embed="rId2">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1638300" cy="676275"/>
                  </a:xfrm>
                  <a:prstGeom prst="rect">
                    <a:avLst/>
                  </a:prstGeom>
                </pic:spPr>
              </pic:pic>
            </a:graphicData>
          </a:graphic>
        </wp:anchor>
      </w:drawing>
    </w: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r>
      <w:rPr>
        <w:noProof/>
        <w:lang w:val="es-CO" w:eastAsia="es-CO"/>
      </w:rPr>
      <w:drawing>
        <wp:anchor distT="0" distB="0" distL="114300" distR="114300" simplePos="0" relativeHeight="251662336" behindDoc="0" locked="0" layoutInCell="1" allowOverlap="1" wp14:anchorId="29D51808" wp14:editId="6F07C3FE">
          <wp:simplePos x="0" y="0"/>
          <wp:positionH relativeFrom="page">
            <wp:posOffset>123825</wp:posOffset>
          </wp:positionH>
          <wp:positionV relativeFrom="paragraph">
            <wp:posOffset>56515</wp:posOffset>
          </wp:positionV>
          <wp:extent cx="7562850" cy="647700"/>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e salud_pie salud.png"/>
                  <pic:cNvPicPr/>
                </pic:nvPicPr>
                <pic:blipFill>
                  <a:blip r:embed="rId3" cstate="print">
                    <a:extLst>
                      <a:ext uri="{BEBA8EAE-BF5A-486C-A8C5-ECC9F3942E4B}">
                        <a14:imgProps xmlns:a14="http://schemas.microsoft.com/office/drawing/2010/main">
                          <a14:imgLayer r:embed="rId4">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7562850" cy="647700"/>
                  </a:xfrm>
                  <a:prstGeom prst="rect">
                    <a:avLst/>
                  </a:prstGeom>
                </pic:spPr>
              </pic:pic>
            </a:graphicData>
          </a:graphic>
        </wp:anchor>
      </w:drawing>
    </w: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p>
  <w:p w:rsidR="00516F47" w:rsidRDefault="00516F47" w:rsidP="007C164F">
    <w:pPr>
      <w:pStyle w:val="Piedepgina"/>
      <w:tabs>
        <w:tab w:val="clear" w:pos="4252"/>
      </w:tabs>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AFC" w:rsidRDefault="00AD4AFC" w:rsidP="00FE4BFD">
      <w:pPr>
        <w:spacing w:after="0" w:line="240" w:lineRule="auto"/>
      </w:pPr>
      <w:r>
        <w:separator/>
      </w:r>
    </w:p>
  </w:footnote>
  <w:footnote w:type="continuationSeparator" w:id="0">
    <w:p w:rsidR="00AD4AFC" w:rsidRDefault="00AD4AFC" w:rsidP="00FE4B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F47" w:rsidRDefault="00516F47" w:rsidP="00CE6DE0">
    <w:pPr>
      <w:pStyle w:val="Encabezado"/>
      <w:jc w:val="center"/>
      <w:rPr>
        <w:noProof/>
        <w:lang w:eastAsia="es-ES"/>
      </w:rPr>
    </w:pPr>
    <w:r>
      <w:rPr>
        <w:noProof/>
        <w:lang w:val="es-CO" w:eastAsia="es-CO"/>
      </w:rPr>
      <w:drawing>
        <wp:anchor distT="0" distB="0" distL="114300" distR="114300" simplePos="0" relativeHeight="251660288" behindDoc="0" locked="0" layoutInCell="1" allowOverlap="1" wp14:anchorId="55CE830F" wp14:editId="6E86A891">
          <wp:simplePos x="0" y="0"/>
          <wp:positionH relativeFrom="page">
            <wp:posOffset>164261</wp:posOffset>
          </wp:positionH>
          <wp:positionV relativeFrom="paragraph">
            <wp:posOffset>-165543</wp:posOffset>
          </wp:positionV>
          <wp:extent cx="7277100" cy="1101090"/>
          <wp:effectExtent l="0" t="0" r="0" b="381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head salud_head salu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0" cy="1101090"/>
                  </a:xfrm>
                  <a:prstGeom prst="rect">
                    <a:avLst/>
                  </a:prstGeom>
                </pic:spPr>
              </pic:pic>
            </a:graphicData>
          </a:graphic>
        </wp:anchor>
      </w:drawing>
    </w:r>
  </w:p>
  <w:p w:rsidR="00516F47" w:rsidRDefault="00516F47" w:rsidP="00CE6DE0">
    <w:pPr>
      <w:pStyle w:val="Encabezado"/>
      <w:jc w:val="center"/>
      <w:rPr>
        <w:noProof/>
        <w:lang w:eastAsia="es-ES"/>
      </w:rPr>
    </w:pPr>
  </w:p>
  <w:p w:rsidR="00516F47" w:rsidRDefault="00516F47" w:rsidP="007E67A0">
    <w:pPr>
      <w:pStyle w:val="Norm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72BE0"/>
    <w:multiLevelType w:val="hybridMultilevel"/>
    <w:tmpl w:val="6D527EC2"/>
    <w:lvl w:ilvl="0" w:tplc="3BA4533C">
      <w:start w:val="1"/>
      <w:numFmt w:val="decimal"/>
      <w:lvlText w:val="%1"/>
      <w:lvlJc w:val="left"/>
      <w:pPr>
        <w:ind w:left="1065" w:hanging="705"/>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AD678E"/>
    <w:multiLevelType w:val="hybridMultilevel"/>
    <w:tmpl w:val="081EB7A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4D27E2"/>
    <w:multiLevelType w:val="multilevel"/>
    <w:tmpl w:val="898432DA"/>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4882F7A"/>
    <w:multiLevelType w:val="hybridMultilevel"/>
    <w:tmpl w:val="3684C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550A37"/>
    <w:multiLevelType w:val="multilevel"/>
    <w:tmpl w:val="3494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2"/>
  </w:num>
  <w:num w:numId="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BFD"/>
    <w:rsid w:val="00010CA7"/>
    <w:rsid w:val="000125EC"/>
    <w:rsid w:val="00027314"/>
    <w:rsid w:val="00030642"/>
    <w:rsid w:val="000313FE"/>
    <w:rsid w:val="00033510"/>
    <w:rsid w:val="000357BB"/>
    <w:rsid w:val="00043213"/>
    <w:rsid w:val="00043802"/>
    <w:rsid w:val="00045086"/>
    <w:rsid w:val="0005127B"/>
    <w:rsid w:val="00052BE2"/>
    <w:rsid w:val="00054611"/>
    <w:rsid w:val="00055783"/>
    <w:rsid w:val="0006101E"/>
    <w:rsid w:val="000613E3"/>
    <w:rsid w:val="000622DB"/>
    <w:rsid w:val="000632D6"/>
    <w:rsid w:val="000A21C9"/>
    <w:rsid w:val="000B2E7D"/>
    <w:rsid w:val="000B69F7"/>
    <w:rsid w:val="000C0EFC"/>
    <w:rsid w:val="000D0ED4"/>
    <w:rsid w:val="000D3077"/>
    <w:rsid w:val="000D4AEC"/>
    <w:rsid w:val="000D4FD0"/>
    <w:rsid w:val="000E01DB"/>
    <w:rsid w:val="000E03E3"/>
    <w:rsid w:val="000E0B7C"/>
    <w:rsid w:val="000E565E"/>
    <w:rsid w:val="000E58B4"/>
    <w:rsid w:val="000E6847"/>
    <w:rsid w:val="000E7F53"/>
    <w:rsid w:val="000F0B1C"/>
    <w:rsid w:val="000F5062"/>
    <w:rsid w:val="001044C9"/>
    <w:rsid w:val="00104AA2"/>
    <w:rsid w:val="001101BA"/>
    <w:rsid w:val="00113287"/>
    <w:rsid w:val="00114764"/>
    <w:rsid w:val="00114EF2"/>
    <w:rsid w:val="00117071"/>
    <w:rsid w:val="00130C46"/>
    <w:rsid w:val="001337A2"/>
    <w:rsid w:val="001476CA"/>
    <w:rsid w:val="00152388"/>
    <w:rsid w:val="00157CAC"/>
    <w:rsid w:val="00160255"/>
    <w:rsid w:val="00164DAB"/>
    <w:rsid w:val="00167FD8"/>
    <w:rsid w:val="00170A76"/>
    <w:rsid w:val="00170C77"/>
    <w:rsid w:val="00171473"/>
    <w:rsid w:val="001715C1"/>
    <w:rsid w:val="001732A8"/>
    <w:rsid w:val="00174BF6"/>
    <w:rsid w:val="001840C5"/>
    <w:rsid w:val="00186F18"/>
    <w:rsid w:val="00191ED3"/>
    <w:rsid w:val="0019404D"/>
    <w:rsid w:val="001B20D5"/>
    <w:rsid w:val="001C13BF"/>
    <w:rsid w:val="001D4E60"/>
    <w:rsid w:val="001D62BA"/>
    <w:rsid w:val="001D7099"/>
    <w:rsid w:val="001E03FC"/>
    <w:rsid w:val="001E1A9A"/>
    <w:rsid w:val="001E2F99"/>
    <w:rsid w:val="001F308A"/>
    <w:rsid w:val="001F3A87"/>
    <w:rsid w:val="001F532C"/>
    <w:rsid w:val="001F5FA8"/>
    <w:rsid w:val="002169AC"/>
    <w:rsid w:val="002270FA"/>
    <w:rsid w:val="0023082C"/>
    <w:rsid w:val="002309AF"/>
    <w:rsid w:val="002309BF"/>
    <w:rsid w:val="0023786F"/>
    <w:rsid w:val="00242ED6"/>
    <w:rsid w:val="002630FA"/>
    <w:rsid w:val="00263C97"/>
    <w:rsid w:val="002651D4"/>
    <w:rsid w:val="0026588D"/>
    <w:rsid w:val="00267BD0"/>
    <w:rsid w:val="0027123E"/>
    <w:rsid w:val="00275D4A"/>
    <w:rsid w:val="002802EB"/>
    <w:rsid w:val="00292126"/>
    <w:rsid w:val="00292BFD"/>
    <w:rsid w:val="00294458"/>
    <w:rsid w:val="0029491B"/>
    <w:rsid w:val="002A11D7"/>
    <w:rsid w:val="002B603C"/>
    <w:rsid w:val="002C407C"/>
    <w:rsid w:val="002C5467"/>
    <w:rsid w:val="002C7EAE"/>
    <w:rsid w:val="002E3BAA"/>
    <w:rsid w:val="002E5B92"/>
    <w:rsid w:val="002E6FB2"/>
    <w:rsid w:val="002F14E2"/>
    <w:rsid w:val="002F1F6F"/>
    <w:rsid w:val="002F590C"/>
    <w:rsid w:val="00302CA9"/>
    <w:rsid w:val="003042AB"/>
    <w:rsid w:val="003108B6"/>
    <w:rsid w:val="00314E37"/>
    <w:rsid w:val="00335652"/>
    <w:rsid w:val="003453BB"/>
    <w:rsid w:val="003467CE"/>
    <w:rsid w:val="00346F38"/>
    <w:rsid w:val="00353FD2"/>
    <w:rsid w:val="00362296"/>
    <w:rsid w:val="00363829"/>
    <w:rsid w:val="00363F9B"/>
    <w:rsid w:val="00364D07"/>
    <w:rsid w:val="00375F27"/>
    <w:rsid w:val="00376078"/>
    <w:rsid w:val="00380DD7"/>
    <w:rsid w:val="00380EB0"/>
    <w:rsid w:val="003829D4"/>
    <w:rsid w:val="00391095"/>
    <w:rsid w:val="00392BC8"/>
    <w:rsid w:val="003965F8"/>
    <w:rsid w:val="003A0964"/>
    <w:rsid w:val="003A699C"/>
    <w:rsid w:val="003B1061"/>
    <w:rsid w:val="003B19C0"/>
    <w:rsid w:val="003B2691"/>
    <w:rsid w:val="003B4383"/>
    <w:rsid w:val="003B651E"/>
    <w:rsid w:val="003B6988"/>
    <w:rsid w:val="003C14EA"/>
    <w:rsid w:val="003D5776"/>
    <w:rsid w:val="003E542E"/>
    <w:rsid w:val="003F0392"/>
    <w:rsid w:val="003F2BDA"/>
    <w:rsid w:val="003F37FA"/>
    <w:rsid w:val="003F6DD3"/>
    <w:rsid w:val="004008F1"/>
    <w:rsid w:val="00413BC0"/>
    <w:rsid w:val="004148A9"/>
    <w:rsid w:val="00420BB8"/>
    <w:rsid w:val="00421F55"/>
    <w:rsid w:val="004246C9"/>
    <w:rsid w:val="00430BFD"/>
    <w:rsid w:val="004475E2"/>
    <w:rsid w:val="00452122"/>
    <w:rsid w:val="00456A98"/>
    <w:rsid w:val="004666D8"/>
    <w:rsid w:val="004917F5"/>
    <w:rsid w:val="004931E3"/>
    <w:rsid w:val="00496897"/>
    <w:rsid w:val="004A12DE"/>
    <w:rsid w:val="004A1B9C"/>
    <w:rsid w:val="004A5301"/>
    <w:rsid w:val="004A74C9"/>
    <w:rsid w:val="004B47B1"/>
    <w:rsid w:val="004B5CA5"/>
    <w:rsid w:val="004C306B"/>
    <w:rsid w:val="004C533D"/>
    <w:rsid w:val="004C5E74"/>
    <w:rsid w:val="004D0B58"/>
    <w:rsid w:val="004D115E"/>
    <w:rsid w:val="004D56DD"/>
    <w:rsid w:val="004D72C2"/>
    <w:rsid w:val="004E0EEB"/>
    <w:rsid w:val="004E1E76"/>
    <w:rsid w:val="004E5582"/>
    <w:rsid w:val="004F33BE"/>
    <w:rsid w:val="004F4CC6"/>
    <w:rsid w:val="004F59B3"/>
    <w:rsid w:val="00501F4F"/>
    <w:rsid w:val="00510000"/>
    <w:rsid w:val="00515217"/>
    <w:rsid w:val="00516F47"/>
    <w:rsid w:val="0054424A"/>
    <w:rsid w:val="00545030"/>
    <w:rsid w:val="00546C59"/>
    <w:rsid w:val="00556036"/>
    <w:rsid w:val="005609A7"/>
    <w:rsid w:val="0056334E"/>
    <w:rsid w:val="00565C8F"/>
    <w:rsid w:val="00566D3B"/>
    <w:rsid w:val="005675EE"/>
    <w:rsid w:val="0057120A"/>
    <w:rsid w:val="00574938"/>
    <w:rsid w:val="00585C3F"/>
    <w:rsid w:val="0058770D"/>
    <w:rsid w:val="00593405"/>
    <w:rsid w:val="00595E90"/>
    <w:rsid w:val="005A280C"/>
    <w:rsid w:val="005A2D73"/>
    <w:rsid w:val="005A3A6D"/>
    <w:rsid w:val="005A4C1D"/>
    <w:rsid w:val="005A6D90"/>
    <w:rsid w:val="005B01BA"/>
    <w:rsid w:val="005B3862"/>
    <w:rsid w:val="005B494E"/>
    <w:rsid w:val="005B4ADE"/>
    <w:rsid w:val="005B57DB"/>
    <w:rsid w:val="005B616B"/>
    <w:rsid w:val="005C15F8"/>
    <w:rsid w:val="005C192F"/>
    <w:rsid w:val="005C2562"/>
    <w:rsid w:val="005C5571"/>
    <w:rsid w:val="005C5975"/>
    <w:rsid w:val="005C6AB1"/>
    <w:rsid w:val="005D12BB"/>
    <w:rsid w:val="005E41E4"/>
    <w:rsid w:val="005E572A"/>
    <w:rsid w:val="005F65E8"/>
    <w:rsid w:val="005F6DA1"/>
    <w:rsid w:val="005F7782"/>
    <w:rsid w:val="00602A4A"/>
    <w:rsid w:val="00610233"/>
    <w:rsid w:val="00612D6B"/>
    <w:rsid w:val="0062092D"/>
    <w:rsid w:val="00620C6F"/>
    <w:rsid w:val="00621C80"/>
    <w:rsid w:val="00630515"/>
    <w:rsid w:val="006367A2"/>
    <w:rsid w:val="00640E01"/>
    <w:rsid w:val="00645B31"/>
    <w:rsid w:val="00654C86"/>
    <w:rsid w:val="0067600D"/>
    <w:rsid w:val="00676F04"/>
    <w:rsid w:val="0067779B"/>
    <w:rsid w:val="006932B1"/>
    <w:rsid w:val="006935DC"/>
    <w:rsid w:val="006A4890"/>
    <w:rsid w:val="006A571D"/>
    <w:rsid w:val="006A70C9"/>
    <w:rsid w:val="006B1B19"/>
    <w:rsid w:val="006C0F8A"/>
    <w:rsid w:val="006C13A9"/>
    <w:rsid w:val="006C6481"/>
    <w:rsid w:val="006D5ACB"/>
    <w:rsid w:val="006E082F"/>
    <w:rsid w:val="006E2BB6"/>
    <w:rsid w:val="006E628E"/>
    <w:rsid w:val="00707B36"/>
    <w:rsid w:val="00713A56"/>
    <w:rsid w:val="0071466C"/>
    <w:rsid w:val="00715263"/>
    <w:rsid w:val="00721C5C"/>
    <w:rsid w:val="00722D97"/>
    <w:rsid w:val="00722F46"/>
    <w:rsid w:val="00726995"/>
    <w:rsid w:val="00726BB3"/>
    <w:rsid w:val="0073372F"/>
    <w:rsid w:val="00735450"/>
    <w:rsid w:val="007370A3"/>
    <w:rsid w:val="00747D37"/>
    <w:rsid w:val="00752D65"/>
    <w:rsid w:val="00755A0E"/>
    <w:rsid w:val="00755DB9"/>
    <w:rsid w:val="00756902"/>
    <w:rsid w:val="0075748F"/>
    <w:rsid w:val="00762046"/>
    <w:rsid w:val="007669E3"/>
    <w:rsid w:val="00773A72"/>
    <w:rsid w:val="00774428"/>
    <w:rsid w:val="007754F1"/>
    <w:rsid w:val="00777926"/>
    <w:rsid w:val="00781F1D"/>
    <w:rsid w:val="007919E0"/>
    <w:rsid w:val="00791AFB"/>
    <w:rsid w:val="0079307C"/>
    <w:rsid w:val="0079315F"/>
    <w:rsid w:val="007A0EA5"/>
    <w:rsid w:val="007A632D"/>
    <w:rsid w:val="007A673B"/>
    <w:rsid w:val="007B2271"/>
    <w:rsid w:val="007C164F"/>
    <w:rsid w:val="007C3908"/>
    <w:rsid w:val="007C6119"/>
    <w:rsid w:val="007D04BE"/>
    <w:rsid w:val="007D268B"/>
    <w:rsid w:val="007D278A"/>
    <w:rsid w:val="007D3044"/>
    <w:rsid w:val="007E0CD8"/>
    <w:rsid w:val="007E5863"/>
    <w:rsid w:val="007E67A0"/>
    <w:rsid w:val="007F24B5"/>
    <w:rsid w:val="007F4F75"/>
    <w:rsid w:val="007F75A3"/>
    <w:rsid w:val="00814A43"/>
    <w:rsid w:val="008234FF"/>
    <w:rsid w:val="00825C02"/>
    <w:rsid w:val="00834B35"/>
    <w:rsid w:val="00837D2C"/>
    <w:rsid w:val="00851DF6"/>
    <w:rsid w:val="008532E3"/>
    <w:rsid w:val="008560B6"/>
    <w:rsid w:val="0086130D"/>
    <w:rsid w:val="008645DD"/>
    <w:rsid w:val="00865F87"/>
    <w:rsid w:val="00874674"/>
    <w:rsid w:val="008766CD"/>
    <w:rsid w:val="008845A6"/>
    <w:rsid w:val="00890625"/>
    <w:rsid w:val="008A6C81"/>
    <w:rsid w:val="008A6F6C"/>
    <w:rsid w:val="008B1354"/>
    <w:rsid w:val="008B2DE6"/>
    <w:rsid w:val="008B3F03"/>
    <w:rsid w:val="008B75FC"/>
    <w:rsid w:val="008C1040"/>
    <w:rsid w:val="008C3054"/>
    <w:rsid w:val="008C66BF"/>
    <w:rsid w:val="008D235A"/>
    <w:rsid w:val="008E27D0"/>
    <w:rsid w:val="008E41C9"/>
    <w:rsid w:val="008E54C3"/>
    <w:rsid w:val="008E710C"/>
    <w:rsid w:val="008E77D4"/>
    <w:rsid w:val="00901F90"/>
    <w:rsid w:val="009043E6"/>
    <w:rsid w:val="009207F3"/>
    <w:rsid w:val="009261A8"/>
    <w:rsid w:val="00927FE3"/>
    <w:rsid w:val="00945757"/>
    <w:rsid w:val="0095243E"/>
    <w:rsid w:val="009548D1"/>
    <w:rsid w:val="009565AA"/>
    <w:rsid w:val="00956857"/>
    <w:rsid w:val="00960822"/>
    <w:rsid w:val="00970BEC"/>
    <w:rsid w:val="009734B3"/>
    <w:rsid w:val="00973B90"/>
    <w:rsid w:val="00976706"/>
    <w:rsid w:val="0098082A"/>
    <w:rsid w:val="00984FDE"/>
    <w:rsid w:val="009906D6"/>
    <w:rsid w:val="009962FA"/>
    <w:rsid w:val="009963DC"/>
    <w:rsid w:val="0099655E"/>
    <w:rsid w:val="009A1715"/>
    <w:rsid w:val="009A28A4"/>
    <w:rsid w:val="009B2A59"/>
    <w:rsid w:val="009B4358"/>
    <w:rsid w:val="009B78CE"/>
    <w:rsid w:val="009B7FB6"/>
    <w:rsid w:val="009C53CD"/>
    <w:rsid w:val="009D39A0"/>
    <w:rsid w:val="009D4CBC"/>
    <w:rsid w:val="009E451E"/>
    <w:rsid w:val="009E6AB4"/>
    <w:rsid w:val="009E6EAC"/>
    <w:rsid w:val="009E78AD"/>
    <w:rsid w:val="009F01E4"/>
    <w:rsid w:val="009F14A6"/>
    <w:rsid w:val="009F7E43"/>
    <w:rsid w:val="00A0411D"/>
    <w:rsid w:val="00A1242D"/>
    <w:rsid w:val="00A14FE6"/>
    <w:rsid w:val="00A15629"/>
    <w:rsid w:val="00A2286B"/>
    <w:rsid w:val="00A32764"/>
    <w:rsid w:val="00A33104"/>
    <w:rsid w:val="00A34252"/>
    <w:rsid w:val="00A35340"/>
    <w:rsid w:val="00A35503"/>
    <w:rsid w:val="00A40362"/>
    <w:rsid w:val="00A43384"/>
    <w:rsid w:val="00A46C26"/>
    <w:rsid w:val="00A46FF2"/>
    <w:rsid w:val="00A501AE"/>
    <w:rsid w:val="00A53B18"/>
    <w:rsid w:val="00A5637B"/>
    <w:rsid w:val="00A61402"/>
    <w:rsid w:val="00A7057F"/>
    <w:rsid w:val="00A7253F"/>
    <w:rsid w:val="00A7560E"/>
    <w:rsid w:val="00A86BDD"/>
    <w:rsid w:val="00A938D0"/>
    <w:rsid w:val="00A97985"/>
    <w:rsid w:val="00A97E2B"/>
    <w:rsid w:val="00AB1F3F"/>
    <w:rsid w:val="00AB325E"/>
    <w:rsid w:val="00AB3F55"/>
    <w:rsid w:val="00AB6457"/>
    <w:rsid w:val="00AC0368"/>
    <w:rsid w:val="00AC4243"/>
    <w:rsid w:val="00AC7F3D"/>
    <w:rsid w:val="00AD4AFC"/>
    <w:rsid w:val="00AE33B2"/>
    <w:rsid w:val="00AF1E95"/>
    <w:rsid w:val="00AF58FA"/>
    <w:rsid w:val="00B13986"/>
    <w:rsid w:val="00B15EFA"/>
    <w:rsid w:val="00B25063"/>
    <w:rsid w:val="00B36FD0"/>
    <w:rsid w:val="00B42A34"/>
    <w:rsid w:val="00B47048"/>
    <w:rsid w:val="00B471EB"/>
    <w:rsid w:val="00B473BF"/>
    <w:rsid w:val="00B51EF7"/>
    <w:rsid w:val="00B56AAE"/>
    <w:rsid w:val="00B61A6B"/>
    <w:rsid w:val="00B61E94"/>
    <w:rsid w:val="00B6339F"/>
    <w:rsid w:val="00B7777D"/>
    <w:rsid w:val="00B934F0"/>
    <w:rsid w:val="00B93FB9"/>
    <w:rsid w:val="00B951F4"/>
    <w:rsid w:val="00BB03F7"/>
    <w:rsid w:val="00BB554D"/>
    <w:rsid w:val="00BB7809"/>
    <w:rsid w:val="00BC2618"/>
    <w:rsid w:val="00BC693D"/>
    <w:rsid w:val="00BC69AD"/>
    <w:rsid w:val="00BC6EB3"/>
    <w:rsid w:val="00BD0AB0"/>
    <w:rsid w:val="00BD1E78"/>
    <w:rsid w:val="00BD26FA"/>
    <w:rsid w:val="00BE0209"/>
    <w:rsid w:val="00BE2CA7"/>
    <w:rsid w:val="00BF0948"/>
    <w:rsid w:val="00BF1607"/>
    <w:rsid w:val="00BF2D2C"/>
    <w:rsid w:val="00C028EF"/>
    <w:rsid w:val="00C1231D"/>
    <w:rsid w:val="00C1483E"/>
    <w:rsid w:val="00C17B12"/>
    <w:rsid w:val="00C203E4"/>
    <w:rsid w:val="00C26FFF"/>
    <w:rsid w:val="00C33BB1"/>
    <w:rsid w:val="00C405D6"/>
    <w:rsid w:val="00C4093C"/>
    <w:rsid w:val="00C45DD9"/>
    <w:rsid w:val="00C70CA2"/>
    <w:rsid w:val="00C71DE3"/>
    <w:rsid w:val="00C75A90"/>
    <w:rsid w:val="00C75ACF"/>
    <w:rsid w:val="00C81BBF"/>
    <w:rsid w:val="00C85483"/>
    <w:rsid w:val="00C86BC4"/>
    <w:rsid w:val="00C86F1C"/>
    <w:rsid w:val="00C902CF"/>
    <w:rsid w:val="00C90A7A"/>
    <w:rsid w:val="00C97ED4"/>
    <w:rsid w:val="00CB5B87"/>
    <w:rsid w:val="00CC1672"/>
    <w:rsid w:val="00CC2F24"/>
    <w:rsid w:val="00CC3920"/>
    <w:rsid w:val="00CD1DE4"/>
    <w:rsid w:val="00CD22E1"/>
    <w:rsid w:val="00CD6329"/>
    <w:rsid w:val="00CD6867"/>
    <w:rsid w:val="00CE0E75"/>
    <w:rsid w:val="00CE4CD1"/>
    <w:rsid w:val="00CE6DE0"/>
    <w:rsid w:val="00CF10E0"/>
    <w:rsid w:val="00CF14FF"/>
    <w:rsid w:val="00CF2E45"/>
    <w:rsid w:val="00CF3A66"/>
    <w:rsid w:val="00CF577F"/>
    <w:rsid w:val="00CF6447"/>
    <w:rsid w:val="00D00FF8"/>
    <w:rsid w:val="00D15577"/>
    <w:rsid w:val="00D2480D"/>
    <w:rsid w:val="00D258D1"/>
    <w:rsid w:val="00D327AB"/>
    <w:rsid w:val="00D375E0"/>
    <w:rsid w:val="00D404F0"/>
    <w:rsid w:val="00D417A5"/>
    <w:rsid w:val="00D41B6B"/>
    <w:rsid w:val="00D4267D"/>
    <w:rsid w:val="00D50E02"/>
    <w:rsid w:val="00D52EAD"/>
    <w:rsid w:val="00D537F9"/>
    <w:rsid w:val="00D57B39"/>
    <w:rsid w:val="00D71606"/>
    <w:rsid w:val="00D71ACD"/>
    <w:rsid w:val="00D833FD"/>
    <w:rsid w:val="00D854A8"/>
    <w:rsid w:val="00D85EFD"/>
    <w:rsid w:val="00D874E7"/>
    <w:rsid w:val="00D91334"/>
    <w:rsid w:val="00DA7377"/>
    <w:rsid w:val="00DB1D88"/>
    <w:rsid w:val="00DB2B76"/>
    <w:rsid w:val="00DB4041"/>
    <w:rsid w:val="00DB4C28"/>
    <w:rsid w:val="00DB5FB6"/>
    <w:rsid w:val="00DC0715"/>
    <w:rsid w:val="00DD53B9"/>
    <w:rsid w:val="00DE624D"/>
    <w:rsid w:val="00E143C4"/>
    <w:rsid w:val="00E14C68"/>
    <w:rsid w:val="00E21327"/>
    <w:rsid w:val="00E21D53"/>
    <w:rsid w:val="00E220B3"/>
    <w:rsid w:val="00E279A1"/>
    <w:rsid w:val="00E33C93"/>
    <w:rsid w:val="00E35310"/>
    <w:rsid w:val="00E372A2"/>
    <w:rsid w:val="00E40270"/>
    <w:rsid w:val="00E50ACA"/>
    <w:rsid w:val="00E52FB2"/>
    <w:rsid w:val="00E6655D"/>
    <w:rsid w:val="00E70073"/>
    <w:rsid w:val="00E75D8C"/>
    <w:rsid w:val="00E7689B"/>
    <w:rsid w:val="00E818F7"/>
    <w:rsid w:val="00E8312B"/>
    <w:rsid w:val="00E84EA9"/>
    <w:rsid w:val="00E93CF6"/>
    <w:rsid w:val="00E943C6"/>
    <w:rsid w:val="00EA0805"/>
    <w:rsid w:val="00EB1B0C"/>
    <w:rsid w:val="00EB64A3"/>
    <w:rsid w:val="00EC31E0"/>
    <w:rsid w:val="00EC4C61"/>
    <w:rsid w:val="00ED7F65"/>
    <w:rsid w:val="00EE36B8"/>
    <w:rsid w:val="00EE4331"/>
    <w:rsid w:val="00EE4656"/>
    <w:rsid w:val="00EF0DA1"/>
    <w:rsid w:val="00F008BF"/>
    <w:rsid w:val="00F0137D"/>
    <w:rsid w:val="00F01FF4"/>
    <w:rsid w:val="00F05216"/>
    <w:rsid w:val="00F05CDF"/>
    <w:rsid w:val="00F10395"/>
    <w:rsid w:val="00F164BA"/>
    <w:rsid w:val="00F27072"/>
    <w:rsid w:val="00F271DF"/>
    <w:rsid w:val="00F27BDF"/>
    <w:rsid w:val="00F300E8"/>
    <w:rsid w:val="00F37232"/>
    <w:rsid w:val="00F4133F"/>
    <w:rsid w:val="00F43ACD"/>
    <w:rsid w:val="00F4441F"/>
    <w:rsid w:val="00F5147D"/>
    <w:rsid w:val="00F552A9"/>
    <w:rsid w:val="00F65DFB"/>
    <w:rsid w:val="00F732A9"/>
    <w:rsid w:val="00F76B51"/>
    <w:rsid w:val="00F90069"/>
    <w:rsid w:val="00F96997"/>
    <w:rsid w:val="00F97DF7"/>
    <w:rsid w:val="00FA0649"/>
    <w:rsid w:val="00FA5979"/>
    <w:rsid w:val="00FA7E5B"/>
    <w:rsid w:val="00FB0B35"/>
    <w:rsid w:val="00FB7B6D"/>
    <w:rsid w:val="00FC0248"/>
    <w:rsid w:val="00FD11B0"/>
    <w:rsid w:val="00FE0073"/>
    <w:rsid w:val="00FE0596"/>
    <w:rsid w:val="00FE4BFD"/>
    <w:rsid w:val="00FE68C4"/>
    <w:rsid w:val="00FF5E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090C3C5-6EFA-49CE-9922-DB30D0C5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locked="1"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596"/>
    <w:pPr>
      <w:spacing w:after="200" w:line="276" w:lineRule="auto"/>
    </w:pPr>
    <w:rPr>
      <w:rFonts w:eastAsia="Times New Roman"/>
      <w:sz w:val="22"/>
      <w:szCs w:val="22"/>
      <w:lang w:val="es-ES" w:eastAsia="en-US"/>
    </w:rPr>
  </w:style>
  <w:style w:type="paragraph" w:styleId="Ttulo1">
    <w:name w:val="heading 1"/>
    <w:basedOn w:val="Normal"/>
    <w:next w:val="Normal"/>
    <w:link w:val="Ttulo1Car"/>
    <w:qFormat/>
    <w:locked/>
    <w:rsid w:val="003F37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locked/>
    <w:rsid w:val="005B4ADE"/>
    <w:pPr>
      <w:keepNext/>
      <w:spacing w:after="0" w:line="360" w:lineRule="auto"/>
      <w:outlineLvl w:val="1"/>
    </w:pPr>
    <w:rPr>
      <w:rFonts w:ascii="Arial" w:hAnsi="Arial"/>
      <w:sz w:val="24"/>
      <w:szCs w:val="20"/>
      <w:lang w:eastAsia="es-ES"/>
    </w:rPr>
  </w:style>
  <w:style w:type="paragraph" w:styleId="Ttulo3">
    <w:name w:val="heading 3"/>
    <w:basedOn w:val="Normal"/>
    <w:next w:val="Normal"/>
    <w:link w:val="Ttulo3Car"/>
    <w:qFormat/>
    <w:locked/>
    <w:rsid w:val="005B4ADE"/>
    <w:pPr>
      <w:keepNext/>
      <w:spacing w:after="0" w:line="240" w:lineRule="auto"/>
      <w:outlineLvl w:val="2"/>
    </w:pPr>
    <w:rPr>
      <w:rFonts w:ascii="Arial" w:hAnsi="Arial"/>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FE4BFD"/>
    <w:pPr>
      <w:tabs>
        <w:tab w:val="center" w:pos="4252"/>
        <w:tab w:val="right" w:pos="8504"/>
      </w:tabs>
      <w:spacing w:after="0" w:line="240" w:lineRule="auto"/>
    </w:pPr>
  </w:style>
  <w:style w:type="character" w:customStyle="1" w:styleId="EncabezadoCar">
    <w:name w:val="Encabezado Car"/>
    <w:basedOn w:val="Fuentedeprrafopredeter"/>
    <w:link w:val="Encabezado"/>
    <w:semiHidden/>
    <w:locked/>
    <w:rsid w:val="00FE4BFD"/>
    <w:rPr>
      <w:rFonts w:cs="Times New Roman"/>
    </w:rPr>
  </w:style>
  <w:style w:type="paragraph" w:styleId="Piedepgina">
    <w:name w:val="footer"/>
    <w:basedOn w:val="Normal"/>
    <w:link w:val="PiedepginaCar"/>
    <w:rsid w:val="00FE4BFD"/>
    <w:pPr>
      <w:tabs>
        <w:tab w:val="center" w:pos="4252"/>
        <w:tab w:val="right" w:pos="8504"/>
      </w:tabs>
      <w:spacing w:after="0" w:line="240" w:lineRule="auto"/>
    </w:pPr>
  </w:style>
  <w:style w:type="character" w:customStyle="1" w:styleId="PiedepginaCar">
    <w:name w:val="Pie de página Car"/>
    <w:basedOn w:val="Fuentedeprrafopredeter"/>
    <w:link w:val="Piedepgina"/>
    <w:locked/>
    <w:rsid w:val="00FE4BFD"/>
    <w:rPr>
      <w:rFonts w:cs="Times New Roman"/>
    </w:rPr>
  </w:style>
  <w:style w:type="paragraph" w:styleId="Textodeglobo">
    <w:name w:val="Balloon Text"/>
    <w:basedOn w:val="Normal"/>
    <w:link w:val="TextodegloboCar"/>
    <w:semiHidden/>
    <w:rsid w:val="00FE4B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locked/>
    <w:rsid w:val="00FE4BFD"/>
    <w:rPr>
      <w:rFonts w:ascii="Tahoma" w:hAnsi="Tahoma" w:cs="Tahoma"/>
      <w:sz w:val="16"/>
      <w:szCs w:val="16"/>
    </w:rPr>
  </w:style>
  <w:style w:type="paragraph" w:styleId="Mapadeldocumento">
    <w:name w:val="Document Map"/>
    <w:basedOn w:val="Normal"/>
    <w:link w:val="MapadeldocumentoCar"/>
    <w:semiHidden/>
    <w:rsid w:val="00FE4BFD"/>
    <w:pPr>
      <w:shd w:val="clear" w:color="auto" w:fill="000080"/>
      <w:spacing w:after="0" w:line="240" w:lineRule="auto"/>
    </w:pPr>
    <w:rPr>
      <w:rFonts w:ascii="Tahoma" w:eastAsia="Calibri" w:hAnsi="Tahoma"/>
      <w:sz w:val="20"/>
      <w:szCs w:val="20"/>
      <w:lang w:val="es-ES_tradnl" w:eastAsia="es-ES"/>
    </w:rPr>
  </w:style>
  <w:style w:type="character" w:customStyle="1" w:styleId="MapadeldocumentoCar">
    <w:name w:val="Mapa del documento Car"/>
    <w:basedOn w:val="Fuentedeprrafopredeter"/>
    <w:link w:val="Mapadeldocumento"/>
    <w:semiHidden/>
    <w:locked/>
    <w:rsid w:val="00FE4BFD"/>
    <w:rPr>
      <w:rFonts w:ascii="Tahoma" w:hAnsi="Tahoma" w:cs="Times New Roman"/>
      <w:sz w:val="20"/>
      <w:szCs w:val="20"/>
      <w:shd w:val="clear" w:color="auto" w:fill="000080"/>
      <w:lang w:val="es-ES_tradnl" w:eastAsia="es-ES"/>
    </w:rPr>
  </w:style>
  <w:style w:type="character" w:customStyle="1" w:styleId="Ttulo2Car">
    <w:name w:val="Título 2 Car"/>
    <w:basedOn w:val="Fuentedeprrafopredeter"/>
    <w:link w:val="Ttulo2"/>
    <w:rsid w:val="005B4ADE"/>
    <w:rPr>
      <w:rFonts w:ascii="Arial" w:hAnsi="Arial"/>
      <w:sz w:val="24"/>
      <w:lang w:val="es-ES" w:eastAsia="es-ES" w:bidi="ar-SA"/>
    </w:rPr>
  </w:style>
  <w:style w:type="character" w:customStyle="1" w:styleId="Ttulo3Car">
    <w:name w:val="Título 3 Car"/>
    <w:basedOn w:val="Fuentedeprrafopredeter"/>
    <w:link w:val="Ttulo3"/>
    <w:rsid w:val="005B4ADE"/>
    <w:rPr>
      <w:rFonts w:ascii="Arial" w:hAnsi="Arial"/>
      <w:b/>
      <w:sz w:val="24"/>
      <w:lang w:val="es-ES_tradnl" w:eastAsia="es-ES" w:bidi="ar-SA"/>
    </w:rPr>
  </w:style>
  <w:style w:type="paragraph" w:styleId="Textosinformato">
    <w:name w:val="Plain Text"/>
    <w:basedOn w:val="Normal"/>
    <w:rsid w:val="008C1040"/>
    <w:rPr>
      <w:rFonts w:ascii="Courier New" w:hAnsi="Courier New" w:cs="Courier New"/>
      <w:sz w:val="20"/>
      <w:szCs w:val="20"/>
    </w:rPr>
  </w:style>
  <w:style w:type="paragraph" w:customStyle="1" w:styleId="Normal0">
    <w:name w:val="[Normal]"/>
    <w:rsid w:val="00D404F0"/>
    <w:pPr>
      <w:autoSpaceDE w:val="0"/>
      <w:autoSpaceDN w:val="0"/>
      <w:adjustRightInd w:val="0"/>
    </w:pPr>
    <w:rPr>
      <w:rFonts w:ascii="Arial" w:hAnsi="Arial" w:cs="Arial"/>
      <w:sz w:val="24"/>
      <w:szCs w:val="24"/>
    </w:rPr>
  </w:style>
  <w:style w:type="character" w:customStyle="1" w:styleId="apple-converted-space">
    <w:name w:val="apple-converted-space"/>
    <w:basedOn w:val="Fuentedeprrafopredeter"/>
    <w:rsid w:val="00160255"/>
  </w:style>
  <w:style w:type="character" w:customStyle="1" w:styleId="il">
    <w:name w:val="il"/>
    <w:basedOn w:val="Fuentedeprrafopredeter"/>
    <w:rsid w:val="00160255"/>
  </w:style>
  <w:style w:type="table" w:styleId="Tablaconcuadrcula">
    <w:name w:val="Table Grid"/>
    <w:basedOn w:val="Tablanormal"/>
    <w:uiPriority w:val="59"/>
    <w:locked/>
    <w:rsid w:val="00546C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uiPriority w:val="99"/>
    <w:rsid w:val="009261A8"/>
    <w:pPr>
      <w:spacing w:after="0" w:line="240" w:lineRule="auto"/>
    </w:pPr>
    <w:rPr>
      <w:rFonts w:ascii="Arial" w:hAnsi="Arial"/>
      <w:szCs w:val="20"/>
      <w:lang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9261A8"/>
    <w:rPr>
      <w:rFonts w:ascii="Arial" w:eastAsia="Times New Roman" w:hAnsi="Arial"/>
      <w:sz w:val="22"/>
      <w:lang w:val="es-ES" w:eastAsia="es-ES"/>
    </w:rPr>
  </w:style>
  <w:style w:type="character" w:styleId="Hipervnculo">
    <w:name w:val="Hyperlink"/>
    <w:basedOn w:val="Fuentedeprrafopredeter"/>
    <w:rsid w:val="00B61E94"/>
    <w:rPr>
      <w:color w:val="0000FF" w:themeColor="hyperlink"/>
      <w:u w:val="single"/>
    </w:rPr>
  </w:style>
  <w:style w:type="paragraph" w:customStyle="1" w:styleId="Default">
    <w:name w:val="Default"/>
    <w:rsid w:val="007A673B"/>
    <w:pPr>
      <w:autoSpaceDE w:val="0"/>
      <w:autoSpaceDN w:val="0"/>
      <w:adjustRightInd w:val="0"/>
    </w:pPr>
    <w:rPr>
      <w:rFonts w:ascii="Arial" w:eastAsia="Times New Roman" w:hAnsi="Arial" w:cs="Arial"/>
      <w:color w:val="000000"/>
      <w:sz w:val="24"/>
      <w:szCs w:val="24"/>
    </w:rPr>
  </w:style>
  <w:style w:type="paragraph" w:styleId="Prrafodelista">
    <w:name w:val="List Paragraph"/>
    <w:basedOn w:val="Normal"/>
    <w:link w:val="PrrafodelistaCar"/>
    <w:uiPriority w:val="34"/>
    <w:qFormat/>
    <w:rsid w:val="003B2691"/>
    <w:pPr>
      <w:ind w:left="720"/>
      <w:contextualSpacing/>
    </w:pPr>
  </w:style>
  <w:style w:type="paragraph" w:customStyle="1" w:styleId="xmsonormal">
    <w:name w:val="x_msonormal"/>
    <w:basedOn w:val="Normal"/>
    <w:rsid w:val="00FE0596"/>
    <w:pPr>
      <w:spacing w:before="100" w:beforeAutospacing="1" w:after="100" w:afterAutospacing="1" w:line="240" w:lineRule="auto"/>
    </w:pPr>
    <w:rPr>
      <w:rFonts w:ascii="Times New Roman" w:hAnsi="Times New Roman"/>
      <w:sz w:val="24"/>
      <w:szCs w:val="24"/>
      <w:lang w:val="es-CO" w:eastAsia="es-CO"/>
    </w:rPr>
  </w:style>
  <w:style w:type="character" w:customStyle="1" w:styleId="currenthithighlight">
    <w:name w:val="currenthithighlight"/>
    <w:basedOn w:val="Fuentedeprrafopredeter"/>
    <w:rsid w:val="00FE0596"/>
  </w:style>
  <w:style w:type="character" w:customStyle="1" w:styleId="highlight">
    <w:name w:val="highlight"/>
    <w:basedOn w:val="Fuentedeprrafopredeter"/>
    <w:rsid w:val="00FE0596"/>
  </w:style>
  <w:style w:type="character" w:customStyle="1" w:styleId="PrrafodelistaCar">
    <w:name w:val="Párrafo de lista Car"/>
    <w:link w:val="Prrafodelista"/>
    <w:uiPriority w:val="34"/>
    <w:locked/>
    <w:rsid w:val="00F271DF"/>
    <w:rPr>
      <w:rFonts w:eastAsia="Times New Roman"/>
      <w:sz w:val="22"/>
      <w:szCs w:val="22"/>
      <w:lang w:val="es-ES" w:eastAsia="en-US"/>
    </w:rPr>
  </w:style>
  <w:style w:type="character" w:customStyle="1" w:styleId="Ttulo1Car">
    <w:name w:val="Título 1 Car"/>
    <w:basedOn w:val="Fuentedeprrafopredeter"/>
    <w:link w:val="Ttulo1"/>
    <w:rsid w:val="003F37FA"/>
    <w:rPr>
      <w:rFonts w:asciiTheme="majorHAnsi" w:eastAsiaTheme="majorEastAsia" w:hAnsiTheme="majorHAnsi" w:cstheme="majorBidi"/>
      <w:b/>
      <w:bCs/>
      <w:color w:val="365F91" w:themeColor="accent1" w:themeShade="BF"/>
      <w:sz w:val="28"/>
      <w:szCs w:val="28"/>
      <w:lang w:val="es-ES" w:eastAsia="en-US"/>
    </w:rPr>
  </w:style>
  <w:style w:type="paragraph" w:styleId="NormalWeb">
    <w:name w:val="Normal (Web)"/>
    <w:basedOn w:val="Normal"/>
    <w:uiPriority w:val="99"/>
    <w:unhideWhenUsed/>
    <w:rsid w:val="008B1354"/>
    <w:pPr>
      <w:spacing w:before="100" w:beforeAutospacing="1" w:after="100" w:afterAutospacing="1" w:line="240" w:lineRule="auto"/>
    </w:pPr>
    <w:rPr>
      <w:rFonts w:ascii="Times New Roman" w:hAnsi="Times New Roman"/>
      <w:sz w:val="24"/>
      <w:szCs w:val="24"/>
      <w:lang w:val="es-CO" w:eastAsia="es-CO"/>
    </w:rPr>
  </w:style>
  <w:style w:type="character" w:styleId="Textoennegrita">
    <w:name w:val="Strong"/>
    <w:basedOn w:val="Fuentedeprrafopredeter"/>
    <w:uiPriority w:val="22"/>
    <w:qFormat/>
    <w:locked/>
    <w:rsid w:val="008B1354"/>
    <w:rPr>
      <w:b/>
      <w:bCs/>
    </w:rPr>
  </w:style>
  <w:style w:type="character" w:customStyle="1" w:styleId="vortaltextbox">
    <w:name w:val="vortaltextbox"/>
    <w:basedOn w:val="Fuentedeprrafopredeter"/>
    <w:rsid w:val="00AF58FA"/>
  </w:style>
  <w:style w:type="paragraph" w:customStyle="1" w:styleId="paragraph">
    <w:name w:val="paragraph"/>
    <w:basedOn w:val="Normal"/>
    <w:rsid w:val="00C75ACF"/>
    <w:pPr>
      <w:spacing w:before="100" w:beforeAutospacing="1" w:after="100" w:afterAutospacing="1" w:line="240" w:lineRule="auto"/>
    </w:pPr>
    <w:rPr>
      <w:rFonts w:ascii="Times New Roman" w:hAnsi="Times New Roman"/>
      <w:sz w:val="24"/>
      <w:szCs w:val="24"/>
      <w:lang w:val="es-CO" w:eastAsia="es-CO"/>
    </w:rPr>
  </w:style>
  <w:style w:type="character" w:customStyle="1" w:styleId="normaltextrun">
    <w:name w:val="normaltextrun"/>
    <w:basedOn w:val="Fuentedeprrafopredeter"/>
    <w:rsid w:val="00C75ACF"/>
  </w:style>
  <w:style w:type="character" w:customStyle="1" w:styleId="eop">
    <w:name w:val="eop"/>
    <w:basedOn w:val="Fuentedeprrafopredeter"/>
    <w:rsid w:val="00C75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35422">
      <w:bodyDiv w:val="1"/>
      <w:marLeft w:val="0"/>
      <w:marRight w:val="0"/>
      <w:marTop w:val="0"/>
      <w:marBottom w:val="0"/>
      <w:divBdr>
        <w:top w:val="none" w:sz="0" w:space="0" w:color="auto"/>
        <w:left w:val="none" w:sz="0" w:space="0" w:color="auto"/>
        <w:bottom w:val="none" w:sz="0" w:space="0" w:color="auto"/>
        <w:right w:val="none" w:sz="0" w:space="0" w:color="auto"/>
      </w:divBdr>
      <w:divsChild>
        <w:div w:id="1683509397">
          <w:marLeft w:val="0"/>
          <w:marRight w:val="0"/>
          <w:marTop w:val="0"/>
          <w:marBottom w:val="0"/>
          <w:divBdr>
            <w:top w:val="none" w:sz="0" w:space="0" w:color="auto"/>
            <w:left w:val="none" w:sz="0" w:space="0" w:color="auto"/>
            <w:bottom w:val="none" w:sz="0" w:space="0" w:color="auto"/>
            <w:right w:val="none" w:sz="0" w:space="0" w:color="auto"/>
          </w:divBdr>
        </w:div>
      </w:divsChild>
    </w:div>
    <w:div w:id="80763261">
      <w:bodyDiv w:val="1"/>
      <w:marLeft w:val="0"/>
      <w:marRight w:val="0"/>
      <w:marTop w:val="0"/>
      <w:marBottom w:val="0"/>
      <w:divBdr>
        <w:top w:val="none" w:sz="0" w:space="0" w:color="auto"/>
        <w:left w:val="none" w:sz="0" w:space="0" w:color="auto"/>
        <w:bottom w:val="none" w:sz="0" w:space="0" w:color="auto"/>
        <w:right w:val="none" w:sz="0" w:space="0" w:color="auto"/>
      </w:divBdr>
    </w:div>
    <w:div w:id="199510460">
      <w:bodyDiv w:val="1"/>
      <w:marLeft w:val="0"/>
      <w:marRight w:val="0"/>
      <w:marTop w:val="0"/>
      <w:marBottom w:val="0"/>
      <w:divBdr>
        <w:top w:val="none" w:sz="0" w:space="0" w:color="auto"/>
        <w:left w:val="none" w:sz="0" w:space="0" w:color="auto"/>
        <w:bottom w:val="none" w:sz="0" w:space="0" w:color="auto"/>
        <w:right w:val="none" w:sz="0" w:space="0" w:color="auto"/>
      </w:divBdr>
    </w:div>
    <w:div w:id="410155342">
      <w:bodyDiv w:val="1"/>
      <w:marLeft w:val="0"/>
      <w:marRight w:val="0"/>
      <w:marTop w:val="0"/>
      <w:marBottom w:val="0"/>
      <w:divBdr>
        <w:top w:val="none" w:sz="0" w:space="0" w:color="auto"/>
        <w:left w:val="none" w:sz="0" w:space="0" w:color="auto"/>
        <w:bottom w:val="none" w:sz="0" w:space="0" w:color="auto"/>
        <w:right w:val="none" w:sz="0" w:space="0" w:color="auto"/>
      </w:divBdr>
    </w:div>
    <w:div w:id="452210417">
      <w:bodyDiv w:val="1"/>
      <w:marLeft w:val="0"/>
      <w:marRight w:val="0"/>
      <w:marTop w:val="0"/>
      <w:marBottom w:val="0"/>
      <w:divBdr>
        <w:top w:val="none" w:sz="0" w:space="0" w:color="auto"/>
        <w:left w:val="none" w:sz="0" w:space="0" w:color="auto"/>
        <w:bottom w:val="none" w:sz="0" w:space="0" w:color="auto"/>
        <w:right w:val="none" w:sz="0" w:space="0" w:color="auto"/>
      </w:divBdr>
    </w:div>
    <w:div w:id="464667317">
      <w:bodyDiv w:val="1"/>
      <w:marLeft w:val="0"/>
      <w:marRight w:val="0"/>
      <w:marTop w:val="0"/>
      <w:marBottom w:val="0"/>
      <w:divBdr>
        <w:top w:val="none" w:sz="0" w:space="0" w:color="auto"/>
        <w:left w:val="none" w:sz="0" w:space="0" w:color="auto"/>
        <w:bottom w:val="none" w:sz="0" w:space="0" w:color="auto"/>
        <w:right w:val="none" w:sz="0" w:space="0" w:color="auto"/>
      </w:divBdr>
    </w:div>
    <w:div w:id="472723621">
      <w:bodyDiv w:val="1"/>
      <w:marLeft w:val="0"/>
      <w:marRight w:val="0"/>
      <w:marTop w:val="0"/>
      <w:marBottom w:val="0"/>
      <w:divBdr>
        <w:top w:val="none" w:sz="0" w:space="0" w:color="auto"/>
        <w:left w:val="none" w:sz="0" w:space="0" w:color="auto"/>
        <w:bottom w:val="none" w:sz="0" w:space="0" w:color="auto"/>
        <w:right w:val="none" w:sz="0" w:space="0" w:color="auto"/>
      </w:divBdr>
    </w:div>
    <w:div w:id="476840927">
      <w:bodyDiv w:val="1"/>
      <w:marLeft w:val="0"/>
      <w:marRight w:val="0"/>
      <w:marTop w:val="0"/>
      <w:marBottom w:val="0"/>
      <w:divBdr>
        <w:top w:val="none" w:sz="0" w:space="0" w:color="auto"/>
        <w:left w:val="none" w:sz="0" w:space="0" w:color="auto"/>
        <w:bottom w:val="none" w:sz="0" w:space="0" w:color="auto"/>
        <w:right w:val="none" w:sz="0" w:space="0" w:color="auto"/>
      </w:divBdr>
    </w:div>
    <w:div w:id="516769890">
      <w:bodyDiv w:val="1"/>
      <w:marLeft w:val="0"/>
      <w:marRight w:val="0"/>
      <w:marTop w:val="0"/>
      <w:marBottom w:val="0"/>
      <w:divBdr>
        <w:top w:val="none" w:sz="0" w:space="0" w:color="auto"/>
        <w:left w:val="none" w:sz="0" w:space="0" w:color="auto"/>
        <w:bottom w:val="none" w:sz="0" w:space="0" w:color="auto"/>
        <w:right w:val="none" w:sz="0" w:space="0" w:color="auto"/>
      </w:divBdr>
      <w:divsChild>
        <w:div w:id="355276408">
          <w:marLeft w:val="0"/>
          <w:marRight w:val="0"/>
          <w:marTop w:val="0"/>
          <w:marBottom w:val="0"/>
          <w:divBdr>
            <w:top w:val="none" w:sz="0" w:space="0" w:color="auto"/>
            <w:left w:val="none" w:sz="0" w:space="0" w:color="auto"/>
            <w:bottom w:val="none" w:sz="0" w:space="0" w:color="auto"/>
            <w:right w:val="none" w:sz="0" w:space="0" w:color="auto"/>
          </w:divBdr>
        </w:div>
        <w:div w:id="380522125">
          <w:marLeft w:val="0"/>
          <w:marRight w:val="0"/>
          <w:marTop w:val="0"/>
          <w:marBottom w:val="0"/>
          <w:divBdr>
            <w:top w:val="none" w:sz="0" w:space="0" w:color="auto"/>
            <w:left w:val="none" w:sz="0" w:space="0" w:color="auto"/>
            <w:bottom w:val="none" w:sz="0" w:space="0" w:color="auto"/>
            <w:right w:val="none" w:sz="0" w:space="0" w:color="auto"/>
          </w:divBdr>
        </w:div>
      </w:divsChild>
    </w:div>
    <w:div w:id="573854661">
      <w:bodyDiv w:val="1"/>
      <w:marLeft w:val="0"/>
      <w:marRight w:val="0"/>
      <w:marTop w:val="0"/>
      <w:marBottom w:val="0"/>
      <w:divBdr>
        <w:top w:val="none" w:sz="0" w:space="0" w:color="auto"/>
        <w:left w:val="none" w:sz="0" w:space="0" w:color="auto"/>
        <w:bottom w:val="none" w:sz="0" w:space="0" w:color="auto"/>
        <w:right w:val="none" w:sz="0" w:space="0" w:color="auto"/>
      </w:divBdr>
    </w:div>
    <w:div w:id="625046512">
      <w:bodyDiv w:val="1"/>
      <w:marLeft w:val="0"/>
      <w:marRight w:val="0"/>
      <w:marTop w:val="0"/>
      <w:marBottom w:val="0"/>
      <w:divBdr>
        <w:top w:val="none" w:sz="0" w:space="0" w:color="auto"/>
        <w:left w:val="none" w:sz="0" w:space="0" w:color="auto"/>
        <w:bottom w:val="none" w:sz="0" w:space="0" w:color="auto"/>
        <w:right w:val="none" w:sz="0" w:space="0" w:color="auto"/>
      </w:divBdr>
    </w:div>
    <w:div w:id="637996830">
      <w:bodyDiv w:val="1"/>
      <w:marLeft w:val="0"/>
      <w:marRight w:val="0"/>
      <w:marTop w:val="0"/>
      <w:marBottom w:val="0"/>
      <w:divBdr>
        <w:top w:val="none" w:sz="0" w:space="0" w:color="auto"/>
        <w:left w:val="none" w:sz="0" w:space="0" w:color="auto"/>
        <w:bottom w:val="none" w:sz="0" w:space="0" w:color="auto"/>
        <w:right w:val="none" w:sz="0" w:space="0" w:color="auto"/>
      </w:divBdr>
    </w:div>
    <w:div w:id="653294543">
      <w:bodyDiv w:val="1"/>
      <w:marLeft w:val="0"/>
      <w:marRight w:val="0"/>
      <w:marTop w:val="0"/>
      <w:marBottom w:val="0"/>
      <w:divBdr>
        <w:top w:val="none" w:sz="0" w:space="0" w:color="auto"/>
        <w:left w:val="none" w:sz="0" w:space="0" w:color="auto"/>
        <w:bottom w:val="none" w:sz="0" w:space="0" w:color="auto"/>
        <w:right w:val="none" w:sz="0" w:space="0" w:color="auto"/>
      </w:divBdr>
    </w:div>
    <w:div w:id="738288525">
      <w:bodyDiv w:val="1"/>
      <w:marLeft w:val="0"/>
      <w:marRight w:val="0"/>
      <w:marTop w:val="0"/>
      <w:marBottom w:val="0"/>
      <w:divBdr>
        <w:top w:val="none" w:sz="0" w:space="0" w:color="auto"/>
        <w:left w:val="none" w:sz="0" w:space="0" w:color="auto"/>
        <w:bottom w:val="none" w:sz="0" w:space="0" w:color="auto"/>
        <w:right w:val="none" w:sz="0" w:space="0" w:color="auto"/>
      </w:divBdr>
    </w:div>
    <w:div w:id="772826455">
      <w:bodyDiv w:val="1"/>
      <w:marLeft w:val="0"/>
      <w:marRight w:val="0"/>
      <w:marTop w:val="0"/>
      <w:marBottom w:val="0"/>
      <w:divBdr>
        <w:top w:val="none" w:sz="0" w:space="0" w:color="auto"/>
        <w:left w:val="none" w:sz="0" w:space="0" w:color="auto"/>
        <w:bottom w:val="none" w:sz="0" w:space="0" w:color="auto"/>
        <w:right w:val="none" w:sz="0" w:space="0" w:color="auto"/>
      </w:divBdr>
    </w:div>
    <w:div w:id="776143997">
      <w:bodyDiv w:val="1"/>
      <w:marLeft w:val="0"/>
      <w:marRight w:val="0"/>
      <w:marTop w:val="0"/>
      <w:marBottom w:val="0"/>
      <w:divBdr>
        <w:top w:val="none" w:sz="0" w:space="0" w:color="auto"/>
        <w:left w:val="none" w:sz="0" w:space="0" w:color="auto"/>
        <w:bottom w:val="none" w:sz="0" w:space="0" w:color="auto"/>
        <w:right w:val="none" w:sz="0" w:space="0" w:color="auto"/>
      </w:divBdr>
    </w:div>
    <w:div w:id="778451265">
      <w:bodyDiv w:val="1"/>
      <w:marLeft w:val="0"/>
      <w:marRight w:val="0"/>
      <w:marTop w:val="0"/>
      <w:marBottom w:val="0"/>
      <w:divBdr>
        <w:top w:val="none" w:sz="0" w:space="0" w:color="auto"/>
        <w:left w:val="none" w:sz="0" w:space="0" w:color="auto"/>
        <w:bottom w:val="none" w:sz="0" w:space="0" w:color="auto"/>
        <w:right w:val="none" w:sz="0" w:space="0" w:color="auto"/>
      </w:divBdr>
      <w:divsChild>
        <w:div w:id="1042679308">
          <w:marLeft w:val="0"/>
          <w:marRight w:val="0"/>
          <w:marTop w:val="0"/>
          <w:marBottom w:val="0"/>
          <w:divBdr>
            <w:top w:val="none" w:sz="0" w:space="0" w:color="auto"/>
            <w:left w:val="none" w:sz="0" w:space="0" w:color="auto"/>
            <w:bottom w:val="none" w:sz="0" w:space="0" w:color="auto"/>
            <w:right w:val="none" w:sz="0" w:space="0" w:color="auto"/>
          </w:divBdr>
        </w:div>
        <w:div w:id="290282437">
          <w:marLeft w:val="0"/>
          <w:marRight w:val="0"/>
          <w:marTop w:val="0"/>
          <w:marBottom w:val="0"/>
          <w:divBdr>
            <w:top w:val="none" w:sz="0" w:space="0" w:color="auto"/>
            <w:left w:val="none" w:sz="0" w:space="0" w:color="auto"/>
            <w:bottom w:val="none" w:sz="0" w:space="0" w:color="auto"/>
            <w:right w:val="none" w:sz="0" w:space="0" w:color="auto"/>
          </w:divBdr>
        </w:div>
        <w:div w:id="1230925471">
          <w:marLeft w:val="0"/>
          <w:marRight w:val="0"/>
          <w:marTop w:val="0"/>
          <w:marBottom w:val="0"/>
          <w:divBdr>
            <w:top w:val="none" w:sz="0" w:space="0" w:color="auto"/>
            <w:left w:val="none" w:sz="0" w:space="0" w:color="auto"/>
            <w:bottom w:val="none" w:sz="0" w:space="0" w:color="auto"/>
            <w:right w:val="none" w:sz="0" w:space="0" w:color="auto"/>
          </w:divBdr>
        </w:div>
        <w:div w:id="67264001">
          <w:marLeft w:val="0"/>
          <w:marRight w:val="0"/>
          <w:marTop w:val="0"/>
          <w:marBottom w:val="0"/>
          <w:divBdr>
            <w:top w:val="none" w:sz="0" w:space="0" w:color="auto"/>
            <w:left w:val="none" w:sz="0" w:space="0" w:color="auto"/>
            <w:bottom w:val="none" w:sz="0" w:space="0" w:color="auto"/>
            <w:right w:val="none" w:sz="0" w:space="0" w:color="auto"/>
          </w:divBdr>
        </w:div>
        <w:div w:id="1712000178">
          <w:marLeft w:val="0"/>
          <w:marRight w:val="0"/>
          <w:marTop w:val="0"/>
          <w:marBottom w:val="0"/>
          <w:divBdr>
            <w:top w:val="none" w:sz="0" w:space="0" w:color="auto"/>
            <w:left w:val="none" w:sz="0" w:space="0" w:color="auto"/>
            <w:bottom w:val="none" w:sz="0" w:space="0" w:color="auto"/>
            <w:right w:val="none" w:sz="0" w:space="0" w:color="auto"/>
          </w:divBdr>
        </w:div>
        <w:div w:id="624040219">
          <w:marLeft w:val="0"/>
          <w:marRight w:val="0"/>
          <w:marTop w:val="0"/>
          <w:marBottom w:val="0"/>
          <w:divBdr>
            <w:top w:val="none" w:sz="0" w:space="0" w:color="auto"/>
            <w:left w:val="none" w:sz="0" w:space="0" w:color="auto"/>
            <w:bottom w:val="none" w:sz="0" w:space="0" w:color="auto"/>
            <w:right w:val="none" w:sz="0" w:space="0" w:color="auto"/>
          </w:divBdr>
        </w:div>
      </w:divsChild>
    </w:div>
    <w:div w:id="815217359">
      <w:bodyDiv w:val="1"/>
      <w:marLeft w:val="0"/>
      <w:marRight w:val="0"/>
      <w:marTop w:val="0"/>
      <w:marBottom w:val="0"/>
      <w:divBdr>
        <w:top w:val="none" w:sz="0" w:space="0" w:color="auto"/>
        <w:left w:val="none" w:sz="0" w:space="0" w:color="auto"/>
        <w:bottom w:val="none" w:sz="0" w:space="0" w:color="auto"/>
        <w:right w:val="none" w:sz="0" w:space="0" w:color="auto"/>
      </w:divBdr>
    </w:div>
    <w:div w:id="833028350">
      <w:bodyDiv w:val="1"/>
      <w:marLeft w:val="0"/>
      <w:marRight w:val="0"/>
      <w:marTop w:val="0"/>
      <w:marBottom w:val="0"/>
      <w:divBdr>
        <w:top w:val="none" w:sz="0" w:space="0" w:color="auto"/>
        <w:left w:val="none" w:sz="0" w:space="0" w:color="auto"/>
        <w:bottom w:val="none" w:sz="0" w:space="0" w:color="auto"/>
        <w:right w:val="none" w:sz="0" w:space="0" w:color="auto"/>
      </w:divBdr>
    </w:div>
    <w:div w:id="847987605">
      <w:bodyDiv w:val="1"/>
      <w:marLeft w:val="0"/>
      <w:marRight w:val="0"/>
      <w:marTop w:val="0"/>
      <w:marBottom w:val="0"/>
      <w:divBdr>
        <w:top w:val="none" w:sz="0" w:space="0" w:color="auto"/>
        <w:left w:val="none" w:sz="0" w:space="0" w:color="auto"/>
        <w:bottom w:val="none" w:sz="0" w:space="0" w:color="auto"/>
        <w:right w:val="none" w:sz="0" w:space="0" w:color="auto"/>
      </w:divBdr>
    </w:div>
    <w:div w:id="900561034">
      <w:bodyDiv w:val="1"/>
      <w:marLeft w:val="0"/>
      <w:marRight w:val="0"/>
      <w:marTop w:val="0"/>
      <w:marBottom w:val="0"/>
      <w:divBdr>
        <w:top w:val="none" w:sz="0" w:space="0" w:color="auto"/>
        <w:left w:val="none" w:sz="0" w:space="0" w:color="auto"/>
        <w:bottom w:val="none" w:sz="0" w:space="0" w:color="auto"/>
        <w:right w:val="none" w:sz="0" w:space="0" w:color="auto"/>
      </w:divBdr>
    </w:div>
    <w:div w:id="976449828">
      <w:bodyDiv w:val="1"/>
      <w:marLeft w:val="0"/>
      <w:marRight w:val="0"/>
      <w:marTop w:val="0"/>
      <w:marBottom w:val="0"/>
      <w:divBdr>
        <w:top w:val="none" w:sz="0" w:space="0" w:color="auto"/>
        <w:left w:val="none" w:sz="0" w:space="0" w:color="auto"/>
        <w:bottom w:val="none" w:sz="0" w:space="0" w:color="auto"/>
        <w:right w:val="none" w:sz="0" w:space="0" w:color="auto"/>
      </w:divBdr>
      <w:divsChild>
        <w:div w:id="227232544">
          <w:marLeft w:val="0"/>
          <w:marRight w:val="0"/>
          <w:marTop w:val="0"/>
          <w:marBottom w:val="0"/>
          <w:divBdr>
            <w:top w:val="none" w:sz="0" w:space="0" w:color="auto"/>
            <w:left w:val="none" w:sz="0" w:space="0" w:color="auto"/>
            <w:bottom w:val="none" w:sz="0" w:space="0" w:color="auto"/>
            <w:right w:val="none" w:sz="0" w:space="0" w:color="auto"/>
          </w:divBdr>
        </w:div>
        <w:div w:id="718433575">
          <w:marLeft w:val="0"/>
          <w:marRight w:val="0"/>
          <w:marTop w:val="0"/>
          <w:marBottom w:val="0"/>
          <w:divBdr>
            <w:top w:val="none" w:sz="0" w:space="0" w:color="auto"/>
            <w:left w:val="none" w:sz="0" w:space="0" w:color="auto"/>
            <w:bottom w:val="none" w:sz="0" w:space="0" w:color="auto"/>
            <w:right w:val="none" w:sz="0" w:space="0" w:color="auto"/>
          </w:divBdr>
        </w:div>
        <w:div w:id="707341331">
          <w:marLeft w:val="0"/>
          <w:marRight w:val="0"/>
          <w:marTop w:val="0"/>
          <w:marBottom w:val="0"/>
          <w:divBdr>
            <w:top w:val="none" w:sz="0" w:space="0" w:color="auto"/>
            <w:left w:val="none" w:sz="0" w:space="0" w:color="auto"/>
            <w:bottom w:val="none" w:sz="0" w:space="0" w:color="auto"/>
            <w:right w:val="none" w:sz="0" w:space="0" w:color="auto"/>
          </w:divBdr>
        </w:div>
        <w:div w:id="1935435993">
          <w:marLeft w:val="0"/>
          <w:marRight w:val="0"/>
          <w:marTop w:val="0"/>
          <w:marBottom w:val="0"/>
          <w:divBdr>
            <w:top w:val="none" w:sz="0" w:space="0" w:color="auto"/>
            <w:left w:val="none" w:sz="0" w:space="0" w:color="auto"/>
            <w:bottom w:val="none" w:sz="0" w:space="0" w:color="auto"/>
            <w:right w:val="none" w:sz="0" w:space="0" w:color="auto"/>
          </w:divBdr>
        </w:div>
        <w:div w:id="2005744916">
          <w:marLeft w:val="0"/>
          <w:marRight w:val="0"/>
          <w:marTop w:val="0"/>
          <w:marBottom w:val="0"/>
          <w:divBdr>
            <w:top w:val="none" w:sz="0" w:space="0" w:color="auto"/>
            <w:left w:val="none" w:sz="0" w:space="0" w:color="auto"/>
            <w:bottom w:val="none" w:sz="0" w:space="0" w:color="auto"/>
            <w:right w:val="none" w:sz="0" w:space="0" w:color="auto"/>
          </w:divBdr>
        </w:div>
        <w:div w:id="971717668">
          <w:marLeft w:val="0"/>
          <w:marRight w:val="0"/>
          <w:marTop w:val="0"/>
          <w:marBottom w:val="0"/>
          <w:divBdr>
            <w:top w:val="none" w:sz="0" w:space="0" w:color="auto"/>
            <w:left w:val="none" w:sz="0" w:space="0" w:color="auto"/>
            <w:bottom w:val="none" w:sz="0" w:space="0" w:color="auto"/>
            <w:right w:val="none" w:sz="0" w:space="0" w:color="auto"/>
          </w:divBdr>
        </w:div>
      </w:divsChild>
    </w:div>
    <w:div w:id="1061976988">
      <w:bodyDiv w:val="1"/>
      <w:marLeft w:val="0"/>
      <w:marRight w:val="0"/>
      <w:marTop w:val="0"/>
      <w:marBottom w:val="0"/>
      <w:divBdr>
        <w:top w:val="none" w:sz="0" w:space="0" w:color="auto"/>
        <w:left w:val="none" w:sz="0" w:space="0" w:color="auto"/>
        <w:bottom w:val="none" w:sz="0" w:space="0" w:color="auto"/>
        <w:right w:val="none" w:sz="0" w:space="0" w:color="auto"/>
      </w:divBdr>
      <w:divsChild>
        <w:div w:id="625235799">
          <w:marLeft w:val="0"/>
          <w:marRight w:val="0"/>
          <w:marTop w:val="0"/>
          <w:marBottom w:val="0"/>
          <w:divBdr>
            <w:top w:val="none" w:sz="0" w:space="0" w:color="auto"/>
            <w:left w:val="none" w:sz="0" w:space="0" w:color="auto"/>
            <w:bottom w:val="none" w:sz="0" w:space="0" w:color="auto"/>
            <w:right w:val="none" w:sz="0" w:space="0" w:color="auto"/>
          </w:divBdr>
        </w:div>
        <w:div w:id="941457031">
          <w:marLeft w:val="0"/>
          <w:marRight w:val="0"/>
          <w:marTop w:val="0"/>
          <w:marBottom w:val="0"/>
          <w:divBdr>
            <w:top w:val="none" w:sz="0" w:space="0" w:color="auto"/>
            <w:left w:val="none" w:sz="0" w:space="0" w:color="auto"/>
            <w:bottom w:val="none" w:sz="0" w:space="0" w:color="auto"/>
            <w:right w:val="none" w:sz="0" w:space="0" w:color="auto"/>
          </w:divBdr>
        </w:div>
        <w:div w:id="691996329">
          <w:marLeft w:val="0"/>
          <w:marRight w:val="0"/>
          <w:marTop w:val="0"/>
          <w:marBottom w:val="0"/>
          <w:divBdr>
            <w:top w:val="none" w:sz="0" w:space="0" w:color="auto"/>
            <w:left w:val="none" w:sz="0" w:space="0" w:color="auto"/>
            <w:bottom w:val="none" w:sz="0" w:space="0" w:color="auto"/>
            <w:right w:val="none" w:sz="0" w:space="0" w:color="auto"/>
          </w:divBdr>
        </w:div>
        <w:div w:id="2035383714">
          <w:marLeft w:val="0"/>
          <w:marRight w:val="0"/>
          <w:marTop w:val="0"/>
          <w:marBottom w:val="0"/>
          <w:divBdr>
            <w:top w:val="none" w:sz="0" w:space="0" w:color="auto"/>
            <w:left w:val="none" w:sz="0" w:space="0" w:color="auto"/>
            <w:bottom w:val="none" w:sz="0" w:space="0" w:color="auto"/>
            <w:right w:val="none" w:sz="0" w:space="0" w:color="auto"/>
          </w:divBdr>
        </w:div>
        <w:div w:id="1756828100">
          <w:marLeft w:val="720"/>
          <w:marRight w:val="0"/>
          <w:marTop w:val="0"/>
          <w:marBottom w:val="0"/>
          <w:divBdr>
            <w:top w:val="none" w:sz="0" w:space="0" w:color="auto"/>
            <w:left w:val="none" w:sz="0" w:space="0" w:color="auto"/>
            <w:bottom w:val="none" w:sz="0" w:space="0" w:color="auto"/>
            <w:right w:val="none" w:sz="0" w:space="0" w:color="auto"/>
          </w:divBdr>
        </w:div>
        <w:div w:id="714475256">
          <w:marLeft w:val="720"/>
          <w:marRight w:val="0"/>
          <w:marTop w:val="0"/>
          <w:marBottom w:val="0"/>
          <w:divBdr>
            <w:top w:val="none" w:sz="0" w:space="0" w:color="auto"/>
            <w:left w:val="none" w:sz="0" w:space="0" w:color="auto"/>
            <w:bottom w:val="none" w:sz="0" w:space="0" w:color="auto"/>
            <w:right w:val="none" w:sz="0" w:space="0" w:color="auto"/>
          </w:divBdr>
        </w:div>
        <w:div w:id="1661543923">
          <w:marLeft w:val="720"/>
          <w:marRight w:val="0"/>
          <w:marTop w:val="0"/>
          <w:marBottom w:val="0"/>
          <w:divBdr>
            <w:top w:val="none" w:sz="0" w:space="0" w:color="auto"/>
            <w:left w:val="none" w:sz="0" w:space="0" w:color="auto"/>
            <w:bottom w:val="none" w:sz="0" w:space="0" w:color="auto"/>
            <w:right w:val="none" w:sz="0" w:space="0" w:color="auto"/>
          </w:divBdr>
        </w:div>
        <w:div w:id="2052606914">
          <w:marLeft w:val="0"/>
          <w:marRight w:val="0"/>
          <w:marTop w:val="0"/>
          <w:marBottom w:val="0"/>
          <w:divBdr>
            <w:top w:val="none" w:sz="0" w:space="0" w:color="auto"/>
            <w:left w:val="none" w:sz="0" w:space="0" w:color="auto"/>
            <w:bottom w:val="none" w:sz="0" w:space="0" w:color="auto"/>
            <w:right w:val="none" w:sz="0" w:space="0" w:color="auto"/>
          </w:divBdr>
        </w:div>
        <w:div w:id="1860578793">
          <w:marLeft w:val="720"/>
          <w:marRight w:val="0"/>
          <w:marTop w:val="0"/>
          <w:marBottom w:val="0"/>
          <w:divBdr>
            <w:top w:val="none" w:sz="0" w:space="0" w:color="auto"/>
            <w:left w:val="none" w:sz="0" w:space="0" w:color="auto"/>
            <w:bottom w:val="none" w:sz="0" w:space="0" w:color="auto"/>
            <w:right w:val="none" w:sz="0" w:space="0" w:color="auto"/>
          </w:divBdr>
        </w:div>
        <w:div w:id="1431270779">
          <w:marLeft w:val="0"/>
          <w:marRight w:val="0"/>
          <w:marTop w:val="0"/>
          <w:marBottom w:val="0"/>
          <w:divBdr>
            <w:top w:val="none" w:sz="0" w:space="0" w:color="auto"/>
            <w:left w:val="none" w:sz="0" w:space="0" w:color="auto"/>
            <w:bottom w:val="none" w:sz="0" w:space="0" w:color="auto"/>
            <w:right w:val="none" w:sz="0" w:space="0" w:color="auto"/>
          </w:divBdr>
        </w:div>
        <w:div w:id="577204696">
          <w:marLeft w:val="720"/>
          <w:marRight w:val="0"/>
          <w:marTop w:val="0"/>
          <w:marBottom w:val="0"/>
          <w:divBdr>
            <w:top w:val="none" w:sz="0" w:space="0" w:color="auto"/>
            <w:left w:val="none" w:sz="0" w:space="0" w:color="auto"/>
            <w:bottom w:val="none" w:sz="0" w:space="0" w:color="auto"/>
            <w:right w:val="none" w:sz="0" w:space="0" w:color="auto"/>
          </w:divBdr>
        </w:div>
        <w:div w:id="80949948">
          <w:marLeft w:val="720"/>
          <w:marRight w:val="0"/>
          <w:marTop w:val="0"/>
          <w:marBottom w:val="0"/>
          <w:divBdr>
            <w:top w:val="none" w:sz="0" w:space="0" w:color="auto"/>
            <w:left w:val="none" w:sz="0" w:space="0" w:color="auto"/>
            <w:bottom w:val="none" w:sz="0" w:space="0" w:color="auto"/>
            <w:right w:val="none" w:sz="0" w:space="0" w:color="auto"/>
          </w:divBdr>
        </w:div>
        <w:div w:id="2122609499">
          <w:marLeft w:val="720"/>
          <w:marRight w:val="0"/>
          <w:marTop w:val="0"/>
          <w:marBottom w:val="0"/>
          <w:divBdr>
            <w:top w:val="none" w:sz="0" w:space="0" w:color="auto"/>
            <w:left w:val="none" w:sz="0" w:space="0" w:color="auto"/>
            <w:bottom w:val="none" w:sz="0" w:space="0" w:color="auto"/>
            <w:right w:val="none" w:sz="0" w:space="0" w:color="auto"/>
          </w:divBdr>
        </w:div>
        <w:div w:id="447702329">
          <w:marLeft w:val="720"/>
          <w:marRight w:val="0"/>
          <w:marTop w:val="0"/>
          <w:marBottom w:val="0"/>
          <w:divBdr>
            <w:top w:val="none" w:sz="0" w:space="0" w:color="auto"/>
            <w:left w:val="none" w:sz="0" w:space="0" w:color="auto"/>
            <w:bottom w:val="none" w:sz="0" w:space="0" w:color="auto"/>
            <w:right w:val="none" w:sz="0" w:space="0" w:color="auto"/>
          </w:divBdr>
        </w:div>
        <w:div w:id="1336107050">
          <w:marLeft w:val="720"/>
          <w:marRight w:val="0"/>
          <w:marTop w:val="0"/>
          <w:marBottom w:val="0"/>
          <w:divBdr>
            <w:top w:val="none" w:sz="0" w:space="0" w:color="auto"/>
            <w:left w:val="none" w:sz="0" w:space="0" w:color="auto"/>
            <w:bottom w:val="none" w:sz="0" w:space="0" w:color="auto"/>
            <w:right w:val="none" w:sz="0" w:space="0" w:color="auto"/>
          </w:divBdr>
        </w:div>
      </w:divsChild>
    </w:div>
    <w:div w:id="1082802443">
      <w:bodyDiv w:val="1"/>
      <w:marLeft w:val="0"/>
      <w:marRight w:val="0"/>
      <w:marTop w:val="0"/>
      <w:marBottom w:val="0"/>
      <w:divBdr>
        <w:top w:val="none" w:sz="0" w:space="0" w:color="auto"/>
        <w:left w:val="none" w:sz="0" w:space="0" w:color="auto"/>
        <w:bottom w:val="none" w:sz="0" w:space="0" w:color="auto"/>
        <w:right w:val="none" w:sz="0" w:space="0" w:color="auto"/>
      </w:divBdr>
    </w:div>
    <w:div w:id="1206865517">
      <w:bodyDiv w:val="1"/>
      <w:marLeft w:val="0"/>
      <w:marRight w:val="0"/>
      <w:marTop w:val="0"/>
      <w:marBottom w:val="0"/>
      <w:divBdr>
        <w:top w:val="none" w:sz="0" w:space="0" w:color="auto"/>
        <w:left w:val="none" w:sz="0" w:space="0" w:color="auto"/>
        <w:bottom w:val="none" w:sz="0" w:space="0" w:color="auto"/>
        <w:right w:val="none" w:sz="0" w:space="0" w:color="auto"/>
      </w:divBdr>
    </w:div>
    <w:div w:id="1269772270">
      <w:bodyDiv w:val="1"/>
      <w:marLeft w:val="0"/>
      <w:marRight w:val="0"/>
      <w:marTop w:val="0"/>
      <w:marBottom w:val="0"/>
      <w:divBdr>
        <w:top w:val="none" w:sz="0" w:space="0" w:color="auto"/>
        <w:left w:val="none" w:sz="0" w:space="0" w:color="auto"/>
        <w:bottom w:val="none" w:sz="0" w:space="0" w:color="auto"/>
        <w:right w:val="none" w:sz="0" w:space="0" w:color="auto"/>
      </w:divBdr>
    </w:div>
    <w:div w:id="1277299217">
      <w:bodyDiv w:val="1"/>
      <w:marLeft w:val="0"/>
      <w:marRight w:val="0"/>
      <w:marTop w:val="0"/>
      <w:marBottom w:val="0"/>
      <w:divBdr>
        <w:top w:val="none" w:sz="0" w:space="0" w:color="auto"/>
        <w:left w:val="none" w:sz="0" w:space="0" w:color="auto"/>
        <w:bottom w:val="none" w:sz="0" w:space="0" w:color="auto"/>
        <w:right w:val="none" w:sz="0" w:space="0" w:color="auto"/>
      </w:divBdr>
    </w:div>
    <w:div w:id="1293366475">
      <w:bodyDiv w:val="1"/>
      <w:marLeft w:val="0"/>
      <w:marRight w:val="0"/>
      <w:marTop w:val="0"/>
      <w:marBottom w:val="0"/>
      <w:divBdr>
        <w:top w:val="none" w:sz="0" w:space="0" w:color="auto"/>
        <w:left w:val="none" w:sz="0" w:space="0" w:color="auto"/>
        <w:bottom w:val="none" w:sz="0" w:space="0" w:color="auto"/>
        <w:right w:val="none" w:sz="0" w:space="0" w:color="auto"/>
      </w:divBdr>
    </w:div>
    <w:div w:id="1301762012">
      <w:bodyDiv w:val="1"/>
      <w:marLeft w:val="0"/>
      <w:marRight w:val="0"/>
      <w:marTop w:val="0"/>
      <w:marBottom w:val="0"/>
      <w:divBdr>
        <w:top w:val="none" w:sz="0" w:space="0" w:color="auto"/>
        <w:left w:val="none" w:sz="0" w:space="0" w:color="auto"/>
        <w:bottom w:val="none" w:sz="0" w:space="0" w:color="auto"/>
        <w:right w:val="none" w:sz="0" w:space="0" w:color="auto"/>
      </w:divBdr>
    </w:div>
    <w:div w:id="1306854095">
      <w:bodyDiv w:val="1"/>
      <w:marLeft w:val="0"/>
      <w:marRight w:val="0"/>
      <w:marTop w:val="0"/>
      <w:marBottom w:val="0"/>
      <w:divBdr>
        <w:top w:val="none" w:sz="0" w:space="0" w:color="auto"/>
        <w:left w:val="none" w:sz="0" w:space="0" w:color="auto"/>
        <w:bottom w:val="none" w:sz="0" w:space="0" w:color="auto"/>
        <w:right w:val="none" w:sz="0" w:space="0" w:color="auto"/>
      </w:divBdr>
    </w:div>
    <w:div w:id="1319267270">
      <w:bodyDiv w:val="1"/>
      <w:marLeft w:val="0"/>
      <w:marRight w:val="0"/>
      <w:marTop w:val="0"/>
      <w:marBottom w:val="0"/>
      <w:divBdr>
        <w:top w:val="none" w:sz="0" w:space="0" w:color="auto"/>
        <w:left w:val="none" w:sz="0" w:space="0" w:color="auto"/>
        <w:bottom w:val="none" w:sz="0" w:space="0" w:color="auto"/>
        <w:right w:val="none" w:sz="0" w:space="0" w:color="auto"/>
      </w:divBdr>
    </w:div>
    <w:div w:id="1340739032">
      <w:bodyDiv w:val="1"/>
      <w:marLeft w:val="0"/>
      <w:marRight w:val="0"/>
      <w:marTop w:val="0"/>
      <w:marBottom w:val="0"/>
      <w:divBdr>
        <w:top w:val="none" w:sz="0" w:space="0" w:color="auto"/>
        <w:left w:val="none" w:sz="0" w:space="0" w:color="auto"/>
        <w:bottom w:val="none" w:sz="0" w:space="0" w:color="auto"/>
        <w:right w:val="none" w:sz="0" w:space="0" w:color="auto"/>
      </w:divBdr>
    </w:div>
    <w:div w:id="1403673358">
      <w:bodyDiv w:val="1"/>
      <w:marLeft w:val="0"/>
      <w:marRight w:val="0"/>
      <w:marTop w:val="0"/>
      <w:marBottom w:val="0"/>
      <w:divBdr>
        <w:top w:val="none" w:sz="0" w:space="0" w:color="auto"/>
        <w:left w:val="none" w:sz="0" w:space="0" w:color="auto"/>
        <w:bottom w:val="none" w:sz="0" w:space="0" w:color="auto"/>
        <w:right w:val="none" w:sz="0" w:space="0" w:color="auto"/>
      </w:divBdr>
    </w:div>
    <w:div w:id="1429305604">
      <w:bodyDiv w:val="1"/>
      <w:marLeft w:val="0"/>
      <w:marRight w:val="0"/>
      <w:marTop w:val="0"/>
      <w:marBottom w:val="0"/>
      <w:divBdr>
        <w:top w:val="none" w:sz="0" w:space="0" w:color="auto"/>
        <w:left w:val="none" w:sz="0" w:space="0" w:color="auto"/>
        <w:bottom w:val="none" w:sz="0" w:space="0" w:color="auto"/>
        <w:right w:val="none" w:sz="0" w:space="0" w:color="auto"/>
      </w:divBdr>
    </w:div>
    <w:div w:id="1446579298">
      <w:bodyDiv w:val="1"/>
      <w:marLeft w:val="0"/>
      <w:marRight w:val="0"/>
      <w:marTop w:val="0"/>
      <w:marBottom w:val="0"/>
      <w:divBdr>
        <w:top w:val="none" w:sz="0" w:space="0" w:color="auto"/>
        <w:left w:val="none" w:sz="0" w:space="0" w:color="auto"/>
        <w:bottom w:val="none" w:sz="0" w:space="0" w:color="auto"/>
        <w:right w:val="none" w:sz="0" w:space="0" w:color="auto"/>
      </w:divBdr>
    </w:div>
    <w:div w:id="1448426141">
      <w:bodyDiv w:val="1"/>
      <w:marLeft w:val="0"/>
      <w:marRight w:val="0"/>
      <w:marTop w:val="0"/>
      <w:marBottom w:val="0"/>
      <w:divBdr>
        <w:top w:val="none" w:sz="0" w:space="0" w:color="auto"/>
        <w:left w:val="none" w:sz="0" w:space="0" w:color="auto"/>
        <w:bottom w:val="none" w:sz="0" w:space="0" w:color="auto"/>
        <w:right w:val="none" w:sz="0" w:space="0" w:color="auto"/>
      </w:divBdr>
      <w:divsChild>
        <w:div w:id="1181507374">
          <w:marLeft w:val="0"/>
          <w:marRight w:val="0"/>
          <w:marTop w:val="0"/>
          <w:marBottom w:val="0"/>
          <w:divBdr>
            <w:top w:val="none" w:sz="0" w:space="0" w:color="auto"/>
            <w:left w:val="none" w:sz="0" w:space="0" w:color="auto"/>
            <w:bottom w:val="none" w:sz="0" w:space="0" w:color="auto"/>
            <w:right w:val="none" w:sz="0" w:space="0" w:color="auto"/>
          </w:divBdr>
        </w:div>
      </w:divsChild>
    </w:div>
    <w:div w:id="1520730027">
      <w:bodyDiv w:val="1"/>
      <w:marLeft w:val="0"/>
      <w:marRight w:val="0"/>
      <w:marTop w:val="0"/>
      <w:marBottom w:val="0"/>
      <w:divBdr>
        <w:top w:val="none" w:sz="0" w:space="0" w:color="auto"/>
        <w:left w:val="none" w:sz="0" w:space="0" w:color="auto"/>
        <w:bottom w:val="none" w:sz="0" w:space="0" w:color="auto"/>
        <w:right w:val="none" w:sz="0" w:space="0" w:color="auto"/>
      </w:divBdr>
    </w:div>
    <w:div w:id="1571188963">
      <w:bodyDiv w:val="1"/>
      <w:marLeft w:val="0"/>
      <w:marRight w:val="0"/>
      <w:marTop w:val="0"/>
      <w:marBottom w:val="0"/>
      <w:divBdr>
        <w:top w:val="none" w:sz="0" w:space="0" w:color="auto"/>
        <w:left w:val="none" w:sz="0" w:space="0" w:color="auto"/>
        <w:bottom w:val="none" w:sz="0" w:space="0" w:color="auto"/>
        <w:right w:val="none" w:sz="0" w:space="0" w:color="auto"/>
      </w:divBdr>
    </w:div>
    <w:div w:id="1611007123">
      <w:bodyDiv w:val="1"/>
      <w:marLeft w:val="0"/>
      <w:marRight w:val="0"/>
      <w:marTop w:val="0"/>
      <w:marBottom w:val="0"/>
      <w:divBdr>
        <w:top w:val="none" w:sz="0" w:space="0" w:color="auto"/>
        <w:left w:val="none" w:sz="0" w:space="0" w:color="auto"/>
        <w:bottom w:val="none" w:sz="0" w:space="0" w:color="auto"/>
        <w:right w:val="none" w:sz="0" w:space="0" w:color="auto"/>
      </w:divBdr>
      <w:divsChild>
        <w:div w:id="1092580892">
          <w:marLeft w:val="0"/>
          <w:marRight w:val="0"/>
          <w:marTop w:val="0"/>
          <w:marBottom w:val="0"/>
          <w:divBdr>
            <w:top w:val="none" w:sz="0" w:space="0" w:color="auto"/>
            <w:left w:val="none" w:sz="0" w:space="0" w:color="auto"/>
            <w:bottom w:val="none" w:sz="0" w:space="0" w:color="auto"/>
            <w:right w:val="none" w:sz="0" w:space="0" w:color="auto"/>
          </w:divBdr>
        </w:div>
      </w:divsChild>
    </w:div>
    <w:div w:id="1620062792">
      <w:bodyDiv w:val="1"/>
      <w:marLeft w:val="0"/>
      <w:marRight w:val="0"/>
      <w:marTop w:val="0"/>
      <w:marBottom w:val="0"/>
      <w:divBdr>
        <w:top w:val="none" w:sz="0" w:space="0" w:color="auto"/>
        <w:left w:val="none" w:sz="0" w:space="0" w:color="auto"/>
        <w:bottom w:val="none" w:sz="0" w:space="0" w:color="auto"/>
        <w:right w:val="none" w:sz="0" w:space="0" w:color="auto"/>
      </w:divBdr>
    </w:div>
    <w:div w:id="1636334315">
      <w:bodyDiv w:val="1"/>
      <w:marLeft w:val="0"/>
      <w:marRight w:val="0"/>
      <w:marTop w:val="0"/>
      <w:marBottom w:val="0"/>
      <w:divBdr>
        <w:top w:val="none" w:sz="0" w:space="0" w:color="auto"/>
        <w:left w:val="none" w:sz="0" w:space="0" w:color="auto"/>
        <w:bottom w:val="none" w:sz="0" w:space="0" w:color="auto"/>
        <w:right w:val="none" w:sz="0" w:space="0" w:color="auto"/>
      </w:divBdr>
      <w:divsChild>
        <w:div w:id="1135758390">
          <w:marLeft w:val="0"/>
          <w:marRight w:val="0"/>
          <w:marTop w:val="0"/>
          <w:marBottom w:val="0"/>
          <w:divBdr>
            <w:top w:val="none" w:sz="0" w:space="0" w:color="auto"/>
            <w:left w:val="none" w:sz="0" w:space="0" w:color="auto"/>
            <w:bottom w:val="none" w:sz="0" w:space="0" w:color="auto"/>
            <w:right w:val="none" w:sz="0" w:space="0" w:color="auto"/>
          </w:divBdr>
        </w:div>
      </w:divsChild>
    </w:div>
    <w:div w:id="1649627357">
      <w:bodyDiv w:val="1"/>
      <w:marLeft w:val="0"/>
      <w:marRight w:val="0"/>
      <w:marTop w:val="0"/>
      <w:marBottom w:val="0"/>
      <w:divBdr>
        <w:top w:val="none" w:sz="0" w:space="0" w:color="auto"/>
        <w:left w:val="none" w:sz="0" w:space="0" w:color="auto"/>
        <w:bottom w:val="none" w:sz="0" w:space="0" w:color="auto"/>
        <w:right w:val="none" w:sz="0" w:space="0" w:color="auto"/>
      </w:divBdr>
    </w:div>
    <w:div w:id="1694961122">
      <w:bodyDiv w:val="1"/>
      <w:marLeft w:val="0"/>
      <w:marRight w:val="0"/>
      <w:marTop w:val="0"/>
      <w:marBottom w:val="0"/>
      <w:divBdr>
        <w:top w:val="none" w:sz="0" w:space="0" w:color="auto"/>
        <w:left w:val="none" w:sz="0" w:space="0" w:color="auto"/>
        <w:bottom w:val="none" w:sz="0" w:space="0" w:color="auto"/>
        <w:right w:val="none" w:sz="0" w:space="0" w:color="auto"/>
      </w:divBdr>
      <w:divsChild>
        <w:div w:id="1378506450">
          <w:marLeft w:val="0"/>
          <w:marRight w:val="0"/>
          <w:marTop w:val="0"/>
          <w:marBottom w:val="0"/>
          <w:divBdr>
            <w:top w:val="none" w:sz="0" w:space="0" w:color="auto"/>
            <w:left w:val="none" w:sz="0" w:space="0" w:color="auto"/>
            <w:bottom w:val="none" w:sz="0" w:space="0" w:color="auto"/>
            <w:right w:val="none" w:sz="0" w:space="0" w:color="auto"/>
          </w:divBdr>
        </w:div>
      </w:divsChild>
    </w:div>
    <w:div w:id="1735615473">
      <w:bodyDiv w:val="1"/>
      <w:marLeft w:val="0"/>
      <w:marRight w:val="0"/>
      <w:marTop w:val="0"/>
      <w:marBottom w:val="0"/>
      <w:divBdr>
        <w:top w:val="none" w:sz="0" w:space="0" w:color="auto"/>
        <w:left w:val="none" w:sz="0" w:space="0" w:color="auto"/>
        <w:bottom w:val="none" w:sz="0" w:space="0" w:color="auto"/>
        <w:right w:val="none" w:sz="0" w:space="0" w:color="auto"/>
      </w:divBdr>
    </w:div>
    <w:div w:id="1767458635">
      <w:bodyDiv w:val="1"/>
      <w:marLeft w:val="0"/>
      <w:marRight w:val="0"/>
      <w:marTop w:val="0"/>
      <w:marBottom w:val="0"/>
      <w:divBdr>
        <w:top w:val="none" w:sz="0" w:space="0" w:color="auto"/>
        <w:left w:val="none" w:sz="0" w:space="0" w:color="auto"/>
        <w:bottom w:val="none" w:sz="0" w:space="0" w:color="auto"/>
        <w:right w:val="none" w:sz="0" w:space="0" w:color="auto"/>
      </w:divBdr>
      <w:divsChild>
        <w:div w:id="1894728121">
          <w:marLeft w:val="0"/>
          <w:marRight w:val="0"/>
          <w:marTop w:val="0"/>
          <w:marBottom w:val="0"/>
          <w:divBdr>
            <w:top w:val="none" w:sz="0" w:space="0" w:color="auto"/>
            <w:left w:val="none" w:sz="0" w:space="0" w:color="auto"/>
            <w:bottom w:val="none" w:sz="0" w:space="0" w:color="auto"/>
            <w:right w:val="none" w:sz="0" w:space="0" w:color="auto"/>
          </w:divBdr>
        </w:div>
        <w:div w:id="58335415">
          <w:marLeft w:val="0"/>
          <w:marRight w:val="0"/>
          <w:marTop w:val="0"/>
          <w:marBottom w:val="0"/>
          <w:divBdr>
            <w:top w:val="none" w:sz="0" w:space="0" w:color="auto"/>
            <w:left w:val="none" w:sz="0" w:space="0" w:color="auto"/>
            <w:bottom w:val="none" w:sz="0" w:space="0" w:color="auto"/>
            <w:right w:val="none" w:sz="0" w:space="0" w:color="auto"/>
          </w:divBdr>
        </w:div>
        <w:div w:id="242106389">
          <w:marLeft w:val="0"/>
          <w:marRight w:val="0"/>
          <w:marTop w:val="0"/>
          <w:marBottom w:val="0"/>
          <w:divBdr>
            <w:top w:val="none" w:sz="0" w:space="0" w:color="auto"/>
            <w:left w:val="none" w:sz="0" w:space="0" w:color="auto"/>
            <w:bottom w:val="none" w:sz="0" w:space="0" w:color="auto"/>
            <w:right w:val="none" w:sz="0" w:space="0" w:color="auto"/>
          </w:divBdr>
        </w:div>
        <w:div w:id="172768583">
          <w:marLeft w:val="0"/>
          <w:marRight w:val="0"/>
          <w:marTop w:val="0"/>
          <w:marBottom w:val="0"/>
          <w:divBdr>
            <w:top w:val="none" w:sz="0" w:space="0" w:color="auto"/>
            <w:left w:val="none" w:sz="0" w:space="0" w:color="auto"/>
            <w:bottom w:val="none" w:sz="0" w:space="0" w:color="auto"/>
            <w:right w:val="none" w:sz="0" w:space="0" w:color="auto"/>
          </w:divBdr>
        </w:div>
        <w:div w:id="1693804611">
          <w:marLeft w:val="0"/>
          <w:marRight w:val="0"/>
          <w:marTop w:val="0"/>
          <w:marBottom w:val="0"/>
          <w:divBdr>
            <w:top w:val="none" w:sz="0" w:space="0" w:color="auto"/>
            <w:left w:val="none" w:sz="0" w:space="0" w:color="auto"/>
            <w:bottom w:val="none" w:sz="0" w:space="0" w:color="auto"/>
            <w:right w:val="none" w:sz="0" w:space="0" w:color="auto"/>
          </w:divBdr>
        </w:div>
      </w:divsChild>
    </w:div>
    <w:div w:id="1837838333">
      <w:bodyDiv w:val="1"/>
      <w:marLeft w:val="0"/>
      <w:marRight w:val="0"/>
      <w:marTop w:val="0"/>
      <w:marBottom w:val="0"/>
      <w:divBdr>
        <w:top w:val="none" w:sz="0" w:space="0" w:color="auto"/>
        <w:left w:val="none" w:sz="0" w:space="0" w:color="auto"/>
        <w:bottom w:val="none" w:sz="0" w:space="0" w:color="auto"/>
        <w:right w:val="none" w:sz="0" w:space="0" w:color="auto"/>
      </w:divBdr>
    </w:div>
    <w:div w:id="1953635024">
      <w:bodyDiv w:val="1"/>
      <w:marLeft w:val="0"/>
      <w:marRight w:val="0"/>
      <w:marTop w:val="0"/>
      <w:marBottom w:val="0"/>
      <w:divBdr>
        <w:top w:val="none" w:sz="0" w:space="0" w:color="auto"/>
        <w:left w:val="none" w:sz="0" w:space="0" w:color="auto"/>
        <w:bottom w:val="none" w:sz="0" w:space="0" w:color="auto"/>
        <w:right w:val="none" w:sz="0" w:space="0" w:color="auto"/>
      </w:divBdr>
    </w:div>
    <w:div w:id="1961644281">
      <w:bodyDiv w:val="1"/>
      <w:marLeft w:val="0"/>
      <w:marRight w:val="0"/>
      <w:marTop w:val="0"/>
      <w:marBottom w:val="0"/>
      <w:divBdr>
        <w:top w:val="none" w:sz="0" w:space="0" w:color="auto"/>
        <w:left w:val="none" w:sz="0" w:space="0" w:color="auto"/>
        <w:bottom w:val="none" w:sz="0" w:space="0" w:color="auto"/>
        <w:right w:val="none" w:sz="0" w:space="0" w:color="auto"/>
      </w:divBdr>
    </w:div>
    <w:div w:id="2104446985">
      <w:bodyDiv w:val="1"/>
      <w:marLeft w:val="0"/>
      <w:marRight w:val="0"/>
      <w:marTop w:val="0"/>
      <w:marBottom w:val="0"/>
      <w:divBdr>
        <w:top w:val="none" w:sz="0" w:space="0" w:color="auto"/>
        <w:left w:val="none" w:sz="0" w:space="0" w:color="auto"/>
        <w:bottom w:val="none" w:sz="0" w:space="0" w:color="auto"/>
        <w:right w:val="none" w:sz="0" w:space="0" w:color="auto"/>
      </w:divBdr>
      <w:divsChild>
        <w:div w:id="1948661317">
          <w:marLeft w:val="0"/>
          <w:marRight w:val="0"/>
          <w:marTop w:val="0"/>
          <w:marBottom w:val="0"/>
          <w:divBdr>
            <w:top w:val="none" w:sz="0" w:space="0" w:color="auto"/>
            <w:left w:val="none" w:sz="0" w:space="0" w:color="auto"/>
            <w:bottom w:val="none" w:sz="0" w:space="0" w:color="auto"/>
            <w:right w:val="none" w:sz="0" w:space="0" w:color="auto"/>
          </w:divBdr>
        </w:div>
        <w:div w:id="2061860047">
          <w:marLeft w:val="0"/>
          <w:marRight w:val="0"/>
          <w:marTop w:val="0"/>
          <w:marBottom w:val="0"/>
          <w:divBdr>
            <w:top w:val="none" w:sz="0" w:space="0" w:color="auto"/>
            <w:left w:val="none" w:sz="0" w:space="0" w:color="auto"/>
            <w:bottom w:val="none" w:sz="0" w:space="0" w:color="auto"/>
            <w:right w:val="none" w:sz="0" w:space="0" w:color="auto"/>
          </w:divBdr>
        </w:div>
        <w:div w:id="1148059670">
          <w:marLeft w:val="0"/>
          <w:marRight w:val="0"/>
          <w:marTop w:val="0"/>
          <w:marBottom w:val="0"/>
          <w:divBdr>
            <w:top w:val="none" w:sz="0" w:space="0" w:color="auto"/>
            <w:left w:val="none" w:sz="0" w:space="0" w:color="auto"/>
            <w:bottom w:val="none" w:sz="0" w:space="0" w:color="auto"/>
            <w:right w:val="none" w:sz="0" w:space="0" w:color="auto"/>
          </w:divBdr>
        </w:div>
        <w:div w:id="1287468970">
          <w:marLeft w:val="0"/>
          <w:marRight w:val="0"/>
          <w:marTop w:val="0"/>
          <w:marBottom w:val="0"/>
          <w:divBdr>
            <w:top w:val="none" w:sz="0" w:space="0" w:color="auto"/>
            <w:left w:val="none" w:sz="0" w:space="0" w:color="auto"/>
            <w:bottom w:val="none" w:sz="0" w:space="0" w:color="auto"/>
            <w:right w:val="none" w:sz="0" w:space="0" w:color="auto"/>
          </w:divBdr>
        </w:div>
        <w:div w:id="2105607242">
          <w:marLeft w:val="0"/>
          <w:marRight w:val="0"/>
          <w:marTop w:val="0"/>
          <w:marBottom w:val="0"/>
          <w:divBdr>
            <w:top w:val="none" w:sz="0" w:space="0" w:color="auto"/>
            <w:left w:val="none" w:sz="0" w:space="0" w:color="auto"/>
            <w:bottom w:val="none" w:sz="0" w:space="0" w:color="auto"/>
            <w:right w:val="none" w:sz="0" w:space="0" w:color="auto"/>
          </w:divBdr>
        </w:div>
        <w:div w:id="507986388">
          <w:marLeft w:val="0"/>
          <w:marRight w:val="0"/>
          <w:marTop w:val="0"/>
          <w:marBottom w:val="0"/>
          <w:divBdr>
            <w:top w:val="none" w:sz="0" w:space="0" w:color="auto"/>
            <w:left w:val="none" w:sz="0" w:space="0" w:color="auto"/>
            <w:bottom w:val="none" w:sz="0" w:space="0" w:color="auto"/>
            <w:right w:val="none" w:sz="0" w:space="0" w:color="auto"/>
          </w:divBdr>
        </w:div>
      </w:divsChild>
    </w:div>
    <w:div w:id="213316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cargues/avance/docs/decreto_2680_2009.htm" TargetMode="External"/><Relationship Id="rId13" Type="http://schemas.openxmlformats.org/officeDocument/2006/relationships/hyperlink" Target="http://www.mineducacion.gov.co/1621/articles-85593_archivo_pdf4.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sp.presidencia.gov.co/Normativa/Decretos/2013/Documents/JULIO/17/DECRETO%201510%20DEL%2017%20DE%20JULIO%20DE%202013.pdf" TargetMode="External"/><Relationship Id="rId2" Type="http://schemas.openxmlformats.org/officeDocument/2006/relationships/numbering" Target="numbering.xml"/><Relationship Id="rId16" Type="http://schemas.openxmlformats.org/officeDocument/2006/relationships/hyperlink" Target="http://www.secretariasenado.gov.co/senado/basedoc/ley_1150_2007.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educacion.gov.co/1621/articles-85593_archivo_pdf4.pdf" TargetMode="External"/><Relationship Id="rId5" Type="http://schemas.openxmlformats.org/officeDocument/2006/relationships/webSettings" Target="webSettings.xml"/><Relationship Id="rId15" Type="http://schemas.openxmlformats.org/officeDocument/2006/relationships/hyperlink" Target="http://www.alcaldiabogota.gov.co/sisjur/normas/Norma1.jsp?i=43292" TargetMode="External"/><Relationship Id="rId10" Type="http://schemas.openxmlformats.org/officeDocument/2006/relationships/hyperlink" Target="http://wsp.presidencia.gov.co/Normativa/Decretos/2011/Documents/Noviembre/03/dec417003112011.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ecretariasenado.gov.co/senado/basedoc/ley_1150_2007.html" TargetMode="External"/><Relationship Id="rId14" Type="http://schemas.openxmlformats.org/officeDocument/2006/relationships/hyperlink" Target="http://www.secretariasenado.gov.co/senado/basedoc/ley_1150_2007.htm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 Id="rId4" Type="http://schemas.microsoft.com/office/2007/relationships/hdphoto" Target="media/hdphoto2.wdp"/></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06EE8-1854-4B8A-BD21-BEE57CE9C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1108</Words>
  <Characters>6098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NOTA INTERNA</vt:lpstr>
    </vt:vector>
  </TitlesOfParts>
  <Company>Gobernacion de antionquia</Company>
  <LinksUpToDate>false</LinksUpToDate>
  <CharactersWithSpaces>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 INTERNA</dc:title>
  <dc:creator>jgarciar</dc:creator>
  <cp:lastModifiedBy>GUSTAVO ADOLFO GOEZ VASQUEZ</cp:lastModifiedBy>
  <cp:revision>3</cp:revision>
  <cp:lastPrinted>2019-09-24T19:35:00Z</cp:lastPrinted>
  <dcterms:created xsi:type="dcterms:W3CDTF">2019-09-25T21:28:00Z</dcterms:created>
  <dcterms:modified xsi:type="dcterms:W3CDTF">2019-09-25T21:29:00Z</dcterms:modified>
</cp:coreProperties>
</file>