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24E53" w14:textId="77777777" w:rsidR="009246D7" w:rsidRDefault="009246D7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F66D461" w14:textId="39F1B890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529F078E" w14:textId="2ECD55EB" w:rsidR="009246D7" w:rsidRDefault="009246D7" w:rsidP="003D24D9">
      <w:pPr>
        <w:rPr>
          <w:rFonts w:ascii="Arial" w:hAnsi="Arial" w:cs="Arial"/>
          <w:b/>
          <w:sz w:val="20"/>
          <w:szCs w:val="20"/>
          <w:lang w:val="es-419"/>
        </w:rPr>
      </w:pPr>
    </w:p>
    <w:p w14:paraId="6BA6B027" w14:textId="204BE3EB" w:rsidR="00302F23" w:rsidRDefault="00302F23" w:rsidP="00302F23">
      <w:pPr>
        <w:jc w:val="both"/>
        <w:rPr>
          <w:rFonts w:cs="Arial"/>
          <w:lang w:val="es-CO" w:eastAsia="es-CO"/>
        </w:rPr>
      </w:pPr>
      <w:r>
        <w:rPr>
          <w:rFonts w:cs="Arial"/>
          <w:lang w:val="es-CO" w:eastAsia="es-CO"/>
        </w:rPr>
        <w:t>El Instituto de Desarrollo Urbano no considera pertinente exigir ratios negativos para la acreditación de la capacidad financiera y organizacional, toda vez que en el análisis del sector se identifica que  e</w:t>
      </w:r>
      <w:r w:rsidRPr="00890A68">
        <w:rPr>
          <w:rFonts w:cs="Arial"/>
          <w:lang w:val="es-CO" w:eastAsia="es-CO"/>
        </w:rPr>
        <w:t>l sector fiduciario y en especial el servicio de custodia de valores, se encuentra regulado y vigilado por la Superintendencia Financiera de Colombia, por lo tanto, la entidad decide eliminar los indicadores financieros y organizacionales establecidos en los pliegos tipo y solicita solamente el cumplimiento del indicador de relación de solvencia, establecido por la Superintendencia Financiera de Colombia para este sector, en el Decreto Único 2555 de 2010, TÍTULO 3 “Patrimonio adecuado para las sociedades fiduciarias”</w:t>
      </w:r>
      <w:r w:rsidR="003065C7">
        <w:rPr>
          <w:rFonts w:cs="Arial"/>
          <w:lang w:val="es-CO" w:eastAsia="es-CO"/>
        </w:rPr>
        <w:t>.</w:t>
      </w:r>
      <w:r w:rsidRPr="00890A68">
        <w:rPr>
          <w:rFonts w:cs="Arial"/>
          <w:lang w:val="es-CO" w:eastAsia="es-CO"/>
        </w:rPr>
        <w:t xml:space="preserve"> </w:t>
      </w:r>
    </w:p>
    <w:p w14:paraId="21BFC2AD" w14:textId="77777777" w:rsidR="00302F23" w:rsidRDefault="00302F23" w:rsidP="00302F23">
      <w:pPr>
        <w:jc w:val="both"/>
        <w:rPr>
          <w:rFonts w:cs="Arial"/>
          <w:lang w:val="es-CO" w:eastAsia="es-CO"/>
        </w:rPr>
      </w:pPr>
    </w:p>
    <w:p w14:paraId="36C83BD6" w14:textId="2C2F0FB6" w:rsidR="003A3EC9" w:rsidRDefault="003A3EC9" w:rsidP="00302F23">
      <w:pPr>
        <w:jc w:val="both"/>
        <w:rPr>
          <w:rFonts w:cs="Arial"/>
          <w:lang w:val="es-CO"/>
        </w:rPr>
      </w:pPr>
      <w:r w:rsidRPr="00890A68">
        <w:rPr>
          <w:rFonts w:cs="Arial"/>
          <w:lang w:val="es-CO"/>
        </w:rPr>
        <w:t xml:space="preserve">Los Proponentes deberán acreditar </w:t>
      </w:r>
      <w:r>
        <w:rPr>
          <w:rFonts w:cs="Arial"/>
          <w:lang w:val="es-CO"/>
        </w:rPr>
        <w:t>una relación de solvencia ≥ 9%, mediante la presentación del informe de cifras publicado por la Superintendencia Financiera de Colombia</w:t>
      </w:r>
      <w:r w:rsidR="001B6D4C">
        <w:rPr>
          <w:rFonts w:cs="Arial"/>
          <w:lang w:val="es-CO"/>
        </w:rPr>
        <w:t xml:space="preserve"> </w:t>
      </w:r>
      <w:r w:rsidR="001B6D4C">
        <w:rPr>
          <w:rFonts w:ascii="Arial" w:eastAsia="Times New Roman" w:hAnsi="Arial"/>
          <w:bCs/>
          <w:color w:val="000000"/>
          <w:lang w:val="es-ES" w:eastAsia="es-ES"/>
        </w:rPr>
        <w:t xml:space="preserve">con corte a </w:t>
      </w:r>
      <w:r w:rsidR="00BE08AB">
        <w:rPr>
          <w:rFonts w:ascii="Arial" w:eastAsia="Times New Roman" w:hAnsi="Arial"/>
          <w:bCs/>
          <w:color w:val="000000"/>
          <w:lang w:val="es-ES" w:eastAsia="es-ES"/>
        </w:rPr>
        <w:t>30</w:t>
      </w:r>
      <w:r w:rsidR="001B6D4C">
        <w:rPr>
          <w:rFonts w:ascii="Arial" w:eastAsia="Times New Roman" w:hAnsi="Arial"/>
          <w:bCs/>
          <w:color w:val="000000"/>
          <w:lang w:val="es-ES" w:eastAsia="es-ES"/>
        </w:rPr>
        <w:t xml:space="preserve"> de </w:t>
      </w:r>
      <w:r w:rsidR="00BE08AB">
        <w:rPr>
          <w:rFonts w:ascii="Arial" w:eastAsia="Times New Roman" w:hAnsi="Arial"/>
          <w:bCs/>
          <w:color w:val="000000"/>
          <w:lang w:val="es-ES" w:eastAsia="es-ES"/>
        </w:rPr>
        <w:t>abril</w:t>
      </w:r>
      <w:r w:rsidR="001B6D4C">
        <w:rPr>
          <w:rFonts w:ascii="Arial" w:eastAsia="Times New Roman" w:hAnsi="Arial"/>
          <w:bCs/>
          <w:color w:val="000000"/>
          <w:lang w:val="es-ES" w:eastAsia="es-ES"/>
        </w:rPr>
        <w:t xml:space="preserve"> de 202</w:t>
      </w:r>
      <w:r w:rsidR="001C76CB">
        <w:rPr>
          <w:rFonts w:ascii="Arial" w:eastAsia="Times New Roman" w:hAnsi="Arial"/>
          <w:bCs/>
          <w:color w:val="000000"/>
          <w:lang w:val="es-ES" w:eastAsia="es-ES"/>
        </w:rPr>
        <w:t>3</w:t>
      </w:r>
      <w:r>
        <w:rPr>
          <w:rFonts w:cs="Arial"/>
          <w:lang w:val="es-CO"/>
        </w:rPr>
        <w:t xml:space="preserve">, la cual la entidad validara a través del sitio: </w:t>
      </w:r>
    </w:p>
    <w:p w14:paraId="3AAC63DF" w14:textId="77777777" w:rsidR="003A3EC9" w:rsidRDefault="003A3EC9" w:rsidP="00302F23">
      <w:pPr>
        <w:jc w:val="both"/>
        <w:rPr>
          <w:rFonts w:cs="Arial"/>
          <w:lang w:val="es-CO"/>
        </w:rPr>
      </w:pPr>
    </w:p>
    <w:p w14:paraId="028047C5" w14:textId="77777777" w:rsidR="003A3EC9" w:rsidRDefault="001C76CB" w:rsidP="00302F23">
      <w:pPr>
        <w:jc w:val="both"/>
        <w:rPr>
          <w:rFonts w:cs="Arial"/>
          <w:i/>
          <w:iCs/>
          <w:lang w:val="es-CO"/>
        </w:rPr>
      </w:pPr>
      <w:hyperlink r:id="rId11" w:history="1">
        <w:r w:rsidR="003A3EC9" w:rsidRPr="00D23237">
          <w:rPr>
            <w:rStyle w:val="Hipervnculo"/>
            <w:rFonts w:cs="Arial"/>
            <w:i/>
            <w:iCs/>
            <w:lang w:val="es-CO"/>
          </w:rPr>
          <w:t>https://www.superfinanciera.gov.co/inicio/informes-y-cifras/cifras/pensiones-cesantias-y-fiduciarias/informacion-por-sector-/fiduciarias/mensuales-/relacion-de-solvencia-10102003</w:t>
        </w:r>
      </w:hyperlink>
    </w:p>
    <w:p w14:paraId="0E4DF74F" w14:textId="77777777" w:rsidR="003A3EC9" w:rsidRPr="00890A68" w:rsidRDefault="003A3EC9" w:rsidP="00302F23">
      <w:pPr>
        <w:jc w:val="both"/>
        <w:rPr>
          <w:rFonts w:cs="Arial"/>
          <w:i/>
          <w:iCs/>
          <w:lang w:val="es-CO"/>
        </w:rPr>
      </w:pPr>
    </w:p>
    <w:p w14:paraId="601541A7" w14:textId="77777777" w:rsidR="003A3EC9" w:rsidRPr="00890A68" w:rsidRDefault="003A3EC9" w:rsidP="00302F23">
      <w:pPr>
        <w:jc w:val="both"/>
        <w:rPr>
          <w:rFonts w:cs="Arial"/>
          <w:lang w:val="es-CO"/>
        </w:rPr>
      </w:pPr>
      <w:r w:rsidRPr="00890A68">
        <w:rPr>
          <w:rFonts w:cs="Arial"/>
          <w:lang w:val="es-CO"/>
        </w:rPr>
        <w:t>La relación de solvencia se define como el valor del patrimonio técnico calculado en los términos del Decreto Único 2555 de 2010, TÍTULO 3 “Patrimonio adecuado para las sociedades fiduciarias” Artículo 2.5.3.1.1, dividido por la sumatoria de los activos ponderados por nivel de riesgo, cien novenos (100/9) del valor en riesgo de mercado y cien novenos (100/9) del valor de exposición al riesgo operacional. Esta relación se expresa en términos porcentuales.</w:t>
      </w:r>
    </w:p>
    <w:p w14:paraId="4AD6B936" w14:textId="0FFC98E7" w:rsidR="005C08D0" w:rsidRPr="005C08D0" w:rsidRDefault="005C08D0" w:rsidP="00302F23">
      <w:pPr>
        <w:ind w:left="284"/>
        <w:jc w:val="both"/>
        <w:rPr>
          <w:rFonts w:ascii="Arial" w:hAnsi="Arial" w:cs="Arial"/>
          <w:sz w:val="20"/>
          <w:highlight w:val="lightGray"/>
        </w:rPr>
      </w:pPr>
    </w:p>
    <w:sectPr w:rsidR="005C08D0" w:rsidRPr="005C08D0" w:rsidSect="00B20B2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8009E" w14:textId="77777777" w:rsidR="00821CAA" w:rsidRDefault="00821CAA" w:rsidP="004F2C35">
      <w:r>
        <w:separator/>
      </w:r>
    </w:p>
  </w:endnote>
  <w:endnote w:type="continuationSeparator" w:id="0">
    <w:p w14:paraId="46DE0A25" w14:textId="77777777" w:rsidR="00821CAA" w:rsidRDefault="00821CAA" w:rsidP="004F2C35">
      <w:r>
        <w:continuationSeparator/>
      </w:r>
    </w:p>
  </w:endnote>
  <w:endnote w:type="continuationNotice" w:id="1">
    <w:p w14:paraId="31E3F932" w14:textId="77777777" w:rsidR="00821CAA" w:rsidRDefault="00821C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71B48" w14:textId="77777777" w:rsidR="009D75E1" w:rsidRDefault="009D75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C56AB" w14:textId="77777777" w:rsidR="00821CAA" w:rsidRDefault="00821CAA" w:rsidP="004F2C35">
      <w:r>
        <w:separator/>
      </w:r>
    </w:p>
  </w:footnote>
  <w:footnote w:type="continuationSeparator" w:id="0">
    <w:p w14:paraId="0BAA22BE" w14:textId="77777777" w:rsidR="00821CAA" w:rsidRDefault="00821CAA" w:rsidP="004F2C35">
      <w:r>
        <w:continuationSeparator/>
      </w:r>
    </w:p>
  </w:footnote>
  <w:footnote w:type="continuationNotice" w:id="1">
    <w:p w14:paraId="3A342CAD" w14:textId="77777777" w:rsidR="00821CAA" w:rsidRDefault="00821CA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159AB" w14:textId="77777777" w:rsidR="009D75E1" w:rsidRDefault="009D75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C0E29" w14:textId="554A8C11" w:rsidR="007B7A46" w:rsidRDefault="007B7A46">
    <w:pPr>
      <w:pStyle w:val="Encabezado"/>
    </w:pPr>
    <w:r w:rsidRPr="007B7A46"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093B0D33" wp14:editId="27EC42EA">
          <wp:simplePos x="0" y="0"/>
          <wp:positionH relativeFrom="column">
            <wp:posOffset>2386965</wp:posOffset>
          </wp:positionH>
          <wp:positionV relativeFrom="paragraph">
            <wp:posOffset>-22860</wp:posOffset>
          </wp:positionV>
          <wp:extent cx="793699" cy="816376"/>
          <wp:effectExtent l="0" t="0" r="6985" b="317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4E6101" w14:textId="0C66251D" w:rsidR="007B7A46" w:rsidRDefault="007B7A46">
    <w:pPr>
      <w:pStyle w:val="Encabezado"/>
    </w:pPr>
  </w:p>
  <w:p w14:paraId="3A61529C" w14:textId="1991410A" w:rsidR="007B7A46" w:rsidRDefault="007B7A46">
    <w:pPr>
      <w:pStyle w:val="Encabezado"/>
    </w:pPr>
  </w:p>
  <w:p w14:paraId="33EA7D82" w14:textId="1070F872" w:rsidR="007B7A46" w:rsidRDefault="007B7A46">
    <w:pPr>
      <w:pStyle w:val="Encabezado"/>
    </w:pPr>
  </w:p>
  <w:p w14:paraId="1CB32C28" w14:textId="398DC77E" w:rsidR="007B7A46" w:rsidRDefault="007B7A4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C1D2E"/>
    <w:multiLevelType w:val="hybridMultilevel"/>
    <w:tmpl w:val="4844BB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6418620">
    <w:abstractNumId w:val="4"/>
  </w:num>
  <w:num w:numId="2" w16cid:durableId="1554275189">
    <w:abstractNumId w:val="2"/>
  </w:num>
  <w:num w:numId="3" w16cid:durableId="474222759">
    <w:abstractNumId w:val="3"/>
  </w:num>
  <w:num w:numId="4" w16cid:durableId="646397646">
    <w:abstractNumId w:val="1"/>
  </w:num>
  <w:num w:numId="5" w16cid:durableId="1184396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330D0"/>
    <w:rsid w:val="0005317A"/>
    <w:rsid w:val="0006315A"/>
    <w:rsid w:val="00063A0B"/>
    <w:rsid w:val="00066521"/>
    <w:rsid w:val="00066E22"/>
    <w:rsid w:val="00071001"/>
    <w:rsid w:val="000746B7"/>
    <w:rsid w:val="00091E6B"/>
    <w:rsid w:val="00095309"/>
    <w:rsid w:val="000A791C"/>
    <w:rsid w:val="000C0D6C"/>
    <w:rsid w:val="000C330B"/>
    <w:rsid w:val="000C5905"/>
    <w:rsid w:val="000D7CD2"/>
    <w:rsid w:val="000F6227"/>
    <w:rsid w:val="00101887"/>
    <w:rsid w:val="00106E18"/>
    <w:rsid w:val="00112158"/>
    <w:rsid w:val="00124898"/>
    <w:rsid w:val="0012747A"/>
    <w:rsid w:val="001301D2"/>
    <w:rsid w:val="00131918"/>
    <w:rsid w:val="00140FEA"/>
    <w:rsid w:val="00141C75"/>
    <w:rsid w:val="0014591D"/>
    <w:rsid w:val="00154ECB"/>
    <w:rsid w:val="00160BE7"/>
    <w:rsid w:val="0016786E"/>
    <w:rsid w:val="00181D75"/>
    <w:rsid w:val="001A1B68"/>
    <w:rsid w:val="001A5E22"/>
    <w:rsid w:val="001A6917"/>
    <w:rsid w:val="001B6D4C"/>
    <w:rsid w:val="001C3DA7"/>
    <w:rsid w:val="001C6359"/>
    <w:rsid w:val="001C75B3"/>
    <w:rsid w:val="001C76CB"/>
    <w:rsid w:val="001D32CE"/>
    <w:rsid w:val="001D7612"/>
    <w:rsid w:val="001F7199"/>
    <w:rsid w:val="002257CA"/>
    <w:rsid w:val="00244D44"/>
    <w:rsid w:val="002535A9"/>
    <w:rsid w:val="0027057F"/>
    <w:rsid w:val="002A4970"/>
    <w:rsid w:val="002C13C1"/>
    <w:rsid w:val="002C3941"/>
    <w:rsid w:val="002D1A2B"/>
    <w:rsid w:val="002D633B"/>
    <w:rsid w:val="002E6047"/>
    <w:rsid w:val="002F39C3"/>
    <w:rsid w:val="00302F23"/>
    <w:rsid w:val="00305CEF"/>
    <w:rsid w:val="003065C7"/>
    <w:rsid w:val="00306CE9"/>
    <w:rsid w:val="0030732F"/>
    <w:rsid w:val="0034024E"/>
    <w:rsid w:val="00345738"/>
    <w:rsid w:val="00353229"/>
    <w:rsid w:val="003928F5"/>
    <w:rsid w:val="003975D6"/>
    <w:rsid w:val="003A3B44"/>
    <w:rsid w:val="003A3EC9"/>
    <w:rsid w:val="003D24D9"/>
    <w:rsid w:val="003E173E"/>
    <w:rsid w:val="003F0D24"/>
    <w:rsid w:val="00400CB0"/>
    <w:rsid w:val="00404E75"/>
    <w:rsid w:val="00414F5B"/>
    <w:rsid w:val="00417B47"/>
    <w:rsid w:val="00424EFB"/>
    <w:rsid w:val="004456EA"/>
    <w:rsid w:val="00447AC4"/>
    <w:rsid w:val="004527F1"/>
    <w:rsid w:val="00470102"/>
    <w:rsid w:val="00474EDE"/>
    <w:rsid w:val="00495BB0"/>
    <w:rsid w:val="004B1B0F"/>
    <w:rsid w:val="004B6298"/>
    <w:rsid w:val="004C310C"/>
    <w:rsid w:val="004C5B25"/>
    <w:rsid w:val="004F1E0F"/>
    <w:rsid w:val="004F2C35"/>
    <w:rsid w:val="005125D6"/>
    <w:rsid w:val="00513065"/>
    <w:rsid w:val="005225E0"/>
    <w:rsid w:val="00567CC3"/>
    <w:rsid w:val="00570E52"/>
    <w:rsid w:val="0059060F"/>
    <w:rsid w:val="005C08D0"/>
    <w:rsid w:val="005C7D74"/>
    <w:rsid w:val="005E09CB"/>
    <w:rsid w:val="005E48E7"/>
    <w:rsid w:val="005F3D9F"/>
    <w:rsid w:val="005F74E1"/>
    <w:rsid w:val="00601749"/>
    <w:rsid w:val="00610131"/>
    <w:rsid w:val="00613A56"/>
    <w:rsid w:val="006319DF"/>
    <w:rsid w:val="0064518F"/>
    <w:rsid w:val="006525B9"/>
    <w:rsid w:val="0065617D"/>
    <w:rsid w:val="00664184"/>
    <w:rsid w:val="00667A9B"/>
    <w:rsid w:val="00670E82"/>
    <w:rsid w:val="0067468E"/>
    <w:rsid w:val="006A3A2B"/>
    <w:rsid w:val="006A63AE"/>
    <w:rsid w:val="006A66F5"/>
    <w:rsid w:val="006B0026"/>
    <w:rsid w:val="006B0F3A"/>
    <w:rsid w:val="006B765B"/>
    <w:rsid w:val="006B7C33"/>
    <w:rsid w:val="006D761F"/>
    <w:rsid w:val="007001BB"/>
    <w:rsid w:val="0070609C"/>
    <w:rsid w:val="00712B35"/>
    <w:rsid w:val="00720D00"/>
    <w:rsid w:val="007212F3"/>
    <w:rsid w:val="0072613C"/>
    <w:rsid w:val="007374BF"/>
    <w:rsid w:val="00751787"/>
    <w:rsid w:val="0079278B"/>
    <w:rsid w:val="0079397C"/>
    <w:rsid w:val="007A38DF"/>
    <w:rsid w:val="007A6E25"/>
    <w:rsid w:val="007B7A46"/>
    <w:rsid w:val="007C1BAD"/>
    <w:rsid w:val="007C278C"/>
    <w:rsid w:val="007D65C3"/>
    <w:rsid w:val="007E091B"/>
    <w:rsid w:val="007F499A"/>
    <w:rsid w:val="00804F47"/>
    <w:rsid w:val="00817C86"/>
    <w:rsid w:val="00821CAA"/>
    <w:rsid w:val="008406ED"/>
    <w:rsid w:val="00852079"/>
    <w:rsid w:val="00880A37"/>
    <w:rsid w:val="0089566F"/>
    <w:rsid w:val="008A1169"/>
    <w:rsid w:val="008A1A6F"/>
    <w:rsid w:val="008A71EC"/>
    <w:rsid w:val="008B3011"/>
    <w:rsid w:val="008C0D00"/>
    <w:rsid w:val="008C5BB5"/>
    <w:rsid w:val="008C66B7"/>
    <w:rsid w:val="008E7208"/>
    <w:rsid w:val="009246D7"/>
    <w:rsid w:val="00952518"/>
    <w:rsid w:val="00965FB9"/>
    <w:rsid w:val="0097545B"/>
    <w:rsid w:val="0098043B"/>
    <w:rsid w:val="0098259F"/>
    <w:rsid w:val="00990CEC"/>
    <w:rsid w:val="009A5C9E"/>
    <w:rsid w:val="009A67BC"/>
    <w:rsid w:val="009B26E4"/>
    <w:rsid w:val="009C017E"/>
    <w:rsid w:val="009C0198"/>
    <w:rsid w:val="009C2CCF"/>
    <w:rsid w:val="009D75E1"/>
    <w:rsid w:val="009F1426"/>
    <w:rsid w:val="009F2444"/>
    <w:rsid w:val="009F6ACC"/>
    <w:rsid w:val="00A02520"/>
    <w:rsid w:val="00A06874"/>
    <w:rsid w:val="00A3320D"/>
    <w:rsid w:val="00A34836"/>
    <w:rsid w:val="00A81F73"/>
    <w:rsid w:val="00A9263E"/>
    <w:rsid w:val="00AC51C6"/>
    <w:rsid w:val="00AD41F2"/>
    <w:rsid w:val="00AE07B8"/>
    <w:rsid w:val="00B02059"/>
    <w:rsid w:val="00B04840"/>
    <w:rsid w:val="00B11CD8"/>
    <w:rsid w:val="00B20B29"/>
    <w:rsid w:val="00B301C1"/>
    <w:rsid w:val="00B30435"/>
    <w:rsid w:val="00B518A9"/>
    <w:rsid w:val="00B6332F"/>
    <w:rsid w:val="00B72DC7"/>
    <w:rsid w:val="00B86F7F"/>
    <w:rsid w:val="00B9079B"/>
    <w:rsid w:val="00BA1EF9"/>
    <w:rsid w:val="00BB1A99"/>
    <w:rsid w:val="00BC0FDA"/>
    <w:rsid w:val="00BC5DF8"/>
    <w:rsid w:val="00BE08AB"/>
    <w:rsid w:val="00BE1D4A"/>
    <w:rsid w:val="00BF1830"/>
    <w:rsid w:val="00BF5D7D"/>
    <w:rsid w:val="00C0198F"/>
    <w:rsid w:val="00C04622"/>
    <w:rsid w:val="00C17775"/>
    <w:rsid w:val="00C2579D"/>
    <w:rsid w:val="00C357E2"/>
    <w:rsid w:val="00C50D27"/>
    <w:rsid w:val="00C81483"/>
    <w:rsid w:val="00C957D2"/>
    <w:rsid w:val="00CA0147"/>
    <w:rsid w:val="00CA3842"/>
    <w:rsid w:val="00CB2A4E"/>
    <w:rsid w:val="00CB39B5"/>
    <w:rsid w:val="00CD4C0E"/>
    <w:rsid w:val="00CD6952"/>
    <w:rsid w:val="00CE08D6"/>
    <w:rsid w:val="00CE4A13"/>
    <w:rsid w:val="00CE771F"/>
    <w:rsid w:val="00D30A8D"/>
    <w:rsid w:val="00D3105D"/>
    <w:rsid w:val="00D35D41"/>
    <w:rsid w:val="00D46BA6"/>
    <w:rsid w:val="00D67F6F"/>
    <w:rsid w:val="00D75572"/>
    <w:rsid w:val="00D75FD7"/>
    <w:rsid w:val="00D85E36"/>
    <w:rsid w:val="00DC5B56"/>
    <w:rsid w:val="00DD7C83"/>
    <w:rsid w:val="00DE14DE"/>
    <w:rsid w:val="00E03AA1"/>
    <w:rsid w:val="00E17015"/>
    <w:rsid w:val="00E210E9"/>
    <w:rsid w:val="00E270F1"/>
    <w:rsid w:val="00E312F6"/>
    <w:rsid w:val="00E35D43"/>
    <w:rsid w:val="00E61F07"/>
    <w:rsid w:val="00E64BD4"/>
    <w:rsid w:val="00E66CC3"/>
    <w:rsid w:val="00EA287C"/>
    <w:rsid w:val="00EB47F3"/>
    <w:rsid w:val="00EC47CA"/>
    <w:rsid w:val="00EE48F6"/>
    <w:rsid w:val="00EE61E3"/>
    <w:rsid w:val="00EE75E6"/>
    <w:rsid w:val="00F177C8"/>
    <w:rsid w:val="00F311BA"/>
    <w:rsid w:val="00F4666A"/>
    <w:rsid w:val="00F532BF"/>
    <w:rsid w:val="00F53DA5"/>
    <w:rsid w:val="00F56BA6"/>
    <w:rsid w:val="00F56D6D"/>
    <w:rsid w:val="00F60309"/>
    <w:rsid w:val="00F61CF7"/>
    <w:rsid w:val="00F63F44"/>
    <w:rsid w:val="00FA009E"/>
    <w:rsid w:val="00FA242A"/>
    <w:rsid w:val="00FD4E56"/>
    <w:rsid w:val="16518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D17F53F7-E7B1-41E6-A1D3-42F6722FD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08D0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BF5D7D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BF5D7D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7A38DF"/>
    <w:pPr>
      <w:spacing w:after="0" w:line="240" w:lineRule="auto"/>
    </w:pPr>
    <w:rPr>
      <w:sz w:val="24"/>
      <w:lang w:val="es-MX"/>
    </w:rPr>
  </w:style>
  <w:style w:type="paragraph" w:customStyle="1" w:styleId="Default">
    <w:name w:val="Default"/>
    <w:rsid w:val="001C3DA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uperfinanciera.gov.co/inicio/informes-y-cifras/cifras/pensiones-cesantias-y-fiduciarias/informacion-por-sector-/fiduciarias/mensuales-/relacion-de-solvencia-10102003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1BE215-FD84-49BE-89A6-2347677534B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47CBA35-0F90-4D58-966E-87628150F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288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Sebastián Obando Cuesta</cp:lastModifiedBy>
  <cp:revision>18</cp:revision>
  <cp:lastPrinted>2022-06-28T21:48:00Z</cp:lastPrinted>
  <dcterms:created xsi:type="dcterms:W3CDTF">2022-08-11T13:26:00Z</dcterms:created>
  <dcterms:modified xsi:type="dcterms:W3CDTF">2023-07-29T08:28:00Z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