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0BB" w:rsidRPr="007D4811" w:rsidRDefault="003220BB" w:rsidP="00337A87">
      <w:pPr>
        <w:tabs>
          <w:tab w:val="left" w:pos="426"/>
        </w:tabs>
        <w:jc w:val="center"/>
        <w:rPr>
          <w:rFonts w:ascii="Tahoma" w:hAnsi="Tahoma" w:cs="Tahoma"/>
          <w:b/>
          <w:sz w:val="20"/>
          <w:szCs w:val="20"/>
          <w:lang w:val="es-CO"/>
        </w:rPr>
      </w:pPr>
      <w:r w:rsidRPr="007D4811">
        <w:rPr>
          <w:rFonts w:ascii="Tahoma" w:hAnsi="Tahoma" w:cs="Tahoma"/>
          <w:b/>
          <w:sz w:val="20"/>
          <w:szCs w:val="20"/>
          <w:lang w:val="es-CO"/>
        </w:rPr>
        <w:t>ANEXO “G”</w:t>
      </w:r>
    </w:p>
    <w:p w:rsidR="003220BB" w:rsidRDefault="003220BB" w:rsidP="003220BB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MATRIZ DE RIESGOS </w:t>
      </w:r>
    </w:p>
    <w:p w:rsidR="003220BB" w:rsidRPr="003539B9" w:rsidRDefault="003220BB" w:rsidP="003220BB">
      <w:pPr>
        <w:tabs>
          <w:tab w:val="left" w:pos="426"/>
        </w:tabs>
        <w:autoSpaceDE w:val="0"/>
        <w:autoSpaceDN w:val="0"/>
        <w:adjustRightInd w:val="0"/>
        <w:jc w:val="center"/>
        <w:rPr>
          <w:rFonts w:ascii="Tahoma" w:hAnsi="Tahoma" w:cs="Tahoma"/>
          <w:b/>
          <w:sz w:val="20"/>
          <w:szCs w:val="20"/>
        </w:rPr>
      </w:pPr>
    </w:p>
    <w:p w:rsidR="003220BB" w:rsidRPr="007D4811" w:rsidRDefault="003220BB" w:rsidP="003220BB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>Tabla 1 Matriz de riesgos</w:t>
      </w:r>
    </w:p>
    <w:p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96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"/>
        <w:gridCol w:w="878"/>
        <w:gridCol w:w="1372"/>
        <w:gridCol w:w="1187"/>
        <w:gridCol w:w="299"/>
        <w:gridCol w:w="1418"/>
        <w:gridCol w:w="772"/>
        <w:gridCol w:w="1104"/>
        <w:gridCol w:w="772"/>
        <w:gridCol w:w="1403"/>
      </w:tblGrid>
      <w:tr w:rsidR="003220BB" w:rsidRPr="007D4811" w:rsidTr="002425CD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7D4811">
              <w:rPr>
                <w:rFonts w:ascii="Tahoma" w:hAnsi="Tahoma" w:cs="Tahoma"/>
                <w:b/>
                <w:sz w:val="20"/>
                <w:szCs w:val="20"/>
              </w:rPr>
              <w:t>NUMERICA</w:t>
            </w:r>
            <w:proofErr w:type="spellEnd"/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7D4811">
              <w:rPr>
                <w:rFonts w:ascii="Tahoma" w:hAnsi="Tahoma" w:cs="Tahoma"/>
                <w:b/>
                <w:sz w:val="20"/>
                <w:szCs w:val="20"/>
              </w:rPr>
              <w:t>HISTORICA</w:t>
            </w:r>
            <w:proofErr w:type="spellEnd"/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469" w:type="dxa"/>
            <w:gridSpan w:val="5"/>
            <w:tcBorders>
              <w:left w:val="single" w:sz="4" w:space="0" w:color="auto"/>
              <w:bottom w:val="single" w:sz="4" w:space="0" w:color="auto"/>
            </w:tcBorders>
            <w:shd w:val="clear" w:color="auto" w:fill="808080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IMPACTO</w:t>
            </w:r>
          </w:p>
        </w:tc>
      </w:tr>
      <w:tr w:rsidR="003220BB" w:rsidRPr="007D4811" w:rsidTr="002425CD">
        <w:trPr>
          <w:trHeight w:val="171"/>
          <w:jc w:val="center"/>
        </w:trPr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color w:val="A6A6A6"/>
                <w:sz w:val="20"/>
                <w:szCs w:val="20"/>
              </w:rPr>
            </w:pPr>
            <w:r w:rsidRPr="007D4811">
              <w:rPr>
                <w:rFonts w:ascii="Tahoma" w:hAnsi="Tahoma" w:cs="Tahoma"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58E9E2" wp14:editId="66116541">
                      <wp:simplePos x="0" y="0"/>
                      <wp:positionH relativeFrom="column">
                        <wp:posOffset>313690</wp:posOffset>
                      </wp:positionH>
                      <wp:positionV relativeFrom="paragraph">
                        <wp:posOffset>15240</wp:posOffset>
                      </wp:positionV>
                      <wp:extent cx="57785" cy="66675"/>
                      <wp:effectExtent l="19050" t="0" r="11430" b="26035"/>
                      <wp:wrapNone/>
                      <wp:docPr id="3" name="Flecha abaj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7785" cy="66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type w14:anchorId="09EBD7BF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Flecha abajo 3" o:spid="_x0000_s1026" type="#_x0000_t67" style="position:absolute;margin-left:24.7pt;margin-top:1.2pt;width:4.55pt;height: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noProof/>
                <w:sz w:val="20"/>
                <w:szCs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4666CDE" wp14:editId="286B5CF6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24765</wp:posOffset>
                      </wp:positionV>
                      <wp:extent cx="57785" cy="66675"/>
                      <wp:effectExtent l="19050" t="0" r="11430" b="26035"/>
                      <wp:wrapNone/>
                      <wp:docPr id="2" name="Flecha abaj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7785" cy="66675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shape w14:anchorId="19F2E311" id="Flecha abajo 2" o:spid="_x0000_s1026" type="#_x0000_t67" style="position:absolute;margin-left:20.15pt;margin-top:1.95pt;width:4.55pt;height: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" adj="12240" fillcolor="#4f81bd" strokecolor="#385d8a" strokeweight="2pt">
                      <v:path arrowok="t"/>
                    </v:shape>
                  </w:pict>
                </mc:Fallback>
              </mc:AlternateConten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INSIGNIFICANTE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MENOR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MODERADO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MAYOR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proofErr w:type="spellStart"/>
            <w:r w:rsidRPr="007D4811">
              <w:rPr>
                <w:rFonts w:ascii="Tahoma" w:hAnsi="Tahoma" w:cs="Tahoma"/>
                <w:b/>
                <w:sz w:val="20"/>
                <w:szCs w:val="20"/>
              </w:rPr>
              <w:t>CATASTROFICO</w:t>
            </w:r>
            <w:proofErr w:type="spellEnd"/>
          </w:p>
        </w:tc>
      </w:tr>
      <w:tr w:rsidR="003220BB" w:rsidRPr="007D4811" w:rsidTr="002425CD">
        <w:trPr>
          <w:trHeight w:val="184"/>
          <w:jc w:val="center"/>
        </w:trPr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</w:tr>
      <w:tr w:rsidR="003220BB" w:rsidRPr="007D4811" w:rsidTr="002425CD">
        <w:trPr>
          <w:trHeight w:val="424"/>
          <w:jc w:val="center"/>
        </w:trPr>
        <w:tc>
          <w:tcPr>
            <w:tcW w:w="398" w:type="dxa"/>
            <w:vMerge w:val="restart"/>
            <w:tcBorders>
              <w:top w:val="single" w:sz="4" w:space="0" w:color="auto"/>
            </w:tcBorders>
            <w:shd w:val="clear" w:color="auto" w:fill="000000"/>
            <w:textDirection w:val="btLr"/>
          </w:tcPr>
          <w:p w:rsidR="003220BB" w:rsidRPr="007D4811" w:rsidRDefault="003220BB" w:rsidP="002425CD">
            <w:pPr>
              <w:ind w:left="113" w:right="113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PROBABILIDAD</w:t>
            </w:r>
          </w:p>
        </w:tc>
        <w:tc>
          <w:tcPr>
            <w:tcW w:w="8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10.000-100.000</w:t>
            </w:r>
          </w:p>
        </w:tc>
        <w:tc>
          <w:tcPr>
            <w:tcW w:w="1372" w:type="dxa"/>
            <w:tcBorders>
              <w:top w:val="single" w:sz="4" w:space="0" w:color="auto"/>
            </w:tcBorders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Puede ocurrir pero solo en circunstancias excepcionales</w:t>
            </w:r>
          </w:p>
        </w:tc>
        <w:tc>
          <w:tcPr>
            <w:tcW w:w="118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RARO</w:t>
            </w:r>
          </w:p>
        </w:tc>
        <w:tc>
          <w:tcPr>
            <w:tcW w:w="2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72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1104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403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1.000-10.000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Podría  ocurrir pero dudoso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IMPROBABLE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772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1104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403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100-1.000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Podría ocurrir en cualquier momento futuro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POSIBLE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00B05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4</w:t>
            </w:r>
          </w:p>
        </w:tc>
        <w:tc>
          <w:tcPr>
            <w:tcW w:w="772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1104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8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10-100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Probablemente ocurrirá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PROBABLE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4</w:t>
            </w:r>
          </w:p>
        </w:tc>
        <w:tc>
          <w:tcPr>
            <w:tcW w:w="1418" w:type="dxa"/>
            <w:shd w:val="clear" w:color="auto" w:fill="FFFF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5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1104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772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8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9</w:t>
            </w:r>
          </w:p>
        </w:tc>
      </w:tr>
      <w:tr w:rsidR="003220BB" w:rsidRPr="007D4811" w:rsidTr="002425CD">
        <w:trPr>
          <w:trHeight w:val="141"/>
          <w:jc w:val="center"/>
        </w:trPr>
        <w:tc>
          <w:tcPr>
            <w:tcW w:w="398" w:type="dxa"/>
            <w:vMerge/>
            <w:shd w:val="clear" w:color="auto" w:fill="000000"/>
          </w:tcPr>
          <w:p w:rsidR="003220BB" w:rsidRPr="007D4811" w:rsidRDefault="003220BB" w:rsidP="002425C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1 EN 10</w:t>
            </w:r>
          </w:p>
        </w:tc>
        <w:tc>
          <w:tcPr>
            <w:tcW w:w="1372" w:type="dxa"/>
            <w:shd w:val="clear" w:color="auto" w:fill="auto"/>
          </w:tcPr>
          <w:p w:rsidR="003220BB" w:rsidRPr="007D4811" w:rsidRDefault="003220BB" w:rsidP="002425CD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Se espera que ocurra en la mayoría de  circunstancias</w:t>
            </w:r>
          </w:p>
        </w:tc>
        <w:tc>
          <w:tcPr>
            <w:tcW w:w="1187" w:type="dxa"/>
            <w:shd w:val="clear" w:color="auto" w:fill="D9D9D9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CASI CIERTO</w:t>
            </w:r>
          </w:p>
        </w:tc>
        <w:tc>
          <w:tcPr>
            <w:tcW w:w="299" w:type="dxa"/>
            <w:shd w:val="clear" w:color="auto" w:fill="auto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6</w:t>
            </w:r>
          </w:p>
        </w:tc>
        <w:tc>
          <w:tcPr>
            <w:tcW w:w="772" w:type="dxa"/>
            <w:shd w:val="clear" w:color="auto" w:fill="FFC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>7</w:t>
            </w:r>
          </w:p>
        </w:tc>
        <w:tc>
          <w:tcPr>
            <w:tcW w:w="1104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8</w:t>
            </w:r>
          </w:p>
        </w:tc>
        <w:tc>
          <w:tcPr>
            <w:tcW w:w="772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9</w:t>
            </w:r>
          </w:p>
        </w:tc>
        <w:tc>
          <w:tcPr>
            <w:tcW w:w="1403" w:type="dxa"/>
            <w:shd w:val="clear" w:color="auto" w:fill="FF0000"/>
            <w:vAlign w:val="center"/>
          </w:tcPr>
          <w:p w:rsidR="003220BB" w:rsidRPr="007D4811" w:rsidRDefault="003220BB" w:rsidP="002425CD">
            <w:pPr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10</w:t>
            </w:r>
          </w:p>
        </w:tc>
      </w:tr>
    </w:tbl>
    <w:p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7D4811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7D4811" w:rsidRDefault="003220BB" w:rsidP="003220BB">
      <w:pPr>
        <w:jc w:val="both"/>
        <w:rPr>
          <w:rFonts w:ascii="Tahoma" w:hAnsi="Tahoma" w:cs="Tahoma"/>
          <w:sz w:val="20"/>
          <w:szCs w:val="20"/>
        </w:rPr>
      </w:pPr>
      <w:r w:rsidRPr="007D4811">
        <w:rPr>
          <w:rFonts w:ascii="Tahoma" w:hAnsi="Tahoma" w:cs="Tahoma"/>
          <w:sz w:val="20"/>
          <w:szCs w:val="20"/>
        </w:rPr>
        <w:t>El orden de prioridades fue establecido asignando un puntaje de acuerdo con la probabilidad de ocurrencia (raro; improbable; posible; probable; casi cierto) y de su impacto (insignificante; menor; moderado; mayor; catastrófico). Los riesgos fueron clasificados teniendo cuenta su calificación de acuerdo con Tabla 2.</w:t>
      </w:r>
    </w:p>
    <w:p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p w:rsidR="003220BB" w:rsidRDefault="003220BB" w:rsidP="00337A87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7D4811">
        <w:rPr>
          <w:rFonts w:ascii="Tahoma" w:hAnsi="Tahoma" w:cs="Tahoma"/>
          <w:b/>
          <w:bCs/>
          <w:sz w:val="20"/>
          <w:szCs w:val="20"/>
        </w:rPr>
        <w:t>Tabla 2 Prioridad de t</w:t>
      </w:r>
      <w:r>
        <w:rPr>
          <w:rFonts w:ascii="Tahoma" w:hAnsi="Tahoma" w:cs="Tahoma"/>
          <w:b/>
          <w:bCs/>
          <w:sz w:val="20"/>
          <w:szCs w:val="20"/>
        </w:rPr>
        <w:t>ratamiento y control del riesgo</w:t>
      </w:r>
    </w:p>
    <w:p w:rsidR="003220BB" w:rsidRPr="007D4811" w:rsidRDefault="003220BB" w:rsidP="003220BB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6804"/>
      </w:tblGrid>
      <w:tr w:rsidR="003220BB" w:rsidRPr="007D4811" w:rsidTr="00337A87">
        <w:trPr>
          <w:jc w:val="center"/>
        </w:trPr>
        <w:tc>
          <w:tcPr>
            <w:tcW w:w="2122" w:type="dxa"/>
            <w:shd w:val="clear" w:color="auto" w:fill="808080"/>
            <w:vAlign w:val="center"/>
          </w:tcPr>
          <w:p w:rsidR="003220BB" w:rsidRPr="007D4811" w:rsidRDefault="003220BB" w:rsidP="002425CD">
            <w:pPr>
              <w:pStyle w:val="Default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N°</w:t>
            </w:r>
          </w:p>
        </w:tc>
        <w:tc>
          <w:tcPr>
            <w:tcW w:w="6804" w:type="dxa"/>
            <w:shd w:val="clear" w:color="auto" w:fill="808080"/>
            <w:vAlign w:val="center"/>
          </w:tcPr>
          <w:p w:rsidR="003220BB" w:rsidRPr="007D4811" w:rsidRDefault="003220BB" w:rsidP="002425CD">
            <w:pPr>
              <w:pStyle w:val="Default"/>
              <w:jc w:val="center"/>
              <w:rPr>
                <w:rFonts w:ascii="Tahoma" w:hAnsi="Tahoma" w:cs="Tahoma"/>
                <w:b/>
                <w:color w:val="FFFFFF"/>
                <w:sz w:val="20"/>
                <w:szCs w:val="20"/>
              </w:rPr>
            </w:pPr>
            <w:r w:rsidRPr="007D4811">
              <w:rPr>
                <w:rFonts w:ascii="Tahoma" w:hAnsi="Tahoma" w:cs="Tahoma"/>
                <w:b/>
                <w:color w:val="FFFFFF"/>
                <w:sz w:val="20"/>
                <w:szCs w:val="20"/>
              </w:rPr>
              <w:t>Factor de escogencia y calificación</w:t>
            </w:r>
          </w:p>
        </w:tc>
      </w:tr>
      <w:tr w:rsidR="003220BB" w:rsidRPr="007D4811" w:rsidTr="00337A87">
        <w:trPr>
          <w:jc w:val="center"/>
        </w:trPr>
        <w:tc>
          <w:tcPr>
            <w:tcW w:w="2122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&gt; 7 </w:t>
            </w:r>
          </w:p>
        </w:tc>
        <w:tc>
          <w:tcPr>
            <w:tcW w:w="6804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Extremo: Se requiere un plan de acción detallado </w:t>
            </w:r>
          </w:p>
        </w:tc>
      </w:tr>
      <w:tr w:rsidR="003220BB" w:rsidRPr="007D4811" w:rsidTr="00337A87">
        <w:trPr>
          <w:jc w:val="center"/>
        </w:trPr>
        <w:tc>
          <w:tcPr>
            <w:tcW w:w="2122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6 &lt;= Riesgo &lt;= 7 </w:t>
            </w:r>
          </w:p>
        </w:tc>
        <w:tc>
          <w:tcPr>
            <w:tcW w:w="6804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Alto: Se necesita una atención mayor de la administración </w:t>
            </w:r>
          </w:p>
        </w:tc>
      </w:tr>
      <w:tr w:rsidR="003220BB" w:rsidRPr="007D4811" w:rsidTr="00337A87">
        <w:trPr>
          <w:jc w:val="center"/>
        </w:trPr>
        <w:tc>
          <w:tcPr>
            <w:tcW w:w="2122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= 5 </w:t>
            </w:r>
          </w:p>
        </w:tc>
        <w:tc>
          <w:tcPr>
            <w:tcW w:w="6804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Medio: Especificar responsabilidad de la administración </w:t>
            </w:r>
          </w:p>
        </w:tc>
      </w:tr>
      <w:tr w:rsidR="003220BB" w:rsidRPr="007D4811" w:rsidTr="00337A87">
        <w:trPr>
          <w:jc w:val="center"/>
        </w:trPr>
        <w:tc>
          <w:tcPr>
            <w:tcW w:w="2122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&lt; 5 </w:t>
            </w:r>
          </w:p>
        </w:tc>
        <w:tc>
          <w:tcPr>
            <w:tcW w:w="6804" w:type="dxa"/>
            <w:shd w:val="clear" w:color="auto" w:fill="auto"/>
          </w:tcPr>
          <w:p w:rsidR="003220BB" w:rsidRPr="007D4811" w:rsidRDefault="003220BB" w:rsidP="002425CD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 w:rsidRPr="007D4811">
              <w:rPr>
                <w:rFonts w:ascii="Tahoma" w:hAnsi="Tahoma" w:cs="Tahoma"/>
                <w:sz w:val="20"/>
                <w:szCs w:val="20"/>
              </w:rPr>
              <w:t xml:space="preserve">Riesgo Bajo: Administrar por procedimientos de rutina </w:t>
            </w:r>
          </w:p>
        </w:tc>
      </w:tr>
    </w:tbl>
    <w:p w:rsidR="003220BB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Pr="003539B9" w:rsidRDefault="003220BB" w:rsidP="003220BB">
      <w:pPr>
        <w:rPr>
          <w:rFonts w:ascii="Tahoma" w:hAnsi="Tahoma" w:cs="Tahoma"/>
          <w:sz w:val="20"/>
          <w:szCs w:val="20"/>
        </w:rPr>
      </w:pPr>
    </w:p>
    <w:p w:rsidR="003220BB" w:rsidRDefault="003220BB" w:rsidP="003220BB">
      <w:pPr>
        <w:tabs>
          <w:tab w:val="left" w:pos="1252"/>
        </w:tabs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ab/>
      </w:r>
    </w:p>
    <w:p w:rsidR="003220BB" w:rsidRPr="003539B9" w:rsidRDefault="003220BB" w:rsidP="003220BB">
      <w:pPr>
        <w:tabs>
          <w:tab w:val="left" w:pos="1252"/>
        </w:tabs>
        <w:rPr>
          <w:rFonts w:ascii="Tahoma" w:hAnsi="Tahoma" w:cs="Tahoma"/>
          <w:sz w:val="20"/>
          <w:szCs w:val="20"/>
        </w:rPr>
        <w:sectPr w:rsidR="003220BB" w:rsidRPr="003539B9" w:rsidSect="003E5227">
          <w:pgSz w:w="12250" w:h="18730"/>
          <w:pgMar w:top="2180" w:right="1760" w:bottom="280" w:left="851" w:header="518" w:footer="0" w:gutter="0"/>
          <w:cols w:space="720"/>
        </w:sectPr>
      </w:pPr>
      <w:r>
        <w:rPr>
          <w:rFonts w:ascii="Tahoma" w:hAnsi="Tahoma" w:cs="Tahoma"/>
          <w:sz w:val="20"/>
          <w:szCs w:val="20"/>
        </w:rPr>
        <w:tab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3"/>
        <w:gridCol w:w="811"/>
        <w:gridCol w:w="942"/>
        <w:gridCol w:w="283"/>
        <w:gridCol w:w="283"/>
        <w:gridCol w:w="283"/>
        <w:gridCol w:w="283"/>
        <w:gridCol w:w="283"/>
        <w:gridCol w:w="873"/>
        <w:gridCol w:w="283"/>
        <w:gridCol w:w="283"/>
        <w:gridCol w:w="283"/>
        <w:gridCol w:w="283"/>
        <w:gridCol w:w="283"/>
        <w:gridCol w:w="283"/>
        <w:gridCol w:w="283"/>
        <w:gridCol w:w="699"/>
        <w:gridCol w:w="12"/>
        <w:gridCol w:w="683"/>
      </w:tblGrid>
      <w:tr w:rsidR="003220BB" w:rsidRPr="003539B9" w:rsidTr="00337A87">
        <w:trPr>
          <w:cantSplit/>
          <w:trHeight w:val="1033"/>
          <w:jc w:val="center"/>
        </w:trPr>
        <w:tc>
          <w:tcPr>
            <w:tcW w:w="92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lastRenderedPageBreak/>
              <w:t>No</w:t>
            </w:r>
          </w:p>
        </w:tc>
        <w:tc>
          <w:tcPr>
            <w:tcW w:w="202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Clase</w:t>
            </w:r>
          </w:p>
        </w:tc>
        <w:tc>
          <w:tcPr>
            <w:tcW w:w="164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Área</w:t>
            </w:r>
          </w:p>
        </w:tc>
        <w:tc>
          <w:tcPr>
            <w:tcW w:w="198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Etapa</w:t>
            </w:r>
          </w:p>
        </w:tc>
        <w:tc>
          <w:tcPr>
            <w:tcW w:w="164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Tipo</w:t>
            </w:r>
          </w:p>
        </w:tc>
        <w:tc>
          <w:tcPr>
            <w:tcW w:w="417" w:type="pct"/>
            <w:vMerge w:val="restart"/>
            <w:shd w:val="clear" w:color="000000" w:fill="BFBFBF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descripción (qué puede pasar y, si es posible, cómo puede pasar)</w:t>
            </w:r>
          </w:p>
        </w:tc>
        <w:tc>
          <w:tcPr>
            <w:tcW w:w="429" w:type="pct"/>
            <w:vMerge w:val="restart"/>
            <w:shd w:val="clear" w:color="000000" w:fill="BFBFBF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Consecuencia de la ocurrencia del evento</w:t>
            </w:r>
          </w:p>
        </w:tc>
        <w:tc>
          <w:tcPr>
            <w:tcW w:w="92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92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165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Calificación</w:t>
            </w:r>
          </w:p>
        </w:tc>
        <w:tc>
          <w:tcPr>
            <w:tcW w:w="160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Prioridad</w:t>
            </w:r>
          </w:p>
        </w:tc>
        <w:tc>
          <w:tcPr>
            <w:tcW w:w="220" w:type="pct"/>
            <w:vMerge w:val="restart"/>
            <w:shd w:val="clear" w:color="000000" w:fill="BFBFBF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A quien se le asigna</w:t>
            </w:r>
            <w:proofErr w:type="gramStart"/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?</w:t>
            </w:r>
            <w:proofErr w:type="gramEnd"/>
          </w:p>
        </w:tc>
        <w:tc>
          <w:tcPr>
            <w:tcW w:w="552" w:type="pct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Tratamiento/controles a ser implementados</w:t>
            </w:r>
          </w:p>
        </w:tc>
        <w:tc>
          <w:tcPr>
            <w:tcW w:w="318" w:type="pct"/>
            <w:gridSpan w:val="3"/>
            <w:shd w:val="clear" w:color="000000" w:fill="BFBFBF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Impacto después del tratamiento</w:t>
            </w:r>
          </w:p>
        </w:tc>
        <w:tc>
          <w:tcPr>
            <w:tcW w:w="156" w:type="pct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Afecta la ejecución el contrato</w:t>
            </w:r>
          </w:p>
        </w:tc>
        <w:tc>
          <w:tcPr>
            <w:tcW w:w="185" w:type="pct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Persona que implementa el tratamiento</w:t>
            </w:r>
          </w:p>
        </w:tc>
        <w:tc>
          <w:tcPr>
            <w:tcW w:w="132" w:type="pct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Fecha inicio tratamiento</w:t>
            </w:r>
          </w:p>
        </w:tc>
        <w:tc>
          <w:tcPr>
            <w:tcW w:w="519" w:type="pct"/>
            <w:vMerge w:val="restar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Fecha término tratamiento</w:t>
            </w:r>
          </w:p>
        </w:tc>
        <w:tc>
          <w:tcPr>
            <w:tcW w:w="742" w:type="pct"/>
            <w:gridSpan w:val="3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Monitoreo y revisión</w:t>
            </w:r>
          </w:p>
        </w:tc>
      </w:tr>
      <w:tr w:rsidR="00337A87" w:rsidRPr="003539B9" w:rsidTr="00337A87">
        <w:trPr>
          <w:cantSplit/>
          <w:trHeight w:val="20"/>
          <w:jc w:val="center"/>
        </w:trPr>
        <w:tc>
          <w:tcPr>
            <w:tcW w:w="92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202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64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98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64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417" w:type="pct"/>
            <w:vMerge/>
            <w:shd w:val="clear" w:color="000000" w:fill="BFBFBF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429" w:type="pct"/>
            <w:vMerge/>
            <w:shd w:val="clear" w:color="000000" w:fill="BFBFBF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92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92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65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60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220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552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92" w:type="pc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probabilidad</w:t>
            </w:r>
          </w:p>
        </w:tc>
        <w:tc>
          <w:tcPr>
            <w:tcW w:w="92" w:type="pc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impacto</w:t>
            </w:r>
          </w:p>
        </w:tc>
        <w:tc>
          <w:tcPr>
            <w:tcW w:w="135" w:type="pc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Valoración del riesgo</w:t>
            </w:r>
          </w:p>
        </w:tc>
        <w:tc>
          <w:tcPr>
            <w:tcW w:w="156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85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132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519" w:type="pct"/>
            <w:vMerge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  <w:tc>
          <w:tcPr>
            <w:tcW w:w="208" w:type="pct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Forma de realizar monitoreo</w:t>
            </w:r>
          </w:p>
        </w:tc>
        <w:tc>
          <w:tcPr>
            <w:tcW w:w="534" w:type="pct"/>
            <w:gridSpan w:val="2"/>
            <w:shd w:val="clear" w:color="000000" w:fill="BFBFBF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Periodicidad monitoreo / Cuando</w:t>
            </w:r>
            <w:proofErr w:type="gramStart"/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?</w:t>
            </w:r>
            <w:proofErr w:type="gramEnd"/>
          </w:p>
        </w:tc>
      </w:tr>
      <w:tr w:rsidR="003220BB" w:rsidRPr="003539B9" w:rsidTr="00337A87">
        <w:trPr>
          <w:cantSplit/>
          <w:trHeight w:val="20"/>
          <w:jc w:val="center"/>
        </w:trPr>
        <w:tc>
          <w:tcPr>
            <w:tcW w:w="92" w:type="pct"/>
            <w:shd w:val="clear" w:color="auto" w:fill="auto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02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General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Externo</w:t>
            </w:r>
          </w:p>
        </w:tc>
        <w:tc>
          <w:tcPr>
            <w:tcW w:w="198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Planeación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Social o político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Dispersión de la normatividad</w:t>
            </w:r>
          </w:p>
        </w:tc>
        <w:tc>
          <w:tcPr>
            <w:tcW w:w="429" w:type="pct"/>
            <w:shd w:val="clear" w:color="auto" w:fill="auto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En materia de contratación estatal, existen numerosas normas, directrices, conceptos e interpretaciones sobre el procedimiento de contratación</w:t>
            </w:r>
          </w:p>
        </w:tc>
        <w:tc>
          <w:tcPr>
            <w:tcW w:w="92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92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65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4 (Riesgo bajo)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</w:t>
            </w:r>
          </w:p>
        </w:tc>
        <w:tc>
          <w:tcPr>
            <w:tcW w:w="220" w:type="pct"/>
            <w:shd w:val="clear" w:color="auto" w:fill="auto"/>
            <w:textDirection w:val="btLr"/>
            <w:vAlign w:val="center"/>
            <w:hideMark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ENTIDAD/CONTRATISTA</w:t>
            </w:r>
          </w:p>
        </w:tc>
        <w:tc>
          <w:tcPr>
            <w:tcW w:w="55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Hacer seguimiento de las normas de contratación y de sus modificaciones</w:t>
            </w:r>
          </w:p>
        </w:tc>
        <w:tc>
          <w:tcPr>
            <w:tcW w:w="92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3</w:t>
            </w:r>
          </w:p>
        </w:tc>
        <w:tc>
          <w:tcPr>
            <w:tcW w:w="92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1</w:t>
            </w:r>
          </w:p>
        </w:tc>
        <w:tc>
          <w:tcPr>
            <w:tcW w:w="135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4</w:t>
            </w:r>
          </w:p>
        </w:tc>
        <w:tc>
          <w:tcPr>
            <w:tcW w:w="156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NO</w:t>
            </w:r>
          </w:p>
        </w:tc>
        <w:tc>
          <w:tcPr>
            <w:tcW w:w="185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Asesor de Contratación</w:t>
            </w:r>
          </w:p>
        </w:tc>
        <w:tc>
          <w:tcPr>
            <w:tcW w:w="132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la suscripción de los estudios previos</w:t>
            </w:r>
          </w:p>
        </w:tc>
        <w:tc>
          <w:tcPr>
            <w:tcW w:w="519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20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 xml:space="preserve">Verificando el portal de </w:t>
            </w:r>
            <w:proofErr w:type="spellStart"/>
            <w:r w:rsidRPr="003539B9">
              <w:rPr>
                <w:rFonts w:ascii="Tahoma" w:hAnsi="Tahoma" w:cs="Tahoma"/>
                <w:sz w:val="12"/>
                <w:szCs w:val="12"/>
              </w:rPr>
              <w:t>CCE</w:t>
            </w:r>
            <w:proofErr w:type="spellEnd"/>
          </w:p>
        </w:tc>
        <w:tc>
          <w:tcPr>
            <w:tcW w:w="534" w:type="pct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Semanal</w:t>
            </w:r>
          </w:p>
        </w:tc>
      </w:tr>
      <w:tr w:rsidR="003220BB" w:rsidRPr="003539B9" w:rsidTr="00337A87">
        <w:trPr>
          <w:cantSplit/>
          <w:trHeight w:val="20"/>
          <w:jc w:val="center"/>
        </w:trPr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202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198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Regulatorio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Perjuicios que se puedan ocasionar al contratista por la ocurrencia de hechos de fuerza mayor o caso fortuito en los términos del contrato y de la legislación existente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Retrasos en ejecución contractual</w:t>
            </w:r>
          </w:p>
        </w:tc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220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 xml:space="preserve"> CONTRATISTA</w:t>
            </w:r>
          </w:p>
        </w:tc>
        <w:tc>
          <w:tcPr>
            <w:tcW w:w="55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Las partes de mutuo acuerdo acordarán la forma de retomar el equilibrio contractual a fin de no generar perjuicio para las partes</w:t>
            </w:r>
          </w:p>
        </w:tc>
        <w:tc>
          <w:tcPr>
            <w:tcW w:w="9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9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35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56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185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Si</w:t>
            </w:r>
          </w:p>
        </w:tc>
        <w:tc>
          <w:tcPr>
            <w:tcW w:w="132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el inicio de la ejecución contractual</w:t>
            </w:r>
          </w:p>
        </w:tc>
        <w:tc>
          <w:tcPr>
            <w:tcW w:w="519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20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Liquidación</w:t>
            </w:r>
          </w:p>
        </w:tc>
        <w:tc>
          <w:tcPr>
            <w:tcW w:w="534" w:type="pct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Revisión por parte del Contratista y Supervisor del contrato</w:t>
            </w:r>
          </w:p>
        </w:tc>
      </w:tr>
      <w:tr w:rsidR="003220BB" w:rsidRPr="003539B9" w:rsidTr="00337A87">
        <w:trPr>
          <w:cantSplit/>
          <w:trHeight w:val="20"/>
          <w:jc w:val="center"/>
        </w:trPr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202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General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198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Enfermedad General, laboral, accidentes  de laborales que puedan generar incapacidad discapacidad, muerte del contratista  entre otros que sufra el contratista como consecuencia de los servicios prestados en virtud del contrato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Acciones judiciales</w:t>
            </w:r>
          </w:p>
        </w:tc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220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55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El contratista deberá adoptar las medidas que permita mitigar la ocurrencia de hechos que afecten su salud, ateniendo la prestación del servicio independiente</w:t>
            </w:r>
          </w:p>
        </w:tc>
        <w:tc>
          <w:tcPr>
            <w:tcW w:w="9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9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135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156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185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132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el inicio de la ejecución contractual</w:t>
            </w:r>
          </w:p>
        </w:tc>
        <w:tc>
          <w:tcPr>
            <w:tcW w:w="519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208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Liquidación</w:t>
            </w:r>
          </w:p>
        </w:tc>
        <w:tc>
          <w:tcPr>
            <w:tcW w:w="534" w:type="pct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 Contratista</w:t>
            </w:r>
          </w:p>
        </w:tc>
      </w:tr>
      <w:tr w:rsidR="003220BB" w:rsidRPr="003539B9" w:rsidTr="00337A87">
        <w:trPr>
          <w:cantSplit/>
          <w:trHeight w:val="20"/>
          <w:jc w:val="center"/>
        </w:trPr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202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Especifico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Externo</w:t>
            </w:r>
          </w:p>
        </w:tc>
        <w:tc>
          <w:tcPr>
            <w:tcW w:w="198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Ejecución</w:t>
            </w:r>
          </w:p>
        </w:tc>
        <w:tc>
          <w:tcPr>
            <w:tcW w:w="164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Operacional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Riesgo por mal uso de la información.</w:t>
            </w:r>
          </w:p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</w:p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Se materializa cuando el contratista en cumplimiento de sus obligaciones administra información y la usa en actividades diferentes al desarrollo de su objeto contractual</w:t>
            </w:r>
          </w:p>
        </w:tc>
        <w:tc>
          <w:tcPr>
            <w:tcW w:w="429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Acciones Judiciales</w:t>
            </w:r>
          </w:p>
        </w:tc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3</w:t>
            </w:r>
          </w:p>
        </w:tc>
        <w:tc>
          <w:tcPr>
            <w:tcW w:w="92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4</w:t>
            </w:r>
          </w:p>
        </w:tc>
        <w:tc>
          <w:tcPr>
            <w:tcW w:w="165" w:type="pct"/>
            <w:shd w:val="clear" w:color="auto" w:fill="auto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7</w:t>
            </w:r>
          </w:p>
        </w:tc>
        <w:tc>
          <w:tcPr>
            <w:tcW w:w="160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Alto</w:t>
            </w:r>
          </w:p>
        </w:tc>
        <w:tc>
          <w:tcPr>
            <w:tcW w:w="220" w:type="pct"/>
            <w:shd w:val="clear" w:color="auto" w:fill="auto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CONTRATISTA</w:t>
            </w:r>
          </w:p>
        </w:tc>
        <w:tc>
          <w:tcPr>
            <w:tcW w:w="55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 xml:space="preserve">Reducir las probabilidades de ocurrencia  con divulgación  de políticas  sobre la administración de la información documental y </w:t>
            </w:r>
            <w:proofErr w:type="gramStart"/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magnético</w:t>
            </w:r>
            <w:proofErr w:type="gramEnd"/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.</w:t>
            </w:r>
          </w:p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Monitoreo a las fuentes de información usadas por el contratista</w:t>
            </w:r>
          </w:p>
        </w:tc>
        <w:tc>
          <w:tcPr>
            <w:tcW w:w="9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9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1</w:t>
            </w:r>
          </w:p>
        </w:tc>
        <w:tc>
          <w:tcPr>
            <w:tcW w:w="135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56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Bajo</w:t>
            </w:r>
          </w:p>
        </w:tc>
        <w:tc>
          <w:tcPr>
            <w:tcW w:w="185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No</w:t>
            </w:r>
          </w:p>
        </w:tc>
        <w:tc>
          <w:tcPr>
            <w:tcW w:w="132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desde el inicio de la ejecución contractual</w:t>
            </w:r>
          </w:p>
        </w:tc>
        <w:tc>
          <w:tcPr>
            <w:tcW w:w="519" w:type="pct"/>
            <w:textDirection w:val="btLr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sz w:val="12"/>
                <w:szCs w:val="12"/>
              </w:rPr>
              <w:t>hasta la finalización del plazo de ejecución</w:t>
            </w:r>
          </w:p>
        </w:tc>
        <w:tc>
          <w:tcPr>
            <w:tcW w:w="430" w:type="pct"/>
            <w:gridSpan w:val="2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Liquidación</w:t>
            </w:r>
          </w:p>
        </w:tc>
        <w:tc>
          <w:tcPr>
            <w:tcW w:w="312" w:type="pct"/>
            <w:vAlign w:val="center"/>
          </w:tcPr>
          <w:p w:rsidR="003220BB" w:rsidRPr="003539B9" w:rsidRDefault="003220BB" w:rsidP="002425CD">
            <w:pPr>
              <w:jc w:val="center"/>
              <w:rPr>
                <w:rFonts w:ascii="Tahoma" w:hAnsi="Tahoma" w:cs="Tahoma"/>
                <w:color w:val="000000"/>
                <w:sz w:val="12"/>
                <w:szCs w:val="12"/>
              </w:rPr>
            </w:pPr>
            <w:r w:rsidRPr="003539B9">
              <w:rPr>
                <w:rFonts w:ascii="Tahoma" w:hAnsi="Tahoma" w:cs="Tahoma"/>
                <w:color w:val="000000"/>
                <w:sz w:val="12"/>
                <w:szCs w:val="12"/>
              </w:rPr>
              <w:t>Supervisor Contratista</w:t>
            </w:r>
          </w:p>
        </w:tc>
      </w:tr>
    </w:tbl>
    <w:p w:rsidR="003220BB" w:rsidRPr="003539B9" w:rsidRDefault="003220BB" w:rsidP="003220BB">
      <w:pPr>
        <w:rPr>
          <w:rFonts w:ascii="Tahoma" w:hAnsi="Tahoma" w:cs="Tahoma"/>
          <w:sz w:val="12"/>
          <w:szCs w:val="12"/>
        </w:rPr>
      </w:pPr>
    </w:p>
    <w:p w:rsidR="007704E7" w:rsidRPr="00741651" w:rsidRDefault="003220BB" w:rsidP="00337A87">
      <w:pPr>
        <w:jc w:val="center"/>
      </w:pPr>
      <w:r w:rsidRPr="003539B9">
        <w:rPr>
          <w:rFonts w:ascii="Tahoma" w:hAnsi="Tahoma" w:cs="Tahoma"/>
          <w:b/>
          <w:bCs/>
          <w:sz w:val="12"/>
          <w:szCs w:val="12"/>
        </w:rPr>
        <w:t>Tabla 3 Mapa de identificación de ri</w:t>
      </w:r>
      <w:r w:rsidR="00337A87">
        <w:rPr>
          <w:rFonts w:ascii="Tahoma" w:hAnsi="Tahoma" w:cs="Tahoma"/>
          <w:b/>
          <w:bCs/>
          <w:sz w:val="12"/>
          <w:szCs w:val="12"/>
        </w:rPr>
        <w:t>esgo</w:t>
      </w:r>
      <w:bookmarkStart w:id="0" w:name="_GoBack"/>
      <w:bookmarkEnd w:id="0"/>
    </w:p>
    <w:sectPr w:rsidR="007704E7" w:rsidRPr="007416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220BB"/>
    <w:rsid w:val="00337A87"/>
    <w:rsid w:val="0038062A"/>
    <w:rsid w:val="004D4D8A"/>
    <w:rsid w:val="005A0E98"/>
    <w:rsid w:val="00741651"/>
    <w:rsid w:val="007704E7"/>
    <w:rsid w:val="007833ED"/>
    <w:rsid w:val="00A16559"/>
    <w:rsid w:val="00D027BB"/>
    <w:rsid w:val="00D51074"/>
    <w:rsid w:val="00DE7E11"/>
    <w:rsid w:val="00E3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644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Jairo Alberto Marzan Galvan</cp:lastModifiedBy>
  <cp:revision>13</cp:revision>
  <dcterms:created xsi:type="dcterms:W3CDTF">2023-04-14T17:05:00Z</dcterms:created>
  <dcterms:modified xsi:type="dcterms:W3CDTF">2023-08-30T21:19:00Z</dcterms:modified>
</cp:coreProperties>
</file>