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90D386" w14:textId="77777777" w:rsidR="001E4A6A" w:rsidRPr="001E4A6A" w:rsidRDefault="001E4A6A" w:rsidP="001E4A6A">
      <w:pPr>
        <w:spacing w:after="0" w:line="240" w:lineRule="auto"/>
        <w:contextualSpacing/>
        <w:jc w:val="center"/>
        <w:rPr>
          <w:rFonts w:ascii="Arial" w:eastAsia="MS PGothic" w:hAnsi="Arial" w:cs="Arial"/>
          <w:b/>
          <w:spacing w:val="-10"/>
          <w:kern w:val="28"/>
          <w:sz w:val="20"/>
          <w:szCs w:val="56"/>
        </w:rPr>
      </w:pPr>
      <w:r w:rsidRPr="001E4A6A">
        <w:rPr>
          <w:rFonts w:ascii="Arial" w:eastAsia="MS PGothic" w:hAnsi="Arial" w:cs="Arial"/>
          <w:b/>
          <w:spacing w:val="-10"/>
          <w:kern w:val="28"/>
          <w:sz w:val="20"/>
          <w:szCs w:val="56"/>
        </w:rPr>
        <w:t>ANEXO – GLOSARIO “SECTOR CULTURA, RECREACIÓN Y DEPORTE”</w:t>
      </w:r>
    </w:p>
    <w:p w14:paraId="600FA614" w14:textId="77777777" w:rsidR="001E4A6A" w:rsidRPr="001E4A6A" w:rsidRDefault="001E4A6A" w:rsidP="001E4A6A">
      <w:pPr>
        <w:spacing w:after="0" w:line="240" w:lineRule="auto"/>
        <w:jc w:val="both"/>
        <w:rPr>
          <w:rFonts w:ascii="Arial" w:eastAsia="Arial" w:hAnsi="Arial" w:cs="Arial"/>
          <w:sz w:val="20"/>
        </w:rPr>
      </w:pPr>
    </w:p>
    <w:p w14:paraId="53632468" w14:textId="77777777" w:rsidR="001E4A6A" w:rsidRPr="001E4A6A" w:rsidRDefault="001E4A6A" w:rsidP="001E4A6A">
      <w:pPr>
        <w:spacing w:after="0" w:line="240" w:lineRule="auto"/>
        <w:jc w:val="both"/>
        <w:rPr>
          <w:rFonts w:ascii="Arial" w:eastAsia="Arial" w:hAnsi="Arial" w:cs="Arial"/>
          <w:sz w:val="20"/>
        </w:rPr>
      </w:pPr>
      <w:r w:rsidRPr="001E4A6A">
        <w:rPr>
          <w:rFonts w:ascii="Arial" w:eastAsia="Arial" w:hAnsi="Arial" w:cs="Arial"/>
          <w:sz w:val="20"/>
        </w:rPr>
        <w:t xml:space="preserve">Para efectos de interpretación del Pliego de Condiciones: </w:t>
      </w:r>
    </w:p>
    <w:p w14:paraId="1D788D23" w14:textId="77777777" w:rsidR="001E4A6A" w:rsidRPr="001E4A6A" w:rsidRDefault="001E4A6A" w:rsidP="001E4A6A">
      <w:pPr>
        <w:spacing w:after="0" w:line="240" w:lineRule="auto"/>
        <w:jc w:val="both"/>
        <w:rPr>
          <w:rFonts w:ascii="Arial" w:eastAsia="Arial" w:hAnsi="Arial" w:cs="Arial"/>
          <w:sz w:val="20"/>
          <w:highlight w:val="darkGray"/>
        </w:rPr>
      </w:pPr>
      <w:r w:rsidRPr="001E4A6A">
        <w:rPr>
          <w:rFonts w:ascii="Arial" w:eastAsia="Arial" w:hAnsi="Arial" w:cs="Arial"/>
          <w:sz w:val="20"/>
        </w:rPr>
        <w:t xml:space="preserve"> </w:t>
      </w:r>
    </w:p>
    <w:p w14:paraId="34CB4C03" w14:textId="77777777" w:rsidR="001E4A6A" w:rsidRPr="001E4A6A" w:rsidRDefault="001E4A6A" w:rsidP="001E4A6A">
      <w:pPr>
        <w:spacing w:after="0" w:line="240" w:lineRule="auto"/>
        <w:jc w:val="both"/>
        <w:rPr>
          <w:rFonts w:ascii="Arial" w:eastAsia="Arial" w:hAnsi="Arial" w:cs="Arial"/>
          <w:sz w:val="20"/>
        </w:rPr>
      </w:pPr>
      <w:r w:rsidRPr="001E4A6A">
        <w:rPr>
          <w:rFonts w:ascii="Arial" w:eastAsia="Arial" w:hAnsi="Arial" w:cs="Arial"/>
          <w:sz w:val="20"/>
          <w:highlight w:val="lightGray"/>
        </w:rPr>
        <w:t>[La Entidad deberá incluir en orden alfabético los conceptos adicionales que aplican al Proceso de Contratación que no estén incorporados en este Anexo, con su respectiva fuente o referencia de donde se tomó la definición correspondiente. Así como los términos y conceptos definidos en el Decreto 1077 de 2015, y demás normatividad y legislación que la modifique, regule o sustituya o sea aplicable en la materia. Así como los conceptos propios que hagan parte del Sector cultura, recreación y deporte y no se encuentren relacionados en este documento.]</w:t>
      </w:r>
      <w:r w:rsidRPr="001E4A6A">
        <w:rPr>
          <w:rFonts w:ascii="Arial" w:eastAsia="Arial" w:hAnsi="Arial" w:cs="Arial"/>
          <w:sz w:val="20"/>
        </w:rPr>
        <w:t xml:space="preserve"> </w:t>
      </w:r>
    </w:p>
    <w:p w14:paraId="762FCFD3" w14:textId="7028D453" w:rsidR="001E4A6A" w:rsidRPr="001E4A6A" w:rsidRDefault="001E4A6A" w:rsidP="001E4A6A">
      <w:pPr>
        <w:spacing w:after="0" w:line="240" w:lineRule="auto"/>
        <w:jc w:val="both"/>
        <w:rPr>
          <w:rFonts w:ascii="Arial" w:eastAsia="Arial" w:hAnsi="Arial" w:cs="Arial"/>
          <w:sz w:val="20"/>
        </w:rPr>
      </w:pPr>
    </w:p>
    <w:p w14:paraId="2344CF76" w14:textId="77777777" w:rsidR="001E4A6A" w:rsidRPr="001E4A6A" w:rsidRDefault="001E4A6A" w:rsidP="001E4A6A">
      <w:pPr>
        <w:keepNext/>
        <w:keepLines/>
        <w:pBdr>
          <w:bottom w:val="single" w:sz="4" w:space="1" w:color="auto"/>
        </w:pBdr>
        <w:spacing w:after="0" w:line="240" w:lineRule="auto"/>
        <w:ind w:left="360" w:hanging="360"/>
        <w:jc w:val="both"/>
        <w:outlineLvl w:val="0"/>
        <w:rPr>
          <w:rFonts w:ascii="Arial" w:eastAsia="MS PGothic" w:hAnsi="Arial" w:cs="Arial"/>
          <w:b/>
          <w:sz w:val="20"/>
          <w:szCs w:val="32"/>
        </w:rPr>
      </w:pPr>
      <w:r w:rsidRPr="001E4A6A">
        <w:rPr>
          <w:rFonts w:ascii="Arial" w:eastAsia="MS PGothic" w:hAnsi="Arial" w:cs="Arial"/>
          <w:b/>
          <w:sz w:val="20"/>
          <w:szCs w:val="32"/>
        </w:rPr>
        <w:t>GLOSARIO GENERAL</w:t>
      </w:r>
    </w:p>
    <w:p w14:paraId="21D79472" w14:textId="77777777" w:rsidR="001E4A6A" w:rsidRPr="001E4A6A" w:rsidRDefault="001E4A6A" w:rsidP="001E4A6A">
      <w:pPr>
        <w:spacing w:after="0" w:line="240" w:lineRule="auto"/>
        <w:jc w:val="both"/>
        <w:rPr>
          <w:rFonts w:ascii="Arial" w:eastAsia="Arial" w:hAnsi="Arial" w:cs="Arial"/>
          <w:sz w:val="20"/>
        </w:rPr>
      </w:pPr>
    </w:p>
    <w:p w14:paraId="6666A43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Aclaraciones y explicaciones:</w:t>
      </w:r>
      <w:r w:rsidRPr="001E4A6A">
        <w:rPr>
          <w:rFonts w:ascii="Arial" w:eastAsia="Arial" w:hAnsi="Arial" w:cs="Arial"/>
          <w:sz w:val="20"/>
        </w:rPr>
        <w:t xml:space="preserve"> Se remite a las nociones desarrolladas en la sentencia del Consejo de Estado, Sección Tercera, Subsección C, del 12 de noviembre de 2014, Radicado 27.986, Consejero Ponente: Enrique Gil Botero. </w:t>
      </w:r>
    </w:p>
    <w:p w14:paraId="0AB5D048" w14:textId="77777777" w:rsidR="001E4A6A" w:rsidRPr="001E4A6A" w:rsidRDefault="001E4A6A" w:rsidP="001E4A6A">
      <w:pPr>
        <w:spacing w:after="0" w:line="240" w:lineRule="auto"/>
        <w:ind w:left="709"/>
        <w:contextualSpacing/>
        <w:jc w:val="both"/>
        <w:rPr>
          <w:rFonts w:ascii="Arial" w:eastAsia="Arial" w:hAnsi="Arial" w:cs="Arial"/>
          <w:sz w:val="20"/>
        </w:rPr>
      </w:pPr>
    </w:p>
    <w:p w14:paraId="7C0423E2" w14:textId="77777777" w:rsidR="001E4A6A" w:rsidRPr="001E4A6A" w:rsidRDefault="001E4A6A" w:rsidP="001E4A6A">
      <w:pPr>
        <w:numPr>
          <w:ilvl w:val="1"/>
          <w:numId w:val="1"/>
        </w:numPr>
        <w:spacing w:before="120"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Acta de Inicio: </w:t>
      </w:r>
      <w:r w:rsidRPr="001E4A6A">
        <w:rPr>
          <w:rFonts w:ascii="Arial" w:eastAsia="Arial" w:hAnsi="Arial" w:cs="Arial"/>
          <w:sz w:val="20"/>
        </w:rPr>
        <w:t xml:space="preserve">Documento en el que las partes, de común acuerdo, dejan constancia del inicio del plazo contractual. </w:t>
      </w:r>
    </w:p>
    <w:p w14:paraId="45E18B1D"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78A2B4AB"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Activo Corriente:</w:t>
      </w:r>
      <w:r w:rsidRPr="001E4A6A">
        <w:rPr>
          <w:rFonts w:ascii="Arial" w:eastAsia="Arial" w:hAnsi="Arial" w:cs="Arial"/>
          <w:sz w:val="20"/>
        </w:rPr>
        <w:t xml:space="preserve"> Activo susceptible de convertirse en dinero en efectivo en un período inferior a un año. </w:t>
      </w:r>
    </w:p>
    <w:p w14:paraId="14F9FBDC"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553FE49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Activo Total: </w:t>
      </w:r>
      <w:r w:rsidRPr="001E4A6A">
        <w:rPr>
          <w:rFonts w:ascii="Arial" w:eastAsia="Arial" w:hAnsi="Arial" w:cs="Arial"/>
          <w:sz w:val="20"/>
        </w:rPr>
        <w:t xml:space="preserve">Activos, bienes, derechos y otros recursos controlados económicamente por la persona natural o jurídica, resultantes de sucesos pasados de los que se espera obtener beneficios o rendimientos económicos en el futuro. </w:t>
      </w:r>
    </w:p>
    <w:p w14:paraId="0F313B24"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6EB6961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Administración Delegada:</w:t>
      </w:r>
      <w:r w:rsidRPr="001E4A6A">
        <w:rPr>
          <w:rFonts w:ascii="Arial" w:eastAsia="Arial" w:hAnsi="Arial" w:cs="Arial"/>
          <w:sz w:val="20"/>
        </w:rPr>
        <w:t xml:space="preserve"> Forma de pago en contratos como el de obra pública en la que la Entidad Estatal delega la ejecución de la obra en el Contratista en calidad de director técnico, quien la ejecuta por cuenta y riesgo de la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 </w:t>
      </w:r>
    </w:p>
    <w:p w14:paraId="6DA8CB2B"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7F87102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Análisis del Sector:</w:t>
      </w:r>
      <w:r w:rsidRPr="001E4A6A">
        <w:rPr>
          <w:rFonts w:ascii="Arial" w:eastAsia="Arial" w:hAnsi="Arial" w:cs="Arial"/>
          <w:sz w:val="20"/>
        </w:rPr>
        <w:t xml:space="preserve"> Estudio que permite conocer el bien o servicio a adquirir en términos de oferta y demanda e identificar el precio más justo a pagar por la satisfacción de la necesidad de la Entidad. Asimismo, por medio de este estudio las Entidades Estatales identifican quién puede proveer el bien o servicio, cómo se desarrolla ese negocio, su cadena de producción y distribución, para saber si el sector tiene la capacidad de proveer el servicio o el bien en las condiciones y cantidades requeridas por la Entidad Estatal.  </w:t>
      </w:r>
    </w:p>
    <w:p w14:paraId="7B8398C8"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0289312A"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t>Este estudio debe realizarse desde la perspectiva legal, comercial, financiera, organizacional, técnica y de análisis de Riesgo.</w:t>
      </w:r>
    </w:p>
    <w:p w14:paraId="642FB926"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15DEDD0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Anexo:</w:t>
      </w:r>
      <w:r w:rsidRPr="001E4A6A">
        <w:rPr>
          <w:rFonts w:ascii="Arial" w:eastAsia="Arial" w:hAnsi="Arial" w:cs="Arial"/>
          <w:sz w:val="20"/>
        </w:rPr>
        <w:t xml:space="preserve"> Documento o conjunto de documentos que la Entidad adjunta al Pliego de Condiciones y que hacen parte integral del mismo.</w:t>
      </w:r>
    </w:p>
    <w:p w14:paraId="21D2D19B"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2FBFDC4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Anticipo: </w:t>
      </w:r>
      <w:r w:rsidRPr="001E4A6A">
        <w:rPr>
          <w:rFonts w:ascii="Arial" w:eastAsia="Arial" w:hAnsi="Arial" w:cs="Arial"/>
          <w:sz w:val="20"/>
        </w:rPr>
        <w:t xml:space="preserve">Préstamo destinado a apalancar el cumplimiento del objeto del Contrato, de modo que los recursos girados por dicho concepto sólo se integran al patrimonio del Contratista en la medida que se cause su amortización mediante la presentación de la cuenta o factura respectiva. </w:t>
      </w:r>
    </w:p>
    <w:p w14:paraId="6E72A01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lastRenderedPageBreak/>
        <w:t>Aportes Legales:</w:t>
      </w:r>
      <w:r w:rsidRPr="001E4A6A">
        <w:rPr>
          <w:rFonts w:ascii="Arial" w:eastAsia="Arial" w:hAnsi="Arial" w:cs="Arial"/>
          <w:sz w:val="20"/>
        </w:rPr>
        <w:t xml:space="preserve"> 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3E74FF81"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297ACDA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Apostilla:</w:t>
      </w:r>
      <w:r w:rsidRPr="001E4A6A">
        <w:rPr>
          <w:rFonts w:ascii="Arial" w:eastAsia="Arial" w:hAnsi="Arial" w:cs="Arial"/>
          <w:sz w:val="20"/>
        </w:rPr>
        <w:t xml:space="preserve"> Certificación de la autenticidad de la firma de un servidor público en ejercicio de sus funciones y la calidad en que el signatario hubiese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67307F0B"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4A86C11B"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Beneficiario Real:</w:t>
      </w:r>
      <w:r w:rsidRPr="001E4A6A">
        <w:rPr>
          <w:rFonts w:ascii="Arial" w:eastAsia="Arial" w:hAnsi="Arial" w:cs="Arial"/>
          <w:sz w:val="20"/>
        </w:rPr>
        <w:t xml:space="preserve"> Cualquier persona o grupo de personas que, directa o indirectamente, por virtud de un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y de dirigir, orientar y controlar dicho voto, así como la facultad o el poder de enajenar y ordenar la enajenación o gravamen de la acción.. </w:t>
      </w:r>
    </w:p>
    <w:p w14:paraId="2EAB092B"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728B80B9" w14:textId="77777777" w:rsidR="001E4A6A" w:rsidRPr="001E4A6A" w:rsidRDefault="001E4A6A" w:rsidP="001E4A6A">
      <w:pPr>
        <w:spacing w:after="0" w:line="240" w:lineRule="auto"/>
        <w:ind w:left="709" w:hanging="1"/>
        <w:jc w:val="both"/>
        <w:rPr>
          <w:rFonts w:ascii="Arial" w:eastAsia="Arial" w:hAnsi="Arial" w:cs="Arial"/>
          <w:sz w:val="20"/>
        </w:rPr>
      </w:pPr>
      <w:r w:rsidRPr="001E4A6A">
        <w:rPr>
          <w:rFonts w:ascii="Arial" w:eastAsia="Arial" w:hAnsi="Arial" w:cs="Arial"/>
          <w:sz w:val="20"/>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6CD62BB2" w14:textId="77777777" w:rsidR="001E4A6A" w:rsidRPr="001E4A6A" w:rsidRDefault="001E4A6A" w:rsidP="001E4A6A">
      <w:pPr>
        <w:spacing w:after="0" w:line="240" w:lineRule="auto"/>
        <w:ind w:left="709" w:hanging="1"/>
        <w:jc w:val="both"/>
        <w:rPr>
          <w:rFonts w:ascii="Arial" w:eastAsia="Arial" w:hAnsi="Arial" w:cs="Arial"/>
          <w:sz w:val="20"/>
        </w:rPr>
      </w:pPr>
    </w:p>
    <w:p w14:paraId="6F573A7B" w14:textId="77777777" w:rsidR="001E4A6A" w:rsidRPr="001E4A6A" w:rsidRDefault="001E4A6A" w:rsidP="001E4A6A">
      <w:pPr>
        <w:spacing w:after="0" w:line="240" w:lineRule="auto"/>
        <w:ind w:left="709" w:hanging="1"/>
        <w:jc w:val="both"/>
        <w:rPr>
          <w:rFonts w:ascii="Arial" w:eastAsia="Arial" w:hAnsi="Arial" w:cs="Arial"/>
          <w:sz w:val="20"/>
        </w:rPr>
      </w:pPr>
      <w:r w:rsidRPr="001E4A6A">
        <w:rPr>
          <w:rFonts w:ascii="Arial" w:eastAsia="Arial" w:hAnsi="Arial" w:cs="Arial"/>
          <w:sz w:val="20"/>
        </w:rPr>
        <w:t>Igualmente, constituyen un mismo beneficiario real las sociedades matrices y sus subordinadas.</w:t>
      </w:r>
    </w:p>
    <w:p w14:paraId="006B7367" w14:textId="77777777" w:rsidR="001E4A6A" w:rsidRPr="001E4A6A" w:rsidRDefault="001E4A6A" w:rsidP="001E4A6A">
      <w:pPr>
        <w:spacing w:after="0" w:line="240" w:lineRule="auto"/>
        <w:ind w:left="709" w:hanging="709"/>
        <w:jc w:val="both"/>
        <w:rPr>
          <w:rFonts w:ascii="Arial" w:eastAsia="Arial" w:hAnsi="Arial" w:cs="Arial"/>
          <w:sz w:val="20"/>
        </w:rPr>
      </w:pPr>
    </w:p>
    <w:p w14:paraId="3536ED7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Capacidad Financiera:</w:t>
      </w:r>
      <w:r w:rsidRPr="001E4A6A">
        <w:rPr>
          <w:rFonts w:ascii="Arial" w:eastAsia="Arial" w:hAnsi="Arial" w:cs="Arial"/>
          <w:sz w:val="20"/>
        </w:rPr>
        <w:t xml:space="preserve"> Condiciones mínimas que reflejan la salud financiera de los Proponentes a través de su liquidez y endeudamiento </w:t>
      </w:r>
      <w:r w:rsidRPr="001E4A6A">
        <w:rPr>
          <w:rFonts w:ascii="Arial" w:eastAsia="Arial" w:hAnsi="Arial" w:cs="Arial"/>
          <w:color w:val="000000"/>
          <w:sz w:val="20"/>
        </w:rPr>
        <w:t>y los demás indicadores que apliquen</w:t>
      </w:r>
      <w:r w:rsidRPr="001E4A6A">
        <w:rPr>
          <w:rFonts w:ascii="Arial" w:eastAsia="Arial" w:hAnsi="Arial" w:cs="Arial"/>
          <w:strike/>
          <w:color w:val="498205"/>
          <w:sz w:val="20"/>
        </w:rPr>
        <w:t>,</w:t>
      </w:r>
      <w:r w:rsidRPr="001E4A6A">
        <w:rPr>
          <w:rFonts w:ascii="Arial" w:eastAsia="Arial" w:hAnsi="Arial" w:cs="Arial"/>
          <w:color w:val="000000"/>
          <w:sz w:val="20"/>
        </w:rPr>
        <w:t> para poder soportar adecuadamente la ejecución del Contrato</w:t>
      </w:r>
      <w:r w:rsidRPr="001E4A6A">
        <w:rPr>
          <w:rFonts w:ascii="Arial" w:eastAsia="Arial" w:hAnsi="Arial" w:cs="Arial"/>
          <w:sz w:val="20"/>
        </w:rPr>
        <w:t>.</w:t>
      </w:r>
    </w:p>
    <w:p w14:paraId="1741C1A9"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50AF28E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Capacidad Organizacional: </w:t>
      </w:r>
      <w:r w:rsidRPr="001E4A6A">
        <w:rPr>
          <w:rFonts w:ascii="Arial" w:eastAsia="Arial" w:hAnsi="Arial" w:cs="Arial"/>
          <w:sz w:val="20"/>
        </w:rPr>
        <w:t>Aptitud de un proponente para cumplir oportuna y cabalmente el objeto del contrato en función de su organización interna. Son los contenidos en el artículo 2.2.1.1.1.5.3 del Decreto 1082 de 2015 o la norma que la reemplace, complemente o modifique.</w:t>
      </w:r>
    </w:p>
    <w:p w14:paraId="6AC1FAF4"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EC5458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Certificado de Disponibilidad Presupuestal:</w:t>
      </w:r>
      <w:r w:rsidRPr="001E4A6A">
        <w:rPr>
          <w:rFonts w:ascii="Arial" w:eastAsia="Arial" w:hAnsi="Arial" w:cs="Arial"/>
          <w:sz w:val="20"/>
        </w:rPr>
        <w:t xml:space="preserve"> Documento que sirve como prueba para demostrar la existencia previa de los recursos disponibles dentro del presupuesto, que ampare el compromiso que se adquiere. </w:t>
      </w:r>
    </w:p>
    <w:p w14:paraId="6109DCB5" w14:textId="77777777" w:rsidR="001E4A6A" w:rsidRPr="001E4A6A" w:rsidRDefault="001E4A6A" w:rsidP="001E4A6A">
      <w:pPr>
        <w:spacing w:after="0" w:line="240" w:lineRule="auto"/>
        <w:jc w:val="both"/>
        <w:rPr>
          <w:rFonts w:ascii="Arial" w:eastAsia="Arial" w:hAnsi="Arial" w:cs="Arial"/>
          <w:sz w:val="20"/>
        </w:rPr>
      </w:pPr>
    </w:p>
    <w:p w14:paraId="5264E53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Consorcio:</w:t>
      </w:r>
      <w:r w:rsidRPr="001E4A6A">
        <w:rPr>
          <w:rFonts w:ascii="Arial" w:eastAsia="Arial" w:hAnsi="Arial" w:cs="Arial"/>
          <w:sz w:val="20"/>
        </w:rPr>
        <w:t xml:space="preserve"> Figura asociativa en la cual dos o más personas conjuntamente presentan una misma propuesta para la adjudicación, celebración y ejecución de un contrato, respondiendo solidariamente de cada una de las obligaciones derivadas de la Propuesta y del Contrato.</w:t>
      </w:r>
    </w:p>
    <w:p w14:paraId="03BA6A8B" w14:textId="77777777" w:rsidR="001E4A6A" w:rsidRPr="001E4A6A" w:rsidRDefault="001E4A6A" w:rsidP="001E4A6A">
      <w:pPr>
        <w:spacing w:after="0" w:line="240" w:lineRule="auto"/>
        <w:ind w:left="720"/>
        <w:contextualSpacing/>
        <w:jc w:val="both"/>
        <w:rPr>
          <w:rFonts w:ascii="Arial" w:eastAsia="Arial" w:hAnsi="Arial" w:cs="Arial"/>
          <w:sz w:val="20"/>
        </w:rPr>
      </w:pPr>
    </w:p>
    <w:p w14:paraId="2195F7C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Contratista:</w:t>
      </w:r>
      <w:r w:rsidRPr="001E4A6A">
        <w:rPr>
          <w:rFonts w:ascii="Arial" w:eastAsia="Arial" w:hAnsi="Arial" w:cs="Arial"/>
          <w:sz w:val="20"/>
        </w:rPr>
        <w:t xml:space="preserve"> Persona natural, jurídica o el grupo de personas jurídicas o naturales, nacionales o extranjeras, asociadas entre sí que suscriben un contrato con el fin de ejecutar el objeto bajo las condiciones de modo, tiempo y lugar que en él se establecen.</w:t>
      </w:r>
    </w:p>
    <w:p w14:paraId="114EE68F" w14:textId="77777777" w:rsidR="001E4A6A" w:rsidRPr="001E4A6A" w:rsidRDefault="001E4A6A" w:rsidP="001E4A6A">
      <w:pPr>
        <w:spacing w:after="0" w:line="240" w:lineRule="auto"/>
        <w:ind w:left="720"/>
        <w:contextualSpacing/>
        <w:jc w:val="both"/>
        <w:rPr>
          <w:rFonts w:ascii="Arial" w:eastAsia="Arial" w:hAnsi="Arial" w:cs="Arial"/>
          <w:sz w:val="20"/>
        </w:rPr>
      </w:pPr>
    </w:p>
    <w:p w14:paraId="1AEFB2F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Contrato de Obra o Contrato:</w:t>
      </w:r>
      <w:r w:rsidRPr="001E4A6A">
        <w:rPr>
          <w:rFonts w:ascii="Arial" w:eastAsia="Arial" w:hAnsi="Arial" w:cs="Arial"/>
          <w:sz w:val="20"/>
        </w:rPr>
        <w:t xml:space="preserve"> Acuerdo de voluntades celebrado por las Entidades Estatales para la construcción, mantenimiento, instalación y, en general, para la realización de cualquier otro trabajo material sobre bienes inmuebles, cualquiera que sea la modalidad de ejecución y pago.</w:t>
      </w:r>
    </w:p>
    <w:p w14:paraId="78B0D430" w14:textId="77777777" w:rsidR="001E4A6A" w:rsidRPr="00807517"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lastRenderedPageBreak/>
        <w:t>Documentos Tipo:</w:t>
      </w:r>
      <w:r w:rsidRPr="001E4A6A">
        <w:rPr>
          <w:rFonts w:ascii="Arial" w:eastAsia="Arial" w:hAnsi="Arial" w:cs="Arial"/>
          <w:sz w:val="20"/>
        </w:rPr>
        <w:t xml:space="preserve"> Documentos adoptados por la Agencia Nacional de Contratación Pública–- Colombia Compra Eficiente para un contrato que incorpora el Pliego de Condiciones Tipo, sus Anexos, Matrices y demás documentos que incluyen las condiciones habilitantes, factores técnicos, económicos y otros factores de escogencia.</w:t>
      </w:r>
    </w:p>
    <w:p w14:paraId="32C93351" w14:textId="77777777" w:rsidR="001E4A6A" w:rsidRPr="001E4A6A" w:rsidRDefault="001E4A6A" w:rsidP="001E4A6A">
      <w:pPr>
        <w:spacing w:after="0" w:line="240" w:lineRule="auto"/>
        <w:ind w:left="709"/>
        <w:contextualSpacing/>
        <w:jc w:val="both"/>
        <w:rPr>
          <w:rFonts w:ascii="Arial" w:eastAsia="Arial" w:hAnsi="Arial" w:cs="Arial"/>
          <w:b/>
          <w:bCs/>
          <w:sz w:val="20"/>
        </w:rPr>
      </w:pPr>
      <w:r w:rsidRPr="001E4A6A">
        <w:rPr>
          <w:rFonts w:ascii="Arial" w:eastAsia="Arial" w:hAnsi="Arial" w:cs="Arial"/>
          <w:sz w:val="20"/>
        </w:rPr>
        <w:t xml:space="preserve"> </w:t>
      </w:r>
    </w:p>
    <w:p w14:paraId="6BC28A42"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EPC (por sus siglas en inglés Engineering, Procurement and Construction): </w:t>
      </w:r>
      <w:r w:rsidRPr="001E4A6A">
        <w:rPr>
          <w:rFonts w:ascii="Arial" w:eastAsia="Arial" w:hAnsi="Arial" w:cs="Arial"/>
          <w:sz w:val="20"/>
        </w:rPr>
        <w:t xml:space="preserve">Contrato que tiene como objetivos principales los servicios de ingeniería, adquisición y construcción. El Contratista, junto a sus funciones tradicionales relacionadas con el suministro de equipos, la construcción y la puesta en marcha, asume la ingeniería del proyecto y la responsabilidad global frente al cliente o contratante. </w:t>
      </w:r>
    </w:p>
    <w:p w14:paraId="213EEC08"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5F1B1AC" w14:textId="77777777" w:rsidR="001E4A6A" w:rsidRPr="001E4A6A" w:rsidRDefault="001E4A6A" w:rsidP="001E4A6A">
      <w:pPr>
        <w:numPr>
          <w:ilvl w:val="1"/>
          <w:numId w:val="1"/>
        </w:numPr>
        <w:spacing w:after="0" w:line="240" w:lineRule="auto"/>
        <w:ind w:left="709" w:hanging="709"/>
        <w:contextualSpacing/>
        <w:jc w:val="both"/>
        <w:rPr>
          <w:rFonts w:ascii="Arial" w:eastAsia="MS PGothic" w:hAnsi="Arial" w:cs="Arial"/>
          <w:b/>
          <w:bCs/>
          <w:sz w:val="20"/>
        </w:rPr>
      </w:pPr>
      <w:r w:rsidRPr="001E4A6A">
        <w:rPr>
          <w:rFonts w:ascii="Arial" w:eastAsia="Arial" w:hAnsi="Arial" w:cs="Arial"/>
          <w:b/>
          <w:bCs/>
          <w:sz w:val="20"/>
        </w:rPr>
        <w:t xml:space="preserve">Estados Financieros: </w:t>
      </w:r>
      <w:r w:rsidRPr="001E4A6A">
        <w:rPr>
          <w:rFonts w:ascii="Arial" w:eastAsia="Arial" w:hAnsi="Arial" w:cs="Arial"/>
          <w:sz w:val="20"/>
        </w:rPr>
        <w:t xml:space="preserve">Informes utilizados en las instituciones/empresas que reflejan la situación económica y financiera y los cambios que se dan en cierta fecha o período determinado. </w:t>
      </w:r>
      <w:r w:rsidRPr="001E4A6A">
        <w:rPr>
          <w:rFonts w:ascii="Arial" w:eastAsia="Times New Roman" w:hAnsi="Arial" w:cs="Arial"/>
          <w:sz w:val="20"/>
          <w:lang w:eastAsia="es-ES"/>
        </w:rPr>
        <w:t>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2439C0E5"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6A9C78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Estudios Previos:</w:t>
      </w:r>
      <w:r w:rsidRPr="001E4A6A">
        <w:rPr>
          <w:rFonts w:ascii="Arial" w:eastAsia="Arial" w:hAnsi="Arial" w:cs="Arial"/>
          <w:sz w:val="20"/>
        </w:rPr>
        <w:t xml:space="preserve"> Justificación jurídica, técnica, económica y financiera del proyecto que realiza la Entidad de acuerdo con las Leyes 80 de 1993 y 1150 de 2007 y el Decreto 1082 de 2015.</w:t>
      </w:r>
    </w:p>
    <w:p w14:paraId="4A57E0E1" w14:textId="77777777" w:rsidR="001E4A6A" w:rsidRPr="001E4A6A" w:rsidRDefault="001E4A6A" w:rsidP="001E4A6A">
      <w:pPr>
        <w:spacing w:after="0" w:line="240" w:lineRule="auto"/>
        <w:ind w:left="720"/>
        <w:contextualSpacing/>
        <w:jc w:val="both"/>
        <w:rPr>
          <w:rFonts w:ascii="Arial" w:eastAsia="Arial" w:hAnsi="Arial" w:cs="Arial"/>
          <w:sz w:val="20"/>
        </w:rPr>
      </w:pPr>
    </w:p>
    <w:p w14:paraId="285AEDF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Formato:</w:t>
      </w:r>
      <w:r w:rsidRPr="001E4A6A">
        <w:rPr>
          <w:rFonts w:ascii="Arial" w:eastAsia="Arial" w:hAnsi="Arial" w:cs="Arial"/>
          <w:sz w:val="20"/>
        </w:rPr>
        <w:t xml:space="preserve"> Documentos que aporta el Proponente y que hacen parte integral de su oferta. </w:t>
      </w:r>
    </w:p>
    <w:p w14:paraId="436892A5"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1DCEA35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Formulario: </w:t>
      </w:r>
      <w:r w:rsidRPr="001E4A6A">
        <w:rPr>
          <w:rFonts w:ascii="Arial" w:eastAsia="Arial" w:hAnsi="Arial" w:cs="Arial"/>
          <w:sz w:val="20"/>
        </w:rPr>
        <w:t>Documento por medio del cual la Entidad solicita información específica que debe ser completada por el Proponente.</w:t>
      </w:r>
    </w:p>
    <w:p w14:paraId="1B5C89C3" w14:textId="77777777" w:rsidR="001E4A6A" w:rsidRPr="001E4A6A" w:rsidRDefault="001E4A6A" w:rsidP="001E4A6A">
      <w:pPr>
        <w:spacing w:after="0" w:line="240" w:lineRule="auto"/>
        <w:ind w:left="720"/>
        <w:contextualSpacing/>
        <w:jc w:val="both"/>
        <w:rPr>
          <w:rFonts w:ascii="Arial" w:eastAsia="Arial" w:hAnsi="Arial" w:cs="Arial"/>
          <w:sz w:val="20"/>
        </w:rPr>
      </w:pPr>
    </w:p>
    <w:p w14:paraId="481DB2D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Garantía:</w:t>
      </w:r>
      <w:r w:rsidRPr="001E4A6A">
        <w:rPr>
          <w:rFonts w:ascii="Arial" w:eastAsia="Arial" w:hAnsi="Arial" w:cs="Arial"/>
          <w:sz w:val="20"/>
        </w:rPr>
        <w:t xml:space="preserve"> Respaldo que tiene</w:t>
      </w:r>
      <w:r w:rsidRPr="001E4A6A">
        <w:rPr>
          <w:rFonts w:ascii="Arial" w:eastAsia="Arial" w:hAnsi="Arial" w:cs="Arial"/>
          <w:b/>
          <w:bCs/>
          <w:sz w:val="20"/>
        </w:rPr>
        <w:t xml:space="preserve"> </w:t>
      </w:r>
      <w:r w:rsidRPr="001E4A6A">
        <w:rPr>
          <w:rFonts w:ascii="Arial" w:eastAsia="Arial" w:hAnsi="Arial" w:cs="Arial"/>
          <w:sz w:val="20"/>
        </w:rPr>
        <w:t>como fin</w:t>
      </w:r>
      <w:r w:rsidRPr="001E4A6A">
        <w:rPr>
          <w:rFonts w:ascii="Arial" w:eastAsia="Arial" w:hAnsi="Arial" w:cs="Arial"/>
          <w:color w:val="D13438"/>
          <w:sz w:val="19"/>
          <w:szCs w:val="19"/>
        </w:rPr>
        <w:t xml:space="preserve"> </w:t>
      </w:r>
      <w:r w:rsidRPr="001E4A6A">
        <w:rPr>
          <w:rFonts w:ascii="Arial" w:eastAsia="Arial" w:hAnsi="Arial" w:cs="Arial"/>
          <w:sz w:val="19"/>
          <w:szCs w:val="19"/>
        </w:rPr>
        <w:t>el pago a favor de la Entidad Estatal</w:t>
      </w:r>
      <w:r w:rsidRPr="001E4A6A">
        <w:rPr>
          <w:rFonts w:ascii="Arial" w:eastAsia="Arial" w:hAnsi="Arial" w:cs="Arial"/>
          <w:sz w:val="20"/>
        </w:rPr>
        <w:t xml:space="preserve"> de las indemnizaciones o sanciones derivadas del incumplimiento del contrato. Las clases de garantías son: (i) contratos de seguro, (ii) fiducia mercantil de garantía o (iii) garantías bancarias.</w:t>
      </w:r>
    </w:p>
    <w:p w14:paraId="3661BF83" w14:textId="77777777" w:rsidR="001E4A6A" w:rsidRPr="001E4A6A" w:rsidRDefault="001E4A6A" w:rsidP="001E4A6A">
      <w:pPr>
        <w:spacing w:after="0" w:line="240" w:lineRule="auto"/>
        <w:ind w:left="720"/>
        <w:contextualSpacing/>
        <w:jc w:val="both"/>
        <w:rPr>
          <w:rFonts w:ascii="Arial" w:eastAsia="Arial" w:hAnsi="Arial" w:cs="Arial"/>
          <w:sz w:val="20"/>
        </w:rPr>
      </w:pPr>
    </w:p>
    <w:p w14:paraId="5EFCD84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Garantía de Responsabilidad Civil Extracontractual:</w:t>
      </w:r>
      <w:r w:rsidRPr="001E4A6A">
        <w:rPr>
          <w:rFonts w:ascii="Arial" w:eastAsia="Arial" w:hAnsi="Arial" w:cs="Arial"/>
          <w:sz w:val="20"/>
        </w:rPr>
        <w:t xml:space="preserve"> Garantía que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25023E3D" w14:textId="77777777" w:rsidR="001E4A6A" w:rsidRPr="001E4A6A" w:rsidRDefault="001E4A6A" w:rsidP="001E4A6A">
      <w:pPr>
        <w:spacing w:after="0" w:line="240" w:lineRule="auto"/>
        <w:ind w:left="720"/>
        <w:contextualSpacing/>
        <w:jc w:val="both"/>
        <w:rPr>
          <w:rFonts w:ascii="Arial" w:eastAsia="Arial" w:hAnsi="Arial" w:cs="Arial"/>
          <w:sz w:val="20"/>
        </w:rPr>
      </w:pPr>
    </w:p>
    <w:p w14:paraId="621A7C3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sz w:val="20"/>
        </w:rPr>
      </w:pPr>
      <w:r w:rsidRPr="001E4A6A">
        <w:rPr>
          <w:rFonts w:ascii="Arial" w:eastAsia="Arial" w:hAnsi="Arial" w:cs="Arial"/>
          <w:b/>
          <w:bCs/>
          <w:sz w:val="20"/>
        </w:rPr>
        <w:t>Información Pública Reservada:</w:t>
      </w:r>
      <w:r w:rsidRPr="001E4A6A">
        <w:rPr>
          <w:rFonts w:ascii="Arial" w:eastAsia="Arial" w:hAnsi="Arial" w:cs="Arial"/>
          <w:sz w:val="20"/>
        </w:rPr>
        <w:t xml:space="preserve"> Información que estando en poder o en custodia de un sujeto obligado en su calidad de tal, es exceptuada de acceso a la ciudadanía por daño a intereses públicos conforme con el artículo 19 de la Ley 1712 de 2014.</w:t>
      </w:r>
    </w:p>
    <w:p w14:paraId="2D1BD320" w14:textId="77777777" w:rsidR="001E4A6A" w:rsidRPr="001E4A6A" w:rsidRDefault="001E4A6A" w:rsidP="003A36B5">
      <w:pPr>
        <w:spacing w:after="0" w:line="240" w:lineRule="auto"/>
        <w:ind w:left="720"/>
        <w:contextualSpacing/>
        <w:jc w:val="both"/>
        <w:rPr>
          <w:rFonts w:ascii="Arial" w:eastAsia="Arial" w:hAnsi="Arial" w:cs="Arial"/>
          <w:b/>
          <w:bCs/>
          <w:sz w:val="20"/>
        </w:rPr>
      </w:pPr>
    </w:p>
    <w:p w14:paraId="1F7F2C3F"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Legalización:</w:t>
      </w:r>
      <w:r w:rsidRPr="001E4A6A">
        <w:rPr>
          <w:rFonts w:ascii="Arial" w:eastAsia="Arial" w:hAnsi="Arial" w:cs="Arial"/>
          <w:sz w:val="20"/>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del artículo 5, que reglamenta las actuaciones consulares en calidad de notario.</w:t>
      </w:r>
    </w:p>
    <w:p w14:paraId="6CD13A83" w14:textId="77777777" w:rsidR="001E4A6A" w:rsidRPr="001E4A6A" w:rsidRDefault="001E4A6A" w:rsidP="001E4A6A">
      <w:pPr>
        <w:spacing w:after="0" w:line="240" w:lineRule="auto"/>
        <w:ind w:left="720"/>
        <w:contextualSpacing/>
        <w:jc w:val="both"/>
        <w:rPr>
          <w:rFonts w:ascii="Arial" w:eastAsia="Arial" w:hAnsi="Arial" w:cs="Arial"/>
          <w:sz w:val="20"/>
        </w:rPr>
      </w:pPr>
    </w:p>
    <w:p w14:paraId="31BE945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lastRenderedPageBreak/>
        <w:t>Matriz:</w:t>
      </w:r>
      <w:r w:rsidRPr="001E4A6A">
        <w:rPr>
          <w:rFonts w:ascii="Arial" w:eastAsia="Arial" w:hAnsi="Arial" w:cs="Arial"/>
          <w:sz w:val="20"/>
        </w:rPr>
        <w:t xml:space="preserve"> Documento que incorpora condiciones técnicas, de riesgos o económicas que debe tener en cuenta el Proponente al momento de estructurar su oferta y ejecutar el Contrato.</w:t>
      </w:r>
    </w:p>
    <w:p w14:paraId="774CFACF" w14:textId="77777777" w:rsidR="001E4A6A" w:rsidRPr="001E4A6A" w:rsidRDefault="001E4A6A" w:rsidP="001E4A6A">
      <w:pPr>
        <w:spacing w:after="0" w:line="240" w:lineRule="auto"/>
        <w:ind w:left="720"/>
        <w:contextualSpacing/>
        <w:jc w:val="both"/>
        <w:rPr>
          <w:rFonts w:ascii="Arial" w:eastAsia="Arial" w:hAnsi="Arial" w:cs="Arial"/>
          <w:sz w:val="20"/>
        </w:rPr>
      </w:pPr>
    </w:p>
    <w:p w14:paraId="5F3EBC0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Medio Magnético:</w:t>
      </w:r>
      <w:r w:rsidRPr="001E4A6A">
        <w:rPr>
          <w:rFonts w:ascii="Arial" w:eastAsia="Arial" w:hAnsi="Arial" w:cs="Arial"/>
          <w:sz w:val="20"/>
        </w:rPr>
        <w:t xml:space="preserve"> Dispositivo que utiliza materiales magnéticos para archivar información digital, tales como las USB, discos duros o los CD que almacenan grandes volúmenes de datos en un espacio físico pequeño.</w:t>
      </w:r>
    </w:p>
    <w:p w14:paraId="04C12B73" w14:textId="77777777" w:rsidR="001E4A6A" w:rsidRPr="001E4A6A" w:rsidRDefault="001E4A6A" w:rsidP="001E4A6A">
      <w:pPr>
        <w:spacing w:after="0" w:line="240" w:lineRule="auto"/>
        <w:ind w:left="720"/>
        <w:contextualSpacing/>
        <w:jc w:val="both"/>
        <w:rPr>
          <w:rFonts w:ascii="Arial" w:eastAsia="Arial" w:hAnsi="Arial" w:cs="Arial"/>
          <w:sz w:val="20"/>
        </w:rPr>
      </w:pPr>
    </w:p>
    <w:p w14:paraId="01AC7D6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Pliego de Condiciones:</w:t>
      </w:r>
      <w:r w:rsidRPr="001E4A6A">
        <w:rPr>
          <w:rFonts w:ascii="Arial" w:eastAsia="Arial" w:hAnsi="Arial" w:cs="Arial"/>
          <w:sz w:val="20"/>
        </w:rPr>
        <w:t xml:space="preserve"> Conjunto de normas que rigen el proceso de selección y el futuro Contrato, en los que se señalan las condiciones objetivas, plazos y procedimientos dentro de los cuales los Proponentes deben formular su oferta para participar en el Proceso de Contratación y tener la posibilidad de obtener la calidad de adjudicatario. </w:t>
      </w:r>
    </w:p>
    <w:p w14:paraId="51536262" w14:textId="77777777" w:rsidR="001E4A6A" w:rsidRPr="001E4A6A" w:rsidRDefault="001E4A6A" w:rsidP="001E4A6A">
      <w:pPr>
        <w:spacing w:after="0" w:line="240" w:lineRule="auto"/>
        <w:ind w:left="720"/>
        <w:contextualSpacing/>
        <w:jc w:val="both"/>
        <w:rPr>
          <w:rFonts w:ascii="Arial" w:eastAsia="Arial" w:hAnsi="Arial" w:cs="Arial"/>
          <w:sz w:val="20"/>
        </w:rPr>
      </w:pPr>
    </w:p>
    <w:p w14:paraId="06F2298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Pliego de Condiciones Tipo:</w:t>
      </w:r>
      <w:r w:rsidRPr="001E4A6A">
        <w:rPr>
          <w:rFonts w:ascii="Arial" w:eastAsia="Arial" w:hAnsi="Arial" w:cs="Arial"/>
          <w:sz w:val="20"/>
        </w:rPr>
        <w:t xml:space="preserve"> Documento diseñado, actualizado y publicado por Colombia Compra Eficiente que incorpora las condiciones habilitantes, requisitos de puntaje y demás aspectos señalados en el artículo 4 de la Ley 1882 de 2018.  </w:t>
      </w:r>
    </w:p>
    <w:p w14:paraId="132F6441" w14:textId="77777777" w:rsidR="001E4A6A" w:rsidRPr="001E4A6A" w:rsidRDefault="001E4A6A" w:rsidP="001E4A6A">
      <w:pPr>
        <w:spacing w:after="0" w:line="240" w:lineRule="auto"/>
        <w:ind w:left="720"/>
        <w:contextualSpacing/>
        <w:jc w:val="both"/>
        <w:rPr>
          <w:rFonts w:ascii="Arial" w:eastAsia="Arial" w:hAnsi="Arial" w:cs="Arial"/>
          <w:sz w:val="20"/>
        </w:rPr>
      </w:pPr>
    </w:p>
    <w:p w14:paraId="1C25C70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Porcentaje de AIU:</w:t>
      </w:r>
      <w:r w:rsidRPr="001E4A6A">
        <w:rPr>
          <w:rFonts w:ascii="Arial" w:eastAsia="Arial" w:hAnsi="Arial" w:cs="Arial"/>
          <w:sz w:val="20"/>
        </w:rPr>
        <w:t xml:space="preserve"> Porcentaje de los costos directos destinados a cubrir los gastos de administración (A), que comprende los costos de dirección de obra, costos administrativos de oficina, etc.; los imprevistos (I), que corresponde a un porcentaje orientado a solventar los costos que surjan y que no fueron previstos y las utilidades (U) que es la remuneración del Contratista.</w:t>
      </w:r>
    </w:p>
    <w:p w14:paraId="705191AA" w14:textId="77777777" w:rsidR="001E4A6A" w:rsidRPr="001E4A6A" w:rsidRDefault="001E4A6A" w:rsidP="001E4A6A">
      <w:pPr>
        <w:spacing w:after="0" w:line="240" w:lineRule="auto"/>
        <w:ind w:left="709"/>
        <w:contextualSpacing/>
        <w:jc w:val="both"/>
        <w:rPr>
          <w:rFonts w:ascii="Arial" w:eastAsia="Arial" w:hAnsi="Arial" w:cs="Arial"/>
          <w:sz w:val="20"/>
        </w:rPr>
      </w:pPr>
    </w:p>
    <w:p w14:paraId="044E081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Precio Global:</w:t>
      </w:r>
      <w:r w:rsidRPr="001E4A6A">
        <w:rPr>
          <w:rFonts w:ascii="Arial" w:eastAsia="Arial" w:hAnsi="Arial" w:cs="Arial"/>
          <w:sz w:val="20"/>
        </w:rPr>
        <w:t xml:space="preserve"> Modalidad de pago cierto, cerrado e inalterable como única remuneración por el objeto contratado.</w:t>
      </w:r>
    </w:p>
    <w:p w14:paraId="40993266" w14:textId="77777777" w:rsidR="001E4A6A" w:rsidRPr="001E4A6A" w:rsidRDefault="001E4A6A" w:rsidP="001E4A6A">
      <w:pPr>
        <w:spacing w:after="0" w:line="240" w:lineRule="auto"/>
        <w:ind w:left="720"/>
        <w:contextualSpacing/>
        <w:jc w:val="both"/>
        <w:rPr>
          <w:rFonts w:ascii="Arial" w:eastAsia="Arial" w:hAnsi="Arial" w:cs="Arial"/>
          <w:sz w:val="20"/>
        </w:rPr>
      </w:pPr>
    </w:p>
    <w:p w14:paraId="502F36F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Precios Unitarios:</w:t>
      </w:r>
      <w:r w:rsidRPr="001E4A6A">
        <w:rPr>
          <w:rFonts w:ascii="Arial" w:eastAsia="Arial" w:hAnsi="Arial" w:cs="Arial"/>
          <w:sz w:val="20"/>
        </w:rPr>
        <w:t xml:space="preserve"> Forma de pago por unidades o cantidades de obra correspondiendo el valor del Contrato a la multiplicación de dichas cantidades ejecutadas por el precio de cada una de ellas. </w:t>
      </w:r>
    </w:p>
    <w:p w14:paraId="3E5B84C2" w14:textId="77777777" w:rsidR="001E4A6A" w:rsidRPr="001E4A6A" w:rsidRDefault="001E4A6A" w:rsidP="001E4A6A">
      <w:pPr>
        <w:spacing w:after="0" w:line="240" w:lineRule="auto"/>
        <w:ind w:left="720"/>
        <w:contextualSpacing/>
        <w:jc w:val="both"/>
        <w:rPr>
          <w:rFonts w:ascii="Arial" w:eastAsia="Arial" w:hAnsi="Arial" w:cs="Arial"/>
          <w:sz w:val="20"/>
        </w:rPr>
      </w:pPr>
    </w:p>
    <w:p w14:paraId="5800CBB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Presupuesto Oficial:</w:t>
      </w:r>
      <w:r w:rsidRPr="001E4A6A">
        <w:rPr>
          <w:rFonts w:ascii="Arial" w:eastAsia="Arial" w:hAnsi="Arial" w:cs="Arial"/>
          <w:sz w:val="20"/>
        </w:rPr>
        <w:t xml:space="preserve"> Valor total que la Entidad determina como necesario para ejecutar el objeto del Contrato con base en el estudio previo y el análisis del sector.</w:t>
      </w:r>
    </w:p>
    <w:p w14:paraId="3193D8AA" w14:textId="77777777" w:rsidR="001E4A6A" w:rsidRPr="001E4A6A" w:rsidRDefault="001E4A6A" w:rsidP="001E4A6A">
      <w:pPr>
        <w:spacing w:after="0" w:line="240" w:lineRule="auto"/>
        <w:ind w:left="720"/>
        <w:contextualSpacing/>
        <w:jc w:val="both"/>
        <w:rPr>
          <w:rFonts w:ascii="Arial" w:eastAsia="Arial" w:hAnsi="Arial" w:cs="Arial"/>
          <w:sz w:val="20"/>
        </w:rPr>
      </w:pPr>
    </w:p>
    <w:p w14:paraId="0FEBB98B"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Proponente Plural:</w:t>
      </w:r>
      <w:r w:rsidRPr="001E4A6A">
        <w:rPr>
          <w:rFonts w:ascii="Arial" w:eastAsia="Arial" w:hAnsi="Arial" w:cs="Arial"/>
          <w:sz w:val="20"/>
        </w:rPr>
        <w:t xml:space="preserve"> Figura asociativa en la cual dos o más personas en forma conjunta se unen ya sea en Consorcio o de Unión Temporal con el fin de aunar esfuerzos para presentar una misma propuesta y de resultar adjudicatario firmar, ejecutar y liquidar el Contrato. </w:t>
      </w:r>
    </w:p>
    <w:p w14:paraId="6139BD6B" w14:textId="77777777" w:rsidR="001E4A6A" w:rsidRPr="001E4A6A" w:rsidRDefault="001E4A6A" w:rsidP="001E4A6A">
      <w:pPr>
        <w:spacing w:after="0" w:line="240" w:lineRule="auto"/>
        <w:ind w:left="720"/>
        <w:contextualSpacing/>
        <w:jc w:val="both"/>
        <w:rPr>
          <w:rFonts w:ascii="Arial" w:eastAsia="Arial" w:hAnsi="Arial" w:cs="Arial"/>
          <w:sz w:val="20"/>
        </w:rPr>
      </w:pPr>
    </w:p>
    <w:p w14:paraId="7F24AD5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Proponente:</w:t>
      </w:r>
      <w:r w:rsidRPr="001E4A6A">
        <w:rPr>
          <w:rFonts w:ascii="Arial" w:eastAsia="Arial" w:hAnsi="Arial" w:cs="Arial"/>
          <w:sz w:val="20"/>
        </w:rPr>
        <w:t xml:space="preserve"> Persona o grupo de personas que presentan una oferta para participar en el Proceso de Contratación. </w:t>
      </w:r>
    </w:p>
    <w:p w14:paraId="3D1B3CB9" w14:textId="77777777" w:rsidR="001E4A6A" w:rsidRPr="001E4A6A" w:rsidRDefault="001E4A6A" w:rsidP="001E4A6A">
      <w:pPr>
        <w:spacing w:after="0" w:line="240" w:lineRule="auto"/>
        <w:ind w:left="720"/>
        <w:contextualSpacing/>
        <w:jc w:val="both"/>
        <w:rPr>
          <w:rFonts w:ascii="Arial" w:eastAsia="Arial" w:hAnsi="Arial" w:cs="Arial"/>
          <w:sz w:val="20"/>
        </w:rPr>
      </w:pPr>
    </w:p>
    <w:p w14:paraId="58F555C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Reembolso de Gastos:</w:t>
      </w:r>
      <w:r w:rsidRPr="001E4A6A">
        <w:rPr>
          <w:rFonts w:ascii="Arial" w:eastAsia="Arial" w:hAnsi="Arial" w:cs="Arial"/>
          <w:sz w:val="20"/>
        </w:rPr>
        <w:t xml:space="preserve"> Forma de pago en la cual el Contratista asume los gastos de ejecución del contrato y la Entidad Estatal periódicamente rembolsa dichos gastos y además le reconoce los honorarios que se pactan por su gestión.</w:t>
      </w:r>
    </w:p>
    <w:p w14:paraId="56E7B111" w14:textId="77777777" w:rsidR="001E4A6A" w:rsidRPr="001E4A6A" w:rsidRDefault="001E4A6A" w:rsidP="001E4A6A">
      <w:pPr>
        <w:spacing w:after="0" w:line="240" w:lineRule="auto"/>
        <w:ind w:left="720"/>
        <w:contextualSpacing/>
        <w:jc w:val="both"/>
        <w:rPr>
          <w:rFonts w:ascii="Arial" w:eastAsia="Arial" w:hAnsi="Arial" w:cs="Arial"/>
          <w:sz w:val="20"/>
        </w:rPr>
      </w:pPr>
    </w:p>
    <w:p w14:paraId="1180BEDB"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Selección Objetiva:</w:t>
      </w:r>
      <w:r w:rsidRPr="001E4A6A">
        <w:rPr>
          <w:rFonts w:ascii="Arial" w:eastAsia="Arial" w:hAnsi="Arial" w:cs="Arial"/>
          <w:sz w:val="20"/>
        </w:rPr>
        <w:t xml:space="preserve"> Principio y deber que busca que la escogencia de los colaboradores de la administración responda a criterios objetivos, en concordancia con los principios que rigen la función administrativa. </w:t>
      </w:r>
    </w:p>
    <w:p w14:paraId="13269DB2" w14:textId="77777777" w:rsidR="001E4A6A" w:rsidRPr="001E4A6A" w:rsidRDefault="001E4A6A" w:rsidP="001E4A6A">
      <w:pPr>
        <w:spacing w:after="0" w:line="240" w:lineRule="auto"/>
        <w:ind w:left="720"/>
        <w:contextualSpacing/>
        <w:jc w:val="both"/>
        <w:rPr>
          <w:rFonts w:ascii="Arial" w:eastAsia="Arial" w:hAnsi="Arial" w:cs="Arial"/>
          <w:sz w:val="20"/>
        </w:rPr>
      </w:pPr>
    </w:p>
    <w:p w14:paraId="4B7C69B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Sobre 1:</w:t>
      </w:r>
      <w:r w:rsidRPr="001E4A6A">
        <w:rPr>
          <w:rFonts w:ascii="Arial" w:eastAsia="Arial" w:hAnsi="Arial" w:cs="Arial"/>
          <w:sz w:val="20"/>
        </w:rPr>
        <w:t xml:space="preserve"> Instrumento que incluye los documentos relacionados con el cumplimiento de los requisitos habilitantes, así como los requisitos y documentos a los que se les asigna puntaje que son diferentes a la oferta económica. </w:t>
      </w:r>
    </w:p>
    <w:p w14:paraId="7EF15AB6" w14:textId="77777777" w:rsidR="001E4A6A" w:rsidRPr="001E4A6A" w:rsidRDefault="001E4A6A" w:rsidP="001E4A6A">
      <w:pPr>
        <w:spacing w:after="0" w:line="240" w:lineRule="auto"/>
        <w:ind w:left="720"/>
        <w:contextualSpacing/>
        <w:jc w:val="both"/>
        <w:rPr>
          <w:rFonts w:ascii="Arial" w:eastAsia="Arial" w:hAnsi="Arial" w:cs="Arial"/>
          <w:sz w:val="20"/>
        </w:rPr>
      </w:pPr>
    </w:p>
    <w:p w14:paraId="0C31FD45"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sz w:val="20"/>
        </w:rPr>
      </w:pPr>
      <w:r w:rsidRPr="001E4A6A">
        <w:rPr>
          <w:rFonts w:ascii="Arial" w:eastAsia="Arial" w:hAnsi="Arial" w:cs="Arial"/>
          <w:b/>
          <w:bCs/>
          <w:sz w:val="20"/>
        </w:rPr>
        <w:t>Sobre 2:</w:t>
      </w:r>
      <w:r w:rsidRPr="001E4A6A">
        <w:rPr>
          <w:rFonts w:ascii="Arial" w:eastAsia="Arial" w:hAnsi="Arial" w:cs="Arial"/>
          <w:sz w:val="20"/>
        </w:rPr>
        <w:t xml:space="preserve"> Instrumento que contiene la oferta económica.</w:t>
      </w:r>
    </w:p>
    <w:p w14:paraId="74CDEAFF" w14:textId="77777777" w:rsidR="001E4A6A" w:rsidRPr="00807517" w:rsidRDefault="001E4A6A" w:rsidP="00807517">
      <w:pPr>
        <w:spacing w:after="0" w:line="240" w:lineRule="auto"/>
        <w:ind w:left="720"/>
        <w:contextualSpacing/>
        <w:jc w:val="both"/>
        <w:rPr>
          <w:rFonts w:eastAsia="Arial" w:cs="Arial"/>
          <w:b/>
        </w:rPr>
      </w:pPr>
    </w:p>
    <w:p w14:paraId="1ABD3BE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lastRenderedPageBreak/>
        <w:t>Subcontratista:</w:t>
      </w:r>
      <w:r w:rsidRPr="001E4A6A">
        <w:rPr>
          <w:rFonts w:ascii="Arial" w:eastAsia="Arial" w:hAnsi="Arial" w:cs="Arial"/>
          <w:sz w:val="20"/>
        </w:rPr>
        <w:t xml:space="preserve"> Persona natural, jurídica o figura asociativa que contrata el Contratista principal para ejecutar una actividad previamente contratada por una Entidad Estatal u otra persona natural o jurídica. </w:t>
      </w:r>
    </w:p>
    <w:p w14:paraId="68B03C79" w14:textId="77777777" w:rsidR="001E4A6A" w:rsidRPr="001E4A6A" w:rsidRDefault="001E4A6A" w:rsidP="001E4A6A">
      <w:pPr>
        <w:spacing w:after="0" w:line="240" w:lineRule="auto"/>
        <w:ind w:left="720"/>
        <w:contextualSpacing/>
        <w:jc w:val="both"/>
        <w:rPr>
          <w:rFonts w:ascii="Arial" w:eastAsia="Arial" w:hAnsi="Arial" w:cs="Arial"/>
          <w:sz w:val="20"/>
        </w:rPr>
      </w:pPr>
    </w:p>
    <w:p w14:paraId="4C0CDE3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Sucursal:</w:t>
      </w:r>
      <w:r w:rsidRPr="001E4A6A">
        <w:rPr>
          <w:rFonts w:ascii="Arial" w:eastAsia="Arial" w:hAnsi="Arial" w:cs="Arial"/>
          <w:sz w:val="20"/>
        </w:rPr>
        <w:t xml:space="preserve"> Establecimientos de comercio abiertos por una sociedad, dentro o fuera de su domicilio, para el desarrollo de los negocios sociales o de parte de ellos, administrados por mandatarios con facultades para representar a la sociedad.</w:t>
      </w:r>
    </w:p>
    <w:p w14:paraId="24B5281D" w14:textId="77777777" w:rsidR="001E4A6A" w:rsidRPr="001E4A6A" w:rsidRDefault="001E4A6A" w:rsidP="001E4A6A">
      <w:pPr>
        <w:spacing w:after="0" w:line="240" w:lineRule="auto"/>
        <w:ind w:left="720"/>
        <w:contextualSpacing/>
        <w:jc w:val="both"/>
        <w:rPr>
          <w:rFonts w:ascii="Arial" w:eastAsia="Arial" w:hAnsi="Arial" w:cs="Arial"/>
          <w:sz w:val="20"/>
        </w:rPr>
      </w:pPr>
    </w:p>
    <w:p w14:paraId="54D0B55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Trato Nacional:</w:t>
      </w:r>
      <w:r w:rsidRPr="001E4A6A">
        <w:rPr>
          <w:rFonts w:ascii="Arial" w:eastAsia="Arial" w:hAnsi="Arial" w:cs="Arial"/>
          <w:sz w:val="20"/>
        </w:rPr>
        <w:t xml:space="preserve"> Principio según el cual un Estado concede a los nacionales de otro Estado el mismo trato que otorga a sus nacionales. </w:t>
      </w:r>
    </w:p>
    <w:p w14:paraId="65CA2F36" w14:textId="77777777" w:rsidR="001E4A6A" w:rsidRPr="001E4A6A" w:rsidRDefault="001E4A6A" w:rsidP="001E4A6A">
      <w:pPr>
        <w:spacing w:after="0" w:line="240" w:lineRule="auto"/>
        <w:ind w:left="720"/>
        <w:contextualSpacing/>
        <w:jc w:val="both"/>
        <w:rPr>
          <w:rFonts w:ascii="Arial" w:eastAsia="Arial" w:hAnsi="Arial" w:cs="Arial"/>
          <w:sz w:val="20"/>
        </w:rPr>
      </w:pPr>
    </w:p>
    <w:p w14:paraId="18820B9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Unión Temporal:</w:t>
      </w:r>
      <w:r w:rsidRPr="001E4A6A">
        <w:rPr>
          <w:rFonts w:ascii="Arial" w:eastAsia="Arial" w:hAnsi="Arial" w:cs="Arial"/>
          <w:sz w:val="20"/>
        </w:rPr>
        <w:t xml:space="preserve"> 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 </w:t>
      </w:r>
    </w:p>
    <w:p w14:paraId="5002E1E4" w14:textId="77777777" w:rsidR="001E4A6A" w:rsidRPr="001E4A6A" w:rsidRDefault="001E4A6A" w:rsidP="001E4A6A">
      <w:pPr>
        <w:spacing w:after="0" w:line="240" w:lineRule="auto"/>
        <w:ind w:left="720"/>
        <w:contextualSpacing/>
        <w:jc w:val="both"/>
        <w:rPr>
          <w:rFonts w:ascii="Arial" w:eastAsia="Arial" w:hAnsi="Arial" w:cs="Arial"/>
          <w:sz w:val="20"/>
        </w:rPr>
      </w:pPr>
    </w:p>
    <w:p w14:paraId="19A0B95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Utilidad Operacional:</w:t>
      </w:r>
      <w:r w:rsidRPr="001E4A6A">
        <w:rPr>
          <w:rFonts w:ascii="Arial" w:eastAsia="Arial" w:hAnsi="Arial" w:cs="Arial"/>
          <w:sz w:val="20"/>
        </w:rPr>
        <w:t xml:space="preserve"> Ingresos, costos y gastos operacionales relacionados directamente con el objeto social de la empresa o persona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45F37D26" w14:textId="77777777" w:rsidR="001E4A6A" w:rsidRPr="001E4A6A" w:rsidRDefault="001E4A6A" w:rsidP="001E4A6A">
      <w:pPr>
        <w:spacing w:after="0" w:line="240" w:lineRule="auto"/>
        <w:ind w:left="720"/>
        <w:contextualSpacing/>
        <w:jc w:val="both"/>
        <w:rPr>
          <w:rFonts w:ascii="Arial" w:eastAsia="Arial" w:hAnsi="Arial" w:cs="Arial"/>
          <w:sz w:val="20"/>
        </w:rPr>
      </w:pPr>
    </w:p>
    <w:p w14:paraId="2914F14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Vigencia Fiscal:</w:t>
      </w:r>
      <w:r w:rsidRPr="001E4A6A">
        <w:rPr>
          <w:rFonts w:ascii="Arial" w:eastAsia="Arial" w:hAnsi="Arial" w:cs="Arial"/>
          <w:sz w:val="20"/>
        </w:rPr>
        <w:t xml:space="preserve"> Período que comprende desde el 1 de enero hasta el 31 de diciembre de cada año.</w:t>
      </w:r>
    </w:p>
    <w:p w14:paraId="2378D56F"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6DA0D658" w14:textId="78D1869C" w:rsidR="001E4A6A" w:rsidRPr="001E4A6A" w:rsidRDefault="001E4A6A" w:rsidP="000E54F6">
      <w:pPr>
        <w:pStyle w:val="Ttulo1"/>
        <w:numPr>
          <w:ilvl w:val="0"/>
          <w:numId w:val="1"/>
        </w:numPr>
        <w:pBdr>
          <w:bottom w:val="single" w:sz="4" w:space="1" w:color="auto"/>
        </w:pBdr>
        <w:spacing w:before="0" w:line="240" w:lineRule="auto"/>
        <w:jc w:val="both"/>
      </w:pPr>
      <w:r w:rsidRPr="001E4A6A">
        <w:t xml:space="preserve">GLOSARIO ESPECÍFICO TÉCNICO </w:t>
      </w:r>
    </w:p>
    <w:p w14:paraId="33523577" w14:textId="77777777" w:rsidR="00EF2C83" w:rsidRDefault="00EF2C83" w:rsidP="001E4A6A">
      <w:pPr>
        <w:spacing w:after="0" w:line="240" w:lineRule="auto"/>
        <w:jc w:val="both"/>
        <w:rPr>
          <w:rFonts w:ascii="Arial" w:eastAsia="Arial" w:hAnsi="Arial" w:cs="Arial"/>
          <w:sz w:val="20"/>
        </w:rPr>
      </w:pPr>
    </w:p>
    <w:p w14:paraId="4DB890E0" w14:textId="192608CF" w:rsidR="001E4A6A" w:rsidRPr="001E4A6A" w:rsidRDefault="001E4A6A" w:rsidP="001E4A6A">
      <w:pPr>
        <w:spacing w:after="0" w:line="240" w:lineRule="auto"/>
        <w:jc w:val="both"/>
        <w:rPr>
          <w:rFonts w:ascii="Arial" w:eastAsia="Arial" w:hAnsi="Arial" w:cs="Arial"/>
          <w:sz w:val="20"/>
        </w:rPr>
      </w:pPr>
      <w:r w:rsidRPr="001E4A6A">
        <w:rPr>
          <w:rFonts w:ascii="Arial" w:eastAsia="Arial" w:hAnsi="Arial" w:cs="Arial"/>
          <w:sz w:val="20"/>
          <w:highlight w:val="lightGray"/>
        </w:rPr>
        <w:t>[La Entidad deberá incluir en orden alfabético los conceptos adicionales que aplican al Proceso de Contratación, que no estén incorporados en el presente anexo y que se encuentren relacionados en la normatividad aplicable, así como los términos y conceptos definidos en el Decreto 1077 de 2015 y demás normatividad y legislación que la modifique, regule o derogue, y demás normativa vigente en la materia, así como la NSR 10, entre otras.]</w:t>
      </w:r>
      <w:r w:rsidRPr="001E4A6A">
        <w:rPr>
          <w:rFonts w:ascii="Arial" w:eastAsia="Arial" w:hAnsi="Arial" w:cs="Arial"/>
          <w:sz w:val="20"/>
        </w:rPr>
        <w:t xml:space="preserve"> </w:t>
      </w:r>
    </w:p>
    <w:p w14:paraId="3C9ABAD7" w14:textId="77777777" w:rsidR="001E4A6A" w:rsidRPr="001E4A6A" w:rsidRDefault="001E4A6A" w:rsidP="001E4A6A">
      <w:pPr>
        <w:spacing w:after="0" w:line="240" w:lineRule="auto"/>
        <w:jc w:val="both"/>
        <w:rPr>
          <w:rFonts w:ascii="Arial" w:eastAsia="Arial" w:hAnsi="Arial" w:cs="Arial"/>
          <w:sz w:val="20"/>
        </w:rPr>
      </w:pPr>
    </w:p>
    <w:p w14:paraId="16FE9F4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Acabados:</w:t>
      </w:r>
      <w:r w:rsidRPr="001E4A6A">
        <w:rPr>
          <w:rFonts w:ascii="Arial" w:eastAsia="Arial" w:hAnsi="Arial" w:cs="Arial"/>
          <w:sz w:val="20"/>
        </w:rPr>
        <w:t xml:space="preserve"> Partes y componentes de una edificación que no hacen parte de la estructura o de su cimentación, es decir son elementos no estructurales. </w:t>
      </w:r>
    </w:p>
    <w:p w14:paraId="4132149B"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394D4AA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Accesibilidad: </w:t>
      </w:r>
      <w:r w:rsidRPr="001E4A6A">
        <w:rPr>
          <w:rFonts w:ascii="Arial" w:eastAsia="Arial" w:hAnsi="Arial" w:cs="Arial"/>
          <w:sz w:val="20"/>
        </w:rPr>
        <w:t>Eliminación de barreras arquitectónicas, de comunicación, de transporte y de información, para permitir a una persona acceder a servicios de educación, de salud, de trabajo, a la vivienda, al deporte, la recreación, la cultura, el turismo y demás actividades desarrolladas por el ser humano.</w:t>
      </w:r>
    </w:p>
    <w:p w14:paraId="653612C1"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667A5C6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Actualización Sísmica:</w:t>
      </w:r>
      <w:r w:rsidRPr="001E4A6A">
        <w:rPr>
          <w:rFonts w:ascii="Arial" w:eastAsia="Arial" w:hAnsi="Arial" w:cs="Arial"/>
          <w:sz w:val="20"/>
        </w:rPr>
        <w:t xml:space="preserve">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F373FD7" w14:textId="77777777" w:rsidR="001E4A6A" w:rsidRPr="001E4A6A" w:rsidRDefault="001E4A6A" w:rsidP="001E4A6A">
      <w:pPr>
        <w:spacing w:after="0" w:line="240" w:lineRule="auto"/>
        <w:ind w:left="720"/>
        <w:contextualSpacing/>
        <w:jc w:val="both"/>
        <w:rPr>
          <w:rFonts w:ascii="Arial" w:eastAsia="Arial" w:hAnsi="Arial" w:cs="Arial"/>
          <w:sz w:val="20"/>
        </w:rPr>
      </w:pPr>
    </w:p>
    <w:p w14:paraId="0599214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lastRenderedPageBreak/>
        <w:t>Adecuación:</w:t>
      </w:r>
      <w:r w:rsidRPr="001E4A6A">
        <w:rPr>
          <w:rFonts w:ascii="Arial" w:eastAsia="Arial" w:hAnsi="Arial" w:cs="Arial"/>
          <w:sz w:val="20"/>
        </w:rPr>
        <w:t xml:space="preserve"> Cambio de uso de una edificación, o parte de ella, garantizando la permanencia total o parcial del inmueble original. </w:t>
      </w:r>
    </w:p>
    <w:p w14:paraId="5E9F6D19"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529480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Alameda:</w:t>
      </w:r>
      <w:r w:rsidRPr="001E4A6A">
        <w:rPr>
          <w:rFonts w:ascii="Arial" w:eastAsia="Arial" w:hAnsi="Arial" w:cs="Arial"/>
          <w:sz w:val="20"/>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 </w:t>
      </w:r>
    </w:p>
    <w:p w14:paraId="3BBCF641"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B4000E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Altura de la Edificación en la Colindancia:</w:t>
      </w:r>
      <w:r w:rsidRPr="001E4A6A">
        <w:rPr>
          <w:rFonts w:ascii="Arial" w:eastAsia="Arial" w:hAnsi="Arial" w:cs="Arial"/>
          <w:sz w:val="20"/>
        </w:rPr>
        <w:t xml:space="preserve"> Suma de las alturas de pisos en la colindancia. </w:t>
      </w:r>
    </w:p>
    <w:p w14:paraId="41700107"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0E4323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Amenaza de Ruina: </w:t>
      </w:r>
      <w:r w:rsidRPr="001E4A6A">
        <w:rPr>
          <w:rFonts w:ascii="Arial" w:eastAsia="Arial" w:hAnsi="Arial" w:cs="Arial"/>
          <w:sz w:val="20"/>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1E4A6A">
        <w:rPr>
          <w:rFonts w:ascii="Arial" w:eastAsia="Arial" w:hAnsi="Arial" w:cs="Arial"/>
          <w:b/>
          <w:bCs/>
          <w:sz w:val="20"/>
        </w:rPr>
        <w:t xml:space="preserve">  </w:t>
      </w:r>
    </w:p>
    <w:p w14:paraId="4D6795E3"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19EE15D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Ampliación: </w:t>
      </w:r>
      <w:r w:rsidRPr="001E4A6A">
        <w:rPr>
          <w:rFonts w:ascii="Arial" w:eastAsia="Arial" w:hAnsi="Arial" w:cs="Arial"/>
          <w:sz w:val="20"/>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DC9698B"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12E2E46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Andén o Acera:</w:t>
      </w:r>
      <w:r w:rsidRPr="001E4A6A">
        <w:rPr>
          <w:rFonts w:ascii="Arial" w:eastAsia="Arial" w:hAnsi="Arial" w:cs="Arial"/>
          <w:sz w:val="20"/>
        </w:rPr>
        <w:t xml:space="preserve"> Franjas de espacio público construido paralelas a las calzadas vehiculares de las vías públicas, destinadas al tránsito de peatones, de personas con movilidad reducida y animales.</w:t>
      </w:r>
    </w:p>
    <w:p w14:paraId="2561BE6E" w14:textId="77777777" w:rsidR="001E4A6A" w:rsidRPr="001E4A6A" w:rsidRDefault="001E4A6A" w:rsidP="001E4A6A">
      <w:pPr>
        <w:spacing w:after="0" w:line="240" w:lineRule="auto"/>
        <w:ind w:left="720"/>
        <w:contextualSpacing/>
        <w:jc w:val="both"/>
        <w:rPr>
          <w:rFonts w:ascii="Arial" w:eastAsia="Arial" w:hAnsi="Arial" w:cs="Arial"/>
          <w:sz w:val="20"/>
        </w:rPr>
      </w:pPr>
    </w:p>
    <w:p w14:paraId="31D3487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Área Clasificada: </w:t>
      </w:r>
      <w:r w:rsidRPr="001E4A6A">
        <w:rPr>
          <w:rFonts w:ascii="Arial" w:eastAsia="Arial" w:hAnsi="Arial" w:cs="Arial"/>
          <w:sz w:val="20"/>
        </w:rPr>
        <w:t xml:space="preserve">Lugares localizados en ambientes clasificados como peligrosos, con alta concentración de personas o que alimentan equipos o sistemas complejos. </w:t>
      </w:r>
    </w:p>
    <w:p w14:paraId="118FFA84"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B8A420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Área Libre:</w:t>
      </w:r>
      <w:r w:rsidRPr="001E4A6A">
        <w:rPr>
          <w:rFonts w:ascii="Arial" w:eastAsia="Arial" w:hAnsi="Arial" w:cs="Arial"/>
          <w:sz w:val="20"/>
        </w:rPr>
        <w:t xml:space="preserve"> Espacio resultante de restar del área total del predio (descontando cesiones) el área construida cubierta en primer piso. </w:t>
      </w:r>
    </w:p>
    <w:p w14:paraId="62145A4A"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41D8AED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Barreras arquitectónicas: </w:t>
      </w:r>
      <w:r w:rsidRPr="001E4A6A">
        <w:rPr>
          <w:rFonts w:ascii="Arial" w:eastAsia="Arial" w:hAnsi="Arial" w:cs="Arial"/>
          <w:sz w:val="20"/>
        </w:rPr>
        <w:t>Son los impedimentos al libre desplazamiento de las personas, que se presentan al interior de las edificaciones.</w:t>
      </w:r>
    </w:p>
    <w:p w14:paraId="30B90FEE" w14:textId="77777777" w:rsidR="001E4A6A" w:rsidRPr="001E4A6A" w:rsidRDefault="001E4A6A" w:rsidP="00807517">
      <w:pPr>
        <w:spacing w:after="0" w:line="240" w:lineRule="auto"/>
        <w:ind w:left="709"/>
        <w:contextualSpacing/>
        <w:jc w:val="both"/>
        <w:rPr>
          <w:rFonts w:eastAsia="Arial" w:cs="Arial"/>
        </w:rPr>
      </w:pPr>
    </w:p>
    <w:p w14:paraId="46A4E76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Bien de Interés Cultural:</w:t>
      </w:r>
      <w:r w:rsidRPr="001E4A6A">
        <w:rPr>
          <w:rFonts w:ascii="Arial" w:eastAsia="Arial" w:hAnsi="Arial" w:cs="Arial"/>
          <w:sz w:val="20"/>
        </w:rPr>
        <w:t xml:space="preserve"> Todos aquellos bienes declarados de interés cultural por la autoridad competente, en razón del interés especial que el bien revista para la comunidad en todo el territorio nacional o en una división territorial determinada.</w:t>
      </w:r>
    </w:p>
    <w:p w14:paraId="3F4EB210" w14:textId="77777777" w:rsidR="001E4A6A" w:rsidRPr="001E4A6A" w:rsidRDefault="001E4A6A" w:rsidP="001E4A6A">
      <w:pPr>
        <w:spacing w:after="0" w:line="240" w:lineRule="auto"/>
        <w:jc w:val="both"/>
        <w:rPr>
          <w:rFonts w:ascii="Arial" w:eastAsia="Arial" w:hAnsi="Arial" w:cs="Arial"/>
          <w:b/>
          <w:bCs/>
          <w:sz w:val="20"/>
        </w:rPr>
      </w:pPr>
    </w:p>
    <w:p w14:paraId="4911E08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Cancha Múltiple:</w:t>
      </w:r>
      <w:r w:rsidRPr="001E4A6A">
        <w:rPr>
          <w:rFonts w:ascii="Arial" w:eastAsia="Arial" w:hAnsi="Arial" w:cs="Arial"/>
          <w:sz w:val="20"/>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 </w:t>
      </w:r>
    </w:p>
    <w:p w14:paraId="4DDECD1E"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44A6FCFC" w14:textId="4B2DBBF3" w:rsidR="00675620" w:rsidRDefault="001E4A6A" w:rsidP="00560DF7">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Canchas o Campos Deportivos:</w:t>
      </w:r>
      <w:r w:rsidRPr="001E4A6A">
        <w:rPr>
          <w:rFonts w:ascii="Arial" w:eastAsia="Arial" w:hAnsi="Arial" w:cs="Arial"/>
          <w:sz w:val="20"/>
        </w:rPr>
        <w:t xml:space="preserve"> Edificaciones deportivas cubiertas o al aire libre que permiten instalar espacios para la práctica de deportes individuales o de conjunto que requieren menores instalaciones y áreas complementarias para las necesidades técnicas y </w:t>
      </w:r>
      <w:r w:rsidRPr="001E4A6A">
        <w:rPr>
          <w:rFonts w:ascii="Arial" w:eastAsia="Arial" w:hAnsi="Arial" w:cs="Arial"/>
          <w:sz w:val="20"/>
        </w:rPr>
        <w:lastRenderedPageBreak/>
        <w:t xml:space="preserve">logísticas. Estos espacios son para un solo deporte y requieren precisión en las características técnicas de las áreas de competencia. </w:t>
      </w:r>
    </w:p>
    <w:p w14:paraId="4DDA8073" w14:textId="77777777" w:rsidR="00560DF7" w:rsidRPr="00560DF7" w:rsidRDefault="00560DF7" w:rsidP="00560DF7">
      <w:pPr>
        <w:spacing w:after="0"/>
        <w:rPr>
          <w:rFonts w:ascii="Arial" w:eastAsia="Arial" w:hAnsi="Arial" w:cs="Arial"/>
          <w:b/>
          <w:bCs/>
          <w:sz w:val="20"/>
        </w:rPr>
      </w:pPr>
    </w:p>
    <w:p w14:paraId="2006EC61" w14:textId="784D0984" w:rsidR="00675620" w:rsidRPr="00560DF7" w:rsidRDefault="00675620" w:rsidP="00560DF7">
      <w:pPr>
        <w:numPr>
          <w:ilvl w:val="1"/>
          <w:numId w:val="1"/>
        </w:numPr>
        <w:spacing w:after="0" w:line="240" w:lineRule="auto"/>
        <w:ind w:left="709" w:hanging="709"/>
        <w:contextualSpacing/>
        <w:jc w:val="both"/>
        <w:rPr>
          <w:rFonts w:ascii="Arial" w:eastAsia="Arial" w:hAnsi="Arial" w:cs="Arial"/>
          <w:b/>
          <w:bCs/>
          <w:sz w:val="20"/>
        </w:rPr>
      </w:pPr>
      <w:r w:rsidRPr="00560DF7">
        <w:rPr>
          <w:rFonts w:ascii="Arial" w:eastAsia="Arial" w:hAnsi="Arial" w:cs="Arial"/>
          <w:b/>
          <w:bCs/>
          <w:sz w:val="20"/>
        </w:rPr>
        <w:t xml:space="preserve">Canchas sintéticas: </w:t>
      </w:r>
      <w:r w:rsidRPr="00560DF7">
        <w:rPr>
          <w:rFonts w:ascii="Arial" w:eastAsia="Arial" w:hAnsi="Arial" w:cs="Arial"/>
          <w:sz w:val="20"/>
        </w:rPr>
        <w:t xml:space="preserve">Edificaciones deportivas cubiertas o al aire libre que permiten instalar espacios para la práctica de deportes individuales o de conjunto que requieren menores instalaciones y áreas complementarias para las necesidades técnicas y logística construidas en </w:t>
      </w:r>
      <w:r w:rsidR="007A167C" w:rsidRPr="00560DF7">
        <w:rPr>
          <w:rFonts w:ascii="Arial" w:eastAsia="Arial" w:hAnsi="Arial" w:cs="Arial"/>
          <w:sz w:val="20"/>
        </w:rPr>
        <w:t xml:space="preserve">grama sintética </w:t>
      </w:r>
      <w:r w:rsidR="003D6A62" w:rsidRPr="00560DF7">
        <w:rPr>
          <w:rFonts w:ascii="Arial" w:eastAsia="Arial" w:hAnsi="Arial" w:cs="Arial"/>
          <w:sz w:val="20"/>
        </w:rPr>
        <w:t xml:space="preserve">o </w:t>
      </w:r>
      <w:r w:rsidRPr="00560DF7">
        <w:rPr>
          <w:rFonts w:ascii="Arial" w:eastAsia="Arial" w:hAnsi="Arial" w:cs="Arial"/>
          <w:sz w:val="20"/>
        </w:rPr>
        <w:t xml:space="preserve">artificial. </w:t>
      </w:r>
    </w:p>
    <w:p w14:paraId="18580B21"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04AF9E2D" w14:textId="77777777" w:rsidR="001E4A6A" w:rsidRPr="00807517"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Casas de Cultura: </w:t>
      </w:r>
      <w:r w:rsidRPr="001E4A6A">
        <w:rPr>
          <w:rFonts w:ascii="Arial" w:eastAsia="Arial" w:hAnsi="Arial" w:cs="Arial"/>
          <w:sz w:val="20"/>
        </w:rPr>
        <w:t>Son instituciones municipales orientadas al fortalecimiento de la cultura de las comunidades desde procesos de pedagogía social. Son centros dinamizadores de la vida cultural y social de las comunidades, que involucran a toda la población.</w:t>
      </w:r>
    </w:p>
    <w:p w14:paraId="6053C5C4" w14:textId="77777777" w:rsidR="001E4A6A" w:rsidRPr="001E4A6A" w:rsidRDefault="001E4A6A" w:rsidP="001E4A6A">
      <w:pPr>
        <w:spacing w:after="0" w:line="240" w:lineRule="auto"/>
        <w:jc w:val="both"/>
        <w:rPr>
          <w:rFonts w:ascii="Arial" w:eastAsia="Arial" w:hAnsi="Arial" w:cs="Arial"/>
          <w:b/>
          <w:sz w:val="20"/>
        </w:rPr>
      </w:pPr>
    </w:p>
    <w:p w14:paraId="08D6CA7F"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Cemento:</w:t>
      </w:r>
      <w:r w:rsidRPr="001E4A6A">
        <w:rPr>
          <w:rFonts w:ascii="Arial" w:eastAsia="Arial" w:hAnsi="Arial" w:cs="Arial"/>
          <w:sz w:val="20"/>
        </w:rPr>
        <w:t xml:space="preserve"> </w:t>
      </w:r>
      <w:r w:rsidRPr="001E4A6A">
        <w:rPr>
          <w:rFonts w:ascii="Arial" w:eastAsia="Arial" w:hAnsi="Arial" w:cs="Arial"/>
          <w:color w:val="000000"/>
          <w:sz w:val="20"/>
          <w:shd w:val="clear" w:color="auto" w:fill="FFFFFF"/>
        </w:rPr>
        <w:t>Mezcla formada de arcilla y materiales calcáreos, sometida a cocción y muy finamente molida, que mezclada con agua se solidifica y endurece.</w:t>
      </w:r>
    </w:p>
    <w:p w14:paraId="332318E5" w14:textId="77777777" w:rsidR="001E4A6A" w:rsidRPr="00807517" w:rsidRDefault="001E4A6A" w:rsidP="00807517">
      <w:pPr>
        <w:spacing w:after="0" w:line="240" w:lineRule="auto"/>
        <w:ind w:left="709"/>
        <w:contextualSpacing/>
        <w:jc w:val="both"/>
        <w:rPr>
          <w:rFonts w:eastAsia="Arial" w:cs="Arial"/>
        </w:rPr>
      </w:pPr>
    </w:p>
    <w:p w14:paraId="647EC9D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Centro Histórico: </w:t>
      </w:r>
      <w:r w:rsidRPr="001E4A6A">
        <w:rPr>
          <w:rFonts w:ascii="Arial" w:eastAsia="Arial" w:hAnsi="Arial" w:cs="Arial"/>
          <w:sz w:val="20"/>
        </w:rPr>
        <w:t xml:space="preserve">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 </w:t>
      </w:r>
    </w:p>
    <w:p w14:paraId="6F12A707" w14:textId="77777777" w:rsidR="001E4A6A" w:rsidRPr="001E4A6A" w:rsidRDefault="001E4A6A" w:rsidP="001E4A6A">
      <w:pPr>
        <w:spacing w:after="0" w:line="240" w:lineRule="auto"/>
        <w:ind w:left="720"/>
        <w:contextualSpacing/>
        <w:jc w:val="both"/>
        <w:rPr>
          <w:rFonts w:ascii="Arial" w:eastAsia="Arial" w:hAnsi="Arial" w:cs="Arial"/>
          <w:sz w:val="20"/>
        </w:rPr>
      </w:pPr>
    </w:p>
    <w:p w14:paraId="399EBAE5"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Cerramiento:</w:t>
      </w:r>
      <w:r w:rsidRPr="001E4A6A">
        <w:rPr>
          <w:rFonts w:ascii="Arial" w:eastAsia="Arial" w:hAnsi="Arial" w:cs="Arial"/>
          <w:sz w:val="20"/>
        </w:rPr>
        <w:t xml:space="preserve"> Muro localizado en el paramento del lote de terreno y que se encuentra separado de la edificación en la dirección perpendicular al paramento del lote de terreno, que no hace parte del sistema estructural de soporte de la edificación y cuya altura no exceda 4 metros. </w:t>
      </w:r>
    </w:p>
    <w:p w14:paraId="1974A6B4" w14:textId="77777777" w:rsidR="001E4A6A" w:rsidRPr="001E4A6A" w:rsidRDefault="001E4A6A" w:rsidP="001E4A6A">
      <w:pPr>
        <w:spacing w:after="0" w:line="240" w:lineRule="auto"/>
        <w:ind w:left="720"/>
        <w:contextualSpacing/>
        <w:jc w:val="both"/>
        <w:rPr>
          <w:rFonts w:ascii="Arial" w:eastAsia="Arial" w:hAnsi="Arial" w:cs="Arial"/>
          <w:sz w:val="20"/>
        </w:rPr>
      </w:pPr>
    </w:p>
    <w:p w14:paraId="2B2C141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Ciclorruta:</w:t>
      </w:r>
      <w:r w:rsidRPr="001E4A6A">
        <w:rPr>
          <w:rFonts w:ascii="Arial" w:eastAsia="Arial" w:hAnsi="Arial" w:cs="Arial"/>
          <w:sz w:val="20"/>
        </w:rPr>
        <w:t xml:space="preserve"> Calzada destinada de manera permanente a la circulación de bicicletas, ubicada en el andén, el separador o segregada de la calzada vehicular o en otros lugares autorizados, debidamente señalizada y delimitada.</w:t>
      </w:r>
    </w:p>
    <w:p w14:paraId="550C9CBD" w14:textId="77777777" w:rsidR="001E4A6A" w:rsidRPr="001E4A6A" w:rsidRDefault="001E4A6A" w:rsidP="001E4A6A">
      <w:pPr>
        <w:spacing w:after="0" w:line="240" w:lineRule="auto"/>
        <w:ind w:left="720"/>
        <w:contextualSpacing/>
        <w:jc w:val="both"/>
        <w:rPr>
          <w:rFonts w:ascii="Arial" w:eastAsia="Arial" w:hAnsi="Arial" w:cs="Arial"/>
          <w:sz w:val="20"/>
        </w:rPr>
      </w:pPr>
    </w:p>
    <w:p w14:paraId="5FE5D055"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Ciclovía:</w:t>
      </w:r>
      <w:r w:rsidRPr="001E4A6A">
        <w:rPr>
          <w:rFonts w:ascii="Arial" w:eastAsia="Arial" w:hAnsi="Arial" w:cs="Arial"/>
          <w:sz w:val="20"/>
        </w:rPr>
        <w:t xml:space="preserve"> Vía o sección de calzada destinada ocasionalmente para el tránsito de bicicletas, triciclos, peatones y animales.</w:t>
      </w:r>
    </w:p>
    <w:p w14:paraId="0E762646" w14:textId="77777777" w:rsidR="001E4A6A" w:rsidRPr="001E4A6A" w:rsidRDefault="001E4A6A" w:rsidP="001E4A6A">
      <w:pPr>
        <w:spacing w:after="0" w:line="240" w:lineRule="auto"/>
        <w:ind w:left="720"/>
        <w:contextualSpacing/>
        <w:jc w:val="both"/>
        <w:rPr>
          <w:rFonts w:ascii="Arial" w:eastAsia="Arial" w:hAnsi="Arial" w:cs="Arial"/>
          <w:sz w:val="20"/>
        </w:rPr>
      </w:pPr>
    </w:p>
    <w:p w14:paraId="65A6F34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Coliseo:</w:t>
      </w:r>
      <w:r w:rsidRPr="001E4A6A">
        <w:rPr>
          <w:rFonts w:ascii="Arial" w:eastAsia="Arial" w:hAnsi="Arial" w:cs="Arial"/>
          <w:sz w:val="20"/>
        </w:rPr>
        <w:t xml:space="preserve"> Edificación destinada a la instalación de áreas deportivas cubiertas que pueden usarse para la práctica de deportes, pero esencialmente se usan para competencia deportiva. </w:t>
      </w:r>
    </w:p>
    <w:p w14:paraId="50D04FFF" w14:textId="77777777" w:rsidR="001E4A6A" w:rsidRPr="001E4A6A" w:rsidRDefault="001E4A6A" w:rsidP="001E4A6A">
      <w:pPr>
        <w:spacing w:after="0" w:line="240" w:lineRule="auto"/>
        <w:ind w:left="720"/>
        <w:contextualSpacing/>
        <w:jc w:val="both"/>
        <w:rPr>
          <w:rFonts w:ascii="Arial" w:eastAsia="Arial" w:hAnsi="Arial" w:cs="Arial"/>
          <w:sz w:val="20"/>
        </w:rPr>
      </w:pPr>
    </w:p>
    <w:p w14:paraId="6299DBF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Complejo Deportivo:</w:t>
      </w:r>
      <w:r w:rsidRPr="001E4A6A">
        <w:rPr>
          <w:rFonts w:ascii="Arial" w:eastAsia="Arial" w:hAnsi="Arial" w:cs="Arial"/>
          <w:sz w:val="20"/>
        </w:rPr>
        <w:t xml:space="preserve"> Espacio físico que agrupa escenarios, instalaciones o espacios deportivos especializados para el Desarrollo, Capacitación, Entrenamiento y Concentración de Deportistas. Se clasifican de acuerdo con su especialización.</w:t>
      </w:r>
    </w:p>
    <w:p w14:paraId="4398E6B4" w14:textId="77777777" w:rsidR="001E4A6A" w:rsidRPr="001E4A6A" w:rsidRDefault="001E4A6A" w:rsidP="00807517">
      <w:pPr>
        <w:spacing w:after="0" w:line="240" w:lineRule="auto"/>
        <w:ind w:left="720"/>
        <w:contextualSpacing/>
        <w:jc w:val="both"/>
        <w:rPr>
          <w:rFonts w:eastAsia="Arial" w:cs="Arial"/>
        </w:rPr>
      </w:pPr>
    </w:p>
    <w:p w14:paraId="5BD75BE9" w14:textId="77777777" w:rsidR="001E4A6A" w:rsidRPr="00807517" w:rsidRDefault="001E4A6A" w:rsidP="00807517">
      <w:pPr>
        <w:numPr>
          <w:ilvl w:val="1"/>
          <w:numId w:val="1"/>
        </w:numPr>
        <w:spacing w:after="0" w:line="240" w:lineRule="auto"/>
        <w:ind w:left="709" w:hanging="709"/>
        <w:contextualSpacing/>
        <w:jc w:val="both"/>
        <w:rPr>
          <w:rFonts w:eastAsia="Arial" w:cs="Arial"/>
          <w:b/>
        </w:rPr>
      </w:pPr>
      <w:r w:rsidRPr="00807517">
        <w:rPr>
          <w:rFonts w:ascii="Arial" w:eastAsia="Arial" w:hAnsi="Arial" w:cs="Arial"/>
          <w:b/>
          <w:bCs/>
          <w:sz w:val="20"/>
        </w:rPr>
        <w:t xml:space="preserve">Concreto Asfáltico: </w:t>
      </w:r>
      <w:r w:rsidRPr="001E4A6A">
        <w:rPr>
          <w:rFonts w:ascii="Arial" w:eastAsia="Arial" w:hAnsi="Arial" w:cs="Arial"/>
          <w:sz w:val="20"/>
        </w:rPr>
        <w:t>Material resultante de la mezcla de cemento asfaltico convencional y/o modificado y agregados pétreos.</w:t>
      </w:r>
    </w:p>
    <w:p w14:paraId="6FEDCF49"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113614F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Concreto Hidráulico:</w:t>
      </w:r>
      <w:r w:rsidRPr="001E4A6A">
        <w:rPr>
          <w:rFonts w:ascii="Arial" w:eastAsia="Arial" w:hAnsi="Arial" w:cs="Arial"/>
          <w:sz w:val="20"/>
        </w:rPr>
        <w:t xml:space="preserve"> Material resultante de la mezcla de cemento portland, agua y agregados pétreos.</w:t>
      </w:r>
    </w:p>
    <w:p w14:paraId="62CEFB81" w14:textId="77777777" w:rsidR="001E4A6A" w:rsidRPr="001E4A6A" w:rsidRDefault="001E4A6A" w:rsidP="001E4A6A">
      <w:pPr>
        <w:spacing w:after="0" w:line="240" w:lineRule="auto"/>
        <w:ind w:left="720"/>
        <w:contextualSpacing/>
        <w:jc w:val="both"/>
        <w:rPr>
          <w:rFonts w:ascii="Arial" w:eastAsia="Arial" w:hAnsi="Arial" w:cs="Arial"/>
          <w:sz w:val="20"/>
        </w:rPr>
      </w:pPr>
    </w:p>
    <w:p w14:paraId="3993716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Concreto Hidráulico Reforzado:</w:t>
      </w:r>
      <w:r w:rsidRPr="001E4A6A">
        <w:rPr>
          <w:rFonts w:ascii="Arial" w:eastAsia="Arial" w:hAnsi="Arial" w:cs="Arial"/>
          <w:sz w:val="20"/>
        </w:rPr>
        <w:t xml:space="preserve"> Material resultante de la mezcla de cemento portland, agua, agregados pétreos y/o aditivos y acero de refuerzo. </w:t>
      </w:r>
    </w:p>
    <w:p w14:paraId="6872920C" w14:textId="77777777" w:rsidR="001E4A6A" w:rsidRPr="001E4A6A" w:rsidRDefault="001E4A6A" w:rsidP="001E4A6A">
      <w:pPr>
        <w:spacing w:after="0" w:line="240" w:lineRule="auto"/>
        <w:ind w:left="720"/>
        <w:contextualSpacing/>
        <w:jc w:val="both"/>
        <w:rPr>
          <w:rFonts w:ascii="Arial" w:eastAsia="Arial" w:hAnsi="Arial" w:cs="Arial"/>
          <w:sz w:val="20"/>
        </w:rPr>
      </w:pPr>
    </w:p>
    <w:p w14:paraId="0E59CC7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Construcción:</w:t>
      </w:r>
      <w:r w:rsidRPr="001E4A6A">
        <w:rPr>
          <w:rFonts w:ascii="Arial" w:eastAsia="Arial" w:hAnsi="Arial" w:cs="Arial"/>
          <w:sz w:val="20"/>
        </w:rPr>
        <w:t xml:space="preserve"> Obras nuevas de edificaciones en terrenos no construidos o cuya área esté libre por autorización de demolición total. </w:t>
      </w:r>
    </w:p>
    <w:p w14:paraId="26051572"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C147CB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lastRenderedPageBreak/>
        <w:t>Construcción Sismo Resistente:</w:t>
      </w:r>
      <w:r w:rsidRPr="001E4A6A">
        <w:rPr>
          <w:rFonts w:ascii="Arial" w:eastAsia="Arial" w:hAnsi="Arial" w:cs="Arial"/>
          <w:sz w:val="20"/>
        </w:rPr>
        <w:t xml:space="preserve"> Construcción que cumple con el objetivo expresado en el literal A.1.2.2. del título A de la NSR-10, a través de un diseño y una construcción que cumplan los requisitos de la Ley 400 de 1997 y de la norma sismo resistente. </w:t>
      </w:r>
    </w:p>
    <w:p w14:paraId="2900A10A"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182ED77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Constructor:</w:t>
      </w:r>
      <w:r w:rsidRPr="001E4A6A">
        <w:rPr>
          <w:rFonts w:ascii="Arial" w:eastAsia="Arial" w:hAnsi="Arial" w:cs="Arial"/>
          <w:sz w:val="20"/>
        </w:rPr>
        <w:t xml:space="preserve"> Profesional en ingeniero civil, arquitecto o constructor en arquitectura e ingeniería, bajo cuya responsabilidad se adelanta la construcción de la edificación. </w:t>
      </w:r>
    </w:p>
    <w:p w14:paraId="580C0FF2"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Cultura</w:t>
      </w:r>
      <w:r w:rsidRPr="001E4A6A">
        <w:rPr>
          <w:rFonts w:ascii="Arial" w:eastAsia="Arial" w:hAnsi="Arial" w:cs="Arial"/>
          <w:b/>
          <w:bCs/>
          <w:sz w:val="20"/>
          <w:vertAlign w:val="superscript"/>
        </w:rPr>
        <w:footnoteReference w:id="2"/>
      </w:r>
      <w:r w:rsidRPr="001E4A6A">
        <w:rPr>
          <w:rFonts w:ascii="Arial" w:eastAsia="Arial" w:hAnsi="Arial" w:cs="Arial"/>
          <w:b/>
          <w:bCs/>
          <w:sz w:val="20"/>
        </w:rPr>
        <w:t xml:space="preserve">: </w:t>
      </w:r>
      <w:r w:rsidRPr="001E4A6A">
        <w:rPr>
          <w:rFonts w:ascii="Arial" w:eastAsia="Arial" w:hAnsi="Arial" w:cs="Arial"/>
          <w:sz w:val="20"/>
        </w:rPr>
        <w:t>Es el conjunto de rasgos distintivos, espirituales, materiales, intelectuales y emocionales que caracterizan a los grupos humanos y que comprende, más allá de las artes y las letras, modos de vida, derechos humanos, sistemas de valores, tradiciones y creencias.</w:t>
      </w:r>
    </w:p>
    <w:p w14:paraId="61CCA774"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341069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Demolición:</w:t>
      </w:r>
      <w:r w:rsidRPr="001E4A6A">
        <w:rPr>
          <w:rFonts w:ascii="Arial" w:eastAsia="Arial" w:hAnsi="Arial" w:cs="Arial"/>
          <w:sz w:val="20"/>
        </w:rPr>
        <w:t xml:space="preserve"> Actividades o intervenciones para derribar total o parcialmente una o varias edificaciones existentes en uno o varios predios. </w:t>
      </w:r>
    </w:p>
    <w:p w14:paraId="70A70647"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2A8C4CF"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Diseñador Arquitectónico:</w:t>
      </w:r>
      <w:r w:rsidRPr="001E4A6A">
        <w:rPr>
          <w:rFonts w:ascii="Arial" w:eastAsia="Arial" w:hAnsi="Arial" w:cs="Arial"/>
          <w:sz w:val="20"/>
        </w:rPr>
        <w:t xml:space="preserve"> Arquitecto bajo cuya responsabilidad se realiza el diseño y los planos arquitectónicos de la edificación y quien los firma o rotula. </w:t>
      </w:r>
    </w:p>
    <w:p w14:paraId="2F932313" w14:textId="77777777" w:rsidR="001E4A6A" w:rsidRPr="001E4A6A" w:rsidRDefault="001E4A6A" w:rsidP="001E4A6A">
      <w:pPr>
        <w:spacing w:after="0" w:line="240" w:lineRule="auto"/>
        <w:ind w:left="720"/>
        <w:contextualSpacing/>
        <w:jc w:val="both"/>
        <w:rPr>
          <w:rFonts w:ascii="Arial" w:eastAsia="Arial" w:hAnsi="Arial" w:cs="Arial"/>
          <w:sz w:val="20"/>
        </w:rPr>
      </w:pPr>
    </w:p>
    <w:p w14:paraId="3AB55CA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Diseñador de los Elementos no Estructurales: </w:t>
      </w:r>
      <w:r w:rsidRPr="001E4A6A">
        <w:rPr>
          <w:rFonts w:ascii="Arial" w:eastAsia="Arial" w:hAnsi="Arial" w:cs="Arial"/>
          <w:sz w:val="20"/>
        </w:rPr>
        <w:t>Profesional facultado para este fin, bajo cuya responsabilidad se realiza el diseño y los planos de los elementos no estructurales de la edificación y quien los firma o rotula.</w:t>
      </w:r>
    </w:p>
    <w:p w14:paraId="5AAF6653" w14:textId="77777777" w:rsidR="001E4A6A" w:rsidRPr="001E4A6A" w:rsidRDefault="001E4A6A" w:rsidP="001E4A6A">
      <w:pPr>
        <w:spacing w:after="0" w:line="240" w:lineRule="auto"/>
        <w:ind w:left="720"/>
        <w:contextualSpacing/>
        <w:jc w:val="both"/>
        <w:rPr>
          <w:rFonts w:ascii="Arial" w:eastAsia="Arial" w:hAnsi="Arial" w:cs="Arial"/>
          <w:sz w:val="20"/>
        </w:rPr>
      </w:pPr>
    </w:p>
    <w:p w14:paraId="15F5763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Diseñador Estructural:</w:t>
      </w:r>
      <w:r w:rsidRPr="001E4A6A">
        <w:rPr>
          <w:rFonts w:ascii="Arial" w:eastAsia="Arial" w:hAnsi="Arial" w:cs="Arial"/>
          <w:sz w:val="20"/>
        </w:rPr>
        <w:t xml:space="preserve"> Ingeniero civil facultado para este fin, bajo cuya responsabilidad se realiza el diseño y los planos estructurales de la edificación y quien los firma o rotula. </w:t>
      </w:r>
    </w:p>
    <w:p w14:paraId="04C3E8D5"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6AC7DB3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Edificación:</w:t>
      </w:r>
      <w:r w:rsidRPr="001E4A6A">
        <w:rPr>
          <w:rFonts w:ascii="Arial" w:eastAsia="Arial" w:hAnsi="Arial" w:cs="Arial"/>
          <w:sz w:val="20"/>
        </w:rPr>
        <w:t xml:space="preserve"> Construcción cuyo uso primordial es la habitación u ocupación por seres vivos.</w:t>
      </w:r>
    </w:p>
    <w:p w14:paraId="1032A547" w14:textId="77777777" w:rsidR="001E4A6A" w:rsidRPr="001E4A6A" w:rsidRDefault="001E4A6A" w:rsidP="001E4A6A">
      <w:pPr>
        <w:spacing w:after="0" w:line="240" w:lineRule="auto"/>
        <w:ind w:left="720"/>
        <w:contextualSpacing/>
        <w:jc w:val="both"/>
        <w:rPr>
          <w:rFonts w:ascii="Arial" w:eastAsia="Arial" w:hAnsi="Arial" w:cs="Arial"/>
          <w:sz w:val="20"/>
        </w:rPr>
      </w:pPr>
    </w:p>
    <w:p w14:paraId="01FB60D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Edificación de Atención a la Comunidad:</w:t>
      </w:r>
      <w:r w:rsidRPr="001E4A6A">
        <w:rPr>
          <w:rFonts w:ascii="Arial" w:eastAsia="Arial" w:hAnsi="Arial" w:cs="Arial"/>
          <w:sz w:val="20"/>
        </w:rPr>
        <w:t xml:space="preserve"> Equipamientos necesarios para atender emergencias, preservar la salud y la seguridad de las personas y animales, tales como estaciones de bomberos, cuarteles de policía y fuerzas militares, instalaciones de salud, sedes de organismos operativos de emergencias, entre otros. </w:t>
      </w:r>
    </w:p>
    <w:p w14:paraId="23BF2652"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772DE83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Edificaciones Indispensables: </w:t>
      </w:r>
      <w:r w:rsidRPr="001E4A6A">
        <w:rPr>
          <w:rFonts w:ascii="Arial" w:eastAsia="Arial" w:hAnsi="Arial" w:cs="Arial"/>
          <w:sz w:val="20"/>
        </w:rPr>
        <w:t xml:space="preserve">Equipamientos de atención a la comunidad que deben funcionar durante y después de un sismo, cuya operación no puede ser trasladada rápidamente a un lugar alterno, tales como hospitales y centrales de operación y control de líneas vitales. </w:t>
      </w:r>
    </w:p>
    <w:p w14:paraId="37316676"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7D347B6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Edificio en Ruina:</w:t>
      </w:r>
      <w:r w:rsidRPr="001E4A6A">
        <w:rPr>
          <w:rFonts w:ascii="Arial" w:eastAsia="Arial" w:hAnsi="Arial" w:cs="Arial"/>
          <w:sz w:val="20"/>
        </w:rPr>
        <w:t xml:space="preserve"> 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61701E80"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54EF1F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Edificio Institucional:</w:t>
      </w:r>
      <w:r w:rsidRPr="001E4A6A">
        <w:rPr>
          <w:rFonts w:ascii="Arial" w:eastAsia="Arial" w:hAnsi="Arial" w:cs="Arial"/>
          <w:sz w:val="20"/>
        </w:rPr>
        <w:t xml:space="preserve"> Infraestructura que ha sido construida para funciones específicas (administrativas, educación, salud, cultura, etc.) principalmente para el beneficio e interés público, como, por ejemplo; escuelas, universidades, hospitales, estadios, teatros, archivos, biblioteca, edificios de la policía, cárceles, etc.</w:t>
      </w:r>
    </w:p>
    <w:p w14:paraId="60A44B11" w14:textId="77777777" w:rsidR="001E4A6A" w:rsidRPr="001E4A6A" w:rsidRDefault="001E4A6A" w:rsidP="001E4A6A">
      <w:pPr>
        <w:spacing w:after="0" w:line="240" w:lineRule="auto"/>
        <w:ind w:left="720"/>
        <w:contextualSpacing/>
        <w:jc w:val="both"/>
        <w:rPr>
          <w:rFonts w:ascii="Arial" w:eastAsia="Arial" w:hAnsi="Arial" w:cs="Arial"/>
          <w:sz w:val="20"/>
        </w:rPr>
      </w:pPr>
    </w:p>
    <w:p w14:paraId="19E0C4F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Elementos no Estructurales:</w:t>
      </w:r>
      <w:r w:rsidRPr="001E4A6A">
        <w:rPr>
          <w:rFonts w:ascii="Arial" w:eastAsia="Arial" w:hAnsi="Arial" w:cs="Arial"/>
          <w:sz w:val="20"/>
        </w:rPr>
        <w:t xml:space="preserve"> Componentes de la edificación que no hacen parte de la estructura o su cimentación, los cuales son asociados con los acabados. </w:t>
      </w:r>
    </w:p>
    <w:p w14:paraId="5EEFE508" w14:textId="77777777" w:rsidR="001E4A6A" w:rsidRPr="00807517" w:rsidRDefault="001E4A6A" w:rsidP="00807517">
      <w:pPr>
        <w:spacing w:after="0" w:line="240" w:lineRule="auto"/>
        <w:ind w:left="709"/>
        <w:contextualSpacing/>
        <w:jc w:val="both"/>
        <w:rPr>
          <w:rFonts w:eastAsia="Arial" w:cs="Arial"/>
          <w:b/>
        </w:rPr>
      </w:pPr>
    </w:p>
    <w:p w14:paraId="3432467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807517">
        <w:rPr>
          <w:rFonts w:ascii="Arial" w:eastAsia="Arial" w:hAnsi="Arial" w:cs="Arial"/>
          <w:b/>
          <w:bCs/>
          <w:sz w:val="20"/>
        </w:rPr>
        <w:t>Equipamiento Cultural</w:t>
      </w:r>
      <w:r w:rsidRPr="001E4A6A">
        <w:rPr>
          <w:rFonts w:ascii="Arial" w:eastAsia="Arial" w:hAnsi="Arial" w:cs="Arial"/>
          <w:sz w:val="20"/>
        </w:rPr>
        <w:t xml:space="preserve">: </w:t>
      </w:r>
      <w:r w:rsidRPr="00807517">
        <w:rPr>
          <w:rFonts w:ascii="Arial" w:eastAsia="Arial" w:hAnsi="Arial" w:cs="Arial"/>
          <w:sz w:val="20"/>
        </w:rPr>
        <w:t xml:space="preserve">Infraestructura, edificación, dotación y espacio destinado a la actividad cultural, de creación, circulación, memoria, custodia, transmisión y conservación </w:t>
      </w:r>
      <w:r w:rsidRPr="00807517">
        <w:rPr>
          <w:rFonts w:ascii="Arial" w:eastAsia="Arial" w:hAnsi="Arial" w:cs="Arial"/>
          <w:sz w:val="20"/>
        </w:rPr>
        <w:lastRenderedPageBreak/>
        <w:t>del conocimiento, fomento y difusión de la cultura y fortalecimiento y desarrollo de las relaciones y las creencias de los diversos pueblos y grupos sociales que habitan la ciudad.</w:t>
      </w:r>
    </w:p>
    <w:p w14:paraId="07C50B0F"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3888C8D9" w14:textId="72CCA6AD" w:rsidR="00490B12" w:rsidRDefault="001E4A6A" w:rsidP="00490B12">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Equipamiento Deportivo:</w:t>
      </w:r>
      <w:r w:rsidRPr="001E4A6A">
        <w:rPr>
          <w:rFonts w:ascii="Arial" w:eastAsia="Arial" w:hAnsi="Arial" w:cs="Arial"/>
          <w:b/>
          <w:sz w:val="20"/>
        </w:rPr>
        <w:t xml:space="preserve"> </w:t>
      </w:r>
      <w:r w:rsidRPr="001E4A6A">
        <w:rPr>
          <w:rFonts w:ascii="Arial" w:eastAsia="Arial" w:hAnsi="Arial" w:cs="Arial"/>
          <w:sz w:val="20"/>
        </w:rPr>
        <w:t>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 complejo deportivo y escenario deportivo.</w:t>
      </w:r>
    </w:p>
    <w:p w14:paraId="2ADD2979" w14:textId="77777777" w:rsidR="00490B12" w:rsidRDefault="00490B12" w:rsidP="00490B12">
      <w:pPr>
        <w:pStyle w:val="Prrafodelista"/>
        <w:rPr>
          <w:rFonts w:ascii="Arial" w:eastAsia="Arial" w:hAnsi="Arial" w:cs="Arial"/>
          <w:b/>
          <w:bCs/>
          <w:sz w:val="20"/>
        </w:rPr>
      </w:pPr>
    </w:p>
    <w:p w14:paraId="7266FFD9" w14:textId="77777777" w:rsidR="001E4A6A" w:rsidRPr="001E4A6A" w:rsidRDefault="001E4A6A" w:rsidP="00490B12">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Escala regional:</w:t>
      </w:r>
      <w:r w:rsidRPr="001E4A6A">
        <w:rPr>
          <w:rFonts w:ascii="Arial" w:eastAsia="Arial" w:hAnsi="Arial" w:cs="Arial"/>
          <w:sz w:val="20"/>
        </w:rPr>
        <w:t xml:space="preserve"> Parques de gran escala, con una superficie mayor a 50 hectáreas, y un área de influencia o cobertura de dos o más municipios. Se excluyen de esta clasificación los parques nacionales o reservas naturales de la Nación. </w:t>
      </w:r>
    </w:p>
    <w:p w14:paraId="7472276F" w14:textId="77777777" w:rsidR="001E4A6A" w:rsidRPr="001E4A6A" w:rsidRDefault="001E4A6A" w:rsidP="001E4A6A">
      <w:pPr>
        <w:spacing w:after="0" w:line="240" w:lineRule="auto"/>
        <w:ind w:left="720"/>
        <w:contextualSpacing/>
        <w:jc w:val="both"/>
        <w:rPr>
          <w:rFonts w:ascii="Arial" w:eastAsia="Arial" w:hAnsi="Arial" w:cs="Arial"/>
          <w:sz w:val="20"/>
        </w:rPr>
      </w:pPr>
    </w:p>
    <w:p w14:paraId="5A5FB40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Escala urbana:</w:t>
      </w:r>
      <w:r w:rsidRPr="001E4A6A">
        <w:rPr>
          <w:rFonts w:ascii="Arial" w:eastAsia="Arial" w:hAnsi="Arial" w:cs="Arial"/>
          <w:sz w:val="20"/>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248B31C3" w14:textId="77777777" w:rsidR="001E4A6A" w:rsidRPr="001E4A6A" w:rsidRDefault="001E4A6A" w:rsidP="001E4A6A">
      <w:pPr>
        <w:spacing w:after="0" w:line="240" w:lineRule="auto"/>
        <w:ind w:left="709"/>
        <w:contextualSpacing/>
        <w:jc w:val="both"/>
        <w:rPr>
          <w:rFonts w:ascii="Arial" w:eastAsia="Arial" w:hAnsi="Arial" w:cs="Arial"/>
          <w:sz w:val="20"/>
        </w:rPr>
      </w:pPr>
    </w:p>
    <w:p w14:paraId="0B00D3EB"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Escala vecinal:</w:t>
      </w:r>
      <w:r w:rsidRPr="001E4A6A">
        <w:rPr>
          <w:rFonts w:ascii="Arial" w:eastAsia="Arial" w:hAnsi="Arial" w:cs="Arial"/>
          <w:sz w:val="20"/>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39CE9C30" w14:textId="77777777" w:rsidR="001E4A6A" w:rsidRPr="001E4A6A" w:rsidRDefault="001E4A6A" w:rsidP="001E4A6A">
      <w:pPr>
        <w:spacing w:after="0" w:line="240" w:lineRule="auto"/>
        <w:ind w:left="720"/>
        <w:contextualSpacing/>
        <w:jc w:val="both"/>
        <w:rPr>
          <w:rFonts w:ascii="Arial" w:eastAsia="Arial" w:hAnsi="Arial" w:cs="Arial"/>
          <w:sz w:val="20"/>
        </w:rPr>
      </w:pPr>
    </w:p>
    <w:p w14:paraId="464AB1A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Escala zonal:</w:t>
      </w:r>
      <w:r w:rsidRPr="001E4A6A">
        <w:rPr>
          <w:rFonts w:ascii="Arial" w:eastAsia="Arial" w:hAnsi="Arial" w:cs="Arial"/>
          <w:sz w:val="20"/>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3A8E5A2A"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225D8D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Escenario Deportivo: </w:t>
      </w:r>
      <w:r w:rsidRPr="001E4A6A">
        <w:rPr>
          <w:rFonts w:ascii="Arial" w:eastAsia="Arial" w:hAnsi="Arial" w:cs="Arial"/>
          <w:sz w:val="20"/>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r w:rsidRPr="001E4A6A">
        <w:rPr>
          <w:rFonts w:ascii="Arial" w:eastAsia="Arial" w:hAnsi="Arial" w:cs="Arial"/>
          <w:sz w:val="20"/>
          <w:vertAlign w:val="superscript"/>
        </w:rPr>
        <w:footnoteReference w:id="3"/>
      </w:r>
      <w:r w:rsidRPr="001E4A6A">
        <w:rPr>
          <w:rFonts w:ascii="Arial" w:eastAsia="Arial" w:hAnsi="Arial" w:cs="Arial"/>
          <w:sz w:val="20"/>
        </w:rPr>
        <w:t>.</w:t>
      </w:r>
    </w:p>
    <w:p w14:paraId="00FBC8C9"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65267F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Espacio Deportivo: </w:t>
      </w:r>
      <w:r w:rsidRPr="001E4A6A">
        <w:rPr>
          <w:rFonts w:ascii="Arial" w:eastAsia="Arial" w:hAnsi="Arial" w:cs="Arial"/>
          <w:sz w:val="20"/>
        </w:rPr>
        <w:t>Lugar para realizar una práctica deportiva, cubierto o al aire libre, que no cuenta con servicios auxiliares. Dentro de los espacios deportivos se encuentran 2 categorías: los espacios deportivos convencionales y los singulares.</w:t>
      </w:r>
    </w:p>
    <w:p w14:paraId="326C42C0" w14:textId="77777777" w:rsidR="001E4A6A" w:rsidRPr="001E4A6A" w:rsidRDefault="001E4A6A" w:rsidP="001E4A6A">
      <w:pPr>
        <w:spacing w:after="0" w:line="240" w:lineRule="auto"/>
        <w:ind w:left="709"/>
        <w:contextualSpacing/>
        <w:jc w:val="both"/>
        <w:rPr>
          <w:rFonts w:ascii="Arial" w:eastAsia="Arial" w:hAnsi="Arial" w:cs="Arial"/>
          <w:sz w:val="20"/>
        </w:rPr>
      </w:pPr>
    </w:p>
    <w:p w14:paraId="7E49916B"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Espacio Deportivo Convencional: </w:t>
      </w:r>
      <w:r w:rsidRPr="001E4A6A">
        <w:rPr>
          <w:rFonts w:ascii="Arial" w:eastAsia="Arial" w:hAnsi="Arial" w:cs="Arial"/>
          <w:sz w:val="20"/>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675CB59F" w14:textId="77777777" w:rsidR="001E4A6A" w:rsidRPr="001E4A6A" w:rsidRDefault="001E4A6A" w:rsidP="001E4A6A">
      <w:pPr>
        <w:spacing w:after="0" w:line="240" w:lineRule="auto"/>
        <w:ind w:left="709"/>
        <w:contextualSpacing/>
        <w:jc w:val="both"/>
        <w:rPr>
          <w:rFonts w:ascii="Arial" w:eastAsia="Arial" w:hAnsi="Arial" w:cs="Arial"/>
          <w:sz w:val="20"/>
        </w:rPr>
      </w:pPr>
    </w:p>
    <w:p w14:paraId="6AB0896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Espacio Deportivo Singular: </w:t>
      </w:r>
      <w:r w:rsidRPr="001E4A6A">
        <w:rPr>
          <w:rFonts w:ascii="Arial" w:eastAsia="Arial" w:hAnsi="Arial" w:cs="Arial"/>
          <w:sz w:val="20"/>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1194ED52"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19612AA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lastRenderedPageBreak/>
        <w:t>Espacio Público:</w:t>
      </w:r>
      <w:r w:rsidRPr="001E4A6A">
        <w:rPr>
          <w:rFonts w:ascii="Arial" w:eastAsia="Arial" w:hAnsi="Arial" w:cs="Arial"/>
          <w:sz w:val="20"/>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FADDD33" w14:textId="77777777" w:rsidR="001E4A6A" w:rsidRPr="001E4A6A" w:rsidRDefault="001E4A6A" w:rsidP="001E4A6A">
      <w:pPr>
        <w:spacing w:after="0" w:line="240" w:lineRule="auto"/>
        <w:ind w:left="708"/>
        <w:jc w:val="both"/>
        <w:rPr>
          <w:rFonts w:ascii="Arial" w:eastAsia="Arial" w:hAnsi="Arial" w:cs="Arial"/>
          <w:sz w:val="20"/>
        </w:rPr>
      </w:pPr>
    </w:p>
    <w:p w14:paraId="0C0BBE87" w14:textId="77777777" w:rsidR="001E4A6A" w:rsidRPr="001E4A6A" w:rsidRDefault="001E4A6A" w:rsidP="001E4A6A">
      <w:pPr>
        <w:spacing w:after="0" w:line="240" w:lineRule="auto"/>
        <w:ind w:left="708"/>
        <w:jc w:val="both"/>
        <w:rPr>
          <w:rFonts w:ascii="Arial" w:eastAsia="Arial" w:hAnsi="Arial" w:cs="Arial"/>
          <w:sz w:val="20"/>
        </w:rPr>
      </w:pPr>
      <w:r w:rsidRPr="001E4A6A">
        <w:rPr>
          <w:rFonts w:ascii="Arial" w:eastAsia="Arial" w:hAnsi="Arial" w:cs="Arial"/>
          <w:sz w:val="20"/>
        </w:rPr>
        <w:t xml:space="preserve">El espacio público comprende, entre otros, los siguientes aspectos: </w:t>
      </w:r>
    </w:p>
    <w:p w14:paraId="39990215" w14:textId="77777777" w:rsidR="001E4A6A" w:rsidRPr="001E4A6A" w:rsidRDefault="001E4A6A" w:rsidP="001E4A6A">
      <w:pPr>
        <w:spacing w:after="0" w:line="240" w:lineRule="auto"/>
        <w:ind w:left="708"/>
        <w:jc w:val="both"/>
        <w:rPr>
          <w:rFonts w:ascii="Arial" w:eastAsia="Arial" w:hAnsi="Arial" w:cs="Arial"/>
          <w:sz w:val="20"/>
        </w:rPr>
      </w:pPr>
    </w:p>
    <w:p w14:paraId="3DF1AC95" w14:textId="77777777" w:rsidR="001E4A6A" w:rsidRPr="001E4A6A" w:rsidRDefault="001E4A6A" w:rsidP="001E4A6A">
      <w:pPr>
        <w:spacing w:after="0" w:line="240" w:lineRule="auto"/>
        <w:ind w:left="708"/>
        <w:jc w:val="both"/>
        <w:rPr>
          <w:rFonts w:ascii="Arial" w:eastAsia="Arial" w:hAnsi="Arial" w:cs="Arial"/>
          <w:sz w:val="20"/>
        </w:rPr>
      </w:pPr>
      <w:r w:rsidRPr="001E4A6A">
        <w:rPr>
          <w:rFonts w:ascii="Arial" w:eastAsia="Arial" w:hAnsi="Arial" w:cs="Arial"/>
          <w:sz w:val="20"/>
        </w:rPr>
        <w:t xml:space="preserve">a. Los bienes de uso público, es decir aquellos inmuebles de dominio público cuyo uso pertenece a todos los habitantes del territorio nacional, destinados al uso o disfrute colectivo; </w:t>
      </w:r>
    </w:p>
    <w:p w14:paraId="7B769882" w14:textId="77777777" w:rsidR="001E4A6A" w:rsidRPr="001E4A6A" w:rsidRDefault="001E4A6A" w:rsidP="001E4A6A">
      <w:pPr>
        <w:spacing w:after="0" w:line="240" w:lineRule="auto"/>
        <w:ind w:left="708"/>
        <w:jc w:val="both"/>
        <w:rPr>
          <w:rFonts w:ascii="Arial" w:eastAsia="Arial" w:hAnsi="Arial" w:cs="Arial"/>
          <w:sz w:val="20"/>
        </w:rPr>
      </w:pPr>
    </w:p>
    <w:p w14:paraId="0FC59EE7" w14:textId="77777777" w:rsidR="001E4A6A" w:rsidRPr="001E4A6A" w:rsidRDefault="001E4A6A" w:rsidP="001E4A6A">
      <w:pPr>
        <w:spacing w:after="0" w:line="240" w:lineRule="auto"/>
        <w:ind w:left="708"/>
        <w:jc w:val="both"/>
        <w:rPr>
          <w:rFonts w:ascii="Arial" w:eastAsia="Arial" w:hAnsi="Arial" w:cs="Arial"/>
          <w:sz w:val="20"/>
        </w:rPr>
      </w:pPr>
      <w:r w:rsidRPr="001E4A6A">
        <w:rPr>
          <w:rFonts w:ascii="Arial" w:eastAsia="Arial" w:hAnsi="Arial" w:cs="Arial"/>
          <w:sz w:val="20"/>
        </w:rPr>
        <w:t xml:space="preserve">b. Los elementos arquitectónicos, espaciales y naturales de los inmuebles de propiedad privada que por su naturaleza, uso o afectación satisfacen necesidades de uso público; </w:t>
      </w:r>
    </w:p>
    <w:p w14:paraId="2B6DB825" w14:textId="77777777" w:rsidR="001E4A6A" w:rsidRPr="001E4A6A" w:rsidRDefault="001E4A6A" w:rsidP="001E4A6A">
      <w:pPr>
        <w:spacing w:after="0" w:line="240" w:lineRule="auto"/>
        <w:ind w:left="708"/>
        <w:jc w:val="both"/>
        <w:rPr>
          <w:rFonts w:ascii="Arial" w:eastAsia="Arial" w:hAnsi="Arial" w:cs="Arial"/>
          <w:sz w:val="20"/>
        </w:rPr>
      </w:pPr>
    </w:p>
    <w:p w14:paraId="2B3E2E12" w14:textId="77777777" w:rsidR="001E4A6A" w:rsidRPr="001E4A6A" w:rsidRDefault="001E4A6A" w:rsidP="001E4A6A">
      <w:pPr>
        <w:spacing w:after="0" w:line="240" w:lineRule="auto"/>
        <w:ind w:left="708"/>
        <w:jc w:val="both"/>
        <w:rPr>
          <w:rFonts w:ascii="Arial" w:eastAsia="Arial" w:hAnsi="Arial" w:cs="Arial"/>
          <w:sz w:val="20"/>
        </w:rPr>
      </w:pPr>
      <w:r w:rsidRPr="001E4A6A">
        <w:rPr>
          <w:rFonts w:ascii="Arial" w:eastAsia="Arial" w:hAnsi="Arial" w:cs="Arial"/>
          <w:sz w:val="20"/>
        </w:rPr>
        <w:t>c. Las áreas requeridas para la conformación del sistema de espacio público en los términos establecidos en el Decreto 1504 de 1998 compilado en el Decreto 1077 de 2015.</w:t>
      </w:r>
    </w:p>
    <w:p w14:paraId="0B7A3F16"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6BD2DA9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Estructura:</w:t>
      </w:r>
      <w:r w:rsidRPr="001E4A6A">
        <w:rPr>
          <w:rFonts w:ascii="Arial" w:eastAsia="Arial" w:hAnsi="Arial" w:cs="Arial"/>
          <w:sz w:val="20"/>
        </w:rPr>
        <w:t xml:space="preserve"> Ensamblaje de elementos diseñados para soportar las cargas gravitacionales y resistir las fuerzas horizontales. Las estructuras pueden ser catalogadas como estructuras de edificaciones o estructuras diferentes a las de las edificaciones.</w:t>
      </w:r>
    </w:p>
    <w:p w14:paraId="131914D9" w14:textId="77777777" w:rsidR="001E4A6A" w:rsidRPr="001E4A6A" w:rsidRDefault="001E4A6A" w:rsidP="001E4A6A">
      <w:pPr>
        <w:spacing w:after="0" w:line="240" w:lineRule="auto"/>
        <w:jc w:val="both"/>
        <w:rPr>
          <w:rFonts w:ascii="Arial" w:eastAsia="Arial" w:hAnsi="Arial" w:cs="Arial"/>
          <w:sz w:val="20"/>
        </w:rPr>
      </w:pPr>
    </w:p>
    <w:p w14:paraId="444186A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Grupo de ocupación de lugares de reunión:</w:t>
      </w:r>
      <w:r w:rsidRPr="001E4A6A">
        <w:rPr>
          <w:rFonts w:ascii="Arial" w:eastAsia="Arial" w:hAnsi="Arial" w:cs="Arial"/>
          <w:sz w:val="20"/>
        </w:rPr>
        <w:t xml:space="preserve"> 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 </w:t>
      </w:r>
    </w:p>
    <w:p w14:paraId="20D76287" w14:textId="77777777" w:rsidR="001E4A6A" w:rsidRPr="001E4A6A" w:rsidRDefault="001E4A6A" w:rsidP="001E4A6A">
      <w:pPr>
        <w:spacing w:after="0" w:line="240" w:lineRule="auto"/>
        <w:ind w:left="709"/>
        <w:contextualSpacing/>
        <w:jc w:val="both"/>
        <w:rPr>
          <w:rFonts w:ascii="Arial" w:eastAsia="Arial" w:hAnsi="Arial" w:cs="Arial"/>
          <w:sz w:val="20"/>
        </w:rPr>
      </w:pPr>
    </w:p>
    <w:p w14:paraId="01EB8ED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Grupo de ocupación de lugares de reunión culturales:</w:t>
      </w:r>
      <w:r w:rsidRPr="001E4A6A">
        <w:rPr>
          <w:rFonts w:ascii="Arial" w:eastAsia="Arial" w:hAnsi="Arial" w:cs="Arial"/>
          <w:sz w:val="20"/>
        </w:rPr>
        <w:t xml:space="preserve"> 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p>
    <w:p w14:paraId="44D29D20" w14:textId="77777777" w:rsidR="001E4A6A" w:rsidRPr="001E4A6A" w:rsidRDefault="001E4A6A" w:rsidP="00807517">
      <w:pPr>
        <w:spacing w:after="0" w:line="240" w:lineRule="auto"/>
        <w:ind w:left="709"/>
        <w:contextualSpacing/>
        <w:jc w:val="both"/>
        <w:rPr>
          <w:rFonts w:eastAsia="Arial" w:cs="Arial"/>
        </w:rPr>
      </w:pPr>
    </w:p>
    <w:p w14:paraId="5EE2AD1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Grupo de ocupación de lugares de reunión deportivos:</w:t>
      </w:r>
      <w:r w:rsidRPr="001E4A6A">
        <w:rPr>
          <w:rFonts w:ascii="Arial" w:eastAsia="Arial" w:hAnsi="Arial" w:cs="Arial"/>
          <w:sz w:val="20"/>
        </w:rPr>
        <w:t xml:space="preserve"> 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coliseos, pistas, polígonos, otros similares. </w:t>
      </w:r>
    </w:p>
    <w:p w14:paraId="3918363C" w14:textId="77777777" w:rsidR="001E4A6A" w:rsidRPr="001E4A6A" w:rsidRDefault="001E4A6A" w:rsidP="001E4A6A">
      <w:pPr>
        <w:spacing w:after="0" w:line="240" w:lineRule="auto"/>
        <w:ind w:left="709"/>
        <w:contextualSpacing/>
        <w:jc w:val="both"/>
        <w:rPr>
          <w:rFonts w:ascii="Arial" w:eastAsia="Arial" w:hAnsi="Arial" w:cs="Arial"/>
          <w:sz w:val="20"/>
        </w:rPr>
      </w:pPr>
    </w:p>
    <w:p w14:paraId="70E56992"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Grupo de ocupación de lugares de reunión sociales y recreativos:</w:t>
      </w:r>
      <w:r w:rsidRPr="001E4A6A">
        <w:rPr>
          <w:rFonts w:ascii="Arial" w:eastAsia="Arial" w:hAnsi="Arial" w:cs="Arial"/>
          <w:sz w:val="20"/>
        </w:rPr>
        <w:t xml:space="preserve"> 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Entre los cuales se encuentran, salas de lectura, galerías de arte, museos, parques, coliseos, polideportivos, otros similares.</w:t>
      </w:r>
    </w:p>
    <w:p w14:paraId="2C0FF4B6"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7B2BA88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Índice de Construcción: </w:t>
      </w:r>
      <w:r w:rsidRPr="001E4A6A">
        <w:rPr>
          <w:rFonts w:ascii="Arial" w:eastAsia="Arial" w:hAnsi="Arial" w:cs="Arial"/>
          <w:sz w:val="20"/>
        </w:rPr>
        <w:t xml:space="preserve">Relación entre el área total construida y el área del lote. </w:t>
      </w:r>
    </w:p>
    <w:p w14:paraId="54ED4F02"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2EFCE54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Índice de Ocupación: </w:t>
      </w:r>
      <w:r w:rsidRPr="001E4A6A">
        <w:rPr>
          <w:rFonts w:ascii="Arial" w:eastAsia="Arial" w:hAnsi="Arial" w:cs="Arial"/>
          <w:sz w:val="20"/>
        </w:rPr>
        <w:t xml:space="preserve">Relación entre el área construida en el primer piso y el área total del lote. </w:t>
      </w:r>
    </w:p>
    <w:p w14:paraId="36F3CD2C"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765604F3" w14:textId="422F560A" w:rsidR="00751321" w:rsidRDefault="001E4A6A" w:rsidP="00751321">
      <w:pPr>
        <w:numPr>
          <w:ilvl w:val="1"/>
          <w:numId w:val="1"/>
        </w:numPr>
        <w:spacing w:after="0" w:line="240" w:lineRule="auto"/>
        <w:ind w:left="709" w:hanging="709"/>
        <w:contextualSpacing/>
        <w:jc w:val="both"/>
        <w:rPr>
          <w:rFonts w:ascii="Arial" w:eastAsia="Arial" w:hAnsi="Arial" w:cs="Arial"/>
          <w:b/>
          <w:bCs/>
          <w:sz w:val="20"/>
        </w:rPr>
      </w:pPr>
      <w:r w:rsidRPr="00807517">
        <w:rPr>
          <w:rFonts w:ascii="Arial" w:eastAsia="Arial" w:hAnsi="Arial" w:cs="Arial"/>
          <w:b/>
          <w:bCs/>
          <w:sz w:val="20"/>
        </w:rPr>
        <w:lastRenderedPageBreak/>
        <w:t>Infraestructura Cultural:</w:t>
      </w:r>
      <w:r w:rsidRPr="00807517">
        <w:rPr>
          <w:rFonts w:ascii="Arial" w:eastAsia="Arial" w:hAnsi="Arial" w:cs="Arial"/>
          <w:sz w:val="20"/>
        </w:rPr>
        <w:t xml:space="preserve"> Todos aquellos espacios físicos donde tienen lugar las diversas prácticas y manifestaciones artísticas y culturales de las comunidades, como casas de cultura, salas de música, escuelas de música, escuelas de baile, salones de baile, bibliotecas, teatros, auditorios, centros de convenci</w:t>
      </w:r>
      <w:r w:rsidR="00C67D95">
        <w:rPr>
          <w:rFonts w:ascii="Arial" w:eastAsia="Arial" w:hAnsi="Arial" w:cs="Arial"/>
          <w:sz w:val="20"/>
        </w:rPr>
        <w:t>o</w:t>
      </w:r>
      <w:r w:rsidRPr="00807517">
        <w:rPr>
          <w:rFonts w:ascii="Arial" w:eastAsia="Arial" w:hAnsi="Arial" w:cs="Arial"/>
          <w:sz w:val="20"/>
        </w:rPr>
        <w:t>n</w:t>
      </w:r>
      <w:r w:rsidR="00C67D95">
        <w:rPr>
          <w:rFonts w:ascii="Arial" w:eastAsia="Arial" w:hAnsi="Arial" w:cs="Arial"/>
          <w:sz w:val="20"/>
        </w:rPr>
        <w:t>es</w:t>
      </w:r>
      <w:r w:rsidRPr="00807517">
        <w:rPr>
          <w:rFonts w:ascii="Arial" w:eastAsia="Arial" w:hAnsi="Arial" w:cs="Arial"/>
          <w:sz w:val="20"/>
        </w:rPr>
        <w:t xml:space="preserve">, escuelas de artes y oficios, talleres de artes y oficios, museos, fonotecas, fototecas, salas de conciertos, archivos, plazas de conciertos, conchas acústicas, coliseos de uso múltiple, aulas múltiples, malocas, centros ceremoniales, </w:t>
      </w:r>
      <w:r w:rsidR="004C563A">
        <w:rPr>
          <w:rFonts w:ascii="Arial" w:eastAsia="Arial" w:hAnsi="Arial" w:cs="Arial"/>
          <w:sz w:val="20"/>
        </w:rPr>
        <w:t xml:space="preserve">cinematecas, </w:t>
      </w:r>
      <w:r w:rsidR="0003406F">
        <w:rPr>
          <w:rFonts w:ascii="Arial" w:eastAsia="Arial" w:hAnsi="Arial" w:cs="Arial"/>
          <w:sz w:val="20"/>
        </w:rPr>
        <w:t xml:space="preserve">catedrales, teatros, centros culturales, escuelas de formación artística, </w:t>
      </w:r>
      <w:r w:rsidR="005D0639">
        <w:rPr>
          <w:rFonts w:ascii="Arial" w:eastAsia="Arial" w:hAnsi="Arial" w:cs="Arial"/>
          <w:sz w:val="20"/>
        </w:rPr>
        <w:t xml:space="preserve">maloca, </w:t>
      </w:r>
      <w:r w:rsidRPr="00807517">
        <w:rPr>
          <w:rFonts w:ascii="Arial" w:eastAsia="Arial" w:hAnsi="Arial" w:cs="Arial"/>
          <w:sz w:val="20"/>
        </w:rPr>
        <w:t>etc</w:t>
      </w:r>
      <w:r w:rsidR="005D0639">
        <w:rPr>
          <w:rFonts w:ascii="Arial" w:eastAsia="Arial" w:hAnsi="Arial" w:cs="Arial"/>
          <w:sz w:val="20"/>
        </w:rPr>
        <w:t>.</w:t>
      </w:r>
      <w:r w:rsidRPr="00807517">
        <w:rPr>
          <w:rFonts w:ascii="Arial" w:eastAsia="Arial" w:hAnsi="Arial" w:cs="Arial"/>
          <w:sz w:val="14"/>
          <w:szCs w:val="16"/>
        </w:rPr>
        <w:footnoteReference w:id="4"/>
      </w:r>
      <w:r w:rsidRPr="00807517">
        <w:rPr>
          <w:rFonts w:ascii="Arial" w:eastAsia="Arial" w:hAnsi="Arial" w:cs="Arial"/>
          <w:sz w:val="20"/>
        </w:rPr>
        <w:t>.</w:t>
      </w:r>
    </w:p>
    <w:p w14:paraId="590365B9" w14:textId="77777777" w:rsidR="00751321" w:rsidRDefault="00751321" w:rsidP="00751321">
      <w:pPr>
        <w:pStyle w:val="Prrafodelista"/>
        <w:spacing w:after="0"/>
        <w:rPr>
          <w:rFonts w:ascii="Arial" w:eastAsia="Arial" w:hAnsi="Arial" w:cs="Arial"/>
          <w:b/>
          <w:bCs/>
          <w:sz w:val="20"/>
        </w:rPr>
      </w:pPr>
    </w:p>
    <w:p w14:paraId="6C1AA310" w14:textId="77777777" w:rsidR="001E4A6A" w:rsidRPr="001E4A6A" w:rsidRDefault="001E4A6A" w:rsidP="00751321">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MS PGothic" w:hAnsi="Arial" w:cs="Arial"/>
          <w:b/>
          <w:bCs/>
          <w:color w:val="000000"/>
          <w:sz w:val="20"/>
          <w:szCs w:val="20"/>
        </w:rPr>
        <w:t>Instalación Deportiva:</w:t>
      </w:r>
      <w:r w:rsidRPr="001E4A6A">
        <w:rPr>
          <w:rFonts w:ascii="Arial" w:eastAsia="MS PGothic" w:hAnsi="Arial" w:cs="Arial"/>
          <w:color w:val="000000"/>
          <w:sz w:val="20"/>
          <w:szCs w:val="20"/>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54EE82A4" w14:textId="77777777" w:rsidR="001E4A6A" w:rsidRPr="001E4A6A" w:rsidRDefault="001E4A6A" w:rsidP="001E4A6A">
      <w:pPr>
        <w:spacing w:after="0" w:line="240" w:lineRule="auto"/>
        <w:ind w:left="720"/>
        <w:contextualSpacing/>
        <w:jc w:val="both"/>
        <w:rPr>
          <w:rFonts w:ascii="Arial" w:eastAsia="MS PGothic" w:hAnsi="Arial" w:cs="Arial"/>
          <w:b/>
          <w:bCs/>
          <w:color w:val="000000"/>
          <w:sz w:val="20"/>
          <w:szCs w:val="20"/>
        </w:rPr>
      </w:pPr>
    </w:p>
    <w:p w14:paraId="5D16A1B9" w14:textId="77777777" w:rsidR="001E4A6A" w:rsidRPr="001E4A6A" w:rsidRDefault="001E4A6A" w:rsidP="001E4A6A">
      <w:pPr>
        <w:numPr>
          <w:ilvl w:val="1"/>
          <w:numId w:val="1"/>
        </w:numPr>
        <w:spacing w:after="0" w:line="240" w:lineRule="auto"/>
        <w:ind w:left="709" w:hanging="709"/>
        <w:contextualSpacing/>
        <w:jc w:val="both"/>
        <w:rPr>
          <w:rFonts w:ascii="Arial" w:eastAsia="MS PGothic" w:hAnsi="Arial" w:cs="Arial"/>
          <w:color w:val="000000"/>
          <w:sz w:val="20"/>
          <w:szCs w:val="20"/>
        </w:rPr>
      </w:pPr>
      <w:r w:rsidRPr="001E4A6A">
        <w:rPr>
          <w:rFonts w:ascii="Arial" w:eastAsia="MS PGothic" w:hAnsi="Arial" w:cs="Arial"/>
          <w:b/>
          <w:bCs/>
          <w:color w:val="000000"/>
          <w:sz w:val="20"/>
          <w:szCs w:val="20"/>
        </w:rPr>
        <w:t>Intervención de bienes de interés cultural.</w:t>
      </w:r>
      <w:r w:rsidRPr="001E4A6A">
        <w:rPr>
          <w:rFonts w:ascii="Arial" w:eastAsia="MS PGothic" w:hAnsi="Arial" w:cs="Arial"/>
          <w:color w:val="000000"/>
          <w:sz w:val="20"/>
          <w:szCs w:val="20"/>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48470F5F" w14:textId="77777777" w:rsidR="001E4A6A" w:rsidRPr="001E4A6A" w:rsidRDefault="001E4A6A" w:rsidP="001E4A6A">
      <w:pPr>
        <w:spacing w:after="0" w:line="240" w:lineRule="auto"/>
        <w:ind w:left="720"/>
        <w:contextualSpacing/>
        <w:jc w:val="both"/>
        <w:rPr>
          <w:rFonts w:ascii="Arial" w:eastAsia="Arial" w:hAnsi="Arial" w:cs="Arial"/>
          <w:b/>
          <w:bCs/>
          <w:color w:val="000000"/>
          <w:sz w:val="20"/>
          <w:szCs w:val="20"/>
        </w:rPr>
      </w:pPr>
    </w:p>
    <w:p w14:paraId="69258F31" w14:textId="77777777" w:rsidR="001E4A6A" w:rsidRPr="001E4A6A" w:rsidRDefault="001E4A6A" w:rsidP="001E4A6A">
      <w:pPr>
        <w:numPr>
          <w:ilvl w:val="1"/>
          <w:numId w:val="1"/>
        </w:numPr>
        <w:spacing w:after="0" w:line="240" w:lineRule="auto"/>
        <w:ind w:left="709" w:hanging="709"/>
        <w:contextualSpacing/>
        <w:jc w:val="both"/>
        <w:rPr>
          <w:rFonts w:ascii="Arial" w:eastAsia="MS PGothic" w:hAnsi="Arial" w:cs="Arial"/>
          <w:color w:val="000000"/>
          <w:sz w:val="20"/>
          <w:szCs w:val="20"/>
        </w:rPr>
      </w:pPr>
      <w:r w:rsidRPr="001E4A6A">
        <w:rPr>
          <w:rFonts w:ascii="Arial" w:eastAsia="Arial" w:hAnsi="Arial" w:cs="Arial"/>
          <w:b/>
          <w:bCs/>
          <w:color w:val="000000"/>
          <w:sz w:val="20"/>
          <w:szCs w:val="20"/>
        </w:rPr>
        <w:t>Ítems no Previstos:</w:t>
      </w:r>
      <w:r w:rsidRPr="001E4A6A">
        <w:rPr>
          <w:rFonts w:ascii="Arial" w:eastAsia="Arial" w:hAnsi="Arial" w:cs="Arial"/>
          <w:sz w:val="20"/>
          <w:szCs w:val="20"/>
        </w:rPr>
        <w:t xml:space="preserve"> </w:t>
      </w:r>
      <w:r w:rsidRPr="001E4A6A">
        <w:rPr>
          <w:rFonts w:ascii="Arial" w:eastAsia="Arial" w:hAnsi="Arial" w:cs="Arial"/>
          <w:color w:val="000000"/>
          <w:sz w:val="20"/>
          <w:szCs w:val="20"/>
        </w:rPr>
        <w:t>Son aquellos que nunca fueron estimados por la Entidad Estatal desde la etapa de planeación del contrato o que a pesar de haber sido previstos no fueron presupuestados, es decir, que no se cuenta con las partidas presupuestales para su ejecución, al no haberse discriminado monto o cantidad del ítem.</w:t>
      </w:r>
    </w:p>
    <w:p w14:paraId="60F34947" w14:textId="77777777" w:rsidR="001E4A6A" w:rsidRPr="001E4A6A" w:rsidRDefault="001E4A6A" w:rsidP="001E4A6A">
      <w:pPr>
        <w:spacing w:after="0" w:line="240" w:lineRule="auto"/>
        <w:jc w:val="both"/>
        <w:rPr>
          <w:rFonts w:ascii="Arial" w:eastAsia="Arial" w:hAnsi="Arial" w:cs="Arial"/>
          <w:color w:val="000000"/>
          <w:sz w:val="20"/>
          <w:szCs w:val="20"/>
        </w:rPr>
      </w:pPr>
    </w:p>
    <w:p w14:paraId="704F1A02"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Licencia de Construcción y sus modalidades: </w:t>
      </w:r>
      <w:r w:rsidRPr="001E4A6A">
        <w:rPr>
          <w:rFonts w:ascii="Arial" w:eastAsia="Arial" w:hAnsi="Arial" w:cs="Arial"/>
          <w:sz w:val="20"/>
        </w:rPr>
        <w:t>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1E4A6A">
        <w:rPr>
          <w:rFonts w:ascii="Arial" w:eastAsia="Arial" w:hAnsi="Arial" w:cs="Arial"/>
          <w:sz w:val="20"/>
          <w:vertAlign w:val="superscript"/>
        </w:rPr>
        <w:footnoteReference w:id="5"/>
      </w:r>
      <w:r w:rsidRPr="001E4A6A">
        <w:rPr>
          <w:rFonts w:ascii="Arial" w:eastAsia="Arial" w:hAnsi="Arial" w:cs="Arial"/>
          <w:sz w:val="20"/>
        </w:rPr>
        <w:t>:</w:t>
      </w:r>
      <w:r w:rsidRPr="001E4A6A">
        <w:rPr>
          <w:rFonts w:ascii="Arial" w:eastAsia="Arial" w:hAnsi="Arial" w:cs="Arial"/>
          <w:b/>
          <w:bCs/>
          <w:sz w:val="20"/>
        </w:rPr>
        <w:t xml:space="preserve">  </w:t>
      </w:r>
    </w:p>
    <w:p w14:paraId="25A5AA2D"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5F7E461B"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001E4A6A">
        <w:rPr>
          <w:rFonts w:ascii="Arial" w:eastAsia="Arial" w:hAnsi="Arial" w:cs="Arial"/>
          <w:b/>
          <w:bCs/>
          <w:sz w:val="20"/>
          <w:szCs w:val="20"/>
        </w:rPr>
        <w:t xml:space="preserve">Adecuación: </w:t>
      </w:r>
      <w:r w:rsidRPr="001E4A6A">
        <w:rPr>
          <w:rFonts w:ascii="Arial" w:eastAsia="Arial" w:hAnsi="Arial" w:cs="Arial"/>
          <w:sz w:val="20"/>
          <w:szCs w:val="20"/>
        </w:rPr>
        <w:t>Autorización para cambiar el uso de una edificación o parte de ella, garantizando la permanencia total o parcial del inmueble original.  </w:t>
      </w:r>
    </w:p>
    <w:p w14:paraId="0A5457C6" w14:textId="77777777" w:rsidR="001E4A6A" w:rsidRPr="001E4A6A" w:rsidRDefault="001E4A6A" w:rsidP="001E4A6A">
      <w:pPr>
        <w:spacing w:after="0" w:line="240" w:lineRule="auto"/>
        <w:ind w:left="1276"/>
        <w:contextualSpacing/>
        <w:jc w:val="both"/>
        <w:rPr>
          <w:rFonts w:ascii="Arial" w:eastAsia="Arial" w:hAnsi="Arial" w:cs="Arial"/>
          <w:sz w:val="20"/>
          <w:szCs w:val="20"/>
        </w:rPr>
      </w:pPr>
    </w:p>
    <w:p w14:paraId="60B7F1DD"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001E4A6A">
        <w:rPr>
          <w:rFonts w:ascii="Arial" w:eastAsia="Arial" w:hAnsi="Arial" w:cs="Arial"/>
          <w:b/>
          <w:bCs/>
          <w:sz w:val="20"/>
          <w:szCs w:val="20"/>
        </w:rPr>
        <w:t xml:space="preserve">Ampliación: </w:t>
      </w:r>
      <w:r w:rsidRPr="001E4A6A">
        <w:rPr>
          <w:rFonts w:ascii="Arial" w:eastAsia="Arial" w:hAnsi="Arial" w:cs="Arial"/>
          <w:sz w:val="20"/>
          <w:szCs w:val="20"/>
        </w:rPr>
        <w:t>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0BC68833" w14:textId="77777777" w:rsidR="001E4A6A" w:rsidRPr="001E4A6A" w:rsidRDefault="001E4A6A" w:rsidP="001E4A6A">
      <w:pPr>
        <w:spacing w:after="0" w:line="240" w:lineRule="auto"/>
        <w:ind w:left="1418"/>
        <w:contextualSpacing/>
        <w:jc w:val="both"/>
        <w:rPr>
          <w:rFonts w:ascii="Arial" w:eastAsia="Arial" w:hAnsi="Arial" w:cs="Arial"/>
          <w:sz w:val="20"/>
          <w:szCs w:val="20"/>
        </w:rPr>
      </w:pPr>
    </w:p>
    <w:p w14:paraId="5A63C8FE"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001E4A6A">
        <w:rPr>
          <w:rFonts w:ascii="Arial" w:eastAsia="Arial" w:hAnsi="Arial" w:cs="Arial"/>
          <w:b/>
          <w:bCs/>
          <w:sz w:val="20"/>
          <w:szCs w:val="20"/>
        </w:rPr>
        <w:t xml:space="preserve">Cerramiento: </w:t>
      </w:r>
      <w:r w:rsidRPr="001E4A6A">
        <w:rPr>
          <w:rFonts w:ascii="Arial" w:eastAsia="Arial" w:hAnsi="Arial" w:cs="Arial"/>
          <w:sz w:val="20"/>
          <w:szCs w:val="20"/>
        </w:rPr>
        <w:t>Autorización para encerrar de manera permanente un predio de propiedad privada.</w:t>
      </w:r>
    </w:p>
    <w:p w14:paraId="4122A884" w14:textId="77777777" w:rsidR="001E4A6A" w:rsidRPr="001E4A6A" w:rsidRDefault="001E4A6A" w:rsidP="001E4A6A">
      <w:pPr>
        <w:spacing w:after="0" w:line="240" w:lineRule="auto"/>
        <w:ind w:left="1418"/>
        <w:contextualSpacing/>
        <w:jc w:val="both"/>
        <w:rPr>
          <w:rFonts w:ascii="Arial" w:eastAsia="Arial" w:hAnsi="Arial" w:cs="Arial"/>
          <w:sz w:val="20"/>
          <w:szCs w:val="20"/>
        </w:rPr>
      </w:pPr>
    </w:p>
    <w:p w14:paraId="69A7AD89"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001E4A6A">
        <w:rPr>
          <w:rFonts w:ascii="Arial" w:eastAsia="Arial" w:hAnsi="Arial" w:cs="Arial"/>
          <w:b/>
          <w:bCs/>
          <w:sz w:val="20"/>
          <w:szCs w:val="20"/>
        </w:rPr>
        <w:lastRenderedPageBreak/>
        <w:t xml:space="preserve">Demolición: </w:t>
      </w:r>
      <w:r w:rsidRPr="001E4A6A">
        <w:rPr>
          <w:rFonts w:ascii="Arial" w:eastAsia="Arial" w:hAnsi="Arial" w:cs="Arial"/>
          <w:sz w:val="20"/>
          <w:szCs w:val="20"/>
        </w:rPr>
        <w:t>Autorización para derribar total o parcialmente una o varias edificaciones existentes en uno o varios predios y deberá concederse de manera simultánea con cualquiera otra modalidad de licencia de construcción.  </w:t>
      </w:r>
    </w:p>
    <w:p w14:paraId="60B95BF3" w14:textId="77777777" w:rsidR="001E4A6A" w:rsidRPr="001E4A6A" w:rsidRDefault="001E4A6A" w:rsidP="001E4A6A">
      <w:pPr>
        <w:spacing w:after="0" w:line="240" w:lineRule="auto"/>
        <w:ind w:left="1418"/>
        <w:contextualSpacing/>
        <w:jc w:val="both"/>
        <w:rPr>
          <w:rFonts w:ascii="Arial" w:eastAsia="Arial" w:hAnsi="Arial" w:cs="Arial"/>
          <w:b/>
          <w:bCs/>
          <w:sz w:val="20"/>
          <w:szCs w:val="20"/>
        </w:rPr>
      </w:pPr>
    </w:p>
    <w:p w14:paraId="42096ACB" w14:textId="77777777" w:rsidR="001E4A6A" w:rsidRPr="001E4A6A" w:rsidRDefault="001E4A6A" w:rsidP="001E4A6A">
      <w:pPr>
        <w:spacing w:after="0" w:line="240" w:lineRule="auto"/>
        <w:ind w:left="1418"/>
        <w:contextualSpacing/>
        <w:jc w:val="both"/>
        <w:rPr>
          <w:rFonts w:ascii="Arial" w:eastAsia="Arial" w:hAnsi="Arial" w:cs="Arial"/>
          <w:sz w:val="20"/>
          <w:szCs w:val="20"/>
        </w:rPr>
      </w:pPr>
      <w:r w:rsidRPr="001E4A6A">
        <w:rPr>
          <w:rFonts w:ascii="Arial" w:eastAsia="Arial" w:hAnsi="Arial" w:cs="Arial"/>
          <w:sz w:val="20"/>
          <w:szCs w:val="20"/>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7E52CEB3" w14:textId="77777777" w:rsidR="001E4A6A" w:rsidRPr="001E4A6A" w:rsidRDefault="001E4A6A" w:rsidP="001E4A6A">
      <w:pPr>
        <w:spacing w:after="0" w:line="240" w:lineRule="auto"/>
        <w:ind w:left="1418"/>
        <w:contextualSpacing/>
        <w:jc w:val="both"/>
        <w:rPr>
          <w:rFonts w:ascii="Arial" w:eastAsia="Arial" w:hAnsi="Arial" w:cs="Arial"/>
          <w:b/>
          <w:bCs/>
          <w:sz w:val="20"/>
          <w:szCs w:val="20"/>
        </w:rPr>
      </w:pPr>
    </w:p>
    <w:p w14:paraId="49D0AAE1" w14:textId="77777777" w:rsidR="001E4A6A" w:rsidRPr="001E4A6A" w:rsidRDefault="001E4A6A" w:rsidP="001E4A6A">
      <w:pPr>
        <w:spacing w:after="0" w:line="240" w:lineRule="auto"/>
        <w:ind w:left="1418"/>
        <w:contextualSpacing/>
        <w:jc w:val="both"/>
        <w:rPr>
          <w:rFonts w:ascii="Arial" w:eastAsia="Arial" w:hAnsi="Arial" w:cs="Arial"/>
          <w:sz w:val="20"/>
          <w:szCs w:val="20"/>
        </w:rPr>
      </w:pPr>
      <w:r w:rsidRPr="001E4A6A">
        <w:rPr>
          <w:rFonts w:ascii="Arial" w:eastAsia="Arial" w:hAnsi="Arial" w:cs="Arial"/>
          <w:sz w:val="20"/>
          <w:szCs w:val="20"/>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65384B55" w14:textId="77777777" w:rsidR="001E4A6A" w:rsidRPr="001E4A6A" w:rsidRDefault="001E4A6A" w:rsidP="001E4A6A">
      <w:pPr>
        <w:spacing w:after="0" w:line="240" w:lineRule="auto"/>
        <w:ind w:left="1418"/>
        <w:contextualSpacing/>
        <w:jc w:val="both"/>
        <w:rPr>
          <w:rFonts w:ascii="Arial" w:eastAsia="Arial" w:hAnsi="Arial" w:cs="Arial"/>
          <w:sz w:val="20"/>
          <w:szCs w:val="20"/>
        </w:rPr>
      </w:pPr>
    </w:p>
    <w:p w14:paraId="3BAEF4AA"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b/>
          <w:bCs/>
          <w:sz w:val="20"/>
          <w:szCs w:val="20"/>
        </w:rPr>
      </w:pPr>
      <w:r w:rsidRPr="001E4A6A">
        <w:rPr>
          <w:rFonts w:ascii="Arial" w:eastAsia="Arial" w:hAnsi="Arial" w:cs="Arial"/>
          <w:b/>
          <w:bCs/>
          <w:sz w:val="20"/>
          <w:szCs w:val="20"/>
        </w:rPr>
        <w:t xml:space="preserve">Modificación: </w:t>
      </w:r>
      <w:r w:rsidRPr="001E4A6A">
        <w:rPr>
          <w:rFonts w:ascii="Arial" w:eastAsia="Arial" w:hAnsi="Arial" w:cs="Arial"/>
          <w:sz w:val="20"/>
          <w:szCs w:val="20"/>
        </w:rPr>
        <w:t>Autorización para variar el diseño arquitectónico o estructural de una edificación existente, sin incrementar su área construida.</w:t>
      </w:r>
      <w:r w:rsidRPr="001E4A6A">
        <w:rPr>
          <w:rFonts w:ascii="Arial" w:eastAsia="Arial" w:hAnsi="Arial" w:cs="Arial"/>
          <w:b/>
          <w:bCs/>
          <w:sz w:val="20"/>
          <w:szCs w:val="20"/>
        </w:rPr>
        <w:t xml:space="preserve">  </w:t>
      </w:r>
    </w:p>
    <w:p w14:paraId="41ECF01B" w14:textId="77777777" w:rsidR="001E4A6A" w:rsidRPr="001E4A6A" w:rsidRDefault="001E4A6A" w:rsidP="001E4A6A">
      <w:pPr>
        <w:spacing w:after="0" w:line="240" w:lineRule="auto"/>
        <w:ind w:left="709"/>
        <w:contextualSpacing/>
        <w:jc w:val="both"/>
        <w:rPr>
          <w:rFonts w:ascii="Arial" w:eastAsia="Arial" w:hAnsi="Arial" w:cs="Arial"/>
          <w:sz w:val="20"/>
        </w:rPr>
      </w:pPr>
    </w:p>
    <w:p w14:paraId="39C40730"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001E4A6A">
        <w:rPr>
          <w:rFonts w:ascii="Arial" w:eastAsia="Arial" w:hAnsi="Arial" w:cs="Arial"/>
          <w:b/>
          <w:bCs/>
          <w:sz w:val="20"/>
          <w:szCs w:val="20"/>
        </w:rPr>
        <w:t>Obra nueva:</w:t>
      </w:r>
      <w:r w:rsidRPr="001E4A6A">
        <w:rPr>
          <w:rFonts w:ascii="Arial" w:eastAsia="Arial" w:hAnsi="Arial" w:cs="Arial"/>
          <w:sz w:val="20"/>
          <w:szCs w:val="20"/>
        </w:rPr>
        <w:t xml:space="preserve"> Autorización para adelantar obras de edificación en terrenos no construidos o cuya área esté libre por autorización de demolición total.</w:t>
      </w:r>
    </w:p>
    <w:p w14:paraId="30548BF0" w14:textId="77777777" w:rsidR="001E4A6A" w:rsidRPr="001E4A6A" w:rsidRDefault="001E4A6A" w:rsidP="00807517">
      <w:pPr>
        <w:spacing w:after="0" w:line="240" w:lineRule="auto"/>
        <w:ind w:left="1418"/>
        <w:contextualSpacing/>
        <w:jc w:val="both"/>
        <w:rPr>
          <w:rFonts w:eastAsia="Arial" w:cs="Arial"/>
          <w:szCs w:val="20"/>
        </w:rPr>
      </w:pPr>
    </w:p>
    <w:p w14:paraId="36894550" w14:textId="15F3099E"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001E4A6A">
        <w:rPr>
          <w:rFonts w:ascii="Arial" w:eastAsia="Arial" w:hAnsi="Arial" w:cs="Arial"/>
          <w:b/>
          <w:bCs/>
          <w:sz w:val="20"/>
          <w:szCs w:val="20"/>
        </w:rPr>
        <w:t xml:space="preserve">Reconstrucción: </w:t>
      </w:r>
      <w:r w:rsidRPr="001E4A6A">
        <w:rPr>
          <w:rFonts w:ascii="Arial" w:eastAsia="Arial" w:hAnsi="Arial" w:cs="Arial"/>
          <w:sz w:val="20"/>
          <w:szCs w:val="20"/>
        </w:rPr>
        <w:t>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4B34E0B5" w14:textId="77777777" w:rsidR="001E4A6A" w:rsidRPr="001E4A6A" w:rsidRDefault="001E4A6A" w:rsidP="001E4A6A">
      <w:pPr>
        <w:spacing w:after="0" w:line="240" w:lineRule="auto"/>
        <w:ind w:left="1418"/>
        <w:contextualSpacing/>
        <w:jc w:val="both"/>
        <w:rPr>
          <w:rFonts w:ascii="Arial" w:eastAsia="Arial" w:hAnsi="Arial" w:cs="Arial"/>
          <w:b/>
          <w:bCs/>
          <w:sz w:val="20"/>
          <w:szCs w:val="20"/>
        </w:rPr>
      </w:pPr>
    </w:p>
    <w:p w14:paraId="469D6701"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001E4A6A">
        <w:rPr>
          <w:rFonts w:ascii="Arial" w:eastAsia="Arial" w:hAnsi="Arial" w:cs="Arial"/>
          <w:b/>
          <w:bCs/>
          <w:sz w:val="20"/>
          <w:szCs w:val="20"/>
        </w:rPr>
        <w:t xml:space="preserve">Reforzamiento Estructural: </w:t>
      </w:r>
      <w:r w:rsidRPr="001E4A6A">
        <w:rPr>
          <w:rFonts w:ascii="Arial" w:eastAsia="Arial" w:hAnsi="Arial" w:cs="Arial"/>
          <w:sz w:val="20"/>
          <w:szCs w:val="20"/>
        </w:rPr>
        <w:t>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1F8576BE" w14:textId="77777777" w:rsidR="001E4A6A" w:rsidRPr="001E4A6A" w:rsidRDefault="001E4A6A" w:rsidP="001E4A6A">
      <w:pPr>
        <w:spacing w:after="0" w:line="240" w:lineRule="auto"/>
        <w:ind w:left="1418"/>
        <w:contextualSpacing/>
        <w:jc w:val="both"/>
        <w:rPr>
          <w:rFonts w:ascii="Arial" w:eastAsia="Arial" w:hAnsi="Arial" w:cs="Arial"/>
          <w:b/>
          <w:bCs/>
          <w:sz w:val="20"/>
          <w:szCs w:val="20"/>
        </w:rPr>
      </w:pPr>
    </w:p>
    <w:p w14:paraId="5E2927A5" w14:textId="77777777" w:rsidR="001E4A6A" w:rsidRPr="001E4A6A" w:rsidRDefault="001E4A6A" w:rsidP="00807517">
      <w:pPr>
        <w:numPr>
          <w:ilvl w:val="2"/>
          <w:numId w:val="1"/>
        </w:numPr>
        <w:spacing w:after="0" w:line="240" w:lineRule="auto"/>
        <w:ind w:left="1417"/>
        <w:contextualSpacing/>
        <w:jc w:val="both"/>
        <w:rPr>
          <w:rFonts w:eastAsia="Arial" w:cs="Arial"/>
          <w:b/>
          <w:szCs w:val="20"/>
        </w:rPr>
      </w:pPr>
      <w:r w:rsidRPr="001E4A6A">
        <w:rPr>
          <w:rFonts w:ascii="Arial" w:eastAsia="Arial" w:hAnsi="Arial" w:cs="Arial"/>
          <w:b/>
          <w:bCs/>
          <w:sz w:val="20"/>
          <w:szCs w:val="20"/>
        </w:rPr>
        <w:t xml:space="preserve">Restauración: </w:t>
      </w:r>
      <w:r w:rsidRPr="001E4A6A">
        <w:rPr>
          <w:rFonts w:ascii="Arial" w:eastAsia="Arial" w:hAnsi="Arial" w:cs="Arial"/>
          <w:sz w:val="20"/>
          <w:szCs w:val="20"/>
        </w:rPr>
        <w:t>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w:t>
      </w:r>
      <w:r w:rsidRPr="001E4A6A">
        <w:rPr>
          <w:rFonts w:ascii="Arial" w:eastAsia="Arial" w:hAnsi="Arial" w:cs="Arial"/>
          <w:b/>
          <w:bCs/>
          <w:sz w:val="20"/>
          <w:szCs w:val="20"/>
        </w:rPr>
        <w:t xml:space="preserve">  </w:t>
      </w:r>
    </w:p>
    <w:p w14:paraId="6BE2CFDD" w14:textId="77777777" w:rsidR="001E4A6A" w:rsidRPr="001E4A6A" w:rsidRDefault="001E4A6A" w:rsidP="001E4A6A">
      <w:pPr>
        <w:spacing w:after="0" w:line="240" w:lineRule="auto"/>
        <w:ind w:left="709"/>
        <w:contextualSpacing/>
        <w:jc w:val="both"/>
        <w:rPr>
          <w:rFonts w:ascii="Arial" w:eastAsia="Arial" w:hAnsi="Arial" w:cs="Arial"/>
          <w:sz w:val="20"/>
        </w:rPr>
      </w:pPr>
    </w:p>
    <w:p w14:paraId="774D32D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Lo Público: </w:t>
      </w:r>
      <w:r w:rsidRPr="001E4A6A">
        <w:rPr>
          <w:rFonts w:ascii="Arial" w:eastAsia="Arial" w:hAnsi="Arial" w:cs="Arial"/>
          <w:sz w:val="20"/>
        </w:rPr>
        <w:t>Entendido como lo que es de todos y para todos, es el conjunto de elementos y acciones de los ciudadanos y de las instituciones mediante las cuales se busca la satisfacción de necesidades, expectativas y proyectos tanto individuales como colectivos.</w:t>
      </w:r>
    </w:p>
    <w:p w14:paraId="67A44F20"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257C638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Modificación: </w:t>
      </w:r>
      <w:r w:rsidRPr="001E4A6A">
        <w:rPr>
          <w:rFonts w:ascii="Arial" w:eastAsia="Arial" w:hAnsi="Arial" w:cs="Arial"/>
          <w:sz w:val="20"/>
        </w:rPr>
        <w:t xml:space="preserve">Actividades constructivas para variar el diseño arquitectónico o estructural de una edificación existente, sin incrementar su área construida. </w:t>
      </w:r>
    </w:p>
    <w:p w14:paraId="30040BC3"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2644152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Muro de Carga: </w:t>
      </w:r>
      <w:r w:rsidRPr="001E4A6A">
        <w:rPr>
          <w:rFonts w:ascii="Arial" w:eastAsia="Arial" w:hAnsi="Arial" w:cs="Arial"/>
          <w:sz w:val="20"/>
        </w:rPr>
        <w:t xml:space="preserve">Estructura continua hasta la cimentación que soporta principalmente cargas verticales. </w:t>
      </w:r>
    </w:p>
    <w:p w14:paraId="1CEB4BF0"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09CCEB7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NSR: </w:t>
      </w:r>
      <w:r w:rsidRPr="001E4A6A">
        <w:rPr>
          <w:rFonts w:ascii="Arial" w:eastAsia="Arial" w:hAnsi="Arial" w:cs="Arial"/>
          <w:sz w:val="20"/>
        </w:rPr>
        <w:t xml:space="preserve">Reglamento Colombiano de Construcción Sismo Resistente, actualmente en su versión NSR-10. </w:t>
      </w:r>
    </w:p>
    <w:p w14:paraId="1571ED54"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4EAA72BA" w14:textId="77777777" w:rsidR="001E4A6A" w:rsidRPr="0045495C" w:rsidRDefault="001E4A6A" w:rsidP="0045495C">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Objetos de interés cultural: </w:t>
      </w:r>
      <w:r w:rsidRPr="001E4A6A">
        <w:rPr>
          <w:rFonts w:ascii="Arial" w:eastAsia="Arial" w:hAnsi="Arial" w:cs="Arial"/>
          <w:sz w:val="20"/>
        </w:rPr>
        <w:t>Bienes muebles e inmuebles producto de la creación humana, tales como documentos, fotografías, pinturas, esculturas, textiles, mobiliario, material arqueológico, objetos etnográficos, etc.</w:t>
      </w:r>
    </w:p>
    <w:p w14:paraId="3B8A6739" w14:textId="77777777" w:rsidR="0045495C" w:rsidRDefault="0045495C" w:rsidP="0045495C">
      <w:pPr>
        <w:pStyle w:val="Prrafodelista"/>
        <w:spacing w:after="0"/>
        <w:rPr>
          <w:rFonts w:ascii="Arial" w:eastAsia="Arial" w:hAnsi="Arial" w:cs="Arial"/>
          <w:b/>
          <w:bCs/>
          <w:sz w:val="20"/>
        </w:rPr>
      </w:pPr>
    </w:p>
    <w:p w14:paraId="7C0020C9" w14:textId="77777777" w:rsidR="001E4A6A" w:rsidRPr="001E4A6A" w:rsidRDefault="001E4A6A" w:rsidP="0045495C">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Paramento: </w:t>
      </w:r>
      <w:r w:rsidRPr="001E4A6A">
        <w:rPr>
          <w:rFonts w:ascii="Arial" w:eastAsia="Arial" w:hAnsi="Arial" w:cs="Arial"/>
          <w:sz w:val="20"/>
        </w:rPr>
        <w:t>Plano vertical que delimita el inicio de la construcción en un predio. Cuando no existe antejardín coincide con la línea de demarcación.</w:t>
      </w:r>
      <w:r w:rsidRPr="001E4A6A">
        <w:rPr>
          <w:rFonts w:ascii="Arial" w:eastAsia="Arial" w:hAnsi="Arial" w:cs="Arial"/>
          <w:b/>
          <w:bCs/>
          <w:sz w:val="20"/>
        </w:rPr>
        <w:t xml:space="preserve"> </w:t>
      </w:r>
    </w:p>
    <w:p w14:paraId="2BF6A958" w14:textId="77777777" w:rsidR="001E4A6A" w:rsidRPr="001E4A6A" w:rsidRDefault="001E4A6A" w:rsidP="0045495C">
      <w:pPr>
        <w:spacing w:after="0" w:line="240" w:lineRule="auto"/>
        <w:ind w:left="709"/>
        <w:contextualSpacing/>
        <w:jc w:val="both"/>
        <w:rPr>
          <w:rFonts w:ascii="Arial" w:eastAsia="Arial" w:hAnsi="Arial" w:cs="Arial"/>
          <w:b/>
          <w:bCs/>
          <w:sz w:val="20"/>
        </w:rPr>
      </w:pPr>
    </w:p>
    <w:p w14:paraId="30CB653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Parques:</w:t>
      </w:r>
      <w:r w:rsidRPr="001E4A6A">
        <w:rPr>
          <w:rFonts w:ascii="Arial" w:eastAsia="Arial" w:hAnsi="Arial" w:cs="Arial"/>
          <w:sz w:val="20"/>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05F6DD6E" w14:textId="77777777" w:rsidR="001E4A6A" w:rsidRPr="00807517" w:rsidRDefault="001E4A6A" w:rsidP="00807517">
      <w:pPr>
        <w:spacing w:after="0" w:line="240" w:lineRule="auto"/>
        <w:ind w:left="720"/>
        <w:contextualSpacing/>
        <w:jc w:val="both"/>
        <w:rPr>
          <w:rFonts w:eastAsia="Arial" w:cs="Arial"/>
          <w:b/>
          <w:szCs w:val="20"/>
        </w:rPr>
      </w:pPr>
    </w:p>
    <w:p w14:paraId="6A996E65" w14:textId="77777777" w:rsidR="001E4A6A" w:rsidRPr="00807517" w:rsidRDefault="001E4A6A" w:rsidP="001E4A6A">
      <w:pPr>
        <w:numPr>
          <w:ilvl w:val="1"/>
          <w:numId w:val="1"/>
        </w:numPr>
        <w:spacing w:after="0" w:line="240" w:lineRule="auto"/>
        <w:ind w:left="709" w:hanging="709"/>
        <w:contextualSpacing/>
        <w:jc w:val="both"/>
        <w:rPr>
          <w:rFonts w:ascii="Arial" w:eastAsia="Arial" w:hAnsi="Arial" w:cs="Arial"/>
          <w:b/>
          <w:bCs/>
          <w:sz w:val="20"/>
          <w:szCs w:val="20"/>
        </w:rPr>
      </w:pPr>
      <w:r w:rsidRPr="00807517">
        <w:rPr>
          <w:rFonts w:ascii="Arial" w:eastAsia="Arial" w:hAnsi="Arial" w:cs="Arial"/>
          <w:b/>
          <w:bCs/>
          <w:sz w:val="20"/>
          <w:szCs w:val="20"/>
          <w:shd w:val="clear" w:color="auto" w:fill="FFFFFF"/>
          <w:lang w:val="es-ES"/>
        </w:rPr>
        <w:t>Parques de Recreación Activa: </w:t>
      </w:r>
      <w:r w:rsidRPr="00807517">
        <w:rPr>
          <w:rFonts w:ascii="Arial" w:eastAsia="Arial" w:hAnsi="Arial" w:cs="Arial"/>
          <w:sz w:val="20"/>
          <w:szCs w:val="20"/>
          <w:shd w:val="clear" w:color="auto" w:fill="FFFFFF"/>
          <w:lang w:val="es-ES"/>
        </w:rPr>
        <w:t>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B2D03B1" w14:textId="77777777" w:rsidR="001E4A6A" w:rsidRPr="00807517" w:rsidRDefault="001E4A6A" w:rsidP="00807517">
      <w:pPr>
        <w:spacing w:after="0" w:line="240" w:lineRule="auto"/>
        <w:ind w:left="720"/>
        <w:contextualSpacing/>
        <w:jc w:val="both"/>
        <w:rPr>
          <w:rFonts w:eastAsia="Arial" w:cs="Arial"/>
          <w:b/>
          <w:szCs w:val="20"/>
        </w:rPr>
      </w:pPr>
    </w:p>
    <w:p w14:paraId="28F35F7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sz w:val="20"/>
          <w:szCs w:val="20"/>
        </w:rPr>
      </w:pPr>
      <w:r w:rsidRPr="001E4A6A">
        <w:rPr>
          <w:rFonts w:ascii="Arial" w:eastAsia="Arial" w:hAnsi="Arial" w:cs="Arial"/>
          <w:b/>
          <w:sz w:val="20"/>
          <w:szCs w:val="20"/>
          <w:shd w:val="clear" w:color="auto" w:fill="FFFFFF"/>
          <w:lang w:val="es-ES"/>
        </w:rPr>
        <w:t xml:space="preserve">Parques de Recreación Pasiva: </w:t>
      </w:r>
      <w:r w:rsidRPr="001E4A6A">
        <w:rPr>
          <w:rFonts w:ascii="Arial" w:eastAsia="Arial" w:hAnsi="Arial" w:cs="Arial"/>
          <w:sz w:val="20"/>
          <w:szCs w:val="20"/>
          <w:shd w:val="clear" w:color="auto" w:fill="FFFFFF"/>
          <w:lang w:val="es-ES"/>
        </w:rPr>
        <w:t>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1BA21A9F" w14:textId="77777777" w:rsidR="001E4A6A" w:rsidRPr="00807517" w:rsidRDefault="001E4A6A" w:rsidP="00807517">
      <w:pPr>
        <w:spacing w:after="0" w:line="240" w:lineRule="auto"/>
        <w:ind w:left="720"/>
        <w:contextualSpacing/>
        <w:jc w:val="both"/>
        <w:rPr>
          <w:rFonts w:eastAsia="Arial" w:cs="Arial"/>
          <w:b/>
          <w:szCs w:val="20"/>
        </w:rPr>
      </w:pPr>
    </w:p>
    <w:p w14:paraId="34E3F6B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szCs w:val="20"/>
        </w:rPr>
      </w:pPr>
      <w:r w:rsidRPr="00807517">
        <w:rPr>
          <w:rFonts w:ascii="Arial" w:eastAsia="Arial" w:hAnsi="Arial" w:cs="Arial"/>
          <w:b/>
          <w:bCs/>
          <w:sz w:val="20"/>
          <w:szCs w:val="20"/>
          <w:shd w:val="clear" w:color="auto" w:fill="FFFFFF"/>
          <w:lang w:val="es-ES"/>
        </w:rPr>
        <w:t>Parques con vocación mixta o combinada: </w:t>
      </w:r>
      <w:r w:rsidRPr="00807517">
        <w:rPr>
          <w:rFonts w:ascii="Arial" w:eastAsia="Arial" w:hAnsi="Arial" w:cs="Arial"/>
          <w:sz w:val="20"/>
          <w:szCs w:val="20"/>
          <w:shd w:val="clear" w:color="auto" w:fill="FFFFFF"/>
          <w:lang w:val="es-ES"/>
        </w:rPr>
        <w:t>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287BAF3B"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BFE367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Patrimonio: </w:t>
      </w:r>
      <w:r w:rsidRPr="001E4A6A">
        <w:rPr>
          <w:rFonts w:ascii="Arial" w:eastAsia="Arial" w:hAnsi="Arial" w:cs="Arial"/>
          <w:sz w:val="20"/>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p>
    <w:p w14:paraId="527D1AE6"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47DB9F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Patrimonio Cultural Inmaterial: </w:t>
      </w:r>
      <w:r w:rsidRPr="001E4A6A">
        <w:rPr>
          <w:rFonts w:ascii="Arial" w:eastAsia="Arial" w:hAnsi="Arial" w:cs="Arial"/>
          <w:sz w:val="20"/>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06539BAA"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08769F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Patrimonio cultural inmueble: </w:t>
      </w:r>
      <w:r w:rsidRPr="001E4A6A">
        <w:rPr>
          <w:rFonts w:ascii="Arial" w:eastAsia="Arial" w:hAnsi="Arial" w:cs="Arial"/>
          <w:sz w:val="20"/>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75F87B05" w14:textId="77777777" w:rsidR="001E4A6A" w:rsidRPr="001E4A6A" w:rsidRDefault="001E4A6A" w:rsidP="001E4A6A">
      <w:pPr>
        <w:spacing w:after="0" w:line="240" w:lineRule="auto"/>
        <w:ind w:left="709"/>
        <w:contextualSpacing/>
        <w:jc w:val="both"/>
        <w:rPr>
          <w:rFonts w:ascii="Arial" w:eastAsia="Arial" w:hAnsi="Arial" w:cs="Arial"/>
          <w:sz w:val="20"/>
        </w:rPr>
      </w:pPr>
    </w:p>
    <w:p w14:paraId="589476A9"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lastRenderedPageBreak/>
        <w:t>Se encuentra conformado por sitios históricos, patrimonio urbano, espacios públicos, patrimonio arqueológico y patrimonio arquitectónico. Estos pueden contar con declaratorias a nivel municipal, distrital, departamental o nacional.</w:t>
      </w:r>
    </w:p>
    <w:p w14:paraId="5299175F"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6227984" w14:textId="77777777" w:rsidR="001E4A6A" w:rsidRPr="001E4A6A" w:rsidRDefault="001E4A6A" w:rsidP="001E4A6A">
      <w:pPr>
        <w:spacing w:after="0" w:line="240" w:lineRule="auto"/>
        <w:ind w:left="720"/>
        <w:contextualSpacing/>
        <w:jc w:val="both"/>
        <w:rPr>
          <w:rFonts w:ascii="Arial" w:eastAsia="Arial" w:hAnsi="Arial" w:cs="Arial"/>
          <w:sz w:val="20"/>
        </w:rPr>
      </w:pPr>
      <w:r w:rsidRPr="001E4A6A">
        <w:rPr>
          <w:rFonts w:ascii="Arial" w:eastAsia="Arial" w:hAnsi="Arial" w:cs="Arial"/>
          <w:sz w:val="20"/>
        </w:rPr>
        <w:t>La Dirección de Patrimonio del Ministerio de Cultura clasifica el patrimonio arquitectónico de la siguiente manera para una mejor comprensión de sus características, formas y usos:</w:t>
      </w:r>
    </w:p>
    <w:p w14:paraId="039CAD46" w14:textId="77777777" w:rsidR="001E4A6A" w:rsidRPr="001E4A6A" w:rsidRDefault="001E4A6A" w:rsidP="001E4A6A">
      <w:pPr>
        <w:spacing w:after="0" w:line="240" w:lineRule="auto"/>
        <w:ind w:left="720"/>
        <w:contextualSpacing/>
        <w:jc w:val="both"/>
        <w:rPr>
          <w:rFonts w:ascii="Arial" w:eastAsia="Arial" w:hAnsi="Arial" w:cs="Arial"/>
          <w:sz w:val="20"/>
        </w:rPr>
      </w:pPr>
      <w:r w:rsidRPr="001E4A6A">
        <w:rPr>
          <w:rFonts w:ascii="Arial" w:eastAsia="Arial" w:hAnsi="Arial" w:cs="Arial"/>
          <w:sz w:val="20"/>
        </w:rPr>
        <w:t xml:space="preserve"> </w:t>
      </w:r>
    </w:p>
    <w:p w14:paraId="2CB0149F"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Arquitectura militar</w:t>
      </w:r>
    </w:p>
    <w:p w14:paraId="7A13E875"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Arquitectura habitacional</w:t>
      </w:r>
    </w:p>
    <w:p w14:paraId="68C9C265"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Arquitectura religiosa</w:t>
      </w:r>
    </w:p>
    <w:p w14:paraId="1F337A21"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Arquitectura institucional</w:t>
      </w:r>
    </w:p>
    <w:p w14:paraId="14E10AE0"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Arquitectura para el comercio</w:t>
      </w:r>
    </w:p>
    <w:p w14:paraId="186AE069"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Arquitectura para la industria</w:t>
      </w:r>
    </w:p>
    <w:p w14:paraId="572FD5FD"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 xml:space="preserve">Arquitectura para la recreación y el deporte </w:t>
      </w:r>
    </w:p>
    <w:p w14:paraId="61312D70"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Arquitectura para el transporte</w:t>
      </w:r>
    </w:p>
    <w:p w14:paraId="36A91C6C"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Obras de ingeniería</w:t>
      </w:r>
    </w:p>
    <w:p w14:paraId="10B422F2"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69AD4AD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Pavimentos Asfálticos y/o Pavimentos de Concreto Hidráulico reforzado:</w:t>
      </w:r>
      <w:r w:rsidRPr="001E4A6A">
        <w:rPr>
          <w:rFonts w:ascii="Arial" w:eastAsia="Arial" w:hAnsi="Arial" w:cs="Arial"/>
          <w:sz w:val="20"/>
        </w:rPr>
        <w:t xml:space="preserve">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381E2641"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77AE4BE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Piscinas:</w:t>
      </w:r>
      <w:r w:rsidRPr="001E4A6A">
        <w:rPr>
          <w:rFonts w:ascii="Arial" w:eastAsia="Arial" w:hAnsi="Arial" w:cs="Arial"/>
          <w:sz w:val="20"/>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74A2B0E9"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069CC5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Pistas:</w:t>
      </w:r>
      <w:r w:rsidRPr="001E4A6A">
        <w:rPr>
          <w:rFonts w:ascii="Arial" w:eastAsia="Arial" w:hAnsi="Arial" w:cs="Arial"/>
          <w:sz w:val="20"/>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15CFE1AC"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63113755"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Plaza:</w:t>
      </w:r>
      <w:r w:rsidRPr="001E4A6A">
        <w:rPr>
          <w:rFonts w:ascii="Arial" w:eastAsia="Arial" w:hAnsi="Arial" w:cs="Arial"/>
          <w:sz w:val="20"/>
        </w:rPr>
        <w:t xml:space="preserve"> 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que ocupan una manzana completa. </w:t>
      </w:r>
    </w:p>
    <w:p w14:paraId="2684AC65" w14:textId="77777777" w:rsidR="001E4A6A" w:rsidRPr="001E4A6A" w:rsidRDefault="001E4A6A" w:rsidP="001E4A6A">
      <w:pPr>
        <w:spacing w:after="0" w:line="240" w:lineRule="auto"/>
        <w:ind w:left="720"/>
        <w:contextualSpacing/>
        <w:jc w:val="both"/>
        <w:rPr>
          <w:rFonts w:ascii="Arial" w:eastAsia="Arial" w:hAnsi="Arial" w:cs="Arial"/>
          <w:sz w:val="20"/>
        </w:rPr>
      </w:pPr>
    </w:p>
    <w:p w14:paraId="4AD6637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Plazoletas:</w:t>
      </w:r>
      <w:r w:rsidRPr="001E4A6A">
        <w:rPr>
          <w:rFonts w:ascii="Arial" w:eastAsia="Arial" w:hAnsi="Arial" w:cs="Arial"/>
          <w:sz w:val="20"/>
        </w:rPr>
        <w:t xml:space="preserve"> Áreas de espacio público abiertas, tratadas como zonas duras y destinadas al disfrute de los ciudadanos y las actividades de convivencia, ocupan media manzana. </w:t>
      </w:r>
    </w:p>
    <w:p w14:paraId="1DB30F6C" w14:textId="77777777" w:rsidR="001E4A6A" w:rsidRPr="001E4A6A" w:rsidRDefault="001E4A6A" w:rsidP="001E4A6A">
      <w:pPr>
        <w:spacing w:after="0" w:line="240" w:lineRule="auto"/>
        <w:ind w:left="720"/>
        <w:contextualSpacing/>
        <w:jc w:val="both"/>
        <w:rPr>
          <w:rFonts w:ascii="Arial" w:eastAsia="Arial" w:hAnsi="Arial" w:cs="Arial"/>
          <w:sz w:val="20"/>
        </w:rPr>
      </w:pPr>
    </w:p>
    <w:p w14:paraId="79635C6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Plazuelas:</w:t>
      </w:r>
      <w:r w:rsidRPr="001E4A6A">
        <w:rPr>
          <w:rFonts w:ascii="Arial" w:eastAsia="Arial" w:hAnsi="Arial" w:cs="Arial"/>
          <w:sz w:val="20"/>
        </w:rPr>
        <w:t xml:space="preserve"> Áreas de espacio público abiertas, tratadas como zonas duras y destinadas al disfrute de los ciudadanos y las actividades de convivencia que ocupan un cuarto de manzana.</w:t>
      </w:r>
    </w:p>
    <w:p w14:paraId="73DBCD47" w14:textId="77777777" w:rsidR="001E4A6A" w:rsidRPr="001E4A6A" w:rsidRDefault="001E4A6A" w:rsidP="001E4A6A">
      <w:pPr>
        <w:spacing w:after="0" w:line="240" w:lineRule="auto"/>
        <w:ind w:left="720"/>
        <w:contextualSpacing/>
        <w:jc w:val="both"/>
        <w:rPr>
          <w:rFonts w:ascii="Arial" w:eastAsia="Arial" w:hAnsi="Arial" w:cs="Arial"/>
          <w:sz w:val="20"/>
        </w:rPr>
      </w:pPr>
    </w:p>
    <w:p w14:paraId="525F071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Polideportivo:</w:t>
      </w:r>
      <w:r w:rsidRPr="001E4A6A">
        <w:rPr>
          <w:rFonts w:ascii="Arial" w:eastAsia="Arial" w:hAnsi="Arial" w:cs="Arial"/>
          <w:sz w:val="20"/>
        </w:rPr>
        <w:t xml:space="preserve"> Lugar o espacio que cuenta con varias instalaciones deportivas que permite realizar una gran variedad de deportes y ejercicios. </w:t>
      </w:r>
    </w:p>
    <w:p w14:paraId="22A0DA26"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FDDABE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RAS: </w:t>
      </w:r>
      <w:r w:rsidRPr="001E4A6A">
        <w:rPr>
          <w:rFonts w:ascii="Arial" w:eastAsia="Arial" w:hAnsi="Arial" w:cs="Arial"/>
          <w:sz w:val="20"/>
        </w:rPr>
        <w:t xml:space="preserve">Reglamento Técnico para el Sector de Agua Potable y Saneamiento Básico. </w:t>
      </w:r>
    </w:p>
    <w:p w14:paraId="4617F343"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1FDC3C5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lastRenderedPageBreak/>
        <w:t>Reconstrucción:</w:t>
      </w:r>
      <w:r w:rsidRPr="001E4A6A">
        <w:rPr>
          <w:rFonts w:ascii="Arial" w:eastAsia="Arial" w:hAnsi="Arial" w:cs="Arial"/>
          <w:sz w:val="20"/>
        </w:rPr>
        <w:t xml:space="preserve"> Obras o intervenciones para volver a construir edificaciones que contaban con licencia o con acto de reconocimiento y fueron afectadas por la ocurrencia de algún siniestro. </w:t>
      </w:r>
    </w:p>
    <w:p w14:paraId="5F0397C4"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7313B8C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Resistencia: </w:t>
      </w:r>
      <w:r w:rsidRPr="001E4A6A">
        <w:rPr>
          <w:rFonts w:ascii="Arial" w:eastAsia="Arial" w:hAnsi="Arial" w:cs="Arial"/>
          <w:sz w:val="20"/>
        </w:rPr>
        <w:t>Capacidad útil de una estructura, o de sus miembros, para resistir cargas, dentro de los límites de deformación establecidos en la NSR-10.</w:t>
      </w:r>
    </w:p>
    <w:p w14:paraId="56A3902A"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BDE832F"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Restauración:</w:t>
      </w:r>
      <w:r w:rsidRPr="001E4A6A">
        <w:rPr>
          <w:rFonts w:ascii="Arial" w:eastAsia="Arial" w:hAnsi="Arial" w:cs="Arial"/>
          <w:sz w:val="20"/>
        </w:rPr>
        <w:t xml:space="preserve"> Obras o intervenciones tendientes a recuperar y adaptar un inmueble o parte de este, con el fin de conservar y revelar sus valores estéticos, históricos y simbólicos. Se fundamenta en el respeto por su integridad y autenticidad.</w:t>
      </w:r>
    </w:p>
    <w:p w14:paraId="025B7972"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A4EB5F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RETIE:</w:t>
      </w:r>
      <w:r w:rsidRPr="001E4A6A">
        <w:rPr>
          <w:rFonts w:ascii="Arial" w:eastAsia="Arial" w:hAnsi="Arial" w:cs="Arial"/>
          <w:sz w:val="20"/>
        </w:rPr>
        <w:t xml:space="preserve"> Reglamento Técnico de Instalaciones Eléctricas. </w:t>
      </w:r>
    </w:p>
    <w:p w14:paraId="08A6F337"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7CD377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RETILAP:</w:t>
      </w:r>
      <w:r w:rsidRPr="001E4A6A">
        <w:rPr>
          <w:rFonts w:ascii="Arial" w:eastAsia="Arial" w:hAnsi="Arial" w:cs="Arial"/>
          <w:sz w:val="20"/>
        </w:rPr>
        <w:t xml:space="preserve"> Reglamento Técnico de Iluminación y Alumbrado Público. </w:t>
      </w:r>
    </w:p>
    <w:p w14:paraId="66D5F7DF"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399313E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RETIQ:</w:t>
      </w:r>
      <w:r w:rsidRPr="001E4A6A">
        <w:rPr>
          <w:rFonts w:ascii="Arial" w:eastAsia="Arial" w:hAnsi="Arial" w:cs="Arial"/>
          <w:sz w:val="20"/>
        </w:rPr>
        <w:t xml:space="preserve"> Reglamento Técnico de Etiquetado. </w:t>
      </w:r>
    </w:p>
    <w:p w14:paraId="5A702132"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1AB65A8D" w14:textId="7DE35CC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Reforzamiento Estructural:</w:t>
      </w:r>
      <w:r w:rsidRPr="001E4A6A">
        <w:rPr>
          <w:rFonts w:ascii="Arial" w:eastAsia="Arial" w:hAnsi="Arial" w:cs="Arial"/>
          <w:sz w:val="20"/>
        </w:rPr>
        <w:t xml:space="preserve"> Adición de fuerza o capacidad de carga a un de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la utilización de aceros estructurales; o la implementación de reforzamiento mediante tensionamiento exterior de los elementos  requeridos.  </w:t>
      </w:r>
    </w:p>
    <w:p w14:paraId="60BC8F77" w14:textId="77777777" w:rsidR="001E4A6A" w:rsidRPr="001E4A6A" w:rsidRDefault="001E4A6A" w:rsidP="001E4A6A">
      <w:pPr>
        <w:spacing w:after="0" w:line="240" w:lineRule="auto"/>
        <w:ind w:left="720"/>
        <w:contextualSpacing/>
        <w:jc w:val="both"/>
        <w:rPr>
          <w:rFonts w:ascii="Arial" w:eastAsia="Arial" w:hAnsi="Arial" w:cs="Arial"/>
          <w:sz w:val="20"/>
        </w:rPr>
      </w:pPr>
    </w:p>
    <w:p w14:paraId="3CD8A392"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5E07DB9F" w14:textId="77777777" w:rsidR="001E4A6A" w:rsidRPr="001E4A6A" w:rsidRDefault="001E4A6A" w:rsidP="001E4A6A">
      <w:pPr>
        <w:spacing w:after="0" w:line="240" w:lineRule="auto"/>
        <w:ind w:left="709"/>
        <w:contextualSpacing/>
        <w:jc w:val="both"/>
        <w:rPr>
          <w:rFonts w:ascii="Arial" w:eastAsia="Arial" w:hAnsi="Arial" w:cs="Arial"/>
          <w:sz w:val="20"/>
        </w:rPr>
      </w:pPr>
    </w:p>
    <w:p w14:paraId="6E815CD1"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t xml:space="preserve">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 Esta actividad no implica actualizar la capacidad de carga de la estructura. </w:t>
      </w:r>
    </w:p>
    <w:p w14:paraId="73D2BA01" w14:textId="77777777" w:rsidR="001E4A6A" w:rsidRPr="001E4A6A" w:rsidRDefault="001E4A6A" w:rsidP="001E4A6A">
      <w:pPr>
        <w:spacing w:after="0" w:line="240" w:lineRule="auto"/>
        <w:ind w:left="708"/>
        <w:jc w:val="both"/>
        <w:rPr>
          <w:rFonts w:ascii="Arial" w:eastAsia="Arial" w:hAnsi="Arial" w:cs="Arial"/>
          <w:sz w:val="20"/>
        </w:rPr>
      </w:pPr>
    </w:p>
    <w:p w14:paraId="7636B0C5" w14:textId="77777777" w:rsidR="001E4A6A" w:rsidRPr="001E4A6A" w:rsidRDefault="001E4A6A" w:rsidP="001E4A6A">
      <w:pPr>
        <w:spacing w:after="0" w:line="240" w:lineRule="auto"/>
        <w:ind w:left="708"/>
        <w:jc w:val="both"/>
        <w:rPr>
          <w:rFonts w:ascii="Arial" w:eastAsia="Arial" w:hAnsi="Arial" w:cs="Arial"/>
          <w:sz w:val="20"/>
        </w:rPr>
      </w:pPr>
      <w:r w:rsidRPr="001E4A6A">
        <w:rPr>
          <w:rFonts w:ascii="Arial" w:eastAsia="Arial" w:hAnsi="Arial" w:cs="Arial"/>
          <w:sz w:val="20"/>
        </w:rPr>
        <w:t>Estas actividades requieren del mantenimiento previo de los elementos estructurales.</w:t>
      </w:r>
    </w:p>
    <w:p w14:paraId="2B2871E0" w14:textId="77777777" w:rsidR="001E4A6A" w:rsidRPr="001E4A6A" w:rsidRDefault="001E4A6A" w:rsidP="001E4A6A">
      <w:pPr>
        <w:spacing w:after="0" w:line="240" w:lineRule="auto"/>
        <w:jc w:val="both"/>
        <w:rPr>
          <w:rFonts w:ascii="Arial" w:eastAsia="Arial" w:hAnsi="Arial" w:cs="Arial"/>
          <w:sz w:val="20"/>
        </w:rPr>
      </w:pPr>
    </w:p>
    <w:p w14:paraId="49A55F0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Reparaciones Locativas: </w:t>
      </w:r>
      <w:r w:rsidRPr="001E4A6A">
        <w:rPr>
          <w:rFonts w:ascii="Arial" w:eastAsia="Arial" w:hAnsi="Arial" w:cs="Arial"/>
          <w:sz w:val="20"/>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r w:rsidRPr="001E4A6A">
        <w:rPr>
          <w:rFonts w:ascii="Arial" w:eastAsia="Arial" w:hAnsi="Arial" w:cs="Arial"/>
          <w:sz w:val="20"/>
          <w:vertAlign w:val="superscript"/>
        </w:rPr>
        <w:footnoteReference w:id="6"/>
      </w:r>
      <w:r w:rsidRPr="001E4A6A">
        <w:rPr>
          <w:rFonts w:ascii="Arial" w:eastAsia="Arial" w:hAnsi="Arial" w:cs="Arial"/>
          <w:sz w:val="20"/>
        </w:rPr>
        <w:t xml:space="preserve">. </w:t>
      </w:r>
    </w:p>
    <w:p w14:paraId="683BD31B" w14:textId="77777777" w:rsidR="001E4A6A" w:rsidRPr="001E4A6A" w:rsidRDefault="001E4A6A" w:rsidP="001E4A6A">
      <w:pPr>
        <w:spacing w:after="0" w:line="240" w:lineRule="auto"/>
        <w:ind w:left="709"/>
        <w:contextualSpacing/>
        <w:jc w:val="both"/>
        <w:rPr>
          <w:rFonts w:ascii="Arial" w:eastAsia="Arial" w:hAnsi="Arial" w:cs="Arial"/>
          <w:sz w:val="20"/>
        </w:rPr>
      </w:pPr>
    </w:p>
    <w:p w14:paraId="5A1E8FCB"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lastRenderedPageBreak/>
        <w:t xml:space="preserve">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hidráulicas, sanitarias, eléctricas, telefónicas o de gas. Sin perjuicio de lo anterior, quien ejecuta la obra se hace responsable de: </w:t>
      </w:r>
    </w:p>
    <w:p w14:paraId="617F488B" w14:textId="77777777" w:rsidR="001E4A6A" w:rsidRPr="001E4A6A" w:rsidRDefault="001E4A6A" w:rsidP="001E4A6A">
      <w:pPr>
        <w:spacing w:after="0" w:line="240" w:lineRule="auto"/>
        <w:ind w:left="709"/>
        <w:contextualSpacing/>
        <w:jc w:val="both"/>
        <w:rPr>
          <w:rFonts w:ascii="Arial" w:eastAsia="Arial" w:hAnsi="Arial" w:cs="Arial"/>
          <w:sz w:val="20"/>
        </w:rPr>
      </w:pPr>
    </w:p>
    <w:p w14:paraId="6B0EE89E"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t xml:space="preserve">1. Cumplir con los reglamentos establecidos para la propiedad horizontal y las normas que regulan los servicios públicos domiciliarios. </w:t>
      </w:r>
    </w:p>
    <w:p w14:paraId="35FED35C" w14:textId="77777777" w:rsidR="001E4A6A" w:rsidRPr="001E4A6A" w:rsidRDefault="001E4A6A" w:rsidP="001E4A6A">
      <w:pPr>
        <w:spacing w:after="0" w:line="240" w:lineRule="auto"/>
        <w:ind w:left="709"/>
        <w:contextualSpacing/>
        <w:jc w:val="both"/>
        <w:rPr>
          <w:rFonts w:ascii="Arial" w:eastAsia="Arial" w:hAnsi="Arial" w:cs="Arial"/>
          <w:sz w:val="20"/>
        </w:rPr>
      </w:pPr>
    </w:p>
    <w:p w14:paraId="0BFF41DF"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t xml:space="preserve">2. Prevenir daños que se puedan ocasionar a terceros y en caso de que se presenten, responder de conformidad con las normas civiles que regulan la materia. </w:t>
      </w:r>
    </w:p>
    <w:p w14:paraId="5A8ECC7F" w14:textId="77777777" w:rsidR="001E4A6A" w:rsidRPr="001E4A6A" w:rsidRDefault="001E4A6A" w:rsidP="001E4A6A">
      <w:pPr>
        <w:spacing w:after="0" w:line="240" w:lineRule="auto"/>
        <w:ind w:left="709"/>
        <w:contextualSpacing/>
        <w:jc w:val="both"/>
        <w:rPr>
          <w:rFonts w:ascii="Arial" w:eastAsia="Arial" w:hAnsi="Arial" w:cs="Arial"/>
          <w:sz w:val="20"/>
        </w:rPr>
      </w:pPr>
    </w:p>
    <w:p w14:paraId="3347FEBA"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t>3. Cumplir con los procedimientos previos, requisitos y normas aplicables a los inmuebles de conservación histórica, arquitectónica o bienes de interés cultural.</w:t>
      </w:r>
    </w:p>
    <w:p w14:paraId="6C03F032"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6E22AB1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Repotenciación Estructural: </w:t>
      </w:r>
      <w:r w:rsidRPr="001E4A6A">
        <w:rPr>
          <w:rFonts w:ascii="Arial" w:eastAsia="Arial" w:hAnsi="Arial" w:cs="Arial"/>
          <w:sz w:val="20"/>
        </w:rPr>
        <w:t xml:space="preserve">Reforzamiento del conjunto de elementos estructurales de tal forma que se pueda adicionar la capacidad de la estructura mediante procesos constructivos que garanticen el aumento de la capacidad para la cual fue diseñada inicialmente. </w:t>
      </w:r>
    </w:p>
    <w:p w14:paraId="4309A396" w14:textId="77777777" w:rsidR="001E4A6A" w:rsidRPr="001E4A6A" w:rsidRDefault="001E4A6A" w:rsidP="001E4A6A">
      <w:pPr>
        <w:spacing w:after="0" w:line="240" w:lineRule="auto"/>
        <w:ind w:firstLine="708"/>
        <w:jc w:val="both"/>
        <w:rPr>
          <w:rFonts w:ascii="Arial" w:eastAsia="Arial" w:hAnsi="Arial" w:cs="Arial"/>
          <w:sz w:val="20"/>
        </w:rPr>
      </w:pPr>
    </w:p>
    <w:p w14:paraId="63D5876F" w14:textId="77777777" w:rsidR="001E4A6A" w:rsidRPr="001E4A6A" w:rsidRDefault="001E4A6A" w:rsidP="001E4A6A">
      <w:pPr>
        <w:spacing w:after="0" w:line="240" w:lineRule="auto"/>
        <w:ind w:firstLine="708"/>
        <w:jc w:val="both"/>
        <w:rPr>
          <w:rFonts w:ascii="Arial" w:eastAsia="Arial" w:hAnsi="Arial" w:cs="Arial"/>
          <w:sz w:val="20"/>
        </w:rPr>
      </w:pPr>
      <w:r w:rsidRPr="001E4A6A">
        <w:rPr>
          <w:rFonts w:ascii="Arial" w:eastAsia="Arial" w:hAnsi="Arial" w:cs="Arial"/>
          <w:sz w:val="20"/>
        </w:rPr>
        <w:t>Estas actividades requieren del mantenimiento previo de los elementos estructurales.</w:t>
      </w:r>
    </w:p>
    <w:p w14:paraId="11B99447" w14:textId="77777777" w:rsidR="001E4A6A" w:rsidRPr="001E4A6A" w:rsidRDefault="001E4A6A" w:rsidP="001E4A6A">
      <w:pPr>
        <w:spacing w:after="0" w:line="240" w:lineRule="auto"/>
        <w:ind w:firstLine="708"/>
        <w:jc w:val="both"/>
        <w:rPr>
          <w:rFonts w:ascii="Arial" w:eastAsia="Arial" w:hAnsi="Arial" w:cs="Arial"/>
          <w:sz w:val="20"/>
        </w:rPr>
      </w:pPr>
    </w:p>
    <w:p w14:paraId="177A314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Sardinel o Bordillo: </w:t>
      </w:r>
      <w:r w:rsidRPr="001E4A6A">
        <w:rPr>
          <w:rFonts w:ascii="Arial" w:eastAsia="Arial" w:hAnsi="Arial" w:cs="Arial"/>
          <w:sz w:val="20"/>
        </w:rPr>
        <w:t>Elemento que separa una calzada del andén o del separador de una vía.</w:t>
      </w:r>
    </w:p>
    <w:p w14:paraId="45C211B7" w14:textId="77777777" w:rsidR="001E4A6A" w:rsidRPr="00807517" w:rsidRDefault="001E4A6A" w:rsidP="00807517">
      <w:pPr>
        <w:spacing w:after="0" w:line="240" w:lineRule="auto"/>
        <w:jc w:val="both"/>
        <w:rPr>
          <w:rFonts w:eastAsia="Arial" w:cs="Arial"/>
          <w:b/>
        </w:rPr>
      </w:pPr>
    </w:p>
    <w:p w14:paraId="412E82E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Sectores de interés cultural: </w:t>
      </w:r>
      <w:r w:rsidRPr="00807517">
        <w:rPr>
          <w:rFonts w:ascii="Arial" w:eastAsia="Arial" w:hAnsi="Arial" w:cs="Arial"/>
          <w:sz w:val="20"/>
        </w:rPr>
        <w:t>Son aquellos barrios o áreas que tienen un valor urbano muy especial asociado a la historia de la ciudad, a su calidad urbana y a la calidad arquitectónica de las construcciones y elementos que lo conforman</w:t>
      </w:r>
      <w:r w:rsidRPr="001E4A6A">
        <w:rPr>
          <w:rFonts w:ascii="Arial" w:eastAsia="Arial" w:hAnsi="Arial" w:cs="Arial"/>
          <w:sz w:val="20"/>
        </w:rPr>
        <w:t>.</w:t>
      </w:r>
    </w:p>
    <w:p w14:paraId="3060C790" w14:textId="77777777" w:rsidR="001E4A6A" w:rsidRPr="001E4A6A" w:rsidRDefault="001E4A6A" w:rsidP="001E4A6A">
      <w:pPr>
        <w:spacing w:after="0" w:line="240" w:lineRule="auto"/>
        <w:ind w:firstLine="708"/>
        <w:jc w:val="both"/>
        <w:rPr>
          <w:rFonts w:ascii="Arial" w:eastAsia="Arial" w:hAnsi="Arial" w:cs="Arial"/>
          <w:sz w:val="20"/>
        </w:rPr>
      </w:pPr>
    </w:p>
    <w:p w14:paraId="0BD4AB85"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Señalización:</w:t>
      </w:r>
      <w:r w:rsidRPr="001E4A6A">
        <w:rPr>
          <w:rFonts w:ascii="Arial" w:eastAsia="Arial" w:hAnsi="Arial" w:cs="Arial"/>
          <w:sz w:val="20"/>
        </w:rPr>
        <w:t xml:space="preserve"> Conjunto de señales destinado a regular el tránsito. Dichas señales pueden ser señales verticales y señalización horizontal o demarcaciones.</w:t>
      </w:r>
    </w:p>
    <w:p w14:paraId="78C4B660" w14:textId="77777777" w:rsidR="001E4A6A" w:rsidRPr="001E4A6A" w:rsidRDefault="001E4A6A" w:rsidP="001E4A6A">
      <w:pPr>
        <w:spacing w:after="0" w:line="240" w:lineRule="auto"/>
        <w:ind w:left="720"/>
        <w:contextualSpacing/>
        <w:jc w:val="both"/>
        <w:rPr>
          <w:rFonts w:ascii="Arial" w:eastAsia="Arial" w:hAnsi="Arial" w:cs="Arial"/>
          <w:sz w:val="20"/>
        </w:rPr>
      </w:pPr>
    </w:p>
    <w:p w14:paraId="2D956F65"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Señalización Vertical:</w:t>
      </w:r>
      <w:r w:rsidRPr="001E4A6A">
        <w:rPr>
          <w:rFonts w:ascii="Arial" w:eastAsia="Arial" w:hAnsi="Arial" w:cs="Arial"/>
          <w:sz w:val="20"/>
        </w:rPr>
        <w:t xml:space="preserve"> Dispositivos físicos que indican la forma correcta como deben transitar los usuarios de las vías; se instalan para transmitir órdenes o instrucciones mediante palabras o símbolos.  </w:t>
      </w:r>
    </w:p>
    <w:p w14:paraId="58DF4C88" w14:textId="77777777" w:rsidR="001E4A6A" w:rsidRPr="001E4A6A" w:rsidRDefault="001E4A6A" w:rsidP="001E4A6A">
      <w:pPr>
        <w:spacing w:after="0" w:line="240" w:lineRule="auto"/>
        <w:ind w:left="720"/>
        <w:contextualSpacing/>
        <w:jc w:val="both"/>
        <w:rPr>
          <w:rFonts w:ascii="Arial" w:eastAsia="Arial" w:hAnsi="Arial" w:cs="Arial"/>
          <w:sz w:val="20"/>
        </w:rPr>
      </w:pPr>
    </w:p>
    <w:p w14:paraId="0987EB4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Sistema Combinado: </w:t>
      </w:r>
      <w:r w:rsidRPr="001E4A6A">
        <w:rPr>
          <w:rFonts w:ascii="Arial" w:eastAsia="Arial" w:hAnsi="Arial" w:cs="Arial"/>
          <w:sz w:val="20"/>
        </w:rPr>
        <w:t xml:space="preserve">Sistema estructural en el cual las cargas verticales son resistidas por un pórtico, resistente a momentos o no, esencialmente completo, y las fuerzas horizontales son resistidas por muros estructurales o pórticos con diagonales. </w:t>
      </w:r>
    </w:p>
    <w:p w14:paraId="3E58DB07"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71D78125"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Sistema de Arriostramiento Horizontal:</w:t>
      </w:r>
      <w:r w:rsidRPr="001E4A6A">
        <w:rPr>
          <w:rFonts w:ascii="Arial" w:eastAsia="Arial" w:hAnsi="Arial" w:cs="Arial"/>
          <w:sz w:val="20"/>
        </w:rPr>
        <w:t xml:space="preserve"> Sistema de cercha o armadura horizontal que cumple las mismas funciones de un diafragma. </w:t>
      </w:r>
    </w:p>
    <w:p w14:paraId="73824DF7"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68F601B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Sistema de Muros de Carga: </w:t>
      </w:r>
      <w:r w:rsidRPr="001E4A6A">
        <w:rPr>
          <w:rFonts w:ascii="Arial" w:eastAsia="Arial" w:hAnsi="Arial" w:cs="Arial"/>
          <w:sz w:val="20"/>
        </w:rPr>
        <w:t xml:space="preserve">Sistema estructural que no dispone de un pórtico esencialmente completo y en el cual las cargas verticales son llevadas hasta la cimentación por los muros de carga y las fuerzas horizontales son resistidas por muros estructurales o pórticos con diagonales. </w:t>
      </w:r>
    </w:p>
    <w:p w14:paraId="40AD264B"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4DA2F06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Sistema de Pórtico: </w:t>
      </w:r>
      <w:r w:rsidRPr="001E4A6A">
        <w:rPr>
          <w:rFonts w:ascii="Arial" w:eastAsia="Arial" w:hAnsi="Arial" w:cs="Arial"/>
          <w:sz w:val="20"/>
        </w:rPr>
        <w:t xml:space="preserve">Sistema estructural compuesto por un pórtico espacial resistente a momentos, esencialmente completo, no arriostrado, que resiste todas las cargas verticales y las fuerzas horizontales. </w:t>
      </w:r>
    </w:p>
    <w:p w14:paraId="7EED5B22"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72CE1EA2"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Sistema de Resistencia Sísmica: </w:t>
      </w:r>
      <w:r w:rsidRPr="001E4A6A">
        <w:rPr>
          <w:rFonts w:ascii="Arial" w:eastAsia="Arial" w:hAnsi="Arial" w:cs="Arial"/>
          <w:sz w:val="20"/>
        </w:rPr>
        <w:t xml:space="preserve">Parte de la estructura que según el diseño aporta la resistencia requerida para soportar los movimientos sísmicos de diseño. </w:t>
      </w:r>
    </w:p>
    <w:p w14:paraId="687A33A5"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331C387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sz w:val="20"/>
        </w:rPr>
      </w:pPr>
      <w:r w:rsidRPr="001E4A6A">
        <w:rPr>
          <w:rFonts w:ascii="Arial" w:eastAsia="Arial" w:hAnsi="Arial" w:cs="Arial"/>
          <w:b/>
          <w:bCs/>
          <w:sz w:val="20"/>
        </w:rPr>
        <w:t xml:space="preserve">Sistema Dual: </w:t>
      </w:r>
      <w:r w:rsidRPr="001E4A6A">
        <w:rPr>
          <w:rFonts w:ascii="Arial" w:eastAsia="Arial" w:hAnsi="Arial" w:cs="Arial"/>
          <w:sz w:val="20"/>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5CAE891D" w14:textId="77777777" w:rsidR="001E4A6A" w:rsidRPr="001E4A6A" w:rsidRDefault="001E4A6A" w:rsidP="00807517">
      <w:pPr>
        <w:spacing w:after="0" w:line="240" w:lineRule="auto"/>
        <w:ind w:left="709"/>
        <w:contextualSpacing/>
        <w:jc w:val="both"/>
        <w:rPr>
          <w:rFonts w:eastAsia="Arial" w:cs="Arial"/>
          <w:b/>
        </w:rPr>
      </w:pPr>
    </w:p>
    <w:p w14:paraId="2ECF089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Sistema Nacional de Cultura: </w:t>
      </w:r>
      <w:r w:rsidRPr="001E4A6A">
        <w:rPr>
          <w:rFonts w:ascii="Arial" w:eastAsia="Arial" w:hAnsi="Arial" w:cs="Arial"/>
          <w:sz w:val="20"/>
        </w:rPr>
        <w:t>Se entiende por Sistema Nacional de Cultura el conjunto de instancias, espacios de participación y procesos de desarrollo institucional, planificación, financiación, formación, e información articulados entre sí, que posibilitan el desarrollo cultural y el acceso de la comunidad a los bienes y servicios culturales</w:t>
      </w:r>
      <w:r w:rsidRPr="001E4A6A">
        <w:rPr>
          <w:rFonts w:ascii="Arial" w:eastAsia="Arial" w:hAnsi="Arial" w:cs="Arial"/>
          <w:sz w:val="20"/>
          <w:vertAlign w:val="superscript"/>
        </w:rPr>
        <w:footnoteReference w:id="7"/>
      </w:r>
      <w:r w:rsidRPr="001E4A6A">
        <w:rPr>
          <w:rFonts w:ascii="Arial" w:eastAsia="Arial" w:hAnsi="Arial" w:cs="Arial"/>
          <w:sz w:val="20"/>
        </w:rPr>
        <w:t>.</w:t>
      </w:r>
    </w:p>
    <w:p w14:paraId="578A11CD"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66D9CA1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Suelo Rural:</w:t>
      </w:r>
      <w:r w:rsidRPr="001E4A6A">
        <w:rPr>
          <w:rFonts w:ascii="Arial" w:eastAsia="Arial" w:hAnsi="Arial" w:cs="Arial"/>
          <w:sz w:val="20"/>
        </w:rPr>
        <w:t xml:space="preserve"> Terrenos no aptos para el uso urbano por razones de oportunidad o por su destinación a usos agrícolas, ganaderos, forestales, de explotación de recursos naturales y actividades análogas. </w:t>
      </w:r>
    </w:p>
    <w:p w14:paraId="4C2B1F1C"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D5562F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Suelo Urbano:</w:t>
      </w:r>
      <w:r w:rsidRPr="001E4A6A">
        <w:rPr>
          <w:rFonts w:ascii="Arial" w:eastAsia="Arial" w:hAnsi="Arial" w:cs="Arial"/>
          <w:sz w:val="20"/>
        </w:rPr>
        <w:t xml:space="preserve"> 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3FC1955D"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08BD42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Urbanismo: </w:t>
      </w:r>
      <w:r w:rsidRPr="001E4A6A">
        <w:rPr>
          <w:rFonts w:ascii="Arial" w:eastAsia="Arial" w:hAnsi="Arial" w:cs="Arial"/>
          <w:sz w:val="20"/>
          <w:highlight w:val="lightGray"/>
        </w:rPr>
        <w:t>[la Entidad podrá adaptar o modificar esta definición de acuerdo con las nociones de la norma urbana o de urbanismo vigentes aplicables a la región o zona en la cual se desarrolle el proyecto.]</w:t>
      </w:r>
      <w:r w:rsidRPr="001E4A6A">
        <w:rPr>
          <w:rFonts w:ascii="Arial" w:eastAsia="Arial" w:hAnsi="Arial" w:cs="Arial"/>
          <w:sz w:val="20"/>
        </w:rPr>
        <w:t xml:space="preserve">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1E4A6A">
        <w:rPr>
          <w:rFonts w:ascii="Arial" w:eastAsia="Arial" w:hAnsi="Arial" w:cs="Arial"/>
          <w:sz w:val="20"/>
          <w:vertAlign w:val="superscript"/>
        </w:rPr>
        <w:footnoteReference w:id="8"/>
      </w:r>
      <w:r w:rsidRPr="001E4A6A">
        <w:rPr>
          <w:rFonts w:ascii="Arial" w:eastAsia="Arial" w:hAnsi="Arial" w:cs="Arial"/>
          <w:sz w:val="20"/>
        </w:rPr>
        <w:t xml:space="preserve">.  </w:t>
      </w:r>
    </w:p>
    <w:p w14:paraId="0F567499"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2C3CD4E" w14:textId="77777777" w:rsidR="001E4A6A" w:rsidRPr="001E4A6A" w:rsidRDefault="001E4A6A" w:rsidP="001E4A6A">
      <w:pPr>
        <w:spacing w:after="0" w:line="240" w:lineRule="auto"/>
        <w:ind w:left="708"/>
        <w:jc w:val="both"/>
        <w:rPr>
          <w:rFonts w:ascii="Arial" w:eastAsia="Arial" w:hAnsi="Arial" w:cs="Arial"/>
          <w:sz w:val="20"/>
        </w:rPr>
      </w:pPr>
      <w:r w:rsidRPr="001E4A6A">
        <w:rPr>
          <w:rFonts w:ascii="Arial" w:eastAsia="Arial" w:hAnsi="Arial" w:cs="Arial"/>
          <w:sz w:val="20"/>
        </w:rPr>
        <w:t>En los casos de urbanismo para los conjuntos cerrados, el proyecto de urbanismo debe contemplar las vías de acceso, vías interiores, juegos, parqueaderos y jardines, de acuerdo con las normas de la entidad competente</w:t>
      </w:r>
      <w:r w:rsidRPr="001E4A6A">
        <w:rPr>
          <w:rFonts w:ascii="Arial" w:eastAsia="Arial" w:hAnsi="Arial" w:cs="Arial"/>
          <w:sz w:val="20"/>
          <w:vertAlign w:val="superscript"/>
        </w:rPr>
        <w:footnoteReference w:id="9"/>
      </w:r>
      <w:r w:rsidRPr="001E4A6A">
        <w:rPr>
          <w:rFonts w:ascii="Arial" w:eastAsia="Arial" w:hAnsi="Arial" w:cs="Arial"/>
          <w:sz w:val="20"/>
        </w:rPr>
        <w:t xml:space="preserve">. </w:t>
      </w:r>
    </w:p>
    <w:p w14:paraId="2CA7DF66"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3F3214C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Vicio de la Construcción:</w:t>
      </w:r>
      <w:r w:rsidRPr="001E4A6A">
        <w:rPr>
          <w:rFonts w:ascii="Arial" w:eastAsia="Arial" w:hAnsi="Arial" w:cs="Arial"/>
          <w:sz w:val="20"/>
        </w:rPr>
        <w:t xml:space="preserve"> Fallas generadas en los diseños o planos estructurales y/o el proceso constructivo de la estructura de la edificación, entendida como unidad estructuralmente independiente, que eventualmente pueden impedir su habitabilidad u ocupación debido al riesgo de pérdida de vidas.  </w:t>
      </w:r>
    </w:p>
    <w:p w14:paraId="7F53D86A"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4EA252F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Vicio de los Materiales: </w:t>
      </w:r>
      <w:r w:rsidRPr="001E4A6A">
        <w:rPr>
          <w:rFonts w:ascii="Arial" w:eastAsia="Arial" w:hAnsi="Arial" w:cs="Arial"/>
          <w:sz w:val="20"/>
        </w:rPr>
        <w:t xml:space="preserve">Fallas o defectos de los materiales utilizados en el proceso constructivo de la edificación, entendida como unidad estructuralmente independiente, que eventualmente pueden impedir su habitabilidad u ocupación debido al riesgo de pérdida de vidas.  </w:t>
      </w:r>
    </w:p>
    <w:p w14:paraId="4456B71C"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4DBB890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Vicio del Suelo: </w:t>
      </w:r>
      <w:r w:rsidRPr="001E4A6A">
        <w:rPr>
          <w:rFonts w:ascii="Arial" w:eastAsia="Arial" w:hAnsi="Arial" w:cs="Arial"/>
          <w:sz w:val="20"/>
        </w:rPr>
        <w:t xml:space="preserve">Fallas generadas en el suelo y/o en la construcción de la cimentación de la edificación, entendida como unidad estructuralmente independiente que propiciaron asentamientos diferenciales o totales que exceden los límites permitidos por el Título H del </w:t>
      </w:r>
      <w:r w:rsidRPr="001E4A6A">
        <w:rPr>
          <w:rFonts w:ascii="Arial" w:eastAsia="Arial" w:hAnsi="Arial" w:cs="Arial"/>
          <w:sz w:val="20"/>
        </w:rPr>
        <w:lastRenderedPageBreak/>
        <w:t xml:space="preserve">Reglamento NSR-10 y que eventualmente pueden impedir la habitabilidad u ocupación de la edificación debido al riesgo de pérdida de vidas.  </w:t>
      </w:r>
    </w:p>
    <w:p w14:paraId="2E84EC45"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3C68F04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sz w:val="20"/>
        </w:rPr>
      </w:pPr>
      <w:r w:rsidRPr="001E4A6A">
        <w:rPr>
          <w:rFonts w:ascii="Arial" w:eastAsia="Arial" w:hAnsi="Arial" w:cs="Arial"/>
          <w:b/>
          <w:bCs/>
          <w:sz w:val="20"/>
        </w:rPr>
        <w:t xml:space="preserve">Zona de Amenaza Sísmica (baja, intermedia o alta): </w:t>
      </w:r>
      <w:r w:rsidRPr="001E4A6A">
        <w:rPr>
          <w:rFonts w:ascii="Arial" w:eastAsia="Arial" w:hAnsi="Arial" w:cs="Arial"/>
          <w:sz w:val="20"/>
        </w:rPr>
        <w:t xml:space="preserve">Regiones del país donde la amenaza sísmica se considera baja, intermedia o alta, tal como define la NSR-10 en el literal A.2.3. Los requisitos de análisis y diseño estructural varían de una zona a otra. </w:t>
      </w:r>
    </w:p>
    <w:p w14:paraId="20D6AC23" w14:textId="77777777" w:rsidR="001E4A6A" w:rsidRPr="00807517" w:rsidRDefault="001E4A6A" w:rsidP="00807517">
      <w:pPr>
        <w:spacing w:after="0" w:line="240" w:lineRule="auto"/>
        <w:ind w:left="720"/>
        <w:contextualSpacing/>
        <w:jc w:val="both"/>
        <w:rPr>
          <w:rFonts w:eastAsia="Arial" w:cs="Arial"/>
          <w:b/>
        </w:rPr>
      </w:pPr>
    </w:p>
    <w:p w14:paraId="6696741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sz w:val="20"/>
        </w:rPr>
      </w:pPr>
      <w:r w:rsidRPr="001E4A6A">
        <w:rPr>
          <w:rFonts w:ascii="Arial" w:eastAsia="Arial" w:hAnsi="Arial" w:cs="Arial"/>
          <w:b/>
          <w:bCs/>
          <w:sz w:val="20"/>
        </w:rPr>
        <w:t>Zona Verde:</w:t>
      </w:r>
      <w:r w:rsidRPr="001E4A6A">
        <w:rPr>
          <w:rFonts w:ascii="Arial" w:eastAsia="Arial" w:hAnsi="Arial" w:cs="Arial"/>
          <w:sz w:val="20"/>
        </w:rPr>
        <w:t xml:space="preserve"> Espacio de carácter permanente, abierto y empradizado, de dominio o uso público, que hace parte del espacio público efectivo y destinado al uso recreativo.  </w:t>
      </w:r>
    </w:p>
    <w:p w14:paraId="34F13542" w14:textId="77777777" w:rsidR="001E4A6A" w:rsidRPr="006F6629" w:rsidRDefault="001E4A6A" w:rsidP="00807517">
      <w:pPr>
        <w:spacing w:after="0" w:line="240" w:lineRule="auto"/>
        <w:ind w:left="709"/>
        <w:contextualSpacing/>
        <w:jc w:val="both"/>
        <w:rPr>
          <w:rFonts w:eastAsia="Arial" w:cs="Arial"/>
          <w:b/>
        </w:rPr>
      </w:pPr>
    </w:p>
    <w:p w14:paraId="2494EBB6" w14:textId="77777777" w:rsidR="001E4A6A" w:rsidRPr="006F6629" w:rsidRDefault="001E4A6A" w:rsidP="001E4A6A">
      <w:pPr>
        <w:numPr>
          <w:ilvl w:val="1"/>
          <w:numId w:val="1"/>
        </w:numPr>
        <w:spacing w:after="0" w:line="240" w:lineRule="auto"/>
        <w:ind w:left="709" w:hanging="709"/>
        <w:contextualSpacing/>
        <w:jc w:val="both"/>
        <w:rPr>
          <w:rFonts w:ascii="Arial" w:eastAsia="Arial" w:hAnsi="Arial" w:cs="Arial"/>
          <w:b/>
          <w:sz w:val="20"/>
          <w:szCs w:val="20"/>
        </w:rPr>
      </w:pPr>
      <w:r w:rsidRPr="006F6629">
        <w:rPr>
          <w:rFonts w:ascii="Arial" w:eastAsia="Arial" w:hAnsi="Arial" w:cs="Arial"/>
          <w:b/>
          <w:sz w:val="20"/>
          <w:szCs w:val="20"/>
          <w:shd w:val="clear" w:color="auto" w:fill="FFFFFF"/>
          <w:lang w:val="es-ES"/>
        </w:rPr>
        <w:t>Zonas de Recreación Activa: </w:t>
      </w:r>
      <w:r w:rsidRPr="006F6629">
        <w:rPr>
          <w:rFonts w:ascii="Arial" w:eastAsia="Arial" w:hAnsi="Arial" w:cs="Arial"/>
          <w:sz w:val="20"/>
          <w:szCs w:val="20"/>
          <w:shd w:val="clear" w:color="auto" w:fill="FFFFFF"/>
          <w:lang w:val="es-ES"/>
        </w:rPr>
        <w:t>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00236A94" w14:textId="77777777" w:rsidR="001E4A6A" w:rsidRPr="006F6629" w:rsidRDefault="001E4A6A" w:rsidP="00807517">
      <w:pPr>
        <w:spacing w:after="0" w:line="240" w:lineRule="auto"/>
        <w:ind w:left="720"/>
        <w:contextualSpacing/>
        <w:jc w:val="both"/>
        <w:rPr>
          <w:rFonts w:eastAsia="Arial" w:cs="Arial"/>
          <w:b/>
        </w:rPr>
      </w:pPr>
    </w:p>
    <w:p w14:paraId="69BC71DA" w14:textId="77777777" w:rsidR="001E4A6A" w:rsidRPr="006F6629" w:rsidRDefault="001E4A6A" w:rsidP="001E4A6A">
      <w:pPr>
        <w:numPr>
          <w:ilvl w:val="1"/>
          <w:numId w:val="1"/>
        </w:numPr>
        <w:spacing w:after="0" w:line="240" w:lineRule="auto"/>
        <w:ind w:left="709" w:hanging="709"/>
        <w:contextualSpacing/>
        <w:jc w:val="both"/>
        <w:rPr>
          <w:rFonts w:ascii="Arial" w:eastAsia="Arial" w:hAnsi="Arial" w:cs="Arial"/>
          <w:b/>
          <w:sz w:val="20"/>
          <w:szCs w:val="20"/>
        </w:rPr>
      </w:pPr>
      <w:r w:rsidRPr="006F6629">
        <w:rPr>
          <w:rFonts w:ascii="Arial" w:eastAsia="Arial" w:hAnsi="Arial" w:cs="Arial"/>
          <w:b/>
          <w:sz w:val="20"/>
          <w:szCs w:val="20"/>
          <w:shd w:val="clear" w:color="auto" w:fill="FFFFFF"/>
          <w:lang w:val="es-ES"/>
        </w:rPr>
        <w:t>Zonas de Recreación Pasiva:</w:t>
      </w:r>
      <w:r w:rsidRPr="006F6629">
        <w:rPr>
          <w:rFonts w:ascii="Arial" w:eastAsia="Arial" w:hAnsi="Arial" w:cs="Arial"/>
          <w:sz w:val="20"/>
          <w:szCs w:val="20"/>
          <w:shd w:val="clear" w:color="auto" w:fill="FFFFFF"/>
          <w:lang w:val="es-ES"/>
        </w:rPr>
        <w:t> Brinda espacio a actividades de tipo lúdico o contemplativo, pueden estar ligados a actividades de carácter cultural. Zonas verdes, zonas duras, lagos, miradores, lugar para esculturas, espacios para proyecciones al aire libre.</w:t>
      </w:r>
    </w:p>
    <w:p w14:paraId="7D6899FA" w14:textId="77777777" w:rsidR="001E4A6A" w:rsidRPr="006F6629" w:rsidRDefault="001E4A6A" w:rsidP="00807517">
      <w:pPr>
        <w:spacing w:after="0" w:line="240" w:lineRule="auto"/>
        <w:ind w:left="720"/>
        <w:contextualSpacing/>
        <w:jc w:val="both"/>
        <w:rPr>
          <w:rFonts w:eastAsia="Arial" w:cs="Arial"/>
          <w:b/>
        </w:rPr>
      </w:pPr>
    </w:p>
    <w:p w14:paraId="30E7F59F" w14:textId="77777777" w:rsidR="001E4A6A" w:rsidRPr="006F6629" w:rsidRDefault="001E4A6A" w:rsidP="001E4A6A">
      <w:pPr>
        <w:spacing w:after="0" w:line="240" w:lineRule="auto"/>
        <w:ind w:left="709" w:hanging="709"/>
        <w:jc w:val="both"/>
        <w:rPr>
          <w:rFonts w:ascii="Arial" w:eastAsia="Arial" w:hAnsi="Arial" w:cs="Arial"/>
          <w:sz w:val="20"/>
        </w:rPr>
      </w:pPr>
    </w:p>
    <w:p w14:paraId="4606E73D" w14:textId="77777777" w:rsidR="00296FF8" w:rsidRDefault="00296FF8"/>
    <w:sectPr w:rsidR="00296FF8">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B34F9A" w14:textId="77777777" w:rsidR="00AF635C" w:rsidRDefault="00AF635C" w:rsidP="001E4A6A">
      <w:pPr>
        <w:spacing w:after="0" w:line="240" w:lineRule="auto"/>
      </w:pPr>
      <w:r>
        <w:separator/>
      </w:r>
    </w:p>
  </w:endnote>
  <w:endnote w:type="continuationSeparator" w:id="0">
    <w:p w14:paraId="23E069E5" w14:textId="77777777" w:rsidR="00AF635C" w:rsidRDefault="00AF635C" w:rsidP="001E4A6A">
      <w:pPr>
        <w:spacing w:after="0" w:line="240" w:lineRule="auto"/>
      </w:pPr>
      <w:r>
        <w:continuationSeparator/>
      </w:r>
    </w:p>
  </w:endnote>
  <w:endnote w:type="continuationNotice" w:id="1">
    <w:p w14:paraId="29F12419" w14:textId="77777777" w:rsidR="00AF635C" w:rsidRDefault="00AF63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3F825" w14:textId="77777777" w:rsidR="0028267A" w:rsidRDefault="0028267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1E4A6A" w:rsidRPr="007C1243" w14:paraId="6A793DDB" w14:textId="77777777" w:rsidTr="005A3029">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C35B5E5" w14:textId="77777777" w:rsidR="001E4A6A" w:rsidRPr="007C1243" w:rsidRDefault="001E4A6A" w:rsidP="001E4A6A">
          <w:pPr>
            <w:spacing w:after="4" w:line="247" w:lineRule="auto"/>
            <w:ind w:left="10" w:hanging="10"/>
            <w:rPr>
              <w:rFonts w:ascii="Arial" w:eastAsia="Arial" w:hAnsi="Arial" w:cs="Arial"/>
              <w:b/>
              <w:sz w:val="16"/>
              <w:szCs w:val="16"/>
              <w:lang w:eastAsia="es-CO"/>
            </w:rPr>
          </w:pPr>
          <w:r w:rsidRPr="007C1243">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38FF433" w14:textId="77777777" w:rsidR="001E4A6A" w:rsidRPr="007C1243" w:rsidRDefault="001E4A6A" w:rsidP="001E4A6A">
          <w:pPr>
            <w:spacing w:after="4" w:line="247" w:lineRule="auto"/>
            <w:ind w:left="10" w:hanging="10"/>
            <w:rPr>
              <w:rFonts w:ascii="Arial" w:eastAsia="Arial" w:hAnsi="Arial" w:cs="Arial"/>
              <w:sz w:val="16"/>
              <w:szCs w:val="16"/>
              <w:lang w:eastAsia="es-CO"/>
            </w:rPr>
          </w:pPr>
          <w:r w:rsidRPr="00807517">
            <w:rPr>
              <w:rFonts w:ascii="Arial" w:eastAsia="Times New Roman" w:hAnsi="Arial" w:cs="Arial"/>
              <w:sz w:val="16"/>
              <w:szCs w:val="16"/>
            </w:rPr>
            <w:t>CCE-EICP-IDI-38</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498127C" w14:textId="77777777" w:rsidR="001E4A6A" w:rsidRPr="007C1243" w:rsidRDefault="001E4A6A" w:rsidP="001E4A6A">
          <w:pPr>
            <w:spacing w:after="4" w:line="247" w:lineRule="auto"/>
            <w:ind w:left="10" w:hanging="10"/>
            <w:jc w:val="center"/>
            <w:rPr>
              <w:rFonts w:ascii="Arial" w:eastAsia="Arial" w:hAnsi="Arial" w:cs="Arial"/>
              <w:b/>
              <w:sz w:val="16"/>
              <w:szCs w:val="16"/>
              <w:lang w:eastAsia="es-CO"/>
            </w:rPr>
          </w:pPr>
          <w:r w:rsidRPr="007C1243">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909DD3C" w14:textId="77777777" w:rsidR="001E4A6A" w:rsidRPr="007C1243" w:rsidRDefault="001E4A6A" w:rsidP="001E4A6A">
          <w:pPr>
            <w:spacing w:after="4" w:line="247" w:lineRule="auto"/>
            <w:ind w:left="10" w:hanging="10"/>
            <w:rPr>
              <w:rFonts w:ascii="Arial" w:eastAsia="Arial" w:hAnsi="Arial" w:cs="Arial"/>
              <w:sz w:val="16"/>
              <w:szCs w:val="16"/>
              <w:lang w:eastAsia="es-CO"/>
            </w:rPr>
          </w:pPr>
          <w:r w:rsidRPr="007C1243">
            <w:rPr>
              <w:rFonts w:ascii="Arial" w:eastAsia="Arial" w:hAnsi="Arial" w:cs="Arial"/>
              <w:sz w:val="16"/>
              <w:szCs w:val="16"/>
              <w:lang w:eastAsia="es-CO"/>
            </w:rPr>
            <w:t>1</w:t>
          </w:r>
        </w:p>
      </w:tc>
    </w:tr>
  </w:tbl>
  <w:p w14:paraId="43CEEE8E" w14:textId="77777777" w:rsidR="001E4A6A" w:rsidRDefault="001E4A6A">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BE29D" w14:textId="77777777" w:rsidR="0028267A" w:rsidRDefault="0028267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D140DC" w14:textId="77777777" w:rsidR="00AF635C" w:rsidRDefault="00AF635C" w:rsidP="001E4A6A">
      <w:pPr>
        <w:spacing w:after="0" w:line="240" w:lineRule="auto"/>
      </w:pPr>
      <w:r>
        <w:separator/>
      </w:r>
    </w:p>
  </w:footnote>
  <w:footnote w:type="continuationSeparator" w:id="0">
    <w:p w14:paraId="21E8567F" w14:textId="77777777" w:rsidR="00AF635C" w:rsidRDefault="00AF635C" w:rsidP="001E4A6A">
      <w:pPr>
        <w:spacing w:after="0" w:line="240" w:lineRule="auto"/>
      </w:pPr>
      <w:r>
        <w:continuationSeparator/>
      </w:r>
    </w:p>
  </w:footnote>
  <w:footnote w:type="continuationNotice" w:id="1">
    <w:p w14:paraId="7E1470A9" w14:textId="77777777" w:rsidR="00AF635C" w:rsidRDefault="00AF635C">
      <w:pPr>
        <w:spacing w:after="0" w:line="240" w:lineRule="auto"/>
      </w:pPr>
    </w:p>
  </w:footnote>
  <w:footnote w:id="2">
    <w:p w14:paraId="65ECD1E6" w14:textId="77777777" w:rsidR="001E4A6A" w:rsidRPr="00124918" w:rsidRDefault="001E4A6A" w:rsidP="001E4A6A">
      <w:pPr>
        <w:pStyle w:val="Textonotapie1"/>
        <w:rPr>
          <w:lang w:val="es-MX"/>
        </w:rPr>
      </w:pPr>
      <w:r w:rsidRPr="0047211C">
        <w:rPr>
          <w:rStyle w:val="Refdenotaalpie"/>
          <w:sz w:val="16"/>
          <w:szCs w:val="16"/>
        </w:rPr>
        <w:footnoteRef/>
      </w:r>
      <w:r w:rsidRPr="0047211C">
        <w:rPr>
          <w:sz w:val="16"/>
          <w:szCs w:val="16"/>
        </w:rPr>
        <w:t xml:space="preserve"> Artículo 1 de la </w:t>
      </w:r>
      <w:r w:rsidRPr="0047211C">
        <w:rPr>
          <w:sz w:val="16"/>
          <w:szCs w:val="16"/>
          <w:lang w:val="es-MX"/>
        </w:rPr>
        <w:t>Ley 397 de 1997.</w:t>
      </w:r>
    </w:p>
  </w:footnote>
  <w:footnote w:id="3">
    <w:p w14:paraId="493D4B22" w14:textId="77777777" w:rsidR="001E4A6A" w:rsidRPr="00857B5D" w:rsidRDefault="001E4A6A" w:rsidP="001E4A6A">
      <w:pPr>
        <w:pStyle w:val="Textonotapie1"/>
        <w:rPr>
          <w:lang w:val="es-CO"/>
        </w:rPr>
      </w:pPr>
      <w:r w:rsidRPr="00857B5D">
        <w:rPr>
          <w:rStyle w:val="Refdenotaalpie"/>
          <w:sz w:val="16"/>
          <w:szCs w:val="16"/>
        </w:rPr>
        <w:footnoteRef/>
      </w:r>
      <w:r w:rsidRPr="00857B5D">
        <w:rPr>
          <w:sz w:val="16"/>
          <w:szCs w:val="16"/>
        </w:rPr>
        <w:t xml:space="preserve"> </w:t>
      </w:r>
      <w:r w:rsidRPr="00857B5D">
        <w:rPr>
          <w:sz w:val="16"/>
          <w:szCs w:val="16"/>
          <w:lang w:val="es-CO"/>
        </w:rPr>
        <w:t>Artículo 2 de la Ley 1356 de 2009.</w:t>
      </w:r>
    </w:p>
  </w:footnote>
  <w:footnote w:id="4">
    <w:p w14:paraId="4F782461" w14:textId="77777777" w:rsidR="001E4A6A" w:rsidRPr="00355101" w:rsidRDefault="001E4A6A" w:rsidP="00502B62">
      <w:pPr>
        <w:pStyle w:val="Textonotapie1"/>
        <w:rPr>
          <w:lang w:val="es-CO"/>
        </w:rPr>
      </w:pPr>
      <w:r>
        <w:rPr>
          <w:rStyle w:val="Refdenotaalpie"/>
        </w:rPr>
        <w:footnoteRef/>
      </w:r>
      <w:r>
        <w:t xml:space="preserve"> </w:t>
      </w:r>
      <w:r w:rsidRPr="00DA317E">
        <w:rPr>
          <w:sz w:val="16"/>
          <w:szCs w:val="16"/>
        </w:rPr>
        <w:t>Definición tomada de la «Guía general para la planeación, formulación, ejecución, y operación de proyectos de infraestructura cultural», Ministerio de Cultura, Primera Edición, Año 2011.</w:t>
      </w:r>
      <w:r>
        <w:rPr>
          <w:lang w:val="es-CO"/>
        </w:rPr>
        <w:t xml:space="preserve"> </w:t>
      </w:r>
    </w:p>
  </w:footnote>
  <w:footnote w:id="5">
    <w:p w14:paraId="4F186C96" w14:textId="77777777" w:rsidR="001E4A6A" w:rsidRPr="0002460C" w:rsidRDefault="001E4A6A" w:rsidP="001E4A6A">
      <w:pPr>
        <w:pStyle w:val="Textonotapie1"/>
        <w:rPr>
          <w:sz w:val="16"/>
          <w:szCs w:val="16"/>
          <w:lang w:val="es-CO"/>
        </w:rPr>
      </w:pPr>
      <w:r w:rsidRPr="0002460C">
        <w:rPr>
          <w:rStyle w:val="Refdenotaalpie"/>
          <w:sz w:val="16"/>
          <w:szCs w:val="16"/>
        </w:rPr>
        <w:footnoteRef/>
      </w:r>
      <w:r w:rsidRPr="0002460C">
        <w:rPr>
          <w:sz w:val="16"/>
          <w:szCs w:val="16"/>
        </w:rPr>
        <w:t xml:space="preserve"> Artículo 2.2.6.1.1.7. del Decreto 1077 de 2015.</w:t>
      </w:r>
    </w:p>
  </w:footnote>
  <w:footnote w:id="6">
    <w:p w14:paraId="770A9E0A" w14:textId="77777777" w:rsidR="001E4A6A" w:rsidRPr="00DF3736" w:rsidRDefault="001E4A6A" w:rsidP="001E4A6A">
      <w:pPr>
        <w:pStyle w:val="Textonotapie1"/>
        <w:rPr>
          <w:lang w:val="es-CO"/>
        </w:rPr>
      </w:pPr>
      <w:r w:rsidRPr="007E7D0F">
        <w:rPr>
          <w:rStyle w:val="Refdenotaalpie"/>
          <w:sz w:val="16"/>
          <w:szCs w:val="16"/>
        </w:rPr>
        <w:footnoteRef/>
      </w:r>
      <w:r w:rsidRPr="007E7D0F">
        <w:rPr>
          <w:sz w:val="16"/>
          <w:szCs w:val="16"/>
        </w:rPr>
        <w:t xml:space="preserve"> Artículo 2.2.6.1.1.10 del Decreto Único Reglamentario 1077 de 2015.</w:t>
      </w:r>
    </w:p>
  </w:footnote>
  <w:footnote w:id="7">
    <w:p w14:paraId="6D5DE6E2" w14:textId="77777777" w:rsidR="001E4A6A" w:rsidRPr="0059665C" w:rsidRDefault="001E4A6A" w:rsidP="001E4A6A">
      <w:pPr>
        <w:pStyle w:val="Textonotapie1"/>
        <w:rPr>
          <w:lang w:val="es-MX"/>
        </w:rPr>
      </w:pPr>
      <w:r w:rsidRPr="00C626CF">
        <w:rPr>
          <w:rStyle w:val="Refdenotaalpie"/>
          <w:sz w:val="16"/>
          <w:szCs w:val="16"/>
        </w:rPr>
        <w:footnoteRef/>
      </w:r>
      <w:r w:rsidRPr="00C626CF">
        <w:rPr>
          <w:sz w:val="16"/>
          <w:szCs w:val="16"/>
        </w:rPr>
        <w:t xml:space="preserve"> Artículo 2.2.1.1. del Decreto 1080 de 2015. </w:t>
      </w:r>
    </w:p>
  </w:footnote>
  <w:footnote w:id="8">
    <w:p w14:paraId="466F52AE" w14:textId="77777777" w:rsidR="001E4A6A" w:rsidRPr="00857B5D" w:rsidRDefault="001E4A6A" w:rsidP="001E4A6A">
      <w:pPr>
        <w:pStyle w:val="Textonotapie1"/>
        <w:rPr>
          <w:lang w:val="es-MX"/>
        </w:rPr>
      </w:pPr>
      <w:r w:rsidRPr="00857B5D">
        <w:rPr>
          <w:rStyle w:val="Refdenotaalpie"/>
          <w:sz w:val="16"/>
          <w:szCs w:val="16"/>
        </w:rPr>
        <w:footnoteRef/>
      </w:r>
      <w:r w:rsidRPr="00857B5D">
        <w:rPr>
          <w:sz w:val="16"/>
          <w:szCs w:val="16"/>
        </w:rPr>
        <w:t xml:space="preserve"> </w:t>
      </w:r>
      <w:r w:rsidRPr="00857B5D">
        <w:rPr>
          <w:sz w:val="16"/>
          <w:szCs w:val="16"/>
          <w:lang w:val="es-MX"/>
        </w:rPr>
        <w:t>Adaptado de: https://www.st-tasacion.es/es/herramientas/glosario/que-es-el-urbanismo.html</w:t>
      </w:r>
    </w:p>
  </w:footnote>
  <w:footnote w:id="9">
    <w:p w14:paraId="37C3AA50" w14:textId="77777777" w:rsidR="001E4A6A" w:rsidRPr="00857B5D" w:rsidRDefault="001E4A6A" w:rsidP="001E4A6A">
      <w:pPr>
        <w:pStyle w:val="Textonotapie1"/>
        <w:rPr>
          <w:lang w:val="es-MX"/>
        </w:rPr>
      </w:pPr>
      <w:r w:rsidRPr="00857B5D">
        <w:rPr>
          <w:rStyle w:val="Refdenotaalpie"/>
          <w:sz w:val="16"/>
          <w:szCs w:val="16"/>
        </w:rPr>
        <w:footnoteRef/>
      </w:r>
      <w:r w:rsidRPr="00857B5D">
        <w:rPr>
          <w:sz w:val="16"/>
          <w:szCs w:val="16"/>
        </w:rPr>
        <w:t xml:space="preserve"> </w:t>
      </w:r>
      <w:r w:rsidRPr="00857B5D">
        <w:rPr>
          <w:sz w:val="16"/>
          <w:szCs w:val="16"/>
          <w:lang w:val="es-MX"/>
        </w:rPr>
        <w:t>Literal j del numeral 2.1.2. del Decreto 2090 de 1989.</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DB55E" w14:textId="77777777" w:rsidR="0028267A" w:rsidRDefault="0028267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1E4A6A" w:rsidRPr="001E4A6A" w14:paraId="67EB92D4" w14:textId="77777777" w:rsidTr="005A3029">
      <w:trPr>
        <w:trHeight w:val="146"/>
        <w:jc w:val="center"/>
      </w:trPr>
      <w:tc>
        <w:tcPr>
          <w:tcW w:w="5000" w:type="pct"/>
          <w:gridSpan w:val="4"/>
          <w:shd w:val="clear" w:color="auto" w:fill="auto"/>
          <w:vAlign w:val="center"/>
        </w:tcPr>
        <w:p w14:paraId="1224E14D" w14:textId="5EA9388A" w:rsidR="001E4A6A" w:rsidRPr="001E4A6A" w:rsidRDefault="001E4A6A" w:rsidP="001E4A6A">
          <w:pPr>
            <w:tabs>
              <w:tab w:val="center" w:pos="4419"/>
              <w:tab w:val="right" w:pos="8838"/>
            </w:tabs>
            <w:jc w:val="center"/>
            <w:rPr>
              <w:rFonts w:ascii="Arial" w:eastAsia="Arial" w:hAnsi="Arial" w:cs="Arial"/>
              <w:b/>
              <w:sz w:val="16"/>
              <w:szCs w:val="16"/>
              <w:lang w:val="es-ES"/>
            </w:rPr>
          </w:pPr>
          <w:bookmarkStart w:id="0" w:name="_GoBack"/>
          <w:r w:rsidRPr="001E4A6A">
            <w:rPr>
              <w:rFonts w:ascii="Arial" w:eastAsia="Arial" w:hAnsi="Arial" w:cs="Arial"/>
              <w:b/>
              <w:sz w:val="16"/>
              <w:szCs w:val="16"/>
              <w:lang w:val="es-ES"/>
            </w:rPr>
            <w:t>ANEXO – GLOSARIO</w:t>
          </w:r>
        </w:p>
        <w:bookmarkEnd w:id="0"/>
        <w:p w14:paraId="2BE4144D" w14:textId="77777777" w:rsidR="001E4A6A" w:rsidRPr="001E4A6A" w:rsidRDefault="001E4A6A" w:rsidP="001E4A6A">
          <w:pPr>
            <w:tabs>
              <w:tab w:val="center" w:pos="4419"/>
              <w:tab w:val="right" w:pos="8838"/>
            </w:tabs>
            <w:jc w:val="center"/>
            <w:rPr>
              <w:rFonts w:ascii="Arial" w:eastAsia="Arial" w:hAnsi="Arial" w:cs="Arial"/>
              <w:b/>
              <w:sz w:val="16"/>
              <w:szCs w:val="16"/>
              <w:lang w:val="es-ES"/>
            </w:rPr>
          </w:pPr>
          <w:r w:rsidRPr="001E4A6A">
            <w:rPr>
              <w:rFonts w:ascii="Arial" w:eastAsia="Arial" w:hAnsi="Arial" w:cs="Arial"/>
              <w:b/>
              <w:sz w:val="16"/>
              <w:szCs w:val="16"/>
              <w:lang w:val="es-ES"/>
            </w:rPr>
            <w:t>LICITACIÓN DE OBRA PÚBLICA DEL SECTOR CULTURA, RECREACIÓN Y DEPORTE</w:t>
          </w:r>
        </w:p>
      </w:tc>
    </w:tr>
    <w:tr w:rsidR="001E4A6A" w:rsidRPr="001E4A6A" w14:paraId="5149E2D7" w14:textId="77777777" w:rsidTr="005A3029">
      <w:trPr>
        <w:trHeight w:val="234"/>
        <w:jc w:val="center"/>
      </w:trPr>
      <w:tc>
        <w:tcPr>
          <w:tcW w:w="674" w:type="pct"/>
          <w:shd w:val="clear" w:color="auto" w:fill="auto"/>
          <w:vAlign w:val="center"/>
        </w:tcPr>
        <w:p w14:paraId="536CCC72" w14:textId="77777777" w:rsidR="001E4A6A" w:rsidRPr="001E4A6A" w:rsidRDefault="001E4A6A" w:rsidP="001E4A6A">
          <w:pPr>
            <w:spacing w:after="4" w:line="249" w:lineRule="auto"/>
            <w:ind w:left="10" w:hanging="10"/>
            <w:jc w:val="both"/>
            <w:rPr>
              <w:rFonts w:ascii="Arial" w:eastAsia="Arial" w:hAnsi="Arial" w:cs="Arial"/>
              <w:b/>
              <w:sz w:val="18"/>
              <w:szCs w:val="18"/>
              <w:lang w:val="es-ES"/>
            </w:rPr>
          </w:pPr>
          <w:r w:rsidRPr="001E4A6A">
            <w:rPr>
              <w:rFonts w:ascii="Arial" w:eastAsia="Arial" w:hAnsi="Arial" w:cs="Arial"/>
              <w:b/>
              <w:sz w:val="18"/>
              <w:szCs w:val="18"/>
              <w:lang w:val="es-ES"/>
            </w:rPr>
            <w:t>Código</w:t>
          </w:r>
        </w:p>
      </w:tc>
      <w:tc>
        <w:tcPr>
          <w:tcW w:w="2636" w:type="pct"/>
          <w:shd w:val="clear" w:color="auto" w:fill="auto"/>
          <w:vAlign w:val="center"/>
        </w:tcPr>
        <w:p w14:paraId="0FEC0DCE" w14:textId="77777777" w:rsidR="001E4A6A" w:rsidRPr="001E4A6A" w:rsidRDefault="001E4A6A" w:rsidP="001E4A6A">
          <w:pPr>
            <w:spacing w:after="4" w:line="249" w:lineRule="auto"/>
            <w:ind w:left="10" w:hanging="10"/>
            <w:jc w:val="both"/>
            <w:rPr>
              <w:rFonts w:ascii="Arial" w:eastAsia="Arial" w:hAnsi="Arial" w:cs="Arial"/>
              <w:sz w:val="18"/>
              <w:szCs w:val="18"/>
              <w:lang w:val="es-ES"/>
            </w:rPr>
          </w:pPr>
          <w:r w:rsidRPr="00807517">
            <w:rPr>
              <w:rFonts w:ascii="Arial" w:eastAsia="Times New Roman" w:hAnsi="Arial" w:cs="Arial"/>
              <w:sz w:val="18"/>
              <w:szCs w:val="18"/>
              <w:lang w:val="es-ES"/>
            </w:rPr>
            <w:t>CCE-EICP-IDI-38</w:t>
          </w:r>
        </w:p>
      </w:tc>
      <w:tc>
        <w:tcPr>
          <w:tcW w:w="539" w:type="pct"/>
          <w:shd w:val="clear" w:color="auto" w:fill="auto"/>
          <w:vAlign w:val="center"/>
        </w:tcPr>
        <w:p w14:paraId="6DDA49E3" w14:textId="77777777" w:rsidR="001E4A6A" w:rsidRPr="001E4A6A" w:rsidRDefault="001E4A6A" w:rsidP="001E4A6A">
          <w:pPr>
            <w:spacing w:after="4" w:line="249" w:lineRule="auto"/>
            <w:ind w:left="10" w:hanging="10"/>
            <w:jc w:val="center"/>
            <w:rPr>
              <w:rFonts w:ascii="Arial" w:eastAsia="Arial" w:hAnsi="Arial" w:cs="Arial"/>
              <w:b/>
              <w:sz w:val="16"/>
              <w:szCs w:val="16"/>
              <w:lang w:val="es-ES"/>
            </w:rPr>
          </w:pPr>
          <w:r w:rsidRPr="001E4A6A">
            <w:rPr>
              <w:rFonts w:ascii="Arial" w:eastAsia="Arial" w:hAnsi="Arial" w:cs="Arial"/>
              <w:b/>
              <w:sz w:val="16"/>
              <w:szCs w:val="16"/>
              <w:lang w:val="es-ES"/>
            </w:rPr>
            <w:t>Página</w:t>
          </w:r>
        </w:p>
      </w:tc>
      <w:tc>
        <w:tcPr>
          <w:tcW w:w="1150" w:type="pct"/>
          <w:shd w:val="clear" w:color="auto" w:fill="auto"/>
          <w:vAlign w:val="center"/>
        </w:tcPr>
        <w:p w14:paraId="6A517030" w14:textId="6B5E178A" w:rsidR="001E4A6A" w:rsidRPr="001E4A6A" w:rsidRDefault="001E4A6A" w:rsidP="001E4A6A">
          <w:pPr>
            <w:spacing w:after="4" w:line="249" w:lineRule="auto"/>
            <w:ind w:left="10" w:hanging="10"/>
            <w:jc w:val="both"/>
            <w:rPr>
              <w:rFonts w:ascii="Arial" w:eastAsia="Arial" w:hAnsi="Arial" w:cs="Arial"/>
              <w:sz w:val="16"/>
              <w:szCs w:val="16"/>
              <w:lang w:val="es-ES"/>
            </w:rPr>
          </w:pPr>
          <w:r w:rsidRPr="001E4A6A">
            <w:rPr>
              <w:rFonts w:ascii="Arial" w:eastAsia="Arial" w:hAnsi="Arial" w:cs="Arial"/>
              <w:sz w:val="16"/>
              <w:szCs w:val="16"/>
              <w:lang w:val="es-ES"/>
            </w:rPr>
            <w:fldChar w:fldCharType="begin"/>
          </w:r>
          <w:r w:rsidRPr="001E4A6A">
            <w:rPr>
              <w:rFonts w:ascii="Arial" w:eastAsia="Arial" w:hAnsi="Arial" w:cs="Arial"/>
              <w:sz w:val="16"/>
              <w:szCs w:val="16"/>
              <w:lang w:val="es-ES"/>
            </w:rPr>
            <w:instrText xml:space="preserve"> PAGE </w:instrText>
          </w:r>
          <w:r w:rsidRPr="001E4A6A">
            <w:rPr>
              <w:rFonts w:ascii="Arial" w:eastAsia="Arial" w:hAnsi="Arial" w:cs="Arial"/>
              <w:sz w:val="16"/>
              <w:szCs w:val="16"/>
              <w:lang w:val="es-ES"/>
            </w:rPr>
            <w:fldChar w:fldCharType="separate"/>
          </w:r>
          <w:r w:rsidR="0028267A">
            <w:rPr>
              <w:rFonts w:ascii="Arial" w:eastAsia="Arial" w:hAnsi="Arial" w:cs="Arial"/>
              <w:noProof/>
              <w:sz w:val="16"/>
              <w:szCs w:val="16"/>
              <w:lang w:val="es-ES"/>
            </w:rPr>
            <w:t>1</w:t>
          </w:r>
          <w:r w:rsidRPr="001E4A6A">
            <w:rPr>
              <w:rFonts w:ascii="Arial" w:eastAsia="Arial" w:hAnsi="Arial" w:cs="Arial"/>
              <w:sz w:val="16"/>
              <w:szCs w:val="16"/>
              <w:lang w:val="es-ES"/>
            </w:rPr>
            <w:fldChar w:fldCharType="end"/>
          </w:r>
          <w:r w:rsidRPr="001E4A6A">
            <w:rPr>
              <w:rFonts w:ascii="Arial" w:eastAsia="Arial" w:hAnsi="Arial" w:cs="Arial"/>
              <w:sz w:val="16"/>
              <w:szCs w:val="16"/>
              <w:lang w:val="es-ES"/>
            </w:rPr>
            <w:t xml:space="preserve"> de </w:t>
          </w:r>
          <w:r w:rsidRPr="001E4A6A">
            <w:rPr>
              <w:rFonts w:ascii="Arial" w:eastAsia="Arial" w:hAnsi="Arial" w:cs="Arial"/>
              <w:sz w:val="16"/>
              <w:szCs w:val="16"/>
              <w:lang w:val="es-ES"/>
            </w:rPr>
            <w:fldChar w:fldCharType="begin"/>
          </w:r>
          <w:r w:rsidRPr="001E4A6A">
            <w:rPr>
              <w:rFonts w:ascii="Arial" w:eastAsia="Arial" w:hAnsi="Arial" w:cs="Arial"/>
              <w:sz w:val="16"/>
              <w:szCs w:val="16"/>
              <w:lang w:val="es-ES"/>
            </w:rPr>
            <w:instrText xml:space="preserve"> NUMPAGES </w:instrText>
          </w:r>
          <w:r w:rsidRPr="001E4A6A">
            <w:rPr>
              <w:rFonts w:ascii="Arial" w:eastAsia="Arial" w:hAnsi="Arial" w:cs="Arial"/>
              <w:sz w:val="16"/>
              <w:szCs w:val="16"/>
              <w:lang w:val="es-ES"/>
            </w:rPr>
            <w:fldChar w:fldCharType="separate"/>
          </w:r>
          <w:r w:rsidR="0028267A">
            <w:rPr>
              <w:rFonts w:ascii="Arial" w:eastAsia="Arial" w:hAnsi="Arial" w:cs="Arial"/>
              <w:noProof/>
              <w:sz w:val="16"/>
              <w:szCs w:val="16"/>
              <w:lang w:val="es-ES"/>
            </w:rPr>
            <w:t>18</w:t>
          </w:r>
          <w:r w:rsidRPr="001E4A6A">
            <w:rPr>
              <w:rFonts w:ascii="Arial" w:eastAsia="Arial" w:hAnsi="Arial" w:cs="Arial"/>
              <w:sz w:val="16"/>
              <w:szCs w:val="16"/>
              <w:lang w:val="es-ES"/>
            </w:rPr>
            <w:fldChar w:fldCharType="end"/>
          </w:r>
        </w:p>
      </w:tc>
    </w:tr>
    <w:tr w:rsidR="001E4A6A" w:rsidRPr="001E4A6A" w14:paraId="03D7C70D" w14:textId="77777777" w:rsidTr="005A3029">
      <w:trPr>
        <w:trHeight w:val="73"/>
        <w:jc w:val="center"/>
      </w:trPr>
      <w:tc>
        <w:tcPr>
          <w:tcW w:w="674" w:type="pct"/>
          <w:shd w:val="clear" w:color="auto" w:fill="auto"/>
          <w:vAlign w:val="center"/>
        </w:tcPr>
        <w:p w14:paraId="1A90202F" w14:textId="77777777" w:rsidR="001E4A6A" w:rsidRPr="001E4A6A" w:rsidRDefault="001E4A6A" w:rsidP="001E4A6A">
          <w:pPr>
            <w:spacing w:after="4" w:line="249" w:lineRule="auto"/>
            <w:ind w:left="10" w:hanging="10"/>
            <w:jc w:val="both"/>
            <w:rPr>
              <w:rFonts w:ascii="Arial" w:eastAsia="Arial" w:hAnsi="Arial" w:cs="Arial"/>
              <w:b/>
              <w:sz w:val="18"/>
              <w:szCs w:val="18"/>
              <w:lang w:val="es-ES"/>
            </w:rPr>
          </w:pPr>
          <w:r w:rsidRPr="001E4A6A">
            <w:rPr>
              <w:rFonts w:ascii="Arial" w:eastAsia="Arial" w:hAnsi="Arial" w:cs="Arial"/>
              <w:b/>
              <w:sz w:val="18"/>
              <w:szCs w:val="18"/>
              <w:lang w:val="es-ES"/>
            </w:rPr>
            <w:t>Versión No.</w:t>
          </w:r>
        </w:p>
      </w:tc>
      <w:tc>
        <w:tcPr>
          <w:tcW w:w="4325" w:type="pct"/>
          <w:gridSpan w:val="3"/>
          <w:shd w:val="clear" w:color="auto" w:fill="auto"/>
          <w:vAlign w:val="center"/>
        </w:tcPr>
        <w:p w14:paraId="262F68E4" w14:textId="77777777" w:rsidR="001E4A6A" w:rsidRPr="001E4A6A" w:rsidRDefault="001E4A6A" w:rsidP="001E4A6A">
          <w:pPr>
            <w:spacing w:after="4" w:line="249" w:lineRule="auto"/>
            <w:ind w:left="10" w:hanging="10"/>
            <w:jc w:val="both"/>
            <w:rPr>
              <w:rFonts w:ascii="Arial" w:eastAsia="Arial" w:hAnsi="Arial" w:cs="Arial"/>
              <w:sz w:val="16"/>
              <w:szCs w:val="16"/>
              <w:lang w:val="es-ES"/>
            </w:rPr>
          </w:pPr>
          <w:r w:rsidRPr="001E4A6A">
            <w:rPr>
              <w:rFonts w:ascii="Arial" w:eastAsia="Arial" w:hAnsi="Arial" w:cs="Arial"/>
              <w:sz w:val="16"/>
              <w:szCs w:val="16"/>
              <w:lang w:val="es-ES"/>
            </w:rPr>
            <w:t>1</w:t>
          </w:r>
        </w:p>
      </w:tc>
    </w:tr>
  </w:tbl>
  <w:p w14:paraId="0546171B" w14:textId="77777777" w:rsidR="001E4A6A" w:rsidRDefault="001E4A6A">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2E081" w14:textId="77777777" w:rsidR="0028267A" w:rsidRDefault="0028267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AC131D1"/>
    <w:multiLevelType w:val="hybridMultilevel"/>
    <w:tmpl w:val="4AF639EA"/>
    <w:lvl w:ilvl="0" w:tplc="1890AC28">
      <w:start w:val="1"/>
      <w:numFmt w:val="lowerLetter"/>
      <w:lvlText w:val="%1."/>
      <w:lvlJc w:val="left"/>
      <w:pPr>
        <w:ind w:left="2160" w:hanging="360"/>
      </w:pPr>
      <w:rPr>
        <w:rFonts w:hint="default"/>
      </w:rPr>
    </w:lvl>
    <w:lvl w:ilvl="1" w:tplc="7954EBD8">
      <w:start w:val="1"/>
      <w:numFmt w:val="decimal"/>
      <w:lvlText w:val="2.41.1.%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86713A"/>
    <w:multiLevelType w:val="hybridMultilevel"/>
    <w:tmpl w:val="153CF0FE"/>
    <w:lvl w:ilvl="0" w:tplc="240A000F">
      <w:start w:val="1"/>
      <w:numFmt w:val="decimal"/>
      <w:lvlText w:val="%1."/>
      <w:lvlJc w:val="left"/>
      <w:pPr>
        <w:ind w:left="2988" w:hanging="360"/>
      </w:pPr>
    </w:lvl>
    <w:lvl w:ilvl="1" w:tplc="240A0019">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 w15:restartNumberingAfterBreak="0">
    <w:nsid w:val="1E0D1573"/>
    <w:multiLevelType w:val="hybridMultilevel"/>
    <w:tmpl w:val="023890CE"/>
    <w:lvl w:ilvl="0" w:tplc="B1605114">
      <w:numFmt w:val="bullet"/>
      <w:lvlText w:val="-"/>
      <w:lvlJc w:val="left"/>
      <w:pPr>
        <w:ind w:left="1069" w:hanging="360"/>
      </w:pPr>
      <w:rPr>
        <w:rFonts w:ascii="Arial" w:eastAsiaTheme="minorHAnsi" w:hAnsi="Arial" w:cs="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4" w15:restartNumberingAfterBreak="0">
    <w:nsid w:val="224A39AC"/>
    <w:multiLevelType w:val="hybridMultilevel"/>
    <w:tmpl w:val="621A1434"/>
    <w:lvl w:ilvl="0" w:tplc="80EC4248">
      <w:start w:val="1"/>
      <w:numFmt w:val="lowerLetter"/>
      <w:lvlText w:val="%1)"/>
      <w:lvlJc w:val="left"/>
      <w:pPr>
        <w:ind w:left="1080" w:hanging="360"/>
      </w:pPr>
      <w:rPr>
        <w:rFonts w:hint="default"/>
        <w:b w:val="0"/>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30D23339"/>
    <w:multiLevelType w:val="hybridMultilevel"/>
    <w:tmpl w:val="A98A9950"/>
    <w:lvl w:ilvl="0" w:tplc="6994B5D8">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55782232"/>
    <w:multiLevelType w:val="hybridMultilevel"/>
    <w:tmpl w:val="F42A9708"/>
    <w:lvl w:ilvl="0" w:tplc="BA62D52A">
      <w:start w:val="1"/>
      <w:numFmt w:val="lowerLetter"/>
      <w:lvlText w:val="%1)"/>
      <w:lvlJc w:val="left"/>
      <w:pPr>
        <w:ind w:left="1080" w:hanging="360"/>
      </w:pPr>
      <w:rPr>
        <w:rFonts w:hint="default"/>
        <w:b w:val="0"/>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59AF4854"/>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8" w15:restartNumberingAfterBreak="0">
    <w:nsid w:val="62B62277"/>
    <w:multiLevelType w:val="hybridMultilevel"/>
    <w:tmpl w:val="EC9CC2B4"/>
    <w:lvl w:ilvl="0" w:tplc="240A000F">
      <w:start w:val="1"/>
      <w:numFmt w:val="decimal"/>
      <w:lvlText w:val="%1."/>
      <w:lvlJc w:val="left"/>
      <w:pPr>
        <w:ind w:left="2574"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 w15:restartNumberingAfterBreak="0">
    <w:nsid w:val="71B45A37"/>
    <w:multiLevelType w:val="hybridMultilevel"/>
    <w:tmpl w:val="8D322BF6"/>
    <w:lvl w:ilvl="0" w:tplc="240A000F">
      <w:start w:val="1"/>
      <w:numFmt w:val="decimal"/>
      <w:lvlText w:val="%1."/>
      <w:lvlJc w:val="left"/>
      <w:pPr>
        <w:ind w:left="1854" w:hanging="360"/>
      </w:p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num w:numId="1">
    <w:abstractNumId w:val="0"/>
  </w:num>
  <w:num w:numId="2">
    <w:abstractNumId w:val="3"/>
  </w:num>
  <w:num w:numId="3">
    <w:abstractNumId w:val="7"/>
  </w:num>
  <w:num w:numId="4">
    <w:abstractNumId w:val="9"/>
  </w:num>
  <w:num w:numId="5">
    <w:abstractNumId w:val="2"/>
  </w:num>
  <w:num w:numId="6">
    <w:abstractNumId w:val="8"/>
  </w:num>
  <w:num w:numId="7">
    <w:abstractNumId w:val="1"/>
  </w:num>
  <w:num w:numId="8">
    <w:abstractNumId w:val="5"/>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A6A"/>
    <w:rsid w:val="0003406F"/>
    <w:rsid w:val="00064BA3"/>
    <w:rsid w:val="000C76D5"/>
    <w:rsid w:val="000E54F6"/>
    <w:rsid w:val="00103C78"/>
    <w:rsid w:val="00116235"/>
    <w:rsid w:val="0019653E"/>
    <w:rsid w:val="001D77DD"/>
    <w:rsid w:val="001E4A6A"/>
    <w:rsid w:val="001F045A"/>
    <w:rsid w:val="00236DD5"/>
    <w:rsid w:val="00251102"/>
    <w:rsid w:val="0028267A"/>
    <w:rsid w:val="00296FF8"/>
    <w:rsid w:val="002C140D"/>
    <w:rsid w:val="003A36B5"/>
    <w:rsid w:val="003D6A62"/>
    <w:rsid w:val="003F6C80"/>
    <w:rsid w:val="004017FB"/>
    <w:rsid w:val="0043119C"/>
    <w:rsid w:val="0045495C"/>
    <w:rsid w:val="00490B12"/>
    <w:rsid w:val="004B2313"/>
    <w:rsid w:val="004C563A"/>
    <w:rsid w:val="004D59C9"/>
    <w:rsid w:val="00502B62"/>
    <w:rsid w:val="00514940"/>
    <w:rsid w:val="00527539"/>
    <w:rsid w:val="005352C3"/>
    <w:rsid w:val="005503ED"/>
    <w:rsid w:val="00552EC9"/>
    <w:rsid w:val="00560DF7"/>
    <w:rsid w:val="005A3029"/>
    <w:rsid w:val="005A33F3"/>
    <w:rsid w:val="005D0639"/>
    <w:rsid w:val="006170A0"/>
    <w:rsid w:val="006516AD"/>
    <w:rsid w:val="00665F6E"/>
    <w:rsid w:val="00673378"/>
    <w:rsid w:val="00675620"/>
    <w:rsid w:val="006A771D"/>
    <w:rsid w:val="006C5052"/>
    <w:rsid w:val="006F6629"/>
    <w:rsid w:val="00710492"/>
    <w:rsid w:val="007304F1"/>
    <w:rsid w:val="00751321"/>
    <w:rsid w:val="007772B1"/>
    <w:rsid w:val="007A167C"/>
    <w:rsid w:val="007C1243"/>
    <w:rsid w:val="007E1061"/>
    <w:rsid w:val="007F0F84"/>
    <w:rsid w:val="00807517"/>
    <w:rsid w:val="0088178C"/>
    <w:rsid w:val="00885B15"/>
    <w:rsid w:val="008E7E64"/>
    <w:rsid w:val="0090656F"/>
    <w:rsid w:val="00A24A11"/>
    <w:rsid w:val="00A46A99"/>
    <w:rsid w:val="00A507F7"/>
    <w:rsid w:val="00A73BCE"/>
    <w:rsid w:val="00A775DC"/>
    <w:rsid w:val="00AC1402"/>
    <w:rsid w:val="00AD1001"/>
    <w:rsid w:val="00AF635C"/>
    <w:rsid w:val="00B47D28"/>
    <w:rsid w:val="00BB383C"/>
    <w:rsid w:val="00BD043C"/>
    <w:rsid w:val="00BE55ED"/>
    <w:rsid w:val="00BE5D4F"/>
    <w:rsid w:val="00C36AA7"/>
    <w:rsid w:val="00C45BB2"/>
    <w:rsid w:val="00C67C8C"/>
    <w:rsid w:val="00C67D95"/>
    <w:rsid w:val="00C75054"/>
    <w:rsid w:val="00C83F74"/>
    <w:rsid w:val="00CB4EC3"/>
    <w:rsid w:val="00CC7085"/>
    <w:rsid w:val="00D122CC"/>
    <w:rsid w:val="00D700C9"/>
    <w:rsid w:val="00D74749"/>
    <w:rsid w:val="00D910CD"/>
    <w:rsid w:val="00DA317E"/>
    <w:rsid w:val="00E90DF7"/>
    <w:rsid w:val="00EA6FC9"/>
    <w:rsid w:val="00EF2C83"/>
    <w:rsid w:val="00F36D7D"/>
    <w:rsid w:val="00F906A8"/>
    <w:rsid w:val="00FC3700"/>
    <w:rsid w:val="00FD02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A5DF9"/>
  <w15:chartTrackingRefBased/>
  <w15:docId w15:val="{B80B6E16-F880-4BBE-9F86-57A2283D4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1E4A6A"/>
    <w:pPr>
      <w:keepNext/>
      <w:keepLines/>
      <w:spacing w:before="240" w:after="0"/>
      <w:outlineLvl w:val="0"/>
    </w:pPr>
    <w:rPr>
      <w:rFonts w:ascii="Arial" w:eastAsia="MS PGothic" w:hAnsi="Arial" w:cs="Arial"/>
      <w:b/>
      <w:sz w:val="20"/>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1">
    <w:name w:val="Título 11"/>
    <w:basedOn w:val="Normal"/>
    <w:next w:val="Normal"/>
    <w:uiPriority w:val="9"/>
    <w:qFormat/>
    <w:rsid w:val="001E4A6A"/>
    <w:pPr>
      <w:keepNext/>
      <w:keepLines/>
      <w:pBdr>
        <w:bottom w:val="single" w:sz="4" w:space="1" w:color="auto"/>
      </w:pBdr>
      <w:spacing w:after="0" w:line="240" w:lineRule="auto"/>
      <w:jc w:val="both"/>
      <w:outlineLvl w:val="0"/>
    </w:pPr>
    <w:rPr>
      <w:rFonts w:ascii="Arial" w:eastAsia="MS PGothic" w:hAnsi="Arial" w:cs="Arial"/>
      <w:b/>
      <w:sz w:val="20"/>
      <w:szCs w:val="32"/>
    </w:rPr>
  </w:style>
  <w:style w:type="numbering" w:customStyle="1" w:styleId="Sinlista1">
    <w:name w:val="Sin lista1"/>
    <w:next w:val="Sinlista"/>
    <w:uiPriority w:val="99"/>
    <w:semiHidden/>
    <w:unhideWhenUsed/>
    <w:rsid w:val="001E4A6A"/>
  </w:style>
  <w:style w:type="character" w:customStyle="1" w:styleId="Ttulo1Car">
    <w:name w:val="Título 1 Car"/>
    <w:basedOn w:val="Fuentedeprrafopredeter"/>
    <w:link w:val="Ttulo1"/>
    <w:uiPriority w:val="9"/>
    <w:rsid w:val="001E4A6A"/>
    <w:rPr>
      <w:rFonts w:ascii="Arial" w:eastAsia="MS PGothic" w:hAnsi="Arial" w:cs="Arial"/>
      <w:b/>
      <w:sz w:val="20"/>
      <w:szCs w:val="32"/>
    </w:rPr>
  </w:style>
  <w:style w:type="paragraph" w:customStyle="1" w:styleId="h181">
    <w:name w:val="h181"/>
    <w:basedOn w:val="Normal"/>
    <w:next w:val="Encabezado"/>
    <w:link w:val="EncabezadoCar"/>
    <w:uiPriority w:val="99"/>
    <w:unhideWhenUsed/>
    <w:rsid w:val="001E4A6A"/>
    <w:pPr>
      <w:tabs>
        <w:tab w:val="center" w:pos="4419"/>
        <w:tab w:val="right" w:pos="8838"/>
      </w:tabs>
      <w:spacing w:after="0" w:line="240" w:lineRule="auto"/>
      <w:jc w:val="both"/>
    </w:pPr>
    <w:rPr>
      <w:rFonts w:ascii="Arial" w:hAnsi="Arial"/>
      <w:sz w:val="20"/>
      <w:lang w:val="es-ES"/>
    </w:rPr>
  </w:style>
  <w:style w:type="character" w:customStyle="1" w:styleId="EncabezadoCar">
    <w:name w:val="Encabezado Car"/>
    <w:aliases w:val="h Car,h8 Car,h9 Car,h10 Car,h18 Car"/>
    <w:basedOn w:val="Fuentedeprrafopredeter"/>
    <w:link w:val="h181"/>
    <w:uiPriority w:val="99"/>
    <w:rsid w:val="001E4A6A"/>
    <w:rPr>
      <w:rFonts w:ascii="Arial" w:hAnsi="Arial"/>
      <w:sz w:val="20"/>
      <w:lang w:val="es-ES"/>
    </w:rPr>
  </w:style>
  <w:style w:type="paragraph" w:customStyle="1" w:styleId="Piedepgina1">
    <w:name w:val="Pie de página1"/>
    <w:basedOn w:val="Normal"/>
    <w:next w:val="Piedepgina"/>
    <w:link w:val="PiedepginaCar"/>
    <w:uiPriority w:val="99"/>
    <w:unhideWhenUsed/>
    <w:rsid w:val="001E4A6A"/>
    <w:pPr>
      <w:tabs>
        <w:tab w:val="center" w:pos="4419"/>
        <w:tab w:val="right" w:pos="8838"/>
      </w:tabs>
      <w:spacing w:after="0" w:line="240" w:lineRule="auto"/>
      <w:jc w:val="both"/>
    </w:pPr>
    <w:rPr>
      <w:rFonts w:ascii="Arial" w:hAnsi="Arial"/>
      <w:sz w:val="20"/>
      <w:lang w:val="es-ES"/>
    </w:rPr>
  </w:style>
  <w:style w:type="character" w:customStyle="1" w:styleId="PiedepginaCar">
    <w:name w:val="Pie de página Car"/>
    <w:basedOn w:val="Fuentedeprrafopredeter"/>
    <w:link w:val="Piedepgina1"/>
    <w:uiPriority w:val="99"/>
    <w:rsid w:val="001E4A6A"/>
    <w:rPr>
      <w:rFonts w:ascii="Arial" w:hAnsi="Arial"/>
      <w:sz w:val="20"/>
      <w:lang w:val="es-ES"/>
    </w:rPr>
  </w:style>
  <w:style w:type="table" w:customStyle="1" w:styleId="Cuadrculadetablaclara1">
    <w:name w:val="Cuadrícula de tabla clara1"/>
    <w:basedOn w:val="Tablanormal"/>
    <w:next w:val="Cuadrculadetablaclara"/>
    <w:uiPriority w:val="99"/>
    <w:rsid w:val="001E4A6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next w:val="Cuadrculadetablaclara"/>
    <w:uiPriority w:val="40"/>
    <w:rsid w:val="001E4A6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tulo10">
    <w:name w:val="Título1"/>
    <w:basedOn w:val="Normal"/>
    <w:next w:val="Normal"/>
    <w:uiPriority w:val="10"/>
    <w:qFormat/>
    <w:rsid w:val="001E4A6A"/>
    <w:pPr>
      <w:spacing w:after="0" w:line="240" w:lineRule="auto"/>
      <w:contextualSpacing/>
      <w:jc w:val="center"/>
    </w:pPr>
    <w:rPr>
      <w:rFonts w:ascii="Arial" w:eastAsia="MS PGothic" w:hAnsi="Arial" w:cs="Arial"/>
      <w:b/>
      <w:spacing w:val="-10"/>
      <w:kern w:val="28"/>
      <w:sz w:val="20"/>
      <w:szCs w:val="56"/>
      <w:lang w:val="es-ES"/>
    </w:rPr>
  </w:style>
  <w:style w:type="character" w:customStyle="1" w:styleId="TtuloCar">
    <w:name w:val="Título Car"/>
    <w:basedOn w:val="Fuentedeprrafopredeter"/>
    <w:link w:val="Ttulo"/>
    <w:uiPriority w:val="10"/>
    <w:rsid w:val="001E4A6A"/>
    <w:rPr>
      <w:rFonts w:ascii="Arial" w:eastAsia="MS PGothic" w:hAnsi="Arial" w:cs="Arial"/>
      <w:b/>
      <w:spacing w:val="-10"/>
      <w:kern w:val="28"/>
      <w:sz w:val="20"/>
      <w:szCs w:val="56"/>
      <w:lang w:val="es-ES"/>
    </w:rPr>
  </w:style>
  <w:style w:type="paragraph" w:customStyle="1" w:styleId="Prrafodelista1">
    <w:name w:val="Párrafo de lista1"/>
    <w:basedOn w:val="Normal"/>
    <w:next w:val="Prrafodelista"/>
    <w:uiPriority w:val="34"/>
    <w:qFormat/>
    <w:rsid w:val="001E4A6A"/>
    <w:pPr>
      <w:spacing w:after="0" w:line="240" w:lineRule="auto"/>
      <w:ind w:left="720"/>
      <w:contextualSpacing/>
      <w:jc w:val="both"/>
    </w:pPr>
    <w:rPr>
      <w:rFonts w:ascii="Arial" w:hAnsi="Arial"/>
      <w:sz w:val="20"/>
      <w:lang w:val="es-ES"/>
    </w:rPr>
  </w:style>
  <w:style w:type="paragraph" w:customStyle="1" w:styleId="Textonotapie1">
    <w:name w:val="Texto nota pie1"/>
    <w:basedOn w:val="Normal"/>
    <w:next w:val="Textonotapie"/>
    <w:link w:val="TextonotapieCar"/>
    <w:uiPriority w:val="99"/>
    <w:semiHidden/>
    <w:unhideWhenUsed/>
    <w:rsid w:val="001E4A6A"/>
    <w:pPr>
      <w:spacing w:after="0" w:line="240" w:lineRule="auto"/>
      <w:jc w:val="both"/>
    </w:pPr>
    <w:rPr>
      <w:rFonts w:ascii="Arial" w:hAnsi="Arial"/>
      <w:sz w:val="20"/>
      <w:szCs w:val="20"/>
      <w:lang w:val="es-ES"/>
    </w:rPr>
  </w:style>
  <w:style w:type="character" w:customStyle="1" w:styleId="TextonotapieCar">
    <w:name w:val="Texto nota pie Car"/>
    <w:basedOn w:val="Fuentedeprrafopredeter"/>
    <w:link w:val="Textonotapie1"/>
    <w:uiPriority w:val="99"/>
    <w:semiHidden/>
    <w:rsid w:val="001E4A6A"/>
    <w:rPr>
      <w:rFonts w:ascii="Arial" w:hAnsi="Arial"/>
      <w:sz w:val="20"/>
      <w:szCs w:val="20"/>
      <w:lang w:val="es-ES"/>
    </w:rPr>
  </w:style>
  <w:style w:type="character" w:styleId="Refdenotaalpie">
    <w:name w:val="footnote reference"/>
    <w:basedOn w:val="Fuentedeprrafopredeter"/>
    <w:uiPriority w:val="99"/>
    <w:semiHidden/>
    <w:unhideWhenUsed/>
    <w:rsid w:val="001E4A6A"/>
    <w:rPr>
      <w:vertAlign w:val="superscript"/>
    </w:rPr>
  </w:style>
  <w:style w:type="character" w:styleId="Refdecomentario">
    <w:name w:val="annotation reference"/>
    <w:basedOn w:val="Fuentedeprrafopredeter"/>
    <w:uiPriority w:val="99"/>
    <w:semiHidden/>
    <w:unhideWhenUsed/>
    <w:rsid w:val="001E4A6A"/>
    <w:rPr>
      <w:sz w:val="16"/>
      <w:szCs w:val="16"/>
    </w:rPr>
  </w:style>
  <w:style w:type="paragraph" w:customStyle="1" w:styleId="Textocomentario1">
    <w:name w:val="Texto comentario1"/>
    <w:basedOn w:val="Normal"/>
    <w:next w:val="Textocomentario"/>
    <w:link w:val="TextocomentarioCar"/>
    <w:uiPriority w:val="99"/>
    <w:unhideWhenUsed/>
    <w:rsid w:val="001E4A6A"/>
    <w:pPr>
      <w:spacing w:after="0" w:line="240" w:lineRule="auto"/>
      <w:jc w:val="both"/>
    </w:pPr>
    <w:rPr>
      <w:rFonts w:ascii="Arial" w:hAnsi="Arial"/>
      <w:sz w:val="20"/>
      <w:szCs w:val="20"/>
      <w:lang w:val="es-ES"/>
    </w:rPr>
  </w:style>
  <w:style w:type="character" w:customStyle="1" w:styleId="TextocomentarioCar">
    <w:name w:val="Texto comentario Car"/>
    <w:basedOn w:val="Fuentedeprrafopredeter"/>
    <w:link w:val="Textocomentario1"/>
    <w:uiPriority w:val="99"/>
    <w:rsid w:val="001E4A6A"/>
    <w:rPr>
      <w:rFonts w:ascii="Arial" w:hAnsi="Arial"/>
      <w:sz w:val="20"/>
      <w:szCs w:val="20"/>
      <w:lang w:val="es-ES"/>
    </w:rPr>
  </w:style>
  <w:style w:type="paragraph" w:customStyle="1" w:styleId="Asuntodelcomentario1">
    <w:name w:val="Asunto del comentario1"/>
    <w:basedOn w:val="Textocomentario"/>
    <w:next w:val="Textocomentario"/>
    <w:uiPriority w:val="99"/>
    <w:semiHidden/>
    <w:unhideWhenUsed/>
    <w:rsid w:val="001E4A6A"/>
    <w:pPr>
      <w:spacing w:after="0"/>
      <w:jc w:val="both"/>
    </w:pPr>
    <w:rPr>
      <w:rFonts w:ascii="Arial" w:hAnsi="Arial"/>
      <w:b/>
      <w:bCs/>
      <w:lang w:val="es-ES"/>
    </w:rPr>
  </w:style>
  <w:style w:type="character" w:customStyle="1" w:styleId="AsuntodelcomentarioCar">
    <w:name w:val="Asunto del comentario Car"/>
    <w:basedOn w:val="TextocomentarioCar"/>
    <w:link w:val="Asuntodelcomentario"/>
    <w:uiPriority w:val="99"/>
    <w:semiHidden/>
    <w:rsid w:val="001E4A6A"/>
    <w:rPr>
      <w:rFonts w:ascii="Arial" w:hAnsi="Arial"/>
      <w:b/>
      <w:bCs/>
      <w:sz w:val="20"/>
      <w:szCs w:val="20"/>
      <w:lang w:val="es-ES"/>
    </w:rPr>
  </w:style>
  <w:style w:type="paragraph" w:customStyle="1" w:styleId="Invias-VietaNumerada">
    <w:name w:val="Invias-Viñeta Numerada"/>
    <w:next w:val="Normal"/>
    <w:link w:val="Invias-VietaNumeradaCar"/>
    <w:uiPriority w:val="99"/>
    <w:qFormat/>
    <w:rsid w:val="001E4A6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1E4A6A"/>
    <w:rPr>
      <w:rFonts w:ascii="Arial Narrow" w:eastAsia="Times New Roman" w:hAnsi="Arial Narrow" w:cs="Times New Roman"/>
      <w:sz w:val="24"/>
      <w:szCs w:val="24"/>
      <w:lang w:val="en-US" w:eastAsia="es-ES"/>
    </w:rPr>
  </w:style>
  <w:style w:type="character" w:customStyle="1" w:styleId="Mention">
    <w:name w:val="Mention"/>
    <w:basedOn w:val="Fuentedeprrafopredeter"/>
    <w:uiPriority w:val="99"/>
    <w:unhideWhenUsed/>
    <w:rsid w:val="001E4A6A"/>
    <w:rPr>
      <w:color w:val="2B579A"/>
      <w:shd w:val="clear" w:color="auto" w:fill="E1DFDD"/>
    </w:rPr>
  </w:style>
  <w:style w:type="character" w:customStyle="1" w:styleId="normaltextrun">
    <w:name w:val="normaltextrun"/>
    <w:basedOn w:val="Fuentedeprrafopredeter"/>
    <w:rsid w:val="001E4A6A"/>
  </w:style>
  <w:style w:type="character" w:customStyle="1" w:styleId="UnresolvedMention">
    <w:name w:val="Unresolved Mention"/>
    <w:basedOn w:val="Fuentedeprrafopredeter"/>
    <w:uiPriority w:val="99"/>
    <w:unhideWhenUsed/>
    <w:rsid w:val="001E4A6A"/>
    <w:rPr>
      <w:color w:val="605E5C"/>
      <w:shd w:val="clear" w:color="auto" w:fill="E1DFDD"/>
    </w:rPr>
  </w:style>
  <w:style w:type="character" w:styleId="Textoennegrita">
    <w:name w:val="Strong"/>
    <w:basedOn w:val="Fuentedeprrafopredeter"/>
    <w:uiPriority w:val="22"/>
    <w:qFormat/>
    <w:rsid w:val="001E4A6A"/>
    <w:rPr>
      <w:b/>
      <w:bCs/>
    </w:rPr>
  </w:style>
  <w:style w:type="character" w:customStyle="1" w:styleId="Hipervnculo1">
    <w:name w:val="Hipervínculo1"/>
    <w:basedOn w:val="Fuentedeprrafopredeter"/>
    <w:uiPriority w:val="99"/>
    <w:unhideWhenUsed/>
    <w:rsid w:val="001E4A6A"/>
    <w:rPr>
      <w:color w:val="0563C1"/>
      <w:u w:val="single"/>
    </w:rPr>
  </w:style>
  <w:style w:type="paragraph" w:customStyle="1" w:styleId="Revisin1">
    <w:name w:val="Revisión1"/>
    <w:next w:val="Revisin"/>
    <w:hidden/>
    <w:uiPriority w:val="99"/>
    <w:semiHidden/>
    <w:rsid w:val="001E4A6A"/>
    <w:pPr>
      <w:spacing w:after="0" w:line="240" w:lineRule="auto"/>
    </w:pPr>
    <w:rPr>
      <w:rFonts w:ascii="Arial" w:hAnsi="Arial"/>
      <w:sz w:val="20"/>
      <w:lang w:val="es-ES"/>
    </w:rPr>
  </w:style>
  <w:style w:type="character" w:customStyle="1" w:styleId="Ttulo1Car1">
    <w:name w:val="Título 1 Car1"/>
    <w:basedOn w:val="Fuentedeprrafopredeter"/>
    <w:uiPriority w:val="9"/>
    <w:rsid w:val="001E4A6A"/>
    <w:rPr>
      <w:rFonts w:asciiTheme="majorHAnsi" w:eastAsiaTheme="majorEastAsia" w:hAnsiTheme="majorHAnsi" w:cstheme="majorBidi"/>
      <w:color w:val="2F5496" w:themeColor="accent1" w:themeShade="BF"/>
      <w:sz w:val="32"/>
      <w:szCs w:val="32"/>
    </w:rPr>
  </w:style>
  <w:style w:type="paragraph" w:styleId="Encabezado">
    <w:name w:val="header"/>
    <w:aliases w:val="h,h8,h9,h10,h18"/>
    <w:basedOn w:val="Normal"/>
    <w:link w:val="EncabezadoCar1"/>
    <w:uiPriority w:val="99"/>
    <w:unhideWhenUsed/>
    <w:rsid w:val="001E4A6A"/>
    <w:pPr>
      <w:tabs>
        <w:tab w:val="center" w:pos="4419"/>
        <w:tab w:val="right" w:pos="8838"/>
      </w:tabs>
      <w:spacing w:after="0" w:line="240" w:lineRule="auto"/>
    </w:pPr>
  </w:style>
  <w:style w:type="character" w:customStyle="1" w:styleId="EncabezadoCar1">
    <w:name w:val="Encabezado Car1"/>
    <w:aliases w:val="h Car1,h8 Car1,h9 Car1,h10 Car1,h18 Car1"/>
    <w:basedOn w:val="Fuentedeprrafopredeter"/>
    <w:link w:val="Encabezado"/>
    <w:uiPriority w:val="99"/>
    <w:rsid w:val="001E4A6A"/>
  </w:style>
  <w:style w:type="paragraph" w:styleId="Piedepgina">
    <w:name w:val="footer"/>
    <w:basedOn w:val="Normal"/>
    <w:link w:val="PiedepginaCar1"/>
    <w:uiPriority w:val="99"/>
    <w:unhideWhenUsed/>
    <w:rsid w:val="001E4A6A"/>
    <w:pPr>
      <w:tabs>
        <w:tab w:val="center" w:pos="4419"/>
        <w:tab w:val="right" w:pos="8838"/>
      </w:tabs>
      <w:spacing w:after="0" w:line="240" w:lineRule="auto"/>
    </w:pPr>
  </w:style>
  <w:style w:type="character" w:customStyle="1" w:styleId="PiedepginaCar1">
    <w:name w:val="Pie de página Car1"/>
    <w:basedOn w:val="Fuentedeprrafopredeter"/>
    <w:link w:val="Piedepgina"/>
    <w:uiPriority w:val="99"/>
    <w:rsid w:val="001E4A6A"/>
  </w:style>
  <w:style w:type="table" w:styleId="Cuadrculadetablaclara">
    <w:name w:val="Grid Table Light"/>
    <w:basedOn w:val="Tablanormal"/>
    <w:uiPriority w:val="40"/>
    <w:rsid w:val="001E4A6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basedOn w:val="Normal"/>
    <w:next w:val="Normal"/>
    <w:link w:val="TtuloCar"/>
    <w:uiPriority w:val="10"/>
    <w:qFormat/>
    <w:rsid w:val="001E4A6A"/>
    <w:pPr>
      <w:spacing w:after="0" w:line="240" w:lineRule="auto"/>
      <w:contextualSpacing/>
    </w:pPr>
    <w:rPr>
      <w:rFonts w:ascii="Arial" w:eastAsia="MS PGothic" w:hAnsi="Arial" w:cs="Arial"/>
      <w:b/>
      <w:spacing w:val="-10"/>
      <w:kern w:val="28"/>
      <w:sz w:val="20"/>
      <w:szCs w:val="56"/>
      <w:lang w:val="es-ES"/>
    </w:rPr>
  </w:style>
  <w:style w:type="character" w:customStyle="1" w:styleId="TtuloCar1">
    <w:name w:val="Título Car1"/>
    <w:basedOn w:val="Fuentedeprrafopredeter"/>
    <w:uiPriority w:val="10"/>
    <w:rsid w:val="001E4A6A"/>
    <w:rPr>
      <w:rFonts w:asciiTheme="majorHAnsi" w:eastAsiaTheme="majorEastAsia" w:hAnsiTheme="majorHAnsi" w:cstheme="majorBidi"/>
      <w:spacing w:val="-10"/>
      <w:kern w:val="28"/>
      <w:sz w:val="56"/>
      <w:szCs w:val="56"/>
    </w:rPr>
  </w:style>
  <w:style w:type="paragraph" w:styleId="Prrafodelista">
    <w:name w:val="List Paragraph"/>
    <w:basedOn w:val="Normal"/>
    <w:uiPriority w:val="34"/>
    <w:qFormat/>
    <w:rsid w:val="001E4A6A"/>
    <w:pPr>
      <w:ind w:left="720"/>
      <w:contextualSpacing/>
    </w:pPr>
  </w:style>
  <w:style w:type="paragraph" w:styleId="Textonotapie">
    <w:name w:val="footnote text"/>
    <w:basedOn w:val="Normal"/>
    <w:link w:val="TextonotapieCar1"/>
    <w:uiPriority w:val="99"/>
    <w:semiHidden/>
    <w:unhideWhenUsed/>
    <w:rsid w:val="001E4A6A"/>
    <w:pPr>
      <w:spacing w:after="0" w:line="240" w:lineRule="auto"/>
    </w:pPr>
    <w:rPr>
      <w:sz w:val="20"/>
      <w:szCs w:val="20"/>
    </w:rPr>
  </w:style>
  <w:style w:type="character" w:customStyle="1" w:styleId="TextonotapieCar1">
    <w:name w:val="Texto nota pie Car1"/>
    <w:basedOn w:val="Fuentedeprrafopredeter"/>
    <w:link w:val="Textonotapie"/>
    <w:uiPriority w:val="99"/>
    <w:semiHidden/>
    <w:rsid w:val="001E4A6A"/>
    <w:rPr>
      <w:sz w:val="20"/>
      <w:szCs w:val="20"/>
    </w:rPr>
  </w:style>
  <w:style w:type="paragraph" w:styleId="Textocomentario">
    <w:name w:val="annotation text"/>
    <w:basedOn w:val="Normal"/>
    <w:link w:val="TextocomentarioCar1"/>
    <w:uiPriority w:val="99"/>
    <w:semiHidden/>
    <w:unhideWhenUsed/>
    <w:rsid w:val="001E4A6A"/>
    <w:pPr>
      <w:spacing w:line="240" w:lineRule="auto"/>
    </w:pPr>
    <w:rPr>
      <w:sz w:val="20"/>
      <w:szCs w:val="20"/>
    </w:rPr>
  </w:style>
  <w:style w:type="character" w:customStyle="1" w:styleId="TextocomentarioCar1">
    <w:name w:val="Texto comentario Car1"/>
    <w:basedOn w:val="Fuentedeprrafopredeter"/>
    <w:link w:val="Textocomentario"/>
    <w:uiPriority w:val="99"/>
    <w:semiHidden/>
    <w:rsid w:val="001E4A6A"/>
    <w:rPr>
      <w:sz w:val="20"/>
      <w:szCs w:val="20"/>
    </w:rPr>
  </w:style>
  <w:style w:type="paragraph" w:styleId="Asuntodelcomentario">
    <w:name w:val="annotation subject"/>
    <w:basedOn w:val="Textocomentario"/>
    <w:next w:val="Textocomentario"/>
    <w:link w:val="AsuntodelcomentarioCar"/>
    <w:uiPriority w:val="99"/>
    <w:semiHidden/>
    <w:unhideWhenUsed/>
    <w:rsid w:val="001E4A6A"/>
    <w:rPr>
      <w:rFonts w:ascii="Arial" w:hAnsi="Arial"/>
      <w:b/>
      <w:bCs/>
      <w:lang w:val="es-ES"/>
    </w:rPr>
  </w:style>
  <w:style w:type="character" w:customStyle="1" w:styleId="AsuntodelcomentarioCar1">
    <w:name w:val="Asunto del comentario Car1"/>
    <w:basedOn w:val="TextocomentarioCar1"/>
    <w:uiPriority w:val="99"/>
    <w:semiHidden/>
    <w:rsid w:val="001E4A6A"/>
    <w:rPr>
      <w:b/>
      <w:bCs/>
      <w:sz w:val="20"/>
      <w:szCs w:val="20"/>
    </w:rPr>
  </w:style>
  <w:style w:type="character" w:styleId="Hipervnculo">
    <w:name w:val="Hyperlink"/>
    <w:basedOn w:val="Fuentedeprrafopredeter"/>
    <w:uiPriority w:val="99"/>
    <w:semiHidden/>
    <w:unhideWhenUsed/>
    <w:rsid w:val="001E4A6A"/>
    <w:rPr>
      <w:color w:val="0563C1" w:themeColor="hyperlink"/>
      <w:u w:val="single"/>
    </w:rPr>
  </w:style>
  <w:style w:type="paragraph" w:styleId="Revisin">
    <w:name w:val="Revision"/>
    <w:hidden/>
    <w:uiPriority w:val="99"/>
    <w:semiHidden/>
    <w:rsid w:val="001E4A6A"/>
    <w:pPr>
      <w:spacing w:after="0" w:line="240" w:lineRule="auto"/>
    </w:pPr>
  </w:style>
  <w:style w:type="table" w:customStyle="1" w:styleId="Cuadrculadetablaclara11">
    <w:name w:val="Cuadrícula de tabla clara11"/>
    <w:basedOn w:val="Tablanormal"/>
    <w:next w:val="Cuadrculadetablaclara"/>
    <w:uiPriority w:val="99"/>
    <w:rsid w:val="001E4A6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C7E69-F998-47BB-A855-B4BE54A188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A68DCD-C294-48B5-9DD7-339F2838B359}">
  <ds:schemaRefs>
    <ds:schemaRef ds:uri="http://schemas.microsoft.com/sharepoint/v3/contenttype/forms"/>
  </ds:schemaRefs>
</ds:datastoreItem>
</file>

<file path=customXml/itemProps3.xml><?xml version="1.0" encoding="utf-8"?>
<ds:datastoreItem xmlns:ds="http://schemas.openxmlformats.org/officeDocument/2006/customXml" ds:itemID="{6EDC0C4E-CD02-422E-8F86-921BE8120144}">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61C4C921-4339-494E-8A3F-6E4E78572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8439</Words>
  <Characters>46415</Characters>
  <Application>Microsoft Office Word</Application>
  <DocSecurity>0</DocSecurity>
  <Lines>386</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Maria del Mar Gonzalez Pascuas</cp:lastModifiedBy>
  <cp:revision>2</cp:revision>
  <dcterms:created xsi:type="dcterms:W3CDTF">2023-08-29T20:41:00Z</dcterms:created>
  <dcterms:modified xsi:type="dcterms:W3CDTF">2023-08-29T20:41:00Z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