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417FFAED" w:rsidR="00DC179A" w:rsidRDefault="00DC179A" w:rsidP="00DC179A">
      <w:pPr>
        <w:pStyle w:val="Prrafodelista"/>
        <w:ind w:left="0"/>
        <w:jc w:val="center"/>
        <w:rPr>
          <w:rFonts w:cstheme="minorHAnsi"/>
          <w:b/>
          <w:szCs w:val="20"/>
          <w:lang w:val="es-CO"/>
        </w:rPr>
      </w:pPr>
      <w:r w:rsidRPr="0026093C">
        <w:rPr>
          <w:rFonts w:cstheme="minorHAnsi"/>
          <w:b/>
          <w:szCs w:val="20"/>
          <w:lang w:val="es-CO"/>
        </w:rPr>
        <w:t xml:space="preserve">ANEXO </w:t>
      </w:r>
      <w:r w:rsidR="007549D5">
        <w:rPr>
          <w:rFonts w:cstheme="minorHAnsi"/>
          <w:b/>
          <w:szCs w:val="20"/>
          <w:lang w:val="es-CO"/>
        </w:rPr>
        <w:t>3</w:t>
      </w:r>
      <w:r w:rsidRPr="0026093C">
        <w:rPr>
          <w:rFonts w:cstheme="minorHAnsi"/>
          <w:b/>
          <w:szCs w:val="20"/>
          <w:lang w:val="es-CO"/>
        </w:rPr>
        <w:t xml:space="preserve"> — GLOSARIO</w:t>
      </w:r>
    </w:p>
    <w:p w14:paraId="10384724" w14:textId="77777777" w:rsidR="007549D5" w:rsidRPr="0026093C" w:rsidRDefault="007549D5" w:rsidP="00DC179A">
      <w:pPr>
        <w:pStyle w:val="Prrafodelista"/>
        <w:ind w:left="0"/>
        <w:jc w:val="center"/>
        <w:rPr>
          <w:rFonts w:cstheme="minorHAnsi"/>
          <w:b/>
          <w:szCs w:val="20"/>
          <w:lang w:val="es-CO"/>
        </w:rPr>
      </w:pPr>
    </w:p>
    <w:p w14:paraId="1F13B345" w14:textId="15FD3A20" w:rsidR="007549D5" w:rsidRDefault="00DC179A" w:rsidP="007549D5">
      <w:pPr>
        <w:jc w:val="both"/>
        <w:rPr>
          <w:rFonts w:eastAsia="Arial" w:cstheme="minorHAnsi"/>
          <w:b/>
          <w:szCs w:val="20"/>
          <w:lang w:val="es-CO"/>
        </w:rPr>
      </w:pPr>
      <w:r w:rsidRPr="0026093C">
        <w:rPr>
          <w:rFonts w:eastAsia="Arial" w:cstheme="minorHAnsi"/>
          <w:szCs w:val="20"/>
          <w:lang w:val="es-CO"/>
        </w:rPr>
        <w:t>Para efectos de interpretación de</w:t>
      </w:r>
      <w:r w:rsidR="007549D5">
        <w:rPr>
          <w:rFonts w:eastAsia="Arial" w:cstheme="minorHAnsi"/>
          <w:szCs w:val="20"/>
          <w:lang w:val="es-CO"/>
        </w:rPr>
        <w:t xml:space="preserve"> la invitación</w:t>
      </w:r>
    </w:p>
    <w:p w14:paraId="5D80C8D2" w14:textId="77777777" w:rsidR="007549D5" w:rsidRDefault="007549D5" w:rsidP="007549D5">
      <w:pPr>
        <w:jc w:val="both"/>
        <w:rPr>
          <w:rFonts w:eastAsia="Arial" w:cstheme="minorHAnsi"/>
          <w:b/>
          <w:szCs w:val="20"/>
          <w:lang w:val="es-CO"/>
        </w:rPr>
      </w:pPr>
    </w:p>
    <w:p w14:paraId="66A0FAE3" w14:textId="51D11789" w:rsidR="00DC179A" w:rsidRPr="0026093C" w:rsidRDefault="007549D5" w:rsidP="007549D5">
      <w:pPr>
        <w:jc w:val="both"/>
        <w:rPr>
          <w:rFonts w:cstheme="minorHAnsi"/>
          <w:b/>
          <w:szCs w:val="20"/>
          <w:lang w:val="es-CO"/>
        </w:rPr>
      </w:pPr>
      <w:r w:rsidRPr="0026093C">
        <w:rPr>
          <w:rFonts w:eastAsia="Arial" w:cstheme="minorHAnsi"/>
          <w:b/>
          <w:szCs w:val="20"/>
          <w:lang w:val="es-CO"/>
        </w:rPr>
        <w:t>GLOSARIO</w:t>
      </w:r>
      <w:r w:rsidR="00DC179A" w:rsidRPr="0026093C">
        <w:rPr>
          <w:rFonts w:eastAsia="Arial" w:cstheme="minorHAnsi"/>
          <w:b/>
          <w:szCs w:val="20"/>
          <w:lang w:val="es-CO"/>
        </w:rPr>
        <w:t xml:space="preserve">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 xml:space="preserve">iseño y Construcción Sismo – Resistente. Los procesos constructivos involucran el estudio del espectro sísmico desde el componente geotécnico hasta la forma de implementar los conectores entre la superestructura y la subestructura. </w:t>
      </w:r>
      <w:r w:rsidRPr="0026093C">
        <w:rPr>
          <w:rFonts w:cstheme="minorHAnsi"/>
          <w:szCs w:val="20"/>
          <w:lang w:val="es-CO"/>
        </w:rPr>
        <w:lastRenderedPageBreak/>
        <w:t>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lastRenderedPageBreak/>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lastRenderedPageBreak/>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 xml:space="preserve">definida que comprende la pista y la zona de parada, si la hubiese, destinada a: a) reducir el riesgo de daños a las aeronaves que se salgan de la </w:t>
      </w:r>
      <w:r w:rsidRPr="0026093C">
        <w:rPr>
          <w:rFonts w:asciiTheme="minorHAnsi" w:hAnsiTheme="minorHAnsi" w:cstheme="minorHAnsi"/>
          <w:sz w:val="20"/>
          <w:szCs w:val="20"/>
          <w:lang w:val="es-ES"/>
        </w:rPr>
        <w:lastRenderedPageBreak/>
        <w:t>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lastRenderedPageBreak/>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26093C">
        <w:rPr>
          <w:rFonts w:asciiTheme="minorHAnsi" w:hAnsiTheme="minorHAnsi" w:cstheme="minorHAnsi"/>
          <w:sz w:val="20"/>
          <w:szCs w:val="20"/>
          <w:lang w:val="es-CO"/>
        </w:rPr>
        <w:lastRenderedPageBreak/>
        <w:t>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w:t>
      </w:r>
      <w:r w:rsidRPr="0026093C">
        <w:rPr>
          <w:rFonts w:asciiTheme="minorHAnsi" w:hAnsiTheme="minorHAnsi" w:cstheme="minorHAnsi"/>
          <w:sz w:val="20"/>
          <w:szCs w:val="20"/>
          <w:lang w:val="es-CO" w:eastAsia="es-CO"/>
        </w:rPr>
        <w:lastRenderedPageBreak/>
        <w:t>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160F621A" w:rsidR="00DC179A"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67332F66" w14:textId="77777777" w:rsidR="006F5C61" w:rsidRPr="006F5C61" w:rsidRDefault="006F5C61" w:rsidP="006F5C61">
      <w:pPr>
        <w:rPr>
          <w:szCs w:val="20"/>
          <w:lang w:val="es-CO" w:eastAsia="es-ES"/>
        </w:rPr>
      </w:pPr>
    </w:p>
    <w:p w14:paraId="771E0C74" w14:textId="012B3CED" w:rsidR="006F5C61" w:rsidRPr="008F1721" w:rsidRDefault="006F5C61" w:rsidP="008F1721">
      <w:pPr>
        <w:spacing w:line="254" w:lineRule="atLeast"/>
        <w:jc w:val="both"/>
        <w:rPr>
          <w:rFonts w:ascii="Arial" w:eastAsia="Times New Roman" w:hAnsi="Arial" w:cs="Arial"/>
          <w:color w:val="000000"/>
          <w:szCs w:val="20"/>
          <w:lang w:val="es-CO" w:eastAsia="es-CO"/>
        </w:rPr>
      </w:pPr>
      <w:r w:rsidRPr="008F1721">
        <w:rPr>
          <w:rFonts w:ascii="Arial" w:eastAsia="Times New Roman" w:hAnsi="Arial" w:cs="Arial"/>
          <w:b/>
          <w:bCs/>
          <w:color w:val="000000"/>
          <w:szCs w:val="20"/>
          <w:lang w:val="es-CO" w:eastAsia="es-CO"/>
        </w:rPr>
        <w:t>Artículo 2.2.1.1.1.3.1. </w:t>
      </w:r>
      <w:r w:rsidRPr="008F1721">
        <w:rPr>
          <w:rFonts w:ascii="Arial" w:eastAsia="Times New Roman" w:hAnsi="Arial" w:cs="Arial"/>
          <w:b/>
          <w:bCs/>
          <w:i/>
          <w:iCs/>
          <w:color w:val="000000"/>
          <w:szCs w:val="20"/>
          <w:lang w:val="es-CO" w:eastAsia="es-CO"/>
        </w:rPr>
        <w:t>Definiciones</w:t>
      </w:r>
      <w:r w:rsidRPr="008F1721">
        <w:rPr>
          <w:rFonts w:ascii="Arial" w:eastAsia="Times New Roman" w:hAnsi="Arial" w:cs="Arial"/>
          <w:b/>
          <w:bCs/>
          <w:color w:val="000000"/>
          <w:szCs w:val="20"/>
          <w:lang w:val="es-CO" w:eastAsia="es-CO"/>
        </w:rPr>
        <w:t>. </w:t>
      </w:r>
      <w:r w:rsidRPr="008F1721">
        <w:rPr>
          <w:rFonts w:ascii="Arial" w:eastAsia="Times New Roman" w:hAnsi="Arial" w:cs="Arial"/>
          <w:color w:val="000000"/>
          <w:szCs w:val="20"/>
          <w:lang w:val="es-CO" w:eastAsia="es-CO"/>
        </w:rPr>
        <w:t>Los términos no definidos en el Título I de la Parte 2 del decreto 142 del 2023 y utilizados frecuentemente deben entenderse de acuerdo con su significado natural y obvio. Para la interpretación de las expresiones aquí utilizadas con mayúscula inicial deben ser entendidas con el significado que a continuación se indica. Los términos definidos son utilizados en singular y en plural de acuerdo como lo requiera el contexto en el cual son utilizados. </w:t>
      </w:r>
    </w:p>
    <w:p w14:paraId="56D0C5AF" w14:textId="77777777" w:rsidR="006F5C61" w:rsidRPr="006F5C61" w:rsidRDefault="006F5C61" w:rsidP="006F5C61">
      <w:pPr>
        <w:pStyle w:val="Prrafodelista"/>
        <w:spacing w:line="254" w:lineRule="atLeast"/>
        <w:ind w:left="360"/>
        <w:jc w:val="both"/>
        <w:rPr>
          <w:rFonts w:ascii="Arial" w:eastAsia="Times New Roman" w:hAnsi="Arial" w:cs="Arial"/>
          <w:color w:val="000000"/>
          <w:sz w:val="24"/>
          <w:szCs w:val="24"/>
          <w:lang w:val="es-CO" w:eastAsia="es-CO"/>
        </w:rPr>
      </w:pPr>
      <w:r w:rsidRPr="006F5C61">
        <w:rPr>
          <w:rFonts w:ascii="Arial" w:eastAsia="Times New Roman" w:hAnsi="Arial" w:cs="Arial"/>
          <w:color w:val="000000"/>
          <w:sz w:val="24"/>
          <w:szCs w:val="24"/>
          <w:lang w:val="es-CO" w:eastAsia="es-CO"/>
        </w:rPr>
        <w:t>  </w:t>
      </w:r>
    </w:p>
    <w:p w14:paraId="0EE06120" w14:textId="56631FCF" w:rsidR="006F5C61" w:rsidRPr="006F5C61" w:rsidRDefault="006F5C61" w:rsidP="006F5C61">
      <w:pPr>
        <w:pStyle w:val="Invias-VietaNumerada"/>
        <w:autoSpaceDE w:val="0"/>
        <w:autoSpaceDN w:val="0"/>
        <w:adjustRightInd w:val="0"/>
        <w:spacing w:before="120" w:after="240"/>
        <w:rPr>
          <w:rFonts w:ascii="Arial" w:hAnsi="Arial" w:cs="Arial"/>
          <w:color w:val="000000"/>
          <w:sz w:val="20"/>
          <w:szCs w:val="20"/>
          <w:lang w:val="es-CO" w:eastAsia="es-CO"/>
        </w:rPr>
      </w:pPr>
      <w:r w:rsidRPr="006F5C61">
        <w:rPr>
          <w:rFonts w:ascii="Arial" w:hAnsi="Arial" w:cs="Arial"/>
          <w:b/>
          <w:sz w:val="20"/>
          <w:szCs w:val="20"/>
          <w:lang w:val="es-CO"/>
        </w:rPr>
        <w:t>Acuerdos Comerciales</w:t>
      </w:r>
      <w:r w:rsidRPr="006F5C61">
        <w:rPr>
          <w:rFonts w:ascii="Arial" w:hAnsi="Arial" w:cs="Arial"/>
          <w:b/>
          <w:bCs/>
          <w:color w:val="000000"/>
          <w:sz w:val="20"/>
          <w:szCs w:val="20"/>
          <w:lang w:val="es-CO" w:eastAsia="es-CO"/>
        </w:rPr>
        <w:t>: </w:t>
      </w:r>
      <w:r w:rsidRPr="006F5C61">
        <w:rPr>
          <w:rFonts w:ascii="Arial" w:hAnsi="Arial" w:cs="Arial"/>
          <w:color w:val="000000"/>
          <w:sz w:val="20"/>
          <w:szCs w:val="20"/>
          <w:lang w:val="es-CO" w:eastAsia="es-CO"/>
        </w:rPr>
        <w:t>Tratados internacionales vigentes celebrados por el Estado colombiano, que contienen derechos y obligaciones en materia de compras públicas, en los cuales existe como mínimo el compromiso de trato nacional para: (i) los bienes y servicios de origen colombiano y (</w:t>
      </w:r>
      <w:proofErr w:type="spellStart"/>
      <w:r w:rsidRPr="006F5C61">
        <w:rPr>
          <w:rFonts w:ascii="Arial" w:hAnsi="Arial" w:cs="Arial"/>
          <w:color w:val="000000"/>
          <w:sz w:val="20"/>
          <w:szCs w:val="20"/>
          <w:lang w:val="es-CO" w:eastAsia="es-CO"/>
        </w:rPr>
        <w:t>ii</w:t>
      </w:r>
      <w:proofErr w:type="spellEnd"/>
      <w:r w:rsidRPr="006F5C61">
        <w:rPr>
          <w:rFonts w:ascii="Arial" w:hAnsi="Arial" w:cs="Arial"/>
          <w:color w:val="000000"/>
          <w:sz w:val="20"/>
          <w:szCs w:val="20"/>
          <w:lang w:val="es-CO" w:eastAsia="es-CO"/>
        </w:rPr>
        <w:t>) los proveedores colombianos. </w:t>
      </w:r>
    </w:p>
    <w:p w14:paraId="4133DEE8" w14:textId="33C8226A" w:rsidR="006F5C61" w:rsidRPr="006F5C61" w:rsidRDefault="006F5C61" w:rsidP="006F5C61">
      <w:pPr>
        <w:pStyle w:val="Invias-VietaNumerada"/>
        <w:autoSpaceDE w:val="0"/>
        <w:autoSpaceDN w:val="0"/>
        <w:adjustRightInd w:val="0"/>
        <w:spacing w:before="120" w:after="240"/>
        <w:rPr>
          <w:rFonts w:ascii="Arial" w:hAnsi="Arial" w:cs="Arial"/>
          <w:color w:val="000000"/>
          <w:sz w:val="20"/>
          <w:szCs w:val="20"/>
          <w:lang w:val="es-CO" w:eastAsia="es-CO"/>
        </w:rPr>
      </w:pPr>
      <w:r w:rsidRPr="006F5C61">
        <w:rPr>
          <w:rFonts w:ascii="Arial" w:hAnsi="Arial" w:cs="Arial"/>
          <w:b/>
          <w:bCs/>
          <w:color w:val="000000"/>
          <w:sz w:val="20"/>
          <w:szCs w:val="20"/>
          <w:lang w:val="es-CO" w:eastAsia="es-CO"/>
        </w:rPr>
        <w:t>Acuerdo Marco de Precios: </w:t>
      </w:r>
      <w:r w:rsidRPr="006F5C61">
        <w:rPr>
          <w:rFonts w:ascii="Arial" w:hAnsi="Arial" w:cs="Arial"/>
          <w:color w:val="000000"/>
          <w:sz w:val="20"/>
          <w:szCs w:val="20"/>
          <w:lang w:val="es-CO" w:eastAsia="es-CO"/>
        </w:rPr>
        <w:t>Es un contrato con vigencia determinada, celebrado entre (i) Agencia Nacional de Contratación Pública -Colombia Compra Eficiente-, y (</w:t>
      </w:r>
      <w:proofErr w:type="spellStart"/>
      <w:r w:rsidRPr="006F5C61">
        <w:rPr>
          <w:rFonts w:ascii="Arial" w:hAnsi="Arial" w:cs="Arial"/>
          <w:color w:val="000000"/>
          <w:sz w:val="20"/>
          <w:szCs w:val="20"/>
          <w:lang w:val="es-CO" w:eastAsia="es-CO"/>
        </w:rPr>
        <w:t>ii</w:t>
      </w:r>
      <w:proofErr w:type="spellEnd"/>
      <w:r w:rsidRPr="006F5C61">
        <w:rPr>
          <w:rFonts w:ascii="Arial" w:hAnsi="Arial" w:cs="Arial"/>
          <w:color w:val="000000"/>
          <w:sz w:val="20"/>
          <w:szCs w:val="20"/>
          <w:lang w:val="es-CO" w:eastAsia="es-CO"/>
        </w:rPr>
        <w:t>) uno o más proveedores, mediante el cual se seleccionan a los proveedores y se regulan los términos y condiciones para la adquisición de bienes o servicios de características técnicas uniformes o no uniformes de común utilización. </w:t>
      </w:r>
    </w:p>
    <w:p w14:paraId="2AECF0E2" w14:textId="57BC721B" w:rsidR="006F5C61" w:rsidRPr="006F5C61" w:rsidRDefault="006F5C61" w:rsidP="006F5C61">
      <w:pPr>
        <w:pStyle w:val="Invias-VietaNumerada"/>
        <w:autoSpaceDE w:val="0"/>
        <w:autoSpaceDN w:val="0"/>
        <w:adjustRightInd w:val="0"/>
        <w:spacing w:before="120" w:after="240"/>
        <w:rPr>
          <w:rFonts w:ascii="Arial" w:hAnsi="Arial" w:cs="Arial"/>
          <w:color w:val="000000"/>
          <w:sz w:val="20"/>
          <w:szCs w:val="20"/>
          <w:lang w:val="es-CO" w:eastAsia="es-CO"/>
        </w:rPr>
      </w:pPr>
      <w:r w:rsidRPr="006F5C61">
        <w:rPr>
          <w:rFonts w:ascii="Arial" w:hAnsi="Arial" w:cs="Arial"/>
          <w:b/>
          <w:bCs/>
          <w:color w:val="000000"/>
          <w:sz w:val="20"/>
          <w:szCs w:val="20"/>
          <w:lang w:val="es-CO" w:eastAsia="es-CO"/>
        </w:rPr>
        <w:t>Adendas: </w:t>
      </w:r>
      <w:r w:rsidRPr="006F5C61">
        <w:rPr>
          <w:rFonts w:ascii="Arial" w:hAnsi="Arial" w:cs="Arial"/>
          <w:color w:val="000000"/>
          <w:sz w:val="20"/>
          <w:szCs w:val="20"/>
          <w:lang w:val="es-CO" w:eastAsia="es-CO"/>
        </w:rPr>
        <w:t>Documento por medio del cual la Entidad Estatal modifica los pliegos de condiciones. </w:t>
      </w:r>
    </w:p>
    <w:p w14:paraId="1B245EE2" w14:textId="592A0114" w:rsidR="006F5C61" w:rsidRPr="006F5C61" w:rsidRDefault="006F5C61" w:rsidP="006F5C61">
      <w:pPr>
        <w:pStyle w:val="Invias-VietaNumerada"/>
        <w:autoSpaceDE w:val="0"/>
        <w:autoSpaceDN w:val="0"/>
        <w:adjustRightInd w:val="0"/>
        <w:spacing w:before="120" w:after="240"/>
        <w:rPr>
          <w:rFonts w:ascii="Arial" w:hAnsi="Arial" w:cs="Arial"/>
          <w:color w:val="000000"/>
          <w:sz w:val="20"/>
          <w:szCs w:val="20"/>
          <w:lang w:val="es-CO" w:eastAsia="es-CO"/>
        </w:rPr>
      </w:pPr>
      <w:r w:rsidRPr="006F5C61">
        <w:rPr>
          <w:rFonts w:ascii="Arial" w:hAnsi="Arial" w:cs="Arial"/>
          <w:b/>
          <w:bCs/>
          <w:color w:val="000000"/>
          <w:sz w:val="20"/>
          <w:szCs w:val="20"/>
          <w:lang w:val="es-CO" w:eastAsia="es-CO"/>
        </w:rPr>
        <w:t>Bienes Nacionales: </w:t>
      </w:r>
      <w:r w:rsidRPr="006F5C61">
        <w:rPr>
          <w:rFonts w:ascii="Arial" w:hAnsi="Arial" w:cs="Arial"/>
          <w:color w:val="000000"/>
          <w:sz w:val="20"/>
          <w:szCs w:val="20"/>
          <w:lang w:val="es-CO" w:eastAsia="es-CO"/>
        </w:rPr>
        <w:t>Bienes definidos como nacionales en el Registro de Productores de Bienes Nacionales, de conformidad con el Decreto número 2680 de 2009 o las normas que lo modifiquen, aclaren, adicionen o sustituyan.</w:t>
      </w:r>
    </w:p>
    <w:p w14:paraId="2EB2C402" w14:textId="6F1B260C" w:rsidR="006F5C61" w:rsidRPr="006F5C61" w:rsidRDefault="006F5C61" w:rsidP="006F5C61">
      <w:pPr>
        <w:pStyle w:val="Invias-VietaNumerada"/>
        <w:autoSpaceDE w:val="0"/>
        <w:autoSpaceDN w:val="0"/>
        <w:adjustRightInd w:val="0"/>
        <w:spacing w:before="120" w:after="240"/>
        <w:rPr>
          <w:rFonts w:ascii="Arial" w:hAnsi="Arial" w:cs="Arial"/>
          <w:color w:val="000000"/>
          <w:sz w:val="20"/>
          <w:szCs w:val="20"/>
          <w:lang w:val="es-CO" w:eastAsia="es-CO"/>
        </w:rPr>
      </w:pPr>
      <w:r w:rsidRPr="006F5C61">
        <w:rPr>
          <w:rFonts w:ascii="Arial" w:hAnsi="Arial" w:cs="Arial"/>
          <w:b/>
          <w:bCs/>
          <w:color w:val="000000"/>
          <w:sz w:val="20"/>
          <w:szCs w:val="20"/>
          <w:lang w:val="es-CO" w:eastAsia="es-CO"/>
        </w:rPr>
        <w:t>Bienes y Servicios de Características Técnicas Uniformes y Común Utilización: </w:t>
      </w:r>
      <w:r w:rsidRPr="006F5C61">
        <w:rPr>
          <w:rFonts w:ascii="Arial" w:hAnsi="Arial" w:cs="Arial"/>
          <w:color w:val="000000"/>
          <w:sz w:val="20"/>
          <w:szCs w:val="20"/>
          <w:lang w:val="es-CO" w:eastAsia="es-CO"/>
        </w:rPr>
        <w:t>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 </w:t>
      </w:r>
    </w:p>
    <w:p w14:paraId="1B16582C"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Capacidad Residual o K de Contratación: </w:t>
      </w:r>
      <w:r w:rsidRPr="006F5C61">
        <w:rPr>
          <w:rFonts w:ascii="Arial" w:eastAsia="Times New Roman" w:hAnsi="Arial" w:cs="Arial"/>
          <w:color w:val="000000"/>
          <w:szCs w:val="20"/>
          <w:lang w:val="es-CO" w:eastAsia="es-CO"/>
        </w:rPr>
        <w:t>Aptitud de un oferente para cumplir oportuna y cabalmente con el objeto de un contrato’ de obra, sin que sus otros compromisos contractuales afecten su habilidad de cumplir con el contrato que está en proceso de selección. </w:t>
      </w:r>
    </w:p>
    <w:p w14:paraId="4341427C" w14:textId="4CD52AEA" w:rsidR="006F5C61" w:rsidRPr="006F5C61" w:rsidRDefault="006F5C61" w:rsidP="006F5C61">
      <w:pPr>
        <w:spacing w:line="254" w:lineRule="atLeast"/>
        <w:jc w:val="both"/>
        <w:rPr>
          <w:rFonts w:ascii="Arial" w:eastAsia="Times New Roman" w:hAnsi="Arial" w:cs="Arial"/>
          <w:color w:val="000000"/>
          <w:szCs w:val="20"/>
          <w:lang w:val="es-CO" w:eastAsia="es-CO"/>
        </w:rPr>
      </w:pPr>
    </w:p>
    <w:p w14:paraId="39A07939" w14:textId="379F610D"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Catálogo Inclusivo: </w:t>
      </w:r>
      <w:r w:rsidRPr="006F5C61">
        <w:rPr>
          <w:rFonts w:ascii="Arial" w:eastAsia="Times New Roman" w:hAnsi="Arial" w:cs="Arial"/>
          <w:color w:val="000000"/>
          <w:szCs w:val="20"/>
          <w:lang w:val="es-CO" w:eastAsia="es-CO"/>
        </w:rPr>
        <w:t xml:space="preserve">Es una herramienta desarrollada por la Agencia Nacional de Contratación Pública -Colombia Compra Eficiente-, para impulsar el tejido empresarial colombiano a través de la adquisición de bienes y servicios de producción nacional y que son ofertados por organizaciones de economía solidaria clasificadas como </w:t>
      </w:r>
      <w:r w:rsidR="008F1721" w:rsidRPr="006F5C61">
        <w:rPr>
          <w:rFonts w:ascii="Arial" w:eastAsia="Times New Roman" w:hAnsi="Arial" w:cs="Arial"/>
          <w:color w:val="000000"/>
          <w:szCs w:val="20"/>
          <w:lang w:val="es-CO" w:eastAsia="es-CO"/>
        </w:rPr>
        <w:t>MiPymes</w:t>
      </w:r>
      <w:r w:rsidRPr="006F5C61">
        <w:rPr>
          <w:rFonts w:ascii="Arial" w:eastAsia="Times New Roman" w:hAnsi="Arial" w:cs="Arial"/>
          <w:color w:val="000000"/>
          <w:szCs w:val="20"/>
          <w:lang w:val="es-CO" w:eastAsia="es-CO"/>
        </w:rPr>
        <w:t>. </w:t>
      </w:r>
    </w:p>
    <w:p w14:paraId="5C5741F1"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1A89AA45"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Catálogo para Acuerdos Marco de Precios e Instrumentos de Agregación de Demanda: </w:t>
      </w:r>
      <w:r w:rsidRPr="006F5C61">
        <w:rPr>
          <w:rFonts w:ascii="Arial" w:eastAsia="Times New Roman" w:hAnsi="Arial" w:cs="Arial"/>
          <w:color w:val="000000"/>
          <w:szCs w:val="20"/>
          <w:lang w:val="es-CO" w:eastAsia="es-CO"/>
        </w:rPr>
        <w:t>Ficha que contiene: (a) la lista de bienes y/o servicios; (b) las características asociadas a cada bien o servicio, así como su precio c) y la lista de los contratistas que son parte del Acuerdo Marco de Precios. </w:t>
      </w:r>
    </w:p>
    <w:p w14:paraId="2E55EC3D"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3154AB77"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Clasificador de Bienes y Servicios: </w:t>
      </w:r>
      <w:r w:rsidRPr="006F5C61">
        <w:rPr>
          <w:rFonts w:ascii="Arial" w:eastAsia="Times New Roman" w:hAnsi="Arial" w:cs="Arial"/>
          <w:color w:val="000000"/>
          <w:szCs w:val="20"/>
          <w:lang w:val="es-CO" w:eastAsia="es-CO"/>
        </w:rPr>
        <w:t>Sistema de codificación de las Naciones Unidas para estandarizar productos y servicios, conocido por las siglas UNSPSC. </w:t>
      </w:r>
    </w:p>
    <w:p w14:paraId="1842BCC4"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53505816"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lastRenderedPageBreak/>
        <w:t>Colombia Compra Eficiente: </w:t>
      </w:r>
      <w:r w:rsidRPr="006F5C61">
        <w:rPr>
          <w:rFonts w:ascii="Arial" w:eastAsia="Times New Roman" w:hAnsi="Arial" w:cs="Arial"/>
          <w:color w:val="000000"/>
          <w:szCs w:val="20"/>
          <w:lang w:val="es-CO" w:eastAsia="es-CO"/>
        </w:rPr>
        <w:t>Agencia Nacional de Contratación Pública creada por medio del Decreto Ley 4170 de 2011. </w:t>
      </w:r>
    </w:p>
    <w:p w14:paraId="4C501643"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3772F31D"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Cronograma: </w:t>
      </w:r>
      <w:r w:rsidRPr="006F5C61">
        <w:rPr>
          <w:rFonts w:ascii="Arial" w:eastAsia="Times New Roman" w:hAnsi="Arial" w:cs="Arial"/>
          <w:color w:val="000000"/>
          <w:szCs w:val="20"/>
          <w:lang w:val="es-CO" w:eastAsia="es-CO"/>
        </w:rPr>
        <w:t>Documento en el cual la Entidad Estatal establece las fechas, horas y plazos para las actividades propias del Proceso de Contratación y el lugar en el que estas deben llevarse a cabo. </w:t>
      </w:r>
    </w:p>
    <w:p w14:paraId="4FE57328"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307F9448"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Compra Pública de Tecnología e Innovación: </w:t>
      </w:r>
      <w:r w:rsidRPr="006F5C61">
        <w:rPr>
          <w:rFonts w:ascii="Arial" w:eastAsia="Times New Roman" w:hAnsi="Arial" w:cs="Arial"/>
          <w:color w:val="000000"/>
          <w:szCs w:val="20"/>
          <w:lang w:val="es-CO" w:eastAsia="es-CO"/>
        </w:rPr>
        <w:t>Es una herramienta de política de innovación a través de la cual las Entidades Estatales adquieren un producto o servicio de base tecnológica para dar respuesta a desafíos públicos respecto de los cuales no se encuentra una solución en el mercado o, si las hay, estas requieren ajustes o mejoras. Este tipo de compras pueden requerir investigación y desarrollo tecnológico para la exploración de alternativas, el diseño de soluciones, el prototipado o la fabricación original de un volumen limitado de primeros productos o servicios a modo de serie de prueba; o extenderse hasta la producción o suministro de los bienes y servicios. </w:t>
      </w:r>
    </w:p>
    <w:p w14:paraId="29686453"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24DD99A6"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Convocatoria de Soluciones Innovadoras: </w:t>
      </w:r>
      <w:r w:rsidRPr="006F5C61">
        <w:rPr>
          <w:rFonts w:ascii="Arial" w:eastAsia="Times New Roman" w:hAnsi="Arial" w:cs="Arial"/>
          <w:color w:val="000000"/>
          <w:szCs w:val="20"/>
          <w:lang w:val="es-CO" w:eastAsia="es-CO"/>
        </w:rPr>
        <w:t>Procedimiento mediante el cual una Entidad Estatal plantea un reto de innovación a personas naturales o jurídicas, entendido como un desafío para resolver una necesidad de compra requiriendo nuevas soluciones a las existentes en el mercado o si las que hay requieren ajustes o mejoras para la satisfacción de sus necesidades, de manera que cualquier interesado presente alternativas de solución innovadora al reto identificado. </w:t>
      </w:r>
    </w:p>
    <w:p w14:paraId="645C3272"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400821A5"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Documentos del Proceso son: </w:t>
      </w:r>
      <w:r w:rsidRPr="006F5C61">
        <w:rPr>
          <w:rFonts w:ascii="Arial" w:eastAsia="Times New Roman" w:hAnsi="Arial" w:cs="Arial"/>
          <w:color w:val="000000"/>
          <w:szCs w:val="20"/>
          <w:lang w:val="es-CO" w:eastAsia="es-CO"/>
        </w:rPr>
        <w:t>(a) los estudios y documentos previos; (b) el aviso de convocatoria; (c) los pliegos de condiciones o la invitación; (d) las Adendas; (e) la oferta; (f) el informe de evaluación; (g) el contrato; y cualquier otro documento expedido por la Entidad Estatal durante el Proceso de Contratación. </w:t>
      </w:r>
    </w:p>
    <w:p w14:paraId="12FF95CE"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7222B1A9"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Entidad Estatal: </w:t>
      </w:r>
      <w:r w:rsidRPr="006F5C61">
        <w:rPr>
          <w:rFonts w:ascii="Arial" w:eastAsia="Times New Roman" w:hAnsi="Arial" w:cs="Arial"/>
          <w:color w:val="000000"/>
          <w:szCs w:val="20"/>
          <w:lang w:val="es-CO" w:eastAsia="es-CO"/>
        </w:rPr>
        <w:t>Cada una de las entidades: (a) a las que se refiere el artículo 2° de la Ley 80 de 1993; (b) a las que se refieren los artículos 10, 14 y 24 de la Ley 1150 de 2007 y (c) aquellas entidades que por disposición de la ley deban aplicar la Ley 80 de 1993 y la Ley 1150 de 2007, o las normas que las modifiquen, aclaren, adicionen o sustituyan. </w:t>
      </w:r>
    </w:p>
    <w:p w14:paraId="38069895"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70184D17"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Etapas del Contrato: </w:t>
      </w:r>
      <w:r w:rsidRPr="006F5C61">
        <w:rPr>
          <w:rFonts w:ascii="Arial" w:eastAsia="Times New Roman" w:hAnsi="Arial" w:cs="Arial"/>
          <w:color w:val="000000"/>
          <w:szCs w:val="20"/>
          <w:lang w:val="es-CO" w:eastAsia="es-CO"/>
        </w:rPr>
        <w:t>Fases en las que se divide la ejecución del contrato, teniendo en cuenta las actividades propias de cada una de ellas las cuales pueden ser utilizadas por la Entidad Estatal para estructurar las garantías del contrato. </w:t>
      </w:r>
    </w:p>
    <w:p w14:paraId="6F5257B3"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44FB610B"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Grandes Superficies: </w:t>
      </w:r>
      <w:r w:rsidRPr="006F5C61">
        <w:rPr>
          <w:rFonts w:ascii="Arial" w:eastAsia="Times New Roman" w:hAnsi="Arial" w:cs="Arial"/>
          <w:color w:val="000000"/>
          <w:szCs w:val="20"/>
          <w:lang w:val="es-CO" w:eastAsia="es-CO"/>
        </w:rPr>
        <w:t>Establecimientos de comercio que venden bienes de consumo masivo al detal y tienen las condiciones financieras definidas por la Superintendencia de Industria y Comercio. </w:t>
      </w:r>
    </w:p>
    <w:p w14:paraId="7AC6B5F0"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343EBB50"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Lance: </w:t>
      </w:r>
      <w:r w:rsidRPr="006F5C61">
        <w:rPr>
          <w:rFonts w:ascii="Arial" w:eastAsia="Times New Roman" w:hAnsi="Arial" w:cs="Arial"/>
          <w:color w:val="000000"/>
          <w:szCs w:val="20"/>
          <w:lang w:val="es-CO" w:eastAsia="es-CO"/>
        </w:rPr>
        <w:t>Cada una de las posturas que hacen los oferentes en el marco de una subasta. </w:t>
      </w:r>
    </w:p>
    <w:p w14:paraId="65A4C11B"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7C9108DD"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Margen Mínimo: </w:t>
      </w:r>
      <w:r w:rsidRPr="006F5C61">
        <w:rPr>
          <w:rFonts w:ascii="Arial" w:eastAsia="Times New Roman" w:hAnsi="Arial" w:cs="Arial"/>
          <w:color w:val="000000"/>
          <w:szCs w:val="20"/>
          <w:lang w:val="es-CO" w:eastAsia="es-CO"/>
        </w:rPr>
        <w:t>Valor mínimo en el cual el oferente en una subasta inversa debe reducir el valor del Lance o en una subasta de enajenación debe incrementar el valor del Lance, el cual puede ser expresado en dinero o en un porcentaje del precio de inicio de la subasta. </w:t>
      </w:r>
    </w:p>
    <w:p w14:paraId="630E013E"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2B528436"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proofErr w:type="spellStart"/>
      <w:r w:rsidRPr="006F5C61">
        <w:rPr>
          <w:rFonts w:ascii="Arial" w:eastAsia="Times New Roman" w:hAnsi="Arial" w:cs="Arial"/>
          <w:b/>
          <w:bCs/>
          <w:color w:val="000000"/>
          <w:szCs w:val="20"/>
          <w:lang w:val="es-CO" w:eastAsia="es-CO"/>
        </w:rPr>
        <w:t>Mipyme</w:t>
      </w:r>
      <w:proofErr w:type="spellEnd"/>
      <w:r w:rsidRPr="006F5C61">
        <w:rPr>
          <w:rFonts w:ascii="Arial" w:eastAsia="Times New Roman" w:hAnsi="Arial" w:cs="Arial"/>
          <w:b/>
          <w:bCs/>
          <w:color w:val="000000"/>
          <w:szCs w:val="20"/>
          <w:lang w:val="es-CO" w:eastAsia="es-CO"/>
        </w:rPr>
        <w:t>: </w:t>
      </w:r>
      <w:r w:rsidRPr="006F5C61">
        <w:rPr>
          <w:rFonts w:ascii="Arial" w:eastAsia="Times New Roman" w:hAnsi="Arial" w:cs="Arial"/>
          <w:color w:val="000000"/>
          <w:szCs w:val="20"/>
          <w:lang w:val="es-CO" w:eastAsia="es-CO"/>
        </w:rPr>
        <w:t>Micro, pequeña y mediana empresa medida de acuerdo con la ley vigente aplicable. </w:t>
      </w:r>
    </w:p>
    <w:p w14:paraId="17A6D98C"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76F47FBC"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Operación Principal de los Acuerdos Marco y de los Instrumentos de Agregación de Demanda: </w:t>
      </w:r>
      <w:r w:rsidRPr="006F5C61">
        <w:rPr>
          <w:rFonts w:ascii="Arial" w:eastAsia="Times New Roman" w:hAnsi="Arial" w:cs="Arial"/>
          <w:color w:val="000000"/>
          <w:szCs w:val="20"/>
          <w:lang w:val="es-CO" w:eastAsia="es-CO"/>
        </w:rPr>
        <w:t xml:space="preserve">Es el conjunto de estudios, actividades y negociaciones llevadas a cabo por la Entidad Estatal legalmente facultada, dentro de la fase de planeación precontractual, con el objetivo de </w:t>
      </w:r>
      <w:r w:rsidRPr="006F5C61">
        <w:rPr>
          <w:rFonts w:ascii="Arial" w:eastAsia="Times New Roman" w:hAnsi="Arial" w:cs="Arial"/>
          <w:color w:val="000000"/>
          <w:szCs w:val="20"/>
          <w:lang w:val="es-CO" w:eastAsia="es-CO"/>
        </w:rPr>
        <w:lastRenderedPageBreak/>
        <w:t>seleccionar a los proveedores y de definir las condiciones de adquisición de bienes y servicios de características técnicas uniformes y no uniformes de común utilización. </w:t>
      </w:r>
    </w:p>
    <w:p w14:paraId="1CD55220"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3EBC4ECC"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Operación Secundaria de los Acuerdos Marco y de los Instrumentos de Agregación de Demanda: </w:t>
      </w:r>
      <w:r w:rsidRPr="006F5C61">
        <w:rPr>
          <w:rFonts w:ascii="Arial" w:eastAsia="Times New Roman" w:hAnsi="Arial" w:cs="Arial"/>
          <w:color w:val="000000"/>
          <w:szCs w:val="20"/>
          <w:lang w:val="es-CO" w:eastAsia="es-CO"/>
        </w:rPr>
        <w:t>Es el proceso que adelantan las entidades estatales para la selección de los proveedores que suministrarán los bienes y servicios características técnicas uniformes y no uniformes de común utilización, de conformidad con las condiciones y el catálogo establecidos en la operación principal del Acuerdo Marco de Precios. </w:t>
      </w:r>
    </w:p>
    <w:p w14:paraId="5927B24A"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62EF93FA"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Período Contractual: </w:t>
      </w:r>
      <w:r w:rsidRPr="006F5C61">
        <w:rPr>
          <w:rFonts w:ascii="Arial" w:eastAsia="Times New Roman" w:hAnsi="Arial" w:cs="Arial"/>
          <w:color w:val="000000"/>
          <w:szCs w:val="20"/>
          <w:lang w:val="es-CO" w:eastAsia="es-CO"/>
        </w:rPr>
        <w:t>Cada una de las fracciones temporales en las que se divide la ejecución del contrato, las cuales pueden ser utilizadas por la Entidad Estatal para estructurar las garantías del contrato. </w:t>
      </w:r>
    </w:p>
    <w:p w14:paraId="1C0CC885"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317562F8"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Plan Anual de Adquisiciones: </w:t>
      </w:r>
      <w:r w:rsidRPr="006F5C61">
        <w:rPr>
          <w:rFonts w:ascii="Arial" w:eastAsia="Times New Roman" w:hAnsi="Arial" w:cs="Arial"/>
          <w:color w:val="000000"/>
          <w:szCs w:val="20"/>
          <w:lang w:val="es-CO" w:eastAsia="es-CO"/>
        </w:rPr>
        <w:t>Plan general de compras al que se refiere el artículo 74 de la Ley 1474 de 2011 y el plan de compras al que se refiere la Ley Anual de Presupuesto. Es un instrumento de planeación contractual que las Entidades Estatales deben diligenciar, publicar y actualizar en los términos del presente título. </w:t>
      </w:r>
    </w:p>
    <w:p w14:paraId="7F6296F6"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04465787"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Proceso de Contratación: </w:t>
      </w:r>
      <w:r w:rsidRPr="006F5C61">
        <w:rPr>
          <w:rFonts w:ascii="Arial" w:eastAsia="Times New Roman" w:hAnsi="Arial" w:cs="Arial"/>
          <w:color w:val="000000"/>
          <w:szCs w:val="20"/>
          <w:lang w:val="es-CO" w:eastAsia="es-CO"/>
        </w:rPr>
        <w:t>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 </w:t>
      </w:r>
    </w:p>
    <w:p w14:paraId="199888C6"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0BC3C649"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Riesgo: </w:t>
      </w:r>
      <w:r w:rsidRPr="006F5C61">
        <w:rPr>
          <w:rFonts w:ascii="Arial" w:eastAsia="Times New Roman" w:hAnsi="Arial" w:cs="Arial"/>
          <w:color w:val="000000"/>
          <w:szCs w:val="20"/>
          <w:lang w:val="es-CO" w:eastAsia="es-CO"/>
        </w:rPr>
        <w:t>Evento que puede generar efectos adversos y de distinta magnitud en el logro de los objetivos del Proceso de Contratación o en la ejecución de un Contrato. </w:t>
      </w:r>
    </w:p>
    <w:p w14:paraId="709A9464"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753BB12B"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RUP: </w:t>
      </w:r>
      <w:r w:rsidRPr="006F5C61">
        <w:rPr>
          <w:rFonts w:ascii="Arial" w:eastAsia="Times New Roman" w:hAnsi="Arial" w:cs="Arial"/>
          <w:color w:val="000000"/>
          <w:szCs w:val="20"/>
          <w:lang w:val="es-CO" w:eastAsia="es-CO"/>
        </w:rPr>
        <w:t>Registro Único de Proponentes que llevan las cámaras de comercio y en el cual los interesados en participar en Procesos de Contratación deben estar inscritos. </w:t>
      </w:r>
    </w:p>
    <w:p w14:paraId="0E08ADBE"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7DFE13E2"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b/>
          <w:bCs/>
          <w:color w:val="000000"/>
          <w:szCs w:val="20"/>
          <w:lang w:val="es-CO" w:eastAsia="es-CO"/>
        </w:rPr>
        <w:t>Servicios Nacionales: </w:t>
      </w:r>
      <w:r w:rsidRPr="006F5C61">
        <w:rPr>
          <w:rFonts w:ascii="Arial" w:eastAsia="Times New Roman" w:hAnsi="Arial" w:cs="Arial"/>
          <w:color w:val="000000"/>
          <w:szCs w:val="20"/>
          <w:lang w:val="es-CO" w:eastAsia="es-CO"/>
        </w:rPr>
        <w:t>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y un extranjero con trato nacional, usa los bienes nacionales relevantes definidos por la Entidad Estatal para la prestación del servicio que será objeto del Proceso de Contratación o vinculen el porcentaje mínimo de personal colombiano según corresponda. </w:t>
      </w:r>
    </w:p>
    <w:p w14:paraId="174DB858"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1BA5C989"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 </w:t>
      </w:r>
    </w:p>
    <w:p w14:paraId="42313DC6" w14:textId="77777777" w:rsidR="006F5C61" w:rsidRPr="006F5C61" w:rsidRDefault="006F5C61" w:rsidP="006F5C61">
      <w:pPr>
        <w:spacing w:line="254" w:lineRule="atLeast"/>
        <w:jc w:val="both"/>
        <w:rPr>
          <w:rFonts w:ascii="Arial" w:eastAsia="Times New Roman" w:hAnsi="Arial" w:cs="Arial"/>
          <w:color w:val="000000"/>
          <w:szCs w:val="20"/>
          <w:lang w:val="es-CO" w:eastAsia="es-CO"/>
        </w:rPr>
      </w:pPr>
      <w:r w:rsidRPr="006F5C61">
        <w:rPr>
          <w:rFonts w:ascii="Arial" w:eastAsia="Times New Roman" w:hAnsi="Arial" w:cs="Arial"/>
          <w:color w:val="000000"/>
          <w:szCs w:val="20"/>
          <w:lang w:val="es-CO" w:eastAsia="es-CO"/>
        </w:rPr>
        <w:t>  </w:t>
      </w:r>
    </w:p>
    <w:p w14:paraId="761BA6D3" w14:textId="77777777" w:rsidR="006F5C61" w:rsidRDefault="006F5C61" w:rsidP="006F5C61">
      <w:pPr>
        <w:spacing w:line="254" w:lineRule="atLeast"/>
        <w:jc w:val="both"/>
        <w:rPr>
          <w:rFonts w:ascii="Arial" w:eastAsia="Times New Roman" w:hAnsi="Arial" w:cs="Arial"/>
          <w:color w:val="000000"/>
          <w:sz w:val="18"/>
          <w:szCs w:val="18"/>
          <w:lang w:val="es-CO" w:eastAsia="es-CO"/>
        </w:rPr>
      </w:pPr>
      <w:r w:rsidRPr="006F5C61">
        <w:rPr>
          <w:rFonts w:ascii="Arial" w:eastAsia="Times New Roman" w:hAnsi="Arial" w:cs="Arial"/>
          <w:color w:val="000000"/>
          <w:szCs w:val="20"/>
          <w:lang w:val="es-CO" w:eastAsia="es-CO"/>
        </w:rPr>
        <w:t xml:space="preserve">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w:t>
      </w:r>
      <w:r w:rsidRPr="006F5C61">
        <w:rPr>
          <w:rFonts w:ascii="Arial" w:eastAsia="Times New Roman" w:hAnsi="Arial" w:cs="Arial"/>
          <w:color w:val="000000"/>
          <w:szCs w:val="20"/>
          <w:lang w:val="es-CO" w:eastAsia="es-CO"/>
        </w:rPr>
        <w:lastRenderedPageBreak/>
        <w:t>regla de origen a aplicar, la Entidad Estata</w:t>
      </w:r>
      <w:r w:rsidRPr="006F5C61">
        <w:rPr>
          <w:rFonts w:ascii="Arial" w:eastAsia="Times New Roman" w:hAnsi="Arial" w:cs="Arial"/>
          <w:color w:val="000000"/>
          <w:sz w:val="18"/>
          <w:szCs w:val="18"/>
          <w:lang w:val="es-CO" w:eastAsia="es-CO"/>
        </w:rPr>
        <w:t>l deberá evaluar la oferta de acuerdo con la regla de origen aquí prevista.</w:t>
      </w:r>
    </w:p>
    <w:p w14:paraId="725A45F9" w14:textId="77777777" w:rsidR="001A19ED" w:rsidRDefault="001A19ED" w:rsidP="006F5C61">
      <w:pPr>
        <w:spacing w:line="254" w:lineRule="atLeast"/>
        <w:jc w:val="both"/>
        <w:rPr>
          <w:rFonts w:ascii="Arial" w:eastAsia="Times New Roman" w:hAnsi="Arial" w:cs="Arial"/>
          <w:color w:val="000000"/>
          <w:sz w:val="18"/>
          <w:szCs w:val="18"/>
          <w:lang w:val="es-CO" w:eastAsia="es-CO"/>
        </w:rPr>
      </w:pPr>
    </w:p>
    <w:p w14:paraId="7BD19185" w14:textId="77777777" w:rsidR="00CC4C11" w:rsidRPr="00CC4C11" w:rsidRDefault="00CC4C11" w:rsidP="00CC4C11">
      <w:pPr>
        <w:autoSpaceDE w:val="0"/>
        <w:autoSpaceDN w:val="0"/>
        <w:adjustRightInd w:val="0"/>
        <w:jc w:val="both"/>
        <w:rPr>
          <w:rFonts w:ascii="Arial" w:eastAsia="Times New Roman" w:hAnsi="Arial" w:cs="Arial"/>
          <w:color w:val="000000"/>
          <w:szCs w:val="20"/>
          <w:lang w:val="es-CO" w:eastAsia="es-CO"/>
        </w:rPr>
      </w:pPr>
      <w:bookmarkStart w:id="2" w:name="_Hlk143716297"/>
    </w:p>
    <w:bookmarkEnd w:id="2"/>
    <w:p w14:paraId="142629BD" w14:textId="77777777" w:rsidR="00084A89" w:rsidRPr="006C0C2B" w:rsidRDefault="00084A89" w:rsidP="006C0C2B">
      <w:pPr>
        <w:autoSpaceDE w:val="0"/>
        <w:autoSpaceDN w:val="0"/>
        <w:adjustRightInd w:val="0"/>
        <w:jc w:val="both"/>
        <w:rPr>
          <w:rFonts w:ascii="Arial" w:eastAsia="Times New Roman" w:hAnsi="Arial" w:cs="Arial"/>
          <w:color w:val="000000"/>
          <w:szCs w:val="20"/>
          <w:lang w:val="es-CO" w:eastAsia="es-CO"/>
        </w:rPr>
      </w:pPr>
    </w:p>
    <w:p w14:paraId="4E8FF691" w14:textId="171BFBD9"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45F63" w14:textId="77777777" w:rsidR="001728C4" w:rsidRDefault="001728C4" w:rsidP="004F2C35">
      <w:r>
        <w:separator/>
      </w:r>
    </w:p>
  </w:endnote>
  <w:endnote w:type="continuationSeparator" w:id="0">
    <w:p w14:paraId="73433CD9" w14:textId="77777777" w:rsidR="001728C4" w:rsidRDefault="001728C4" w:rsidP="004F2C35">
      <w:r>
        <w:continuationSeparator/>
      </w:r>
    </w:p>
  </w:endnote>
  <w:endnote w:type="continuationNotice" w:id="1">
    <w:p w14:paraId="23F8719B" w14:textId="77777777" w:rsidR="001728C4" w:rsidRDefault="001728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altName w:val="Arial"/>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71FCE" w14:textId="77777777" w:rsidR="001728C4" w:rsidRDefault="001728C4" w:rsidP="004F2C35">
      <w:r>
        <w:separator/>
      </w:r>
    </w:p>
  </w:footnote>
  <w:footnote w:type="continuationSeparator" w:id="0">
    <w:p w14:paraId="49B6A0CA" w14:textId="77777777" w:rsidR="001728C4" w:rsidRDefault="001728C4" w:rsidP="004F2C35">
      <w:r>
        <w:continuationSeparator/>
      </w:r>
    </w:p>
  </w:footnote>
  <w:footnote w:type="continuationNotice" w:id="1">
    <w:p w14:paraId="74D77FA2" w14:textId="77777777" w:rsidR="001728C4" w:rsidRDefault="001728C4"/>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64D1319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w:t>
          </w:r>
          <w:r w:rsidR="007549D5">
            <w:rPr>
              <w:rFonts w:ascii="Arial" w:hAnsi="Arial" w:cs="Arial"/>
              <w:b/>
              <w:color w:val="1A1818" w:themeColor="text1"/>
              <w:sz w:val="16"/>
              <w:szCs w:val="16"/>
            </w:rPr>
            <w:t>3</w:t>
          </w:r>
          <w:r w:rsidRPr="0034439C">
            <w:rPr>
              <w:rFonts w:ascii="Arial" w:hAnsi="Arial" w:cs="Arial"/>
              <w:b/>
              <w:color w:val="1A1818" w:themeColor="text1"/>
              <w:sz w:val="16"/>
              <w:szCs w:val="16"/>
            </w:rPr>
            <w:t xml:space="preserve"> – GLOSARIO </w:t>
          </w:r>
        </w:p>
        <w:p w14:paraId="2E120A7F" w14:textId="5CF99FD6" w:rsidR="00CE17B1" w:rsidRPr="0034439C" w:rsidRDefault="00CE17B1" w:rsidP="00617E8A">
          <w:pPr>
            <w:pStyle w:val="Encabezado"/>
            <w:rPr>
              <w:rFonts w:ascii="Arial" w:hAnsi="Arial" w:cs="Arial"/>
              <w:b/>
              <w:color w:val="1A1818" w:themeColor="text1"/>
              <w:sz w:val="16"/>
              <w:szCs w:val="16"/>
            </w:rPr>
          </w:pP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1DC07D6E"/>
    <w:multiLevelType w:val="multilevel"/>
    <w:tmpl w:val="917EFBA4"/>
    <w:lvl w:ilvl="0">
      <w:start w:val="3"/>
      <w:numFmt w:val="decimal"/>
      <w:lvlText w:val="%1"/>
      <w:lvlJc w:val="left"/>
      <w:pPr>
        <w:ind w:left="360" w:hanging="360"/>
      </w:pPr>
      <w:rPr>
        <w:rFonts w:hint="default"/>
        <w:b/>
        <w:sz w:val="18"/>
      </w:rPr>
    </w:lvl>
    <w:lvl w:ilvl="1">
      <w:start w:val="2"/>
      <w:numFmt w:val="decimal"/>
      <w:lvlText w:val="%1.%2"/>
      <w:lvlJc w:val="left"/>
      <w:pPr>
        <w:ind w:left="360" w:hanging="360"/>
      </w:pPr>
      <w:rPr>
        <w:rFonts w:hint="default"/>
        <w:b/>
        <w:sz w:val="18"/>
      </w:rPr>
    </w:lvl>
    <w:lvl w:ilvl="2">
      <w:start w:val="1"/>
      <w:numFmt w:val="decimal"/>
      <w:lvlText w:val="%1.%2.%3"/>
      <w:lvlJc w:val="left"/>
      <w:pPr>
        <w:ind w:left="720" w:hanging="720"/>
      </w:pPr>
      <w:rPr>
        <w:rFonts w:hint="default"/>
        <w:b/>
        <w:sz w:val="18"/>
      </w:rPr>
    </w:lvl>
    <w:lvl w:ilvl="3">
      <w:start w:val="1"/>
      <w:numFmt w:val="decimal"/>
      <w:lvlText w:val="%1.%2.%3.%4"/>
      <w:lvlJc w:val="left"/>
      <w:pPr>
        <w:ind w:left="1080" w:hanging="1080"/>
      </w:pPr>
      <w:rPr>
        <w:rFonts w:hint="default"/>
        <w:b/>
        <w:sz w:val="18"/>
      </w:rPr>
    </w:lvl>
    <w:lvl w:ilvl="4">
      <w:start w:val="1"/>
      <w:numFmt w:val="decimal"/>
      <w:lvlText w:val="%1.%2.%3.%4.%5"/>
      <w:lvlJc w:val="left"/>
      <w:pPr>
        <w:ind w:left="1080" w:hanging="1080"/>
      </w:pPr>
      <w:rPr>
        <w:rFonts w:hint="default"/>
        <w:b/>
        <w:sz w:val="18"/>
      </w:rPr>
    </w:lvl>
    <w:lvl w:ilvl="5">
      <w:start w:val="1"/>
      <w:numFmt w:val="decimal"/>
      <w:lvlText w:val="%1.%2.%3.%4.%5.%6"/>
      <w:lvlJc w:val="left"/>
      <w:pPr>
        <w:ind w:left="1440" w:hanging="1440"/>
      </w:pPr>
      <w:rPr>
        <w:rFonts w:hint="default"/>
        <w:b/>
        <w:sz w:val="18"/>
      </w:rPr>
    </w:lvl>
    <w:lvl w:ilvl="6">
      <w:start w:val="1"/>
      <w:numFmt w:val="decimal"/>
      <w:lvlText w:val="%1.%2.%3.%4.%5.%6.%7"/>
      <w:lvlJc w:val="left"/>
      <w:pPr>
        <w:ind w:left="1440" w:hanging="1440"/>
      </w:pPr>
      <w:rPr>
        <w:rFonts w:hint="default"/>
        <w:b/>
        <w:sz w:val="18"/>
      </w:rPr>
    </w:lvl>
    <w:lvl w:ilvl="7">
      <w:start w:val="1"/>
      <w:numFmt w:val="decimal"/>
      <w:lvlText w:val="%1.%2.%3.%4.%5.%6.%7.%8"/>
      <w:lvlJc w:val="left"/>
      <w:pPr>
        <w:ind w:left="1800" w:hanging="1800"/>
      </w:pPr>
      <w:rPr>
        <w:rFonts w:hint="default"/>
        <w:b/>
        <w:sz w:val="18"/>
      </w:rPr>
    </w:lvl>
    <w:lvl w:ilvl="8">
      <w:start w:val="1"/>
      <w:numFmt w:val="decimal"/>
      <w:lvlText w:val="%1.%2.%3.%4.%5.%6.%7.%8.%9"/>
      <w:lvlJc w:val="left"/>
      <w:pPr>
        <w:ind w:left="1800" w:hanging="1800"/>
      </w:pPr>
      <w:rPr>
        <w:rFonts w:hint="default"/>
        <w:b/>
        <w:sz w:val="18"/>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852F86"/>
    <w:multiLevelType w:val="multilevel"/>
    <w:tmpl w:val="917EFBA4"/>
    <w:lvl w:ilvl="0">
      <w:start w:val="3"/>
      <w:numFmt w:val="decimal"/>
      <w:lvlText w:val="%1"/>
      <w:lvlJc w:val="left"/>
      <w:pPr>
        <w:ind w:left="360" w:hanging="360"/>
      </w:pPr>
      <w:rPr>
        <w:rFonts w:hint="default"/>
        <w:b/>
        <w:sz w:val="18"/>
      </w:rPr>
    </w:lvl>
    <w:lvl w:ilvl="1">
      <w:start w:val="2"/>
      <w:numFmt w:val="decimal"/>
      <w:lvlText w:val="%1.%2"/>
      <w:lvlJc w:val="left"/>
      <w:pPr>
        <w:ind w:left="360" w:hanging="360"/>
      </w:pPr>
      <w:rPr>
        <w:rFonts w:hint="default"/>
        <w:b/>
        <w:sz w:val="18"/>
      </w:rPr>
    </w:lvl>
    <w:lvl w:ilvl="2">
      <w:start w:val="1"/>
      <w:numFmt w:val="decimal"/>
      <w:lvlText w:val="%1.%2.%3"/>
      <w:lvlJc w:val="left"/>
      <w:pPr>
        <w:ind w:left="720" w:hanging="720"/>
      </w:pPr>
      <w:rPr>
        <w:rFonts w:hint="default"/>
        <w:b/>
        <w:sz w:val="18"/>
      </w:rPr>
    </w:lvl>
    <w:lvl w:ilvl="3">
      <w:start w:val="1"/>
      <w:numFmt w:val="decimal"/>
      <w:lvlText w:val="%1.%2.%3.%4"/>
      <w:lvlJc w:val="left"/>
      <w:pPr>
        <w:ind w:left="1080" w:hanging="1080"/>
      </w:pPr>
      <w:rPr>
        <w:rFonts w:hint="default"/>
        <w:b/>
        <w:sz w:val="18"/>
      </w:rPr>
    </w:lvl>
    <w:lvl w:ilvl="4">
      <w:start w:val="1"/>
      <w:numFmt w:val="decimal"/>
      <w:lvlText w:val="%1.%2.%3.%4.%5"/>
      <w:lvlJc w:val="left"/>
      <w:pPr>
        <w:ind w:left="1080" w:hanging="1080"/>
      </w:pPr>
      <w:rPr>
        <w:rFonts w:hint="default"/>
        <w:b/>
        <w:sz w:val="18"/>
      </w:rPr>
    </w:lvl>
    <w:lvl w:ilvl="5">
      <w:start w:val="1"/>
      <w:numFmt w:val="decimal"/>
      <w:lvlText w:val="%1.%2.%3.%4.%5.%6"/>
      <w:lvlJc w:val="left"/>
      <w:pPr>
        <w:ind w:left="1440" w:hanging="1440"/>
      </w:pPr>
      <w:rPr>
        <w:rFonts w:hint="default"/>
        <w:b/>
        <w:sz w:val="18"/>
      </w:rPr>
    </w:lvl>
    <w:lvl w:ilvl="6">
      <w:start w:val="1"/>
      <w:numFmt w:val="decimal"/>
      <w:lvlText w:val="%1.%2.%3.%4.%5.%6.%7"/>
      <w:lvlJc w:val="left"/>
      <w:pPr>
        <w:ind w:left="1440" w:hanging="1440"/>
      </w:pPr>
      <w:rPr>
        <w:rFonts w:hint="default"/>
        <w:b/>
        <w:sz w:val="18"/>
      </w:rPr>
    </w:lvl>
    <w:lvl w:ilvl="7">
      <w:start w:val="1"/>
      <w:numFmt w:val="decimal"/>
      <w:lvlText w:val="%1.%2.%3.%4.%5.%6.%7.%8"/>
      <w:lvlJc w:val="left"/>
      <w:pPr>
        <w:ind w:left="1800" w:hanging="1800"/>
      </w:pPr>
      <w:rPr>
        <w:rFonts w:hint="default"/>
        <w:b/>
        <w:sz w:val="18"/>
      </w:rPr>
    </w:lvl>
    <w:lvl w:ilvl="8">
      <w:start w:val="1"/>
      <w:numFmt w:val="decimal"/>
      <w:lvlText w:val="%1.%2.%3.%4.%5.%6.%7.%8.%9"/>
      <w:lvlJc w:val="left"/>
      <w:pPr>
        <w:ind w:left="1800" w:hanging="1800"/>
      </w:pPr>
      <w:rPr>
        <w:rFonts w:hint="default"/>
        <w:b/>
        <w:sz w:val="18"/>
      </w:rPr>
    </w:lvl>
  </w:abstractNum>
  <w:abstractNum w:abstractNumId="20" w15:restartNumberingAfterBreak="0">
    <w:nsid w:val="4E392BE0"/>
    <w:multiLevelType w:val="hybridMultilevel"/>
    <w:tmpl w:val="DDD826E0"/>
    <w:lvl w:ilvl="0" w:tplc="240A000F">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2"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88371A1"/>
    <w:multiLevelType w:val="hybridMultilevel"/>
    <w:tmpl w:val="35C2C472"/>
    <w:lvl w:ilvl="0" w:tplc="30185D2E">
      <w:start w:val="1"/>
      <w:numFmt w:val="lowerLetter"/>
      <w:lvlText w:val="%1."/>
      <w:lvlJc w:val="left"/>
      <w:pPr>
        <w:ind w:left="644"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A145C36">
      <w:start w:val="1"/>
      <w:numFmt w:val="decimal"/>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4"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8AF16CF"/>
    <w:multiLevelType w:val="hybridMultilevel"/>
    <w:tmpl w:val="504AA1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763227">
    <w:abstractNumId w:val="30"/>
  </w:num>
  <w:num w:numId="2" w16cid:durableId="2070228455">
    <w:abstractNumId w:val="14"/>
  </w:num>
  <w:num w:numId="3" w16cid:durableId="1891112160">
    <w:abstractNumId w:val="17"/>
  </w:num>
  <w:num w:numId="4" w16cid:durableId="1591428748">
    <w:abstractNumId w:val="31"/>
  </w:num>
  <w:num w:numId="5" w16cid:durableId="10647909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2"/>
  </w:num>
  <w:num w:numId="7" w16cid:durableId="973607644">
    <w:abstractNumId w:val="16"/>
  </w:num>
  <w:num w:numId="8" w16cid:durableId="1209219462">
    <w:abstractNumId w:val="8"/>
  </w:num>
  <w:num w:numId="9" w16cid:durableId="1144077257">
    <w:abstractNumId w:val="22"/>
  </w:num>
  <w:num w:numId="10" w16cid:durableId="1840195897">
    <w:abstractNumId w:val="1"/>
  </w:num>
  <w:num w:numId="11" w16cid:durableId="1083916375">
    <w:abstractNumId w:val="2"/>
  </w:num>
  <w:num w:numId="12" w16cid:durableId="271741022">
    <w:abstractNumId w:val="21"/>
    <w:lvlOverride w:ilvl="0">
      <w:startOverride w:val="1"/>
    </w:lvlOverride>
  </w:num>
  <w:num w:numId="13" w16cid:durableId="216598979">
    <w:abstractNumId w:val="34"/>
  </w:num>
  <w:num w:numId="14" w16cid:durableId="273634320">
    <w:abstractNumId w:val="35"/>
  </w:num>
  <w:num w:numId="15" w16cid:durableId="821699210">
    <w:abstractNumId w:val="10"/>
  </w:num>
  <w:num w:numId="16" w16cid:durableId="286548960">
    <w:abstractNumId w:val="13"/>
  </w:num>
  <w:num w:numId="17" w16cid:durableId="75327964">
    <w:abstractNumId w:val="0"/>
  </w:num>
  <w:num w:numId="18" w16cid:durableId="185798736">
    <w:abstractNumId w:val="25"/>
  </w:num>
  <w:num w:numId="19" w16cid:durableId="542641323">
    <w:abstractNumId w:val="11"/>
  </w:num>
  <w:num w:numId="20" w16cid:durableId="1862235982">
    <w:abstractNumId w:val="28"/>
  </w:num>
  <w:num w:numId="21" w16cid:durableId="2093508260">
    <w:abstractNumId w:val="7"/>
  </w:num>
  <w:num w:numId="22" w16cid:durableId="1278218206">
    <w:abstractNumId w:val="32"/>
  </w:num>
  <w:num w:numId="23" w16cid:durableId="577596073">
    <w:abstractNumId w:val="9"/>
  </w:num>
  <w:num w:numId="24" w16cid:durableId="74480834">
    <w:abstractNumId w:val="3"/>
  </w:num>
  <w:num w:numId="25" w16cid:durableId="1909070183">
    <w:abstractNumId w:val="18"/>
  </w:num>
  <w:num w:numId="26" w16cid:durableId="1562135234">
    <w:abstractNumId w:val="4"/>
  </w:num>
  <w:num w:numId="27" w16cid:durableId="1508792891">
    <w:abstractNumId w:val="24"/>
  </w:num>
  <w:num w:numId="28" w16cid:durableId="1020669354">
    <w:abstractNumId w:val="26"/>
  </w:num>
  <w:num w:numId="29" w16cid:durableId="704019734">
    <w:abstractNumId w:val="27"/>
  </w:num>
  <w:num w:numId="30" w16cid:durableId="1317144536">
    <w:abstractNumId w:val="15"/>
  </w:num>
  <w:num w:numId="31" w16cid:durableId="1590845678">
    <w:abstractNumId w:val="23"/>
  </w:num>
  <w:num w:numId="32" w16cid:durableId="1344480885">
    <w:abstractNumId w:val="33"/>
  </w:num>
  <w:num w:numId="33" w16cid:durableId="1085149941">
    <w:abstractNumId w:val="29"/>
  </w:num>
  <w:num w:numId="34" w16cid:durableId="2044668070">
    <w:abstractNumId w:val="5"/>
  </w:num>
  <w:num w:numId="35" w16cid:durableId="886914472">
    <w:abstractNumId w:val="6"/>
  </w:num>
  <w:num w:numId="36" w16cid:durableId="1049380349">
    <w:abstractNumId w:val="19"/>
  </w:num>
  <w:num w:numId="37" w16cid:durableId="1645768113">
    <w:abstractNumId w:val="36"/>
  </w:num>
  <w:num w:numId="38" w16cid:durableId="8206567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54A8A"/>
    <w:rsid w:val="0006046E"/>
    <w:rsid w:val="000627A7"/>
    <w:rsid w:val="00062DFF"/>
    <w:rsid w:val="00065C97"/>
    <w:rsid w:val="0006629F"/>
    <w:rsid w:val="000666AD"/>
    <w:rsid w:val="00071442"/>
    <w:rsid w:val="00073CA9"/>
    <w:rsid w:val="00074E74"/>
    <w:rsid w:val="000756A2"/>
    <w:rsid w:val="00075B90"/>
    <w:rsid w:val="00077D3F"/>
    <w:rsid w:val="0008484B"/>
    <w:rsid w:val="000849B7"/>
    <w:rsid w:val="00084A89"/>
    <w:rsid w:val="00084F4A"/>
    <w:rsid w:val="00091016"/>
    <w:rsid w:val="00091E6B"/>
    <w:rsid w:val="00093305"/>
    <w:rsid w:val="00093F35"/>
    <w:rsid w:val="00093F73"/>
    <w:rsid w:val="000A091F"/>
    <w:rsid w:val="000A2706"/>
    <w:rsid w:val="000A287D"/>
    <w:rsid w:val="000A2D64"/>
    <w:rsid w:val="000A40AD"/>
    <w:rsid w:val="000A44A0"/>
    <w:rsid w:val="000A48E7"/>
    <w:rsid w:val="000A5B60"/>
    <w:rsid w:val="000A692D"/>
    <w:rsid w:val="000A77A7"/>
    <w:rsid w:val="000B20BC"/>
    <w:rsid w:val="000B2F8D"/>
    <w:rsid w:val="000B403D"/>
    <w:rsid w:val="000C18AC"/>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8C4"/>
    <w:rsid w:val="00172E05"/>
    <w:rsid w:val="00174BB2"/>
    <w:rsid w:val="00177554"/>
    <w:rsid w:val="00181199"/>
    <w:rsid w:val="00181702"/>
    <w:rsid w:val="00181D75"/>
    <w:rsid w:val="0018433F"/>
    <w:rsid w:val="00194076"/>
    <w:rsid w:val="00195D2C"/>
    <w:rsid w:val="00197494"/>
    <w:rsid w:val="001A11F5"/>
    <w:rsid w:val="001A19ED"/>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E3794"/>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C6C0D"/>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20A4"/>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08E4"/>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17E8A"/>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77281"/>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212"/>
    <w:rsid w:val="006B3C34"/>
    <w:rsid w:val="006B4FC9"/>
    <w:rsid w:val="006B653E"/>
    <w:rsid w:val="006B6748"/>
    <w:rsid w:val="006C0C2B"/>
    <w:rsid w:val="006C0F7B"/>
    <w:rsid w:val="006C55B9"/>
    <w:rsid w:val="006D0F3B"/>
    <w:rsid w:val="006D17DA"/>
    <w:rsid w:val="006D2C2E"/>
    <w:rsid w:val="006D761F"/>
    <w:rsid w:val="006E0A8E"/>
    <w:rsid w:val="006E3D46"/>
    <w:rsid w:val="006E4376"/>
    <w:rsid w:val="006E687C"/>
    <w:rsid w:val="006E6BC9"/>
    <w:rsid w:val="006E7EA7"/>
    <w:rsid w:val="006F1C52"/>
    <w:rsid w:val="006F2095"/>
    <w:rsid w:val="006F20EC"/>
    <w:rsid w:val="006F5C61"/>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9D5"/>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B2AA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17CAE"/>
    <w:rsid w:val="00820D35"/>
    <w:rsid w:val="008217A0"/>
    <w:rsid w:val="008232EC"/>
    <w:rsid w:val="00831C75"/>
    <w:rsid w:val="00831DAF"/>
    <w:rsid w:val="008329C8"/>
    <w:rsid w:val="008354AC"/>
    <w:rsid w:val="00836D64"/>
    <w:rsid w:val="00836E8C"/>
    <w:rsid w:val="00844748"/>
    <w:rsid w:val="00846D69"/>
    <w:rsid w:val="008476E3"/>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1710"/>
    <w:rsid w:val="008D3585"/>
    <w:rsid w:val="008D36FF"/>
    <w:rsid w:val="008D392A"/>
    <w:rsid w:val="008D61E1"/>
    <w:rsid w:val="008E1DB9"/>
    <w:rsid w:val="008E2313"/>
    <w:rsid w:val="008E4005"/>
    <w:rsid w:val="008E662A"/>
    <w:rsid w:val="008E6EB6"/>
    <w:rsid w:val="008E74B4"/>
    <w:rsid w:val="008F058D"/>
    <w:rsid w:val="008F1721"/>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1B66"/>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4C11"/>
    <w:rsid w:val="00CC74CF"/>
    <w:rsid w:val="00CD55C8"/>
    <w:rsid w:val="00CD5F4C"/>
    <w:rsid w:val="00CE1391"/>
    <w:rsid w:val="00CE17B1"/>
    <w:rsid w:val="00CE6788"/>
    <w:rsid w:val="00CE6B2E"/>
    <w:rsid w:val="00CF3325"/>
    <w:rsid w:val="00CF3803"/>
    <w:rsid w:val="00CF46F0"/>
    <w:rsid w:val="00CF4D6E"/>
    <w:rsid w:val="00CF5C7E"/>
    <w:rsid w:val="00CF677C"/>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17D2"/>
    <w:rsid w:val="00DA3148"/>
    <w:rsid w:val="00DA4256"/>
    <w:rsid w:val="00DA6D34"/>
    <w:rsid w:val="00DB0B82"/>
    <w:rsid w:val="00DB71BD"/>
    <w:rsid w:val="00DC179A"/>
    <w:rsid w:val="00DC2EE6"/>
    <w:rsid w:val="00DC3DEE"/>
    <w:rsid w:val="00DC3FBE"/>
    <w:rsid w:val="00DC5D8F"/>
    <w:rsid w:val="00DD03ED"/>
    <w:rsid w:val="00DD2E2B"/>
    <w:rsid w:val="00DD3AF6"/>
    <w:rsid w:val="00DD4A8B"/>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17F77"/>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8257881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21</Pages>
  <Words>9462</Words>
  <Characters>52043</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Elías Jaimes Fernandez</cp:lastModifiedBy>
  <cp:revision>23</cp:revision>
  <cp:lastPrinted>2022-06-28T19:27:00Z</cp:lastPrinted>
  <dcterms:created xsi:type="dcterms:W3CDTF">2023-06-23T01:08:00Z</dcterms:created>
  <dcterms:modified xsi:type="dcterms:W3CDTF">2023-09-05T17:37:00Z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