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C04F232" w:rsidR="00D11C80" w:rsidRPr="002A16F5" w:rsidRDefault="00DE0C8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CD-DP-3570-2023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E9339D0" w:rsidR="00D11C80" w:rsidRPr="002A16F5" w:rsidRDefault="00DE0C8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9AC8D9C" w:rsidR="00D11C80" w:rsidRPr="00EF058A" w:rsidRDefault="00DE0C8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56B31EE" w:rsidR="00D11C80" w:rsidRPr="00E81883" w:rsidRDefault="00DE0C8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09E800E" w:rsidR="00D11C80" w:rsidRPr="00EF058A" w:rsidRDefault="00DE0C8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PENSILVANIA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5384567" w:rsidR="00D11C80" w:rsidRPr="00CA518E" w:rsidRDefault="00DE0C8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7BF773A" w:rsidR="00D11C80" w:rsidRPr="002A16F5" w:rsidRDefault="00DE0C8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7810D2C" w:rsidR="00D11C80" w:rsidRPr="00EF058A" w:rsidRDefault="00DE0C8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0E94BFB" w:rsidR="00D11C80" w:rsidRPr="00EF058A" w:rsidRDefault="00DE0C8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NOREÑA FLOREZ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RUBEN DARIO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F04C99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E0C8D">
              <w:rPr>
                <w:rFonts w:ascii="Trebuchet MS" w:hAnsi="Trebuchet MS" w:cs="Arial"/>
                <w:sz w:val="22"/>
                <w:szCs w:val="22"/>
              </w:rPr>
              <w:t>15988132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3FEC18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E0C8D">
              <w:rPr>
                <w:rFonts w:ascii="Trebuchet MS" w:hAnsi="Trebuchet MS" w:cs="Arial"/>
                <w:noProof/>
                <w:sz w:val="22"/>
                <w:szCs w:val="22"/>
              </w:rPr>
              <w:t>135002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3E208C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DE0C8D">
              <w:rPr>
                <w:rFonts w:ascii="Trebuchet MS" w:hAnsi="Trebuchet MS" w:cs="Arial"/>
                <w:sz w:val="22"/>
                <w:szCs w:val="22"/>
              </w:rPr>
              <w:t>175123 del 15-09-2023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DCA702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DE0C8D">
        <w:rPr>
          <w:rFonts w:ascii="Trebuchet MS" w:hAnsi="Trebuchet MS"/>
          <w:b/>
          <w:szCs w:val="22"/>
        </w:rPr>
        <w:t>NOREÑA FLOREZ</w:t>
      </w:r>
      <w:r w:rsidRPr="00443914">
        <w:rPr>
          <w:rFonts w:ascii="Trebuchet MS" w:hAnsi="Trebuchet MS"/>
          <w:b/>
          <w:szCs w:val="22"/>
        </w:rPr>
        <w:t xml:space="preserve"> </w:t>
      </w:r>
      <w:r w:rsidR="00DE0C8D">
        <w:rPr>
          <w:rFonts w:ascii="Trebuchet MS" w:hAnsi="Trebuchet MS"/>
          <w:b/>
          <w:szCs w:val="22"/>
        </w:rPr>
        <w:t>RUBEN DARIO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E0C8D">
        <w:rPr>
          <w:rFonts w:ascii="Trebuchet MS" w:hAnsi="Trebuchet MS"/>
          <w:noProof/>
          <w:szCs w:val="22"/>
        </w:rPr>
        <w:t>15988132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1131CE76" w:rsidR="005379B3" w:rsidRPr="00443914" w:rsidRDefault="005379B3" w:rsidP="00F95237">
      <w:pPr>
        <w:pStyle w:val="P26"/>
        <w:jc w:val="both"/>
        <w:rPr>
          <w:rFonts w:ascii="Trebuchet MS" w:hAnsi="Trebuchet MS" w:cs="Arial"/>
          <w:snapToGrid w:val="0"/>
          <w:szCs w:val="22"/>
        </w:rPr>
      </w:pPr>
      <w:r w:rsidRPr="00443914">
        <w:rPr>
          <w:rFonts w:ascii="Trebuchet MS" w:hAnsi="Trebuchet MS" w:cs="Arial"/>
          <w:b/>
          <w:szCs w:val="22"/>
        </w:rPr>
        <w:t>1.</w:t>
      </w:r>
      <w:r w:rsidRPr="00443914">
        <w:rPr>
          <w:rFonts w:ascii="Trebuchet MS" w:hAnsi="Trebuchet MS" w:cs="Arial"/>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Cs w:val="22"/>
        </w:rPr>
        <w:t xml:space="preserve">2. </w:t>
      </w:r>
      <w:r w:rsidRPr="00443914">
        <w:rPr>
          <w:rFonts w:ascii="Trebuchet MS" w:hAnsi="Trebuchet MS" w:cs="Arial"/>
          <w:szCs w:val="22"/>
        </w:rPr>
        <w:t>Que el artículo 21 de la ley 24 de 1992</w:t>
      </w:r>
      <w:r>
        <w:rPr>
          <w:rFonts w:ascii="Trebuchet MS" w:hAnsi="Trebuchet MS" w:cs="Arial"/>
          <w:szCs w:val="22"/>
        </w:rPr>
        <w:t>,</w:t>
      </w:r>
      <w:r w:rsidRPr="00443914">
        <w:rPr>
          <w:rFonts w:ascii="Trebuchet MS" w:hAnsi="Trebuchet MS" w:cs="Arial"/>
          <w:szCs w:val="22"/>
        </w:rPr>
        <w:t xml:space="preserve"> por la cual se establecen la organización y funcionamiento de la Defensoría del Pueblo y se dictan otras disposiciones </w:t>
      </w:r>
      <w:r>
        <w:rPr>
          <w:rFonts w:ascii="Trebuchet MS" w:hAnsi="Trebuchet MS" w:cs="Arial"/>
          <w:szCs w:val="22"/>
        </w:rPr>
        <w:t>dispuso</w:t>
      </w:r>
      <w:r w:rsidRPr="00443914">
        <w:rPr>
          <w:rFonts w:ascii="Trebuchet MS" w:hAnsi="Trebuchet MS" w:cs="Arial"/>
          <w:szCs w:val="22"/>
        </w:rPr>
        <w:t xml:space="preserve"> que </w:t>
      </w:r>
      <w:r w:rsidRPr="00443914">
        <w:rPr>
          <w:rFonts w:ascii="Trebuchet MS" w:hAnsi="Trebuchet MS" w:cs="Arial"/>
          <w:i/>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Cs w:val="22"/>
        </w:rPr>
        <w:t xml:space="preserve">3. </w:t>
      </w:r>
      <w:r w:rsidRPr="00443914">
        <w:rPr>
          <w:rFonts w:ascii="Trebuchet MS" w:hAnsi="Trebuchet MS" w:cs="Arial"/>
          <w:szCs w:val="22"/>
        </w:rPr>
        <w:t xml:space="preserve">Que el artículo 22 de la ley 24 de 1992 establece que la defensoría pública </w:t>
      </w:r>
      <w:r>
        <w:rPr>
          <w:rFonts w:ascii="Trebuchet MS" w:hAnsi="Trebuchet MS" w:cs="Arial"/>
          <w:szCs w:val="22"/>
        </w:rPr>
        <w:t xml:space="preserve">debe </w:t>
      </w:r>
      <w:r w:rsidRPr="00443914">
        <w:rPr>
          <w:rFonts w:ascii="Trebuchet MS" w:hAnsi="Trebuchet MS" w:cs="Arial"/>
          <w:szCs w:val="22"/>
        </w:rPr>
        <w:t>prestar</w:t>
      </w:r>
      <w:r>
        <w:rPr>
          <w:rFonts w:ascii="Trebuchet MS" w:hAnsi="Trebuchet MS" w:cs="Arial"/>
          <w:szCs w:val="22"/>
        </w:rPr>
        <w:t>se</w:t>
      </w:r>
      <w:r w:rsidRPr="00443914">
        <w:rPr>
          <w:rFonts w:ascii="Trebuchet MS" w:hAnsi="Trebuchet MS" w:cs="Arial"/>
          <w:szCs w:val="22"/>
        </w:rPr>
        <w:t xml:space="preserve">, entre otros, por los abogados titulados e inscritos que hayan sido contratados como Defensores Públicos. </w:t>
      </w:r>
      <w:r w:rsidRPr="00443914">
        <w:rPr>
          <w:rFonts w:ascii="Trebuchet MS" w:hAnsi="Trebuchet MS" w:cs="Arial"/>
          <w:b/>
          <w:szCs w:val="22"/>
        </w:rPr>
        <w:t xml:space="preserve">4. </w:t>
      </w:r>
      <w:r w:rsidRPr="00443914">
        <w:rPr>
          <w:rFonts w:ascii="Trebuchet MS" w:hAnsi="Trebuchet MS" w:cs="Arial"/>
          <w:szCs w:val="22"/>
        </w:rPr>
        <w:t xml:space="preserve">Que la ley 941 de 2005, </w:t>
      </w:r>
      <w:r w:rsidRPr="00443914">
        <w:rPr>
          <w:rFonts w:ascii="Trebuchet MS" w:hAnsi="Trebuchet MS" w:cs="Arial"/>
          <w:i/>
          <w:szCs w:val="22"/>
        </w:rPr>
        <w:t>“Por la cual se organiza el Sistema Nacional de Defensoría Pública”</w:t>
      </w:r>
      <w:r w:rsidRPr="00443914">
        <w:rPr>
          <w:rFonts w:ascii="Trebuchet MS" w:hAnsi="Trebuchet MS" w:cs="Arial"/>
          <w:szCs w:val="22"/>
        </w:rPr>
        <w:t xml:space="preserve">, se fundamenta sobre </w:t>
      </w:r>
      <w:r>
        <w:rPr>
          <w:rFonts w:ascii="Trebuchet MS" w:hAnsi="Trebuchet MS" w:cs="Arial"/>
          <w:szCs w:val="22"/>
        </w:rPr>
        <w:t xml:space="preserve">los postulados inherentes a </w:t>
      </w:r>
      <w:r w:rsidRPr="00443914">
        <w:rPr>
          <w:rFonts w:ascii="Trebuchet MS" w:hAnsi="Trebuchet MS" w:cs="Arial"/>
          <w:szCs w:val="22"/>
        </w:rPr>
        <w:t xml:space="preserve">los principios de igualdad, derecho de defensa, oportunidad, gratuidad, calidad, responsabilidad, transparencia y selección objetiva. </w:t>
      </w:r>
      <w:r w:rsidRPr="00443914">
        <w:rPr>
          <w:rFonts w:ascii="Trebuchet MS" w:hAnsi="Trebuchet MS" w:cs="Arial"/>
          <w:b/>
          <w:szCs w:val="22"/>
        </w:rPr>
        <w:t xml:space="preserve">5. </w:t>
      </w:r>
      <w:r w:rsidRPr="00443914">
        <w:rPr>
          <w:rFonts w:ascii="Trebuchet MS" w:hAnsi="Trebuchet MS" w:cs="Arial"/>
          <w:szCs w:val="22"/>
        </w:rPr>
        <w:t xml:space="preserve">Que el artículo primero de la </w:t>
      </w:r>
      <w:r w:rsidRPr="00443914">
        <w:rPr>
          <w:rFonts w:ascii="Trebuchet MS" w:hAnsi="Trebuchet MS"/>
          <w:szCs w:val="22"/>
        </w:rPr>
        <w:t xml:space="preserve">precitada ley establece que la finalidad del Sistema Nacional de Defensoría Pública </w:t>
      </w:r>
      <w:r>
        <w:rPr>
          <w:rFonts w:ascii="Trebuchet MS" w:hAnsi="Trebuchet MS"/>
          <w:szCs w:val="22"/>
        </w:rPr>
        <w:t>consiste en</w:t>
      </w:r>
      <w:r w:rsidRPr="00443914">
        <w:rPr>
          <w:rFonts w:ascii="Trebuchet MS" w:hAnsi="Trebuchet MS"/>
          <w:szCs w:val="22"/>
        </w:rPr>
        <w:t xml:space="preserve"> </w:t>
      </w:r>
      <w:r w:rsidRPr="00443914">
        <w:rPr>
          <w:rFonts w:ascii="Trebuchet MS" w:hAnsi="Trebuchet MS"/>
          <w:i/>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Cs w:val="22"/>
        </w:rPr>
        <w:t xml:space="preserve">. </w:t>
      </w:r>
      <w:r w:rsidRPr="00443914">
        <w:rPr>
          <w:rFonts w:ascii="Trebuchet MS" w:hAnsi="Trebuchet MS"/>
          <w:b/>
          <w:szCs w:val="22"/>
        </w:rPr>
        <w:t>6.</w:t>
      </w:r>
      <w:r w:rsidRPr="00443914">
        <w:rPr>
          <w:rFonts w:ascii="Trebuchet MS" w:hAnsi="Trebuchet MS"/>
          <w:szCs w:val="22"/>
        </w:rPr>
        <w:t xml:space="preserve">Que el artículo 13 de dicha normativa, señala que el Defensor del Pueblo </w:t>
      </w:r>
      <w:r w:rsidRPr="00443914">
        <w:rPr>
          <w:rFonts w:ascii="Trebuchet MS" w:hAnsi="Trebuchet MS"/>
          <w:i/>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Cs w:val="22"/>
        </w:rPr>
        <w:t>7.</w:t>
      </w:r>
      <w:r w:rsidRPr="00443914">
        <w:rPr>
          <w:rFonts w:ascii="Trebuchet MS" w:hAnsi="Trebuchet MS"/>
          <w:szCs w:val="22"/>
        </w:rPr>
        <w:t>Que el capítulo I del Título III de la citada ley hace alusión a los componentes del Sistema Nacional de Defensoría Pública, en los cuales se encuentra incluido</w:t>
      </w:r>
      <w:r>
        <w:rPr>
          <w:rFonts w:ascii="Trebuchet MS" w:hAnsi="Trebuchet MS"/>
          <w:szCs w:val="22"/>
        </w:rPr>
        <w:t xml:space="preserve"> lo atinente a la institución del </w:t>
      </w:r>
      <w:r w:rsidRPr="00443914">
        <w:rPr>
          <w:rFonts w:ascii="Trebuchet MS" w:hAnsi="Trebuchet MS"/>
          <w:szCs w:val="22"/>
        </w:rPr>
        <w:t xml:space="preserve">defensor público. </w:t>
      </w:r>
      <w:r w:rsidRPr="00443914">
        <w:rPr>
          <w:rFonts w:ascii="Trebuchet MS" w:hAnsi="Trebuchet MS"/>
          <w:b/>
          <w:szCs w:val="22"/>
        </w:rPr>
        <w:t xml:space="preserve">8. </w:t>
      </w:r>
      <w:r w:rsidRPr="00443914">
        <w:rPr>
          <w:rFonts w:ascii="Trebuchet MS" w:hAnsi="Trebuchet MS"/>
          <w:szCs w:val="22"/>
        </w:rPr>
        <w:t xml:space="preserve">Que el artículo 26 de la ley ejusdem define a los defensores públicos, </w:t>
      </w:r>
      <w:r w:rsidRPr="00443914">
        <w:rPr>
          <w:rFonts w:ascii="Trebuchet MS" w:hAnsi="Trebuchet MS"/>
          <w:i/>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Cs w:val="22"/>
        </w:rPr>
        <w:t>9.</w:t>
      </w:r>
      <w:r w:rsidRPr="00443914">
        <w:rPr>
          <w:rFonts w:ascii="Trebuchet MS" w:hAnsi="Trebuchet MS" w:cs="Arial"/>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Cs w:val="22"/>
        </w:rPr>
        <w:t>5</w:t>
      </w:r>
      <w:r w:rsidRPr="00443914">
        <w:rPr>
          <w:rFonts w:ascii="Trebuchet MS" w:hAnsi="Trebuchet MS" w:cs="Arial"/>
          <w:szCs w:val="22"/>
        </w:rPr>
        <w:t xml:space="preserve"> (que reglamenta la ley 985 de 2005) y 1761 de 2015. </w:t>
      </w:r>
      <w:r w:rsidRPr="00443914">
        <w:rPr>
          <w:rFonts w:ascii="Trebuchet MS" w:hAnsi="Trebuchet MS" w:cs="Arial"/>
          <w:b/>
          <w:szCs w:val="22"/>
        </w:rPr>
        <w:t xml:space="preserve">10. </w:t>
      </w:r>
      <w:r w:rsidRPr="00443914">
        <w:rPr>
          <w:rFonts w:ascii="Trebuchet MS" w:hAnsi="Trebuchet MS"/>
          <w:szCs w:val="22"/>
        </w:rPr>
        <w:t>Que el artículo 5° del Decreto</w:t>
      </w:r>
      <w:r>
        <w:rPr>
          <w:rFonts w:ascii="Trebuchet MS" w:hAnsi="Trebuchet MS"/>
          <w:szCs w:val="22"/>
        </w:rPr>
        <w:t xml:space="preserve"> Ley</w:t>
      </w:r>
      <w:r w:rsidRPr="00443914">
        <w:rPr>
          <w:rFonts w:ascii="Trebuchet MS" w:hAnsi="Trebuchet MS"/>
          <w:szCs w:val="22"/>
        </w:rPr>
        <w:t xml:space="preserve"> 025 del año 2014 </w:t>
      </w:r>
      <w:r w:rsidRPr="00443914">
        <w:rPr>
          <w:rFonts w:ascii="Trebuchet MS" w:hAnsi="Trebuchet MS"/>
          <w:i/>
          <w:szCs w:val="22"/>
        </w:rPr>
        <w:t>por el cual se modifica la estructura orgánica y se establece la organización y funcionamiento de la Defensoría del Pueblo</w:t>
      </w:r>
      <w:r w:rsidRPr="00443914">
        <w:rPr>
          <w:rFonts w:ascii="Trebuchet MS" w:hAnsi="Trebuchet MS"/>
          <w:szCs w:val="22"/>
        </w:rPr>
        <w:t xml:space="preserve">, establece que son funciones del Defensor del Pueblo, entre otras, </w:t>
      </w:r>
      <w:r w:rsidRPr="00443914">
        <w:rPr>
          <w:rFonts w:ascii="Trebuchet MS" w:hAnsi="Trebuchet MS"/>
          <w:i/>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Cs w:val="22"/>
        </w:rPr>
        <w:t>11</w:t>
      </w:r>
      <w:r w:rsidRPr="00443914">
        <w:rPr>
          <w:rFonts w:ascii="Trebuchet MS" w:hAnsi="Trebuchet MS" w:cs="Arial"/>
          <w:b/>
          <w:szCs w:val="22"/>
        </w:rPr>
        <w:t>.</w:t>
      </w:r>
      <w:r>
        <w:rPr>
          <w:rFonts w:ascii="Trebuchet MS" w:hAnsi="Trebuchet MS" w:cs="Arial"/>
          <w:b/>
          <w:szCs w:val="22"/>
        </w:rPr>
        <w:t xml:space="preserve"> </w:t>
      </w:r>
      <w:r w:rsidRPr="00822FB4">
        <w:rPr>
          <w:rFonts w:ascii="Trebuchet MS" w:hAnsi="Trebuchet MS" w:cs="Arial"/>
          <w:szCs w:val="22"/>
        </w:rPr>
        <w:t xml:space="preserve">Que, en virtud de lo anterior, la Defensoría del Pueblo expidió la resolución No 1008 del 2018 </w:t>
      </w:r>
      <w:r w:rsidRPr="00822FB4">
        <w:rPr>
          <w:rFonts w:ascii="Trebuchet MS" w:hAnsi="Trebuchet MS" w:cs="Arial"/>
          <w:i/>
          <w:szCs w:val="22"/>
        </w:rPr>
        <w:t>“Por la cual se determinan las áreas en las que se presta el servicio de Defensoría Pública y se dictan otras disposiciones”</w:t>
      </w:r>
      <w:r>
        <w:rPr>
          <w:rFonts w:ascii="Trebuchet MS" w:hAnsi="Trebuchet MS" w:cs="Arial"/>
          <w:szCs w:val="22"/>
        </w:rPr>
        <w:t xml:space="preserve">. </w:t>
      </w:r>
      <w:r>
        <w:rPr>
          <w:rFonts w:ascii="Trebuchet MS" w:hAnsi="Trebuchet MS" w:cs="Arial"/>
          <w:b/>
          <w:szCs w:val="22"/>
        </w:rPr>
        <w:t>12.</w:t>
      </w:r>
      <w:r w:rsidR="00F95237">
        <w:rPr>
          <w:rFonts w:ascii="Trebuchet MS" w:hAnsi="Trebuchet MS" w:cs="Arial"/>
          <w:b/>
          <w:szCs w:val="22"/>
        </w:rPr>
        <w:t xml:space="preserve"> </w:t>
      </w:r>
      <w:r w:rsidR="00F95237">
        <w:rPr>
          <w:rFonts w:ascii="Trebuchet MS" w:hAnsi="Trebuchet MS" w:cs="Arial"/>
          <w:szCs w:val="22"/>
        </w:rPr>
        <w:t xml:space="preserve">Que en este orden de ideas, la entidad expidió la resolución por medio de la cual se efectuó una modificación al anexo del Decreto de liquidación en el presupuesto de gastos de funcionamiento la Defensoría del Pueblo, para la vigencia fiscal 2023 y en cuya parte resolutiva se asigno un valor de $4.121.409.734 para efectuar procesos de contratación en materia de extinción de dominio. </w:t>
      </w:r>
      <w:r w:rsidR="00F95237" w:rsidRPr="00F95237">
        <w:rPr>
          <w:rFonts w:ascii="Trebuchet MS" w:hAnsi="Trebuchet MS" w:cs="Arial"/>
          <w:b/>
          <w:bCs/>
          <w:szCs w:val="22"/>
        </w:rPr>
        <w:t>13.</w:t>
      </w:r>
      <w:r w:rsidR="00F95237">
        <w:rPr>
          <w:rFonts w:ascii="Trebuchet MS" w:hAnsi="Trebuchet MS" w:cs="Arial"/>
          <w:szCs w:val="22"/>
        </w:rPr>
        <w:t xml:space="preserve"> Que así las cosas y de acuerdo con el dinamismo que le es propio a la prestación del servicio de Defensoría pública en el país, el grupo de Representación Judicial de Víctimas, de la Dirección Nacional de Defensoría Pública, adelanto y suscribió un estudio de necesidades en cada una de las Defensorías Regionales en las cuales tiene presencia el Ente Defensorial, a efectos de determinar e identificar el número de defensores públicos que se requieren en esta materia, a la luz de lo dispuesto sobre este particular en el Manual de Contratación adoptado por la entidad. </w:t>
      </w:r>
      <w:r w:rsidR="00F95237" w:rsidRPr="00F95237">
        <w:rPr>
          <w:rFonts w:ascii="Trebuchet MS" w:hAnsi="Trebuchet MS" w:cs="Arial"/>
          <w:b/>
          <w:bCs/>
          <w:szCs w:val="22"/>
        </w:rPr>
        <w:t>14.</w:t>
      </w:r>
      <w:r w:rsidR="00F95237" w:rsidRPr="00F95237">
        <w:rPr>
          <w:rFonts w:ascii="Trebuchet MS" w:hAnsi="Trebuchet MS" w:cs="Arial"/>
          <w:szCs w:val="22"/>
        </w:rPr>
        <w:t>Que a</w:t>
      </w:r>
      <w:r w:rsidR="00F95237" w:rsidRPr="00F95237">
        <w:rPr>
          <w:rFonts w:ascii="Trebuchet MS" w:hAnsi="Trebuchet MS" w:cs="Arial"/>
          <w:szCs w:val="22"/>
          <w:lang w:val="es-CO" w:eastAsia="es-CO"/>
        </w:rPr>
        <w:t xml:space="preserve">tendiendo los argumentos expuestos y de acuerdo con el estudio de necesidad y análisis estadístico efectuado sobre este asunto, por el Grupo de Representación judicial de Victimas,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circuito en el programa GENERAL DE DERECHO PUBLICO Y PRIVADO. </w:t>
      </w:r>
      <w:r w:rsidR="00F95237" w:rsidRPr="00F95237">
        <w:rPr>
          <w:rFonts w:ascii="Trebuchet MS" w:hAnsi="Trebuchet MS" w:cs="Arial"/>
          <w:b/>
          <w:bCs/>
          <w:szCs w:val="22"/>
          <w:lang w:val="es-CO" w:eastAsia="es-CO"/>
        </w:rPr>
        <w:t>15.</w:t>
      </w:r>
      <w:r w:rsidR="00F95237">
        <w:rPr>
          <w:rFonts w:ascii="Trebuchet MS" w:hAnsi="Trebuchet MS" w:cs="Arial"/>
          <w:szCs w:val="22"/>
          <w:lang w:val="es-CO" w:eastAsia="es-CO"/>
        </w:rPr>
        <w:t xml:space="preserve"> </w:t>
      </w:r>
      <w:r w:rsidRPr="00443914">
        <w:rPr>
          <w:rFonts w:ascii="Trebuchet MS" w:hAnsi="Trebuchet MS" w:cs="Arial"/>
          <w:snapToGrid w:val="0"/>
          <w:szCs w:val="22"/>
        </w:rPr>
        <w:t xml:space="preserve">Que, en virtud de lo anterior, </w:t>
      </w:r>
      <w:r>
        <w:rPr>
          <w:rFonts w:ascii="Trebuchet MS" w:hAnsi="Trebuchet MS" w:cs="Arial"/>
          <w:snapToGrid w:val="0"/>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Cs w:val="22"/>
        </w:rPr>
        <w:t xml:space="preserve">, según resolución No </w:t>
      </w:r>
      <w:r w:rsidR="004E54D4">
        <w:rPr>
          <w:rFonts w:ascii="Trebuchet MS" w:hAnsi="Trebuchet MS" w:cs="Arial"/>
          <w:snapToGrid w:val="0"/>
          <w:szCs w:val="22"/>
        </w:rPr>
        <w:t>1801</w:t>
      </w:r>
      <w:r w:rsidRPr="008C7F84">
        <w:rPr>
          <w:rFonts w:ascii="Trebuchet MS" w:hAnsi="Trebuchet MS" w:cs="Arial"/>
          <w:snapToGrid w:val="0"/>
          <w:szCs w:val="22"/>
        </w:rPr>
        <w:t xml:space="preserve"> de 2022.</w:t>
      </w:r>
      <w:r>
        <w:rPr>
          <w:rFonts w:ascii="Trebuchet MS" w:hAnsi="Trebuchet MS" w:cs="Arial"/>
          <w:snapToGrid w:val="0"/>
          <w:szCs w:val="22"/>
        </w:rPr>
        <w:t xml:space="preserve"> </w:t>
      </w:r>
      <w:r>
        <w:rPr>
          <w:rFonts w:ascii="Trebuchet MS" w:hAnsi="Trebuchet MS" w:cs="Arial"/>
          <w:b/>
          <w:snapToGrid w:val="0"/>
          <w:szCs w:val="22"/>
        </w:rPr>
        <w:t>1</w:t>
      </w:r>
      <w:r w:rsidR="00F95237">
        <w:rPr>
          <w:rFonts w:ascii="Trebuchet MS" w:hAnsi="Trebuchet MS" w:cs="Arial"/>
          <w:b/>
          <w:snapToGrid w:val="0"/>
          <w:szCs w:val="22"/>
        </w:rPr>
        <w:t>6</w:t>
      </w:r>
      <w:r>
        <w:rPr>
          <w:rFonts w:ascii="Trebuchet MS" w:hAnsi="Trebuchet MS" w:cs="Arial"/>
          <w:b/>
          <w:snapToGrid w:val="0"/>
          <w:szCs w:val="22"/>
        </w:rPr>
        <w:t xml:space="preserve">. </w:t>
      </w:r>
      <w:r w:rsidRPr="00443914">
        <w:rPr>
          <w:rFonts w:ascii="Trebuchet MS" w:hAnsi="Trebuchet MS" w:cs="Arial"/>
          <w:snapToGrid w:val="0"/>
          <w:szCs w:val="22"/>
        </w:rPr>
        <w:t>Que, el contratista presentó oferta de servicios la cual hace parte integral del pres</w:t>
      </w:r>
      <w:r>
        <w:rPr>
          <w:rFonts w:ascii="Trebuchet MS" w:hAnsi="Trebuchet MS" w:cs="Arial"/>
          <w:snapToGrid w:val="0"/>
          <w:szCs w:val="22"/>
        </w:rPr>
        <w:t>ente</w:t>
      </w:r>
      <w:r w:rsidRPr="00443914">
        <w:rPr>
          <w:rFonts w:ascii="Trebuchet MS" w:hAnsi="Trebuchet MS" w:cs="Arial"/>
          <w:snapToGrid w:val="0"/>
          <w:szCs w:val="22"/>
        </w:rPr>
        <w:t xml:space="preserve"> contrato</w:t>
      </w:r>
      <w:r>
        <w:rPr>
          <w:rFonts w:ascii="Trebuchet MS" w:hAnsi="Trebuchet MS" w:cs="Arial"/>
          <w:snapToGrid w:val="0"/>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7</w:t>
      </w:r>
      <w:r w:rsidRPr="00443914">
        <w:rPr>
          <w:rFonts w:ascii="Trebuchet MS" w:hAnsi="Trebuchet MS" w:cs="Arial"/>
          <w:b/>
          <w:snapToGrid w:val="0"/>
          <w:szCs w:val="22"/>
        </w:rPr>
        <w:t>.</w:t>
      </w:r>
      <w:r w:rsidRPr="00443914">
        <w:rPr>
          <w:rFonts w:ascii="Trebuchet MS" w:hAnsi="Trebuchet MS" w:cs="Arial"/>
          <w:snapToGrid w:val="0"/>
          <w:szCs w:val="22"/>
        </w:rPr>
        <w:t xml:space="preserve"> </w:t>
      </w:r>
      <w:r>
        <w:rPr>
          <w:rFonts w:ascii="Trebuchet MS" w:hAnsi="Trebuchet MS" w:cs="Arial"/>
          <w:snapToGrid w:val="0"/>
          <w:szCs w:val="22"/>
        </w:rPr>
        <w:t>Que la presente contratación se encuentra planeada en el Plan Anual de Adquisiciones de la Vigencia 202</w:t>
      </w:r>
      <w:r w:rsidR="004E54D4">
        <w:rPr>
          <w:rFonts w:ascii="Trebuchet MS" w:hAnsi="Trebuchet MS" w:cs="Arial"/>
          <w:snapToGrid w:val="0"/>
          <w:szCs w:val="22"/>
        </w:rPr>
        <w:t>3</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8</w:t>
      </w:r>
      <w:r w:rsidRPr="00443914">
        <w:rPr>
          <w:rFonts w:ascii="Trebuchet MS" w:hAnsi="Trebuchet MS" w:cs="Arial"/>
          <w:b/>
          <w:snapToGrid w:val="0"/>
          <w:szCs w:val="22"/>
        </w:rPr>
        <w:t>.</w:t>
      </w:r>
      <w:r w:rsidRPr="00443914">
        <w:rPr>
          <w:rFonts w:ascii="Trebuchet MS" w:hAnsi="Trebuchet MS" w:cs="Arial"/>
          <w:snapToGrid w:val="0"/>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AA7A88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E0C8D">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E0C8D">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E0C8D">
        <w:rPr>
          <w:rFonts w:ascii="Trebuchet MS" w:hAnsi="Trebuchet MS" w:cs="Arial"/>
          <w:b/>
          <w:bCs/>
          <w:sz w:val="22"/>
          <w:szCs w:val="22"/>
        </w:rPr>
        <w:t>CIRCUITO PENSILVANIA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E0C8D">
        <w:rPr>
          <w:rFonts w:ascii="Trebuchet MS" w:hAnsi="Trebuchet MS" w:cs="Arial"/>
          <w:noProof/>
          <w:sz w:val="22"/>
          <w:szCs w:val="22"/>
        </w:rPr>
        <w:t>CALDAS</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E0C8D">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E0C8D">
        <w:rPr>
          <w:rFonts w:ascii="Trebuchet MS" w:hAnsi="Trebuchet MS" w:cs="Arial"/>
          <w:b/>
          <w:bCs/>
          <w:sz w:val="22"/>
          <w:szCs w:val="22"/>
        </w:rPr>
        <w:t>$ 15.579.000,00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E0C8D">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E0C8D">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745CB2E"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E0C8D">
              <w:rPr>
                <w:rFonts w:ascii="Trebuchet MS" w:hAnsi="Trebuchet MS" w:cs="Arial"/>
                <w:sz w:val="22"/>
                <w:szCs w:val="22"/>
              </w:rPr>
              <w:t>175123 del 15-09-2023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F9DD4" w14:textId="77777777" w:rsidR="00B177DB" w:rsidRDefault="00B177DB">
      <w:r>
        <w:separator/>
      </w:r>
    </w:p>
  </w:endnote>
  <w:endnote w:type="continuationSeparator" w:id="0">
    <w:p w14:paraId="5F92A980" w14:textId="77777777" w:rsidR="00B177DB" w:rsidRDefault="00B17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86ABE" w14:textId="77777777" w:rsidR="00DE0C8D" w:rsidRDefault="00DE0C8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42030" w14:textId="77777777" w:rsidR="00B177DB" w:rsidRDefault="00B177DB">
      <w:r>
        <w:separator/>
      </w:r>
    </w:p>
  </w:footnote>
  <w:footnote w:type="continuationSeparator" w:id="0">
    <w:p w14:paraId="5F6B8915" w14:textId="77777777" w:rsidR="00B177DB" w:rsidRDefault="00B177D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E8848" w14:textId="77777777" w:rsidR="00DE0C8D" w:rsidRDefault="00DE0C8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152EFF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E0C8D">
      <w:rPr>
        <w:rFonts w:ascii="Trebuchet MS" w:hAnsi="Trebuchet MS" w:cs="Arial"/>
        <w:b/>
        <w:spacing w:val="-3"/>
        <w:sz w:val="22"/>
        <w:szCs w:val="22"/>
      </w:rPr>
      <w:t>CD-DP-3570-2023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E0C8D">
      <w:rPr>
        <w:rFonts w:ascii="Trebuchet MS" w:hAnsi="Trebuchet MS" w:cs="Arial"/>
        <w:b/>
        <w:noProof/>
        <w:spacing w:val="-3"/>
        <w:sz w:val="22"/>
        <w:szCs w:val="22"/>
      </w:rPr>
      <w:t>NOREÑA FLOREZ</w:t>
    </w:r>
    <w:r w:rsidR="00D62E15">
      <w:rPr>
        <w:rFonts w:ascii="Trebuchet MS" w:hAnsi="Trebuchet MS" w:cs="Arial"/>
        <w:b/>
        <w:noProof/>
        <w:spacing w:val="-3"/>
        <w:sz w:val="22"/>
        <w:szCs w:val="22"/>
      </w:rPr>
      <w:t xml:space="preserve"> </w:t>
    </w:r>
    <w:r w:rsidR="00DE0C8D">
      <w:rPr>
        <w:rFonts w:ascii="Trebuchet MS" w:hAnsi="Trebuchet MS" w:cs="Arial"/>
        <w:b/>
        <w:noProof/>
        <w:spacing w:val="-3"/>
        <w:sz w:val="22"/>
        <w:szCs w:val="22"/>
      </w:rPr>
      <w:t>RUBEN DARIO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0"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177DB"/>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0C8D"/>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237"/>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paragraph" w:customStyle="1" w:styleId="P34">
    <w:name w:val="P34"/>
    <w:basedOn w:val="Normal"/>
    <w:rsid w:val="00F95237"/>
    <w:pPr>
      <w:adjustRightInd w:val="0"/>
      <w:jc w:val="center"/>
    </w:pPr>
    <w:rPr>
      <w:rFonts w:ascii="Arial Narrow" w:eastAsia="SimSun" w:hAnsi="Arial Narrow" w:cs="Arial2"/>
      <w:b/>
      <w:sz w:val="22"/>
      <w:lang w:val="es-ES"/>
    </w:rPr>
  </w:style>
  <w:style w:type="paragraph" w:customStyle="1" w:styleId="P26">
    <w:name w:val="P26"/>
    <w:basedOn w:val="Normal"/>
    <w:rsid w:val="00F95237"/>
    <w:pPr>
      <w:adjustRightInd w:val="0"/>
      <w:jc w:val="distribute"/>
    </w:pPr>
    <w:rPr>
      <w:rFonts w:ascii="Arial Narrow" w:hAnsi="Arial Narrow"/>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387489381">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9B108-6F7F-49E0-82EC-A23B32ABD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5481</Words>
  <Characters>31243</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2023-09-25T20:52:00Z</dcterms:created>
  <dcterms:modified xsi:type="dcterms:W3CDTF">2023-10-02T20:06:00Z</dcterms:modified>
</cp:coreProperties>
</file>