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tbl>
      <w:tblPr>
        <w:tblW w:w="5000" w:type="pct"/>
        <w:tblCellMar>
          <w:left w:w="70" w:type="dxa"/>
          <w:right w:w="70" w:type="dxa"/>
        </w:tblCellMar>
        <w:tblLook w:val="04A0" w:firstRow="1" w:lastRow="0" w:firstColumn="1" w:lastColumn="0" w:noHBand="0" w:noVBand="1"/>
      </w:tblPr>
      <w:tblGrid>
        <w:gridCol w:w="217"/>
        <w:gridCol w:w="217"/>
        <w:gridCol w:w="217"/>
        <w:gridCol w:w="216"/>
        <w:gridCol w:w="216"/>
        <w:gridCol w:w="697"/>
        <w:gridCol w:w="547"/>
        <w:gridCol w:w="216"/>
        <w:gridCol w:w="216"/>
        <w:gridCol w:w="216"/>
        <w:gridCol w:w="368"/>
        <w:gridCol w:w="462"/>
        <w:gridCol w:w="571"/>
        <w:gridCol w:w="893"/>
        <w:gridCol w:w="216"/>
        <w:gridCol w:w="216"/>
        <w:gridCol w:w="216"/>
        <w:gridCol w:w="330"/>
        <w:gridCol w:w="493"/>
        <w:gridCol w:w="595"/>
        <w:gridCol w:w="605"/>
        <w:gridCol w:w="605"/>
        <w:gridCol w:w="632"/>
        <w:gridCol w:w="605"/>
      </w:tblGrid>
      <w:tr w:rsidR="00653DED" w:rsidRPr="00DC4BD8" w14:paraId="5D143F0A" w14:textId="77777777" w:rsidTr="00493727">
        <w:trPr>
          <w:cantSplit/>
          <w:trHeight w:val="20"/>
          <w:tblHeader/>
        </w:trPr>
        <w:tc>
          <w:tcPr>
            <w:tcW w:w="90" w:type="pct"/>
            <w:vMerge w:val="restart"/>
            <w:tcBorders>
              <w:top w:val="single" w:sz="4" w:space="0" w:color="auto"/>
              <w:left w:val="single" w:sz="8" w:space="0" w:color="auto"/>
              <w:bottom w:val="single" w:sz="4" w:space="0" w:color="auto"/>
              <w:right w:val="single" w:sz="4" w:space="0" w:color="auto"/>
            </w:tcBorders>
            <w:shd w:val="clear" w:color="auto" w:fill="auto"/>
            <w:textDirection w:val="btLr"/>
            <w:vAlign w:val="center"/>
            <w:hideMark/>
          </w:tcPr>
          <w:p w14:paraId="52C0C84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8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CF5A0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Clase</w:t>
            </w:r>
          </w:p>
        </w:tc>
        <w:tc>
          <w:tcPr>
            <w:tcW w:w="10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BE88E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Fuente</w:t>
            </w:r>
          </w:p>
        </w:tc>
        <w:tc>
          <w:tcPr>
            <w:tcW w:w="11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96DA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3B50D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Tipo de Riesgo</w:t>
            </w:r>
          </w:p>
        </w:tc>
        <w:tc>
          <w:tcPr>
            <w:tcW w:w="5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9970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Descripcion (Que puede pasar y como puede ocurrir)</w:t>
            </w:r>
          </w:p>
        </w:tc>
        <w:tc>
          <w:tcPr>
            <w:tcW w:w="2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79AB5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Consecuencia de ocurrencia del evento </w:t>
            </w:r>
          </w:p>
        </w:tc>
        <w:tc>
          <w:tcPr>
            <w:tcW w:w="12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AEB12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1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CECD8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10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B096C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Valoración</w:t>
            </w:r>
          </w:p>
        </w:tc>
        <w:tc>
          <w:tcPr>
            <w:tcW w:w="14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943F9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Categoria</w:t>
            </w:r>
          </w:p>
        </w:tc>
        <w:tc>
          <w:tcPr>
            <w:tcW w:w="436" w:type="pct"/>
            <w:gridSpan w:val="2"/>
            <w:tcBorders>
              <w:top w:val="single" w:sz="4" w:space="0" w:color="auto"/>
              <w:left w:val="nil"/>
              <w:bottom w:val="single" w:sz="4" w:space="0" w:color="auto"/>
              <w:right w:val="single" w:sz="4" w:space="0" w:color="auto"/>
            </w:tcBorders>
            <w:shd w:val="clear" w:color="auto" w:fill="auto"/>
            <w:vAlign w:val="center"/>
            <w:hideMark/>
          </w:tcPr>
          <w:p w14:paraId="7F5900D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QUIEN SE ASIGNA</w:t>
            </w:r>
          </w:p>
        </w:tc>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81194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TRATAMIENTO/CONTROL A SER IMPLEMENTADO</w:t>
            </w:r>
          </w:p>
        </w:tc>
        <w:tc>
          <w:tcPr>
            <w:tcW w:w="479" w:type="pct"/>
            <w:gridSpan w:val="4"/>
            <w:tcBorders>
              <w:top w:val="single" w:sz="4" w:space="0" w:color="auto"/>
              <w:left w:val="nil"/>
              <w:bottom w:val="single" w:sz="4" w:space="0" w:color="auto"/>
              <w:right w:val="single" w:sz="4" w:space="0" w:color="auto"/>
            </w:tcBorders>
            <w:shd w:val="clear" w:color="auto" w:fill="auto"/>
            <w:vAlign w:val="center"/>
            <w:hideMark/>
          </w:tcPr>
          <w:p w14:paraId="37B43FD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DESPUÉS DEL TRATAMIENTO</w:t>
            </w:r>
          </w:p>
        </w:tc>
        <w:tc>
          <w:tcPr>
            <w:tcW w:w="22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02F78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 LA EJECUCION DEL CONTRATO</w:t>
            </w:r>
          </w:p>
        </w:tc>
        <w:tc>
          <w:tcPr>
            <w:tcW w:w="2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DE9B4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RESPONSABLE POR IMPLEMENTAR EL TRATAMIENTO</w:t>
            </w:r>
          </w:p>
        </w:tc>
        <w:tc>
          <w:tcPr>
            <w:tcW w:w="259" w:type="pct"/>
            <w:tcBorders>
              <w:top w:val="single" w:sz="4" w:space="0" w:color="auto"/>
              <w:left w:val="nil"/>
              <w:bottom w:val="single" w:sz="4" w:space="0" w:color="auto"/>
              <w:right w:val="single" w:sz="4" w:space="0" w:color="auto"/>
            </w:tcBorders>
            <w:shd w:val="clear" w:color="auto" w:fill="auto"/>
            <w:vAlign w:val="center"/>
            <w:hideMark/>
          </w:tcPr>
          <w:p w14:paraId="73F7FD8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59" w:type="pct"/>
            <w:tcBorders>
              <w:top w:val="single" w:sz="4" w:space="0" w:color="auto"/>
              <w:left w:val="nil"/>
              <w:bottom w:val="single" w:sz="4" w:space="0" w:color="auto"/>
              <w:right w:val="single" w:sz="4" w:space="0" w:color="auto"/>
            </w:tcBorders>
            <w:shd w:val="clear" w:color="auto" w:fill="auto"/>
            <w:vAlign w:val="center"/>
            <w:hideMark/>
          </w:tcPr>
          <w:p w14:paraId="0BC7401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680" w:type="pct"/>
            <w:gridSpan w:val="2"/>
            <w:tcBorders>
              <w:top w:val="single" w:sz="4" w:space="0" w:color="auto"/>
              <w:left w:val="nil"/>
              <w:bottom w:val="single" w:sz="4" w:space="0" w:color="auto"/>
              <w:right w:val="single" w:sz="8" w:space="0" w:color="000000"/>
            </w:tcBorders>
            <w:shd w:val="clear" w:color="auto" w:fill="auto"/>
            <w:vAlign w:val="center"/>
            <w:hideMark/>
          </w:tcPr>
          <w:p w14:paraId="75F1ECB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MONITOREO Y REVISIÓN</w:t>
            </w:r>
          </w:p>
        </w:tc>
      </w:tr>
      <w:tr w:rsidR="00653DED" w:rsidRPr="00DC4BD8" w14:paraId="68139E3D" w14:textId="77777777" w:rsidTr="00493727">
        <w:trPr>
          <w:cantSplit/>
          <w:trHeight w:val="20"/>
          <w:tblHeader/>
        </w:trPr>
        <w:tc>
          <w:tcPr>
            <w:tcW w:w="90" w:type="pct"/>
            <w:vMerge/>
            <w:tcBorders>
              <w:top w:val="single" w:sz="4" w:space="0" w:color="auto"/>
              <w:left w:val="single" w:sz="8" w:space="0" w:color="auto"/>
              <w:bottom w:val="single" w:sz="4" w:space="0" w:color="auto"/>
              <w:right w:val="single" w:sz="4" w:space="0" w:color="auto"/>
            </w:tcBorders>
            <w:vAlign w:val="center"/>
            <w:hideMark/>
          </w:tcPr>
          <w:p w14:paraId="6CC352F3"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88" w:type="pct"/>
            <w:vMerge/>
            <w:tcBorders>
              <w:top w:val="single" w:sz="4" w:space="0" w:color="auto"/>
              <w:left w:val="single" w:sz="4" w:space="0" w:color="auto"/>
              <w:bottom w:val="single" w:sz="4" w:space="0" w:color="auto"/>
              <w:right w:val="single" w:sz="4" w:space="0" w:color="auto"/>
            </w:tcBorders>
            <w:vAlign w:val="center"/>
            <w:hideMark/>
          </w:tcPr>
          <w:p w14:paraId="1C5218D5"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148F743B"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11" w:type="pct"/>
            <w:vMerge/>
            <w:tcBorders>
              <w:top w:val="single" w:sz="4" w:space="0" w:color="auto"/>
              <w:left w:val="single" w:sz="4" w:space="0" w:color="auto"/>
              <w:bottom w:val="single" w:sz="4" w:space="0" w:color="auto"/>
              <w:right w:val="single" w:sz="4" w:space="0" w:color="auto"/>
            </w:tcBorders>
            <w:vAlign w:val="center"/>
            <w:hideMark/>
          </w:tcPr>
          <w:p w14:paraId="5E6AAE88"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3DB692F7"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2030D55D"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0C761D24"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28" w:type="pct"/>
            <w:vMerge/>
            <w:tcBorders>
              <w:top w:val="single" w:sz="4" w:space="0" w:color="auto"/>
              <w:left w:val="single" w:sz="4" w:space="0" w:color="auto"/>
              <w:bottom w:val="single" w:sz="4" w:space="0" w:color="auto"/>
              <w:right w:val="single" w:sz="4" w:space="0" w:color="auto"/>
            </w:tcBorders>
            <w:vAlign w:val="center"/>
            <w:hideMark/>
          </w:tcPr>
          <w:p w14:paraId="2A48A514"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3FF1B02E"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8" w:type="pct"/>
            <w:vMerge/>
            <w:tcBorders>
              <w:top w:val="single" w:sz="4" w:space="0" w:color="auto"/>
              <w:left w:val="single" w:sz="4" w:space="0" w:color="auto"/>
              <w:bottom w:val="single" w:sz="4" w:space="0" w:color="auto"/>
              <w:right w:val="single" w:sz="4" w:space="0" w:color="auto"/>
            </w:tcBorders>
            <w:vAlign w:val="center"/>
            <w:hideMark/>
          </w:tcPr>
          <w:p w14:paraId="3600AC3A"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14:paraId="52DC0CE7"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91" w:type="pct"/>
            <w:tcBorders>
              <w:top w:val="nil"/>
              <w:left w:val="nil"/>
              <w:bottom w:val="single" w:sz="4" w:space="0" w:color="auto"/>
              <w:right w:val="single" w:sz="4" w:space="0" w:color="auto"/>
            </w:tcBorders>
            <w:shd w:val="clear" w:color="auto" w:fill="auto"/>
            <w:vAlign w:val="center"/>
            <w:hideMark/>
          </w:tcPr>
          <w:p w14:paraId="5EE7DFF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0088161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7FC3765E"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8" w:type="pct"/>
            <w:tcBorders>
              <w:top w:val="nil"/>
              <w:left w:val="nil"/>
              <w:bottom w:val="single" w:sz="4" w:space="0" w:color="auto"/>
              <w:right w:val="single" w:sz="4" w:space="0" w:color="auto"/>
            </w:tcBorders>
            <w:shd w:val="clear" w:color="auto" w:fill="auto"/>
            <w:vAlign w:val="center"/>
            <w:hideMark/>
          </w:tcPr>
          <w:p w14:paraId="08A0FF7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05" w:type="pct"/>
            <w:tcBorders>
              <w:top w:val="nil"/>
              <w:left w:val="nil"/>
              <w:bottom w:val="single" w:sz="4" w:space="0" w:color="auto"/>
              <w:right w:val="single" w:sz="4" w:space="0" w:color="auto"/>
            </w:tcBorders>
            <w:shd w:val="clear" w:color="auto" w:fill="auto"/>
            <w:vAlign w:val="center"/>
            <w:hideMark/>
          </w:tcPr>
          <w:p w14:paraId="23746AD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22" w:type="pct"/>
            <w:tcBorders>
              <w:top w:val="nil"/>
              <w:left w:val="nil"/>
              <w:bottom w:val="single" w:sz="4" w:space="0" w:color="auto"/>
              <w:right w:val="single" w:sz="4" w:space="0" w:color="auto"/>
            </w:tcBorders>
            <w:shd w:val="clear" w:color="auto" w:fill="auto"/>
            <w:vAlign w:val="center"/>
            <w:hideMark/>
          </w:tcPr>
          <w:p w14:paraId="44339D5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144" w:type="pct"/>
            <w:tcBorders>
              <w:top w:val="nil"/>
              <w:left w:val="nil"/>
              <w:bottom w:val="single" w:sz="4" w:space="0" w:color="auto"/>
              <w:right w:val="single" w:sz="4" w:space="0" w:color="auto"/>
            </w:tcBorders>
            <w:shd w:val="clear" w:color="auto" w:fill="auto"/>
            <w:vAlign w:val="center"/>
            <w:hideMark/>
          </w:tcPr>
          <w:p w14:paraId="0B26CC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6A7D1436"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hideMark/>
          </w:tcPr>
          <w:p w14:paraId="5B7D58AC"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59" w:type="pct"/>
            <w:tcBorders>
              <w:top w:val="nil"/>
              <w:left w:val="nil"/>
              <w:bottom w:val="single" w:sz="4" w:space="0" w:color="auto"/>
              <w:right w:val="single" w:sz="4" w:space="0" w:color="auto"/>
            </w:tcBorders>
            <w:shd w:val="clear" w:color="auto" w:fill="auto"/>
            <w:vAlign w:val="center"/>
            <w:hideMark/>
          </w:tcPr>
          <w:p w14:paraId="72BF9E6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59" w:type="pct"/>
            <w:tcBorders>
              <w:top w:val="nil"/>
              <w:left w:val="nil"/>
              <w:bottom w:val="single" w:sz="4" w:space="0" w:color="auto"/>
              <w:right w:val="single" w:sz="4" w:space="0" w:color="auto"/>
            </w:tcBorders>
            <w:shd w:val="clear" w:color="auto" w:fill="auto"/>
            <w:vAlign w:val="center"/>
            <w:hideMark/>
          </w:tcPr>
          <w:p w14:paraId="3C2C4F5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432" w:type="pct"/>
            <w:tcBorders>
              <w:top w:val="nil"/>
              <w:left w:val="nil"/>
              <w:bottom w:val="single" w:sz="4" w:space="0" w:color="auto"/>
              <w:right w:val="single" w:sz="4" w:space="0" w:color="auto"/>
            </w:tcBorders>
            <w:shd w:val="clear" w:color="auto" w:fill="auto"/>
            <w:vAlign w:val="center"/>
            <w:hideMark/>
          </w:tcPr>
          <w:p w14:paraId="0AECEE4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8" w:type="pct"/>
            <w:tcBorders>
              <w:top w:val="nil"/>
              <w:left w:val="nil"/>
              <w:bottom w:val="single" w:sz="4" w:space="0" w:color="auto"/>
              <w:right w:val="single" w:sz="8" w:space="0" w:color="auto"/>
            </w:tcBorders>
            <w:shd w:val="clear" w:color="auto" w:fill="auto"/>
            <w:vAlign w:val="center"/>
            <w:hideMark/>
          </w:tcPr>
          <w:p w14:paraId="3E7D4D8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r>
      <w:tr w:rsidR="00653DED" w:rsidRPr="00DC4BD8" w14:paraId="2F917688" w14:textId="77777777" w:rsidTr="00493727">
        <w:trPr>
          <w:cantSplit/>
          <w:trHeight w:val="20"/>
          <w:tblHeader/>
        </w:trPr>
        <w:tc>
          <w:tcPr>
            <w:tcW w:w="90" w:type="pct"/>
            <w:vMerge/>
            <w:tcBorders>
              <w:top w:val="single" w:sz="4" w:space="0" w:color="auto"/>
              <w:left w:val="single" w:sz="8" w:space="0" w:color="auto"/>
              <w:bottom w:val="single" w:sz="4" w:space="0" w:color="auto"/>
              <w:right w:val="single" w:sz="4" w:space="0" w:color="auto"/>
            </w:tcBorders>
            <w:vAlign w:val="center"/>
            <w:hideMark/>
          </w:tcPr>
          <w:p w14:paraId="53AA6978"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88" w:type="pct"/>
            <w:vMerge/>
            <w:tcBorders>
              <w:top w:val="single" w:sz="4" w:space="0" w:color="auto"/>
              <w:left w:val="single" w:sz="4" w:space="0" w:color="auto"/>
              <w:bottom w:val="single" w:sz="4" w:space="0" w:color="auto"/>
              <w:right w:val="single" w:sz="4" w:space="0" w:color="auto"/>
            </w:tcBorders>
            <w:vAlign w:val="center"/>
            <w:hideMark/>
          </w:tcPr>
          <w:p w14:paraId="4B9CFC3B"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5" w:type="pct"/>
            <w:vMerge/>
            <w:tcBorders>
              <w:top w:val="single" w:sz="4" w:space="0" w:color="auto"/>
              <w:left w:val="single" w:sz="4" w:space="0" w:color="auto"/>
              <w:bottom w:val="single" w:sz="4" w:space="0" w:color="auto"/>
              <w:right w:val="single" w:sz="4" w:space="0" w:color="auto"/>
            </w:tcBorders>
            <w:vAlign w:val="center"/>
            <w:hideMark/>
          </w:tcPr>
          <w:p w14:paraId="608542E4"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11" w:type="pct"/>
            <w:vMerge/>
            <w:tcBorders>
              <w:top w:val="single" w:sz="4" w:space="0" w:color="auto"/>
              <w:left w:val="single" w:sz="4" w:space="0" w:color="auto"/>
              <w:bottom w:val="single" w:sz="4" w:space="0" w:color="auto"/>
              <w:right w:val="single" w:sz="4" w:space="0" w:color="auto"/>
            </w:tcBorders>
            <w:vAlign w:val="center"/>
            <w:hideMark/>
          </w:tcPr>
          <w:p w14:paraId="73640E66"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60895CA2"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10B39D2E"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14:paraId="55A19785"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28" w:type="pct"/>
            <w:vMerge/>
            <w:tcBorders>
              <w:top w:val="single" w:sz="4" w:space="0" w:color="auto"/>
              <w:left w:val="single" w:sz="4" w:space="0" w:color="auto"/>
              <w:bottom w:val="single" w:sz="4" w:space="0" w:color="auto"/>
              <w:right w:val="single" w:sz="4" w:space="0" w:color="auto"/>
            </w:tcBorders>
            <w:vAlign w:val="center"/>
            <w:hideMark/>
          </w:tcPr>
          <w:p w14:paraId="333EB0CB"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2" w:type="pct"/>
            <w:vMerge/>
            <w:tcBorders>
              <w:top w:val="single" w:sz="4" w:space="0" w:color="auto"/>
              <w:left w:val="single" w:sz="4" w:space="0" w:color="auto"/>
              <w:bottom w:val="single" w:sz="4" w:space="0" w:color="auto"/>
              <w:right w:val="single" w:sz="4" w:space="0" w:color="auto"/>
            </w:tcBorders>
            <w:vAlign w:val="center"/>
            <w:hideMark/>
          </w:tcPr>
          <w:p w14:paraId="07112FAB"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8" w:type="pct"/>
            <w:vMerge/>
            <w:tcBorders>
              <w:top w:val="single" w:sz="4" w:space="0" w:color="auto"/>
              <w:left w:val="single" w:sz="4" w:space="0" w:color="auto"/>
              <w:bottom w:val="single" w:sz="4" w:space="0" w:color="auto"/>
              <w:right w:val="single" w:sz="4" w:space="0" w:color="auto"/>
            </w:tcBorders>
            <w:vAlign w:val="center"/>
            <w:hideMark/>
          </w:tcPr>
          <w:p w14:paraId="395E7762"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14:paraId="7816B048"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91" w:type="pct"/>
            <w:tcBorders>
              <w:top w:val="nil"/>
              <w:left w:val="nil"/>
              <w:bottom w:val="single" w:sz="4" w:space="0" w:color="auto"/>
              <w:right w:val="single" w:sz="4" w:space="0" w:color="auto"/>
            </w:tcBorders>
            <w:shd w:val="clear" w:color="auto" w:fill="auto"/>
            <w:vAlign w:val="center"/>
            <w:hideMark/>
          </w:tcPr>
          <w:p w14:paraId="1975B78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MUNICIPIO DE DAGUA.</w:t>
            </w:r>
          </w:p>
        </w:tc>
        <w:tc>
          <w:tcPr>
            <w:tcW w:w="244" w:type="pct"/>
            <w:tcBorders>
              <w:top w:val="nil"/>
              <w:left w:val="nil"/>
              <w:bottom w:val="single" w:sz="4" w:space="0" w:color="auto"/>
              <w:right w:val="single" w:sz="4" w:space="0" w:color="auto"/>
            </w:tcBorders>
            <w:shd w:val="clear" w:color="auto" w:fill="auto"/>
            <w:vAlign w:val="center"/>
            <w:hideMark/>
          </w:tcPr>
          <w:p w14:paraId="540DF21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PROPONENTE Y/O CONTRATISTA </w:t>
            </w:r>
          </w:p>
        </w:tc>
        <w:tc>
          <w:tcPr>
            <w:tcW w:w="540" w:type="pct"/>
            <w:vMerge/>
            <w:tcBorders>
              <w:top w:val="single" w:sz="4" w:space="0" w:color="auto"/>
              <w:left w:val="single" w:sz="4" w:space="0" w:color="auto"/>
              <w:bottom w:val="single" w:sz="4" w:space="0" w:color="auto"/>
              <w:right w:val="single" w:sz="4" w:space="0" w:color="auto"/>
            </w:tcBorders>
            <w:vAlign w:val="center"/>
            <w:hideMark/>
          </w:tcPr>
          <w:p w14:paraId="360CF322"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108" w:type="pct"/>
            <w:tcBorders>
              <w:top w:val="nil"/>
              <w:left w:val="nil"/>
              <w:bottom w:val="single" w:sz="4" w:space="0" w:color="auto"/>
              <w:right w:val="single" w:sz="4" w:space="0" w:color="auto"/>
            </w:tcBorders>
            <w:shd w:val="clear" w:color="auto" w:fill="auto"/>
            <w:textDirection w:val="btLr"/>
            <w:vAlign w:val="center"/>
            <w:hideMark/>
          </w:tcPr>
          <w:p w14:paraId="29D841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PROBABILIDAD</w:t>
            </w:r>
          </w:p>
        </w:tc>
        <w:tc>
          <w:tcPr>
            <w:tcW w:w="105" w:type="pct"/>
            <w:tcBorders>
              <w:top w:val="nil"/>
              <w:left w:val="nil"/>
              <w:bottom w:val="single" w:sz="4" w:space="0" w:color="auto"/>
              <w:right w:val="single" w:sz="4" w:space="0" w:color="auto"/>
            </w:tcBorders>
            <w:shd w:val="clear" w:color="auto" w:fill="auto"/>
            <w:textDirection w:val="btLr"/>
            <w:vAlign w:val="center"/>
            <w:hideMark/>
          </w:tcPr>
          <w:p w14:paraId="6858CFF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w:t>
            </w:r>
          </w:p>
        </w:tc>
        <w:tc>
          <w:tcPr>
            <w:tcW w:w="122" w:type="pct"/>
            <w:tcBorders>
              <w:top w:val="nil"/>
              <w:left w:val="nil"/>
              <w:bottom w:val="single" w:sz="4" w:space="0" w:color="auto"/>
              <w:right w:val="single" w:sz="4" w:space="0" w:color="auto"/>
            </w:tcBorders>
            <w:shd w:val="clear" w:color="auto" w:fill="auto"/>
            <w:textDirection w:val="btLr"/>
            <w:vAlign w:val="center"/>
            <w:hideMark/>
          </w:tcPr>
          <w:p w14:paraId="322FF51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VALORACION</w:t>
            </w:r>
          </w:p>
        </w:tc>
        <w:tc>
          <w:tcPr>
            <w:tcW w:w="144" w:type="pct"/>
            <w:tcBorders>
              <w:top w:val="nil"/>
              <w:left w:val="nil"/>
              <w:bottom w:val="single" w:sz="4" w:space="0" w:color="auto"/>
              <w:right w:val="single" w:sz="4" w:space="0" w:color="auto"/>
            </w:tcBorders>
            <w:shd w:val="clear" w:color="auto" w:fill="auto"/>
            <w:textDirection w:val="btLr"/>
            <w:vAlign w:val="center"/>
            <w:hideMark/>
          </w:tcPr>
          <w:p w14:paraId="74DAB84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CATEGORIA</w:t>
            </w:r>
          </w:p>
        </w:tc>
        <w:tc>
          <w:tcPr>
            <w:tcW w:w="225" w:type="pct"/>
            <w:vMerge/>
            <w:tcBorders>
              <w:top w:val="single" w:sz="4" w:space="0" w:color="auto"/>
              <w:left w:val="single" w:sz="4" w:space="0" w:color="auto"/>
              <w:bottom w:val="single" w:sz="4" w:space="0" w:color="auto"/>
              <w:right w:val="single" w:sz="4" w:space="0" w:color="auto"/>
            </w:tcBorders>
            <w:vAlign w:val="center"/>
            <w:hideMark/>
          </w:tcPr>
          <w:p w14:paraId="05DBF008"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57" w:type="pct"/>
            <w:vMerge/>
            <w:tcBorders>
              <w:top w:val="single" w:sz="4" w:space="0" w:color="auto"/>
              <w:left w:val="single" w:sz="4" w:space="0" w:color="auto"/>
              <w:bottom w:val="single" w:sz="4" w:space="0" w:color="auto"/>
              <w:right w:val="single" w:sz="4" w:space="0" w:color="auto"/>
            </w:tcBorders>
            <w:vAlign w:val="center"/>
            <w:hideMark/>
          </w:tcPr>
          <w:p w14:paraId="619428F6" w14:textId="77777777" w:rsidR="00653DED" w:rsidRPr="00DC4BD8" w:rsidRDefault="00653DED" w:rsidP="00493727">
            <w:pPr>
              <w:spacing w:line="240" w:lineRule="auto"/>
              <w:contextualSpacing w:val="0"/>
              <w:jc w:val="left"/>
              <w:rPr>
                <w:rFonts w:ascii="Arial" w:eastAsia="Times New Roman" w:hAnsi="Arial" w:cs="Arial"/>
                <w:sz w:val="10"/>
                <w:szCs w:val="10"/>
                <w:lang w:eastAsia="es-CO"/>
              </w:rPr>
            </w:pPr>
          </w:p>
        </w:tc>
        <w:tc>
          <w:tcPr>
            <w:tcW w:w="259" w:type="pct"/>
            <w:tcBorders>
              <w:top w:val="nil"/>
              <w:left w:val="nil"/>
              <w:bottom w:val="single" w:sz="4" w:space="0" w:color="auto"/>
              <w:right w:val="single" w:sz="4" w:space="0" w:color="auto"/>
            </w:tcBorders>
            <w:shd w:val="clear" w:color="auto" w:fill="auto"/>
            <w:vAlign w:val="center"/>
            <w:hideMark/>
          </w:tcPr>
          <w:p w14:paraId="0BF45F3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INICIA EL TRATAMIENTO</w:t>
            </w:r>
          </w:p>
        </w:tc>
        <w:tc>
          <w:tcPr>
            <w:tcW w:w="259" w:type="pct"/>
            <w:tcBorders>
              <w:top w:val="nil"/>
              <w:left w:val="nil"/>
              <w:bottom w:val="single" w:sz="4" w:space="0" w:color="auto"/>
              <w:right w:val="single" w:sz="4" w:space="0" w:color="auto"/>
            </w:tcBorders>
            <w:shd w:val="clear" w:color="auto" w:fill="auto"/>
            <w:vAlign w:val="center"/>
            <w:hideMark/>
          </w:tcPr>
          <w:p w14:paraId="38F50EB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FECHA EN QUE SE COMPLETA EL TRATAMIENTO</w:t>
            </w:r>
          </w:p>
        </w:tc>
        <w:tc>
          <w:tcPr>
            <w:tcW w:w="432" w:type="pct"/>
            <w:tcBorders>
              <w:top w:val="nil"/>
              <w:left w:val="nil"/>
              <w:bottom w:val="single" w:sz="4" w:space="0" w:color="auto"/>
              <w:right w:val="single" w:sz="4" w:space="0" w:color="auto"/>
            </w:tcBorders>
            <w:shd w:val="clear" w:color="auto" w:fill="auto"/>
            <w:vAlign w:val="center"/>
            <w:hideMark/>
          </w:tcPr>
          <w:p w14:paraId="2C41EDC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¿CÓMO SE REALIZA  EL MONITOREO?</w:t>
            </w:r>
          </w:p>
        </w:tc>
        <w:tc>
          <w:tcPr>
            <w:tcW w:w="248" w:type="pct"/>
            <w:tcBorders>
              <w:top w:val="nil"/>
              <w:left w:val="nil"/>
              <w:bottom w:val="single" w:sz="4" w:space="0" w:color="auto"/>
              <w:right w:val="single" w:sz="8" w:space="0" w:color="auto"/>
            </w:tcBorders>
            <w:shd w:val="clear" w:color="auto" w:fill="auto"/>
            <w:vAlign w:val="center"/>
            <w:hideMark/>
          </w:tcPr>
          <w:p w14:paraId="784CA6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PERIODICIDAD</w:t>
            </w:r>
          </w:p>
        </w:tc>
      </w:tr>
      <w:tr w:rsidR="00653DED" w:rsidRPr="00DC4BD8" w14:paraId="666BB566"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A7CFE4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833861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BACF9D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5F9E89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Selección - 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2F5C3B1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Economico - Riesgo Operacional</w:t>
            </w:r>
          </w:p>
        </w:tc>
        <w:tc>
          <w:tcPr>
            <w:tcW w:w="581" w:type="pct"/>
            <w:tcBorders>
              <w:top w:val="nil"/>
              <w:left w:val="nil"/>
              <w:bottom w:val="single" w:sz="4" w:space="0" w:color="auto"/>
              <w:right w:val="single" w:sz="4" w:space="0" w:color="auto"/>
            </w:tcBorders>
            <w:shd w:val="clear" w:color="auto" w:fill="auto"/>
            <w:vAlign w:val="center"/>
            <w:hideMark/>
          </w:tcPr>
          <w:p w14:paraId="005322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Precios Artificialmente Bajos. </w:t>
            </w:r>
            <w:r w:rsidRPr="00DC4BD8">
              <w:rPr>
                <w:rFonts w:ascii="Arial" w:eastAsia="Times New Roman" w:hAnsi="Arial" w:cs="Arial"/>
                <w:sz w:val="10"/>
                <w:szCs w:val="10"/>
                <w:lang w:eastAsia="es-CO"/>
              </w:rPr>
              <w:t>Se refiere a la posibilidad de que la propuesta económica adjudicada disponga de precios muy por debajo del presupuesto oficial, ó por debajo de los ítems que lo conforman o  de  los insumos del APU del presupuesto oficial,  tales como equipos, materiales, mano de obra, transportes, AIU.</w:t>
            </w:r>
          </w:p>
        </w:tc>
        <w:tc>
          <w:tcPr>
            <w:tcW w:w="292" w:type="pct"/>
            <w:tcBorders>
              <w:top w:val="nil"/>
              <w:left w:val="nil"/>
              <w:bottom w:val="single" w:sz="4" w:space="0" w:color="auto"/>
              <w:right w:val="single" w:sz="4" w:space="0" w:color="auto"/>
            </w:tcBorders>
            <w:shd w:val="clear" w:color="auto" w:fill="auto"/>
            <w:vAlign w:val="center"/>
            <w:hideMark/>
          </w:tcPr>
          <w:p w14:paraId="105C268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desfavorable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3A3F0A1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1F72348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7B550E5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09149C9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76C7228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0850D5B"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B5E346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Implementacion de Controles en la Fase precontractual para evitar propuestas artificialmente bajas. En la Fase contractual asegurar la eficiencia del contratista en la ejecucion del contrato conforme a la oferta tecnica y economica presentada.</w:t>
            </w:r>
          </w:p>
        </w:tc>
        <w:tc>
          <w:tcPr>
            <w:tcW w:w="108" w:type="pct"/>
            <w:tcBorders>
              <w:top w:val="nil"/>
              <w:left w:val="nil"/>
              <w:bottom w:val="single" w:sz="4" w:space="0" w:color="auto"/>
              <w:right w:val="single" w:sz="4" w:space="0" w:color="auto"/>
            </w:tcBorders>
            <w:shd w:val="clear" w:color="auto" w:fill="auto"/>
            <w:vAlign w:val="center"/>
            <w:hideMark/>
          </w:tcPr>
          <w:p w14:paraId="080D0CD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77B166A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6BBBB50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1B1D061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437F88E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son muy bajos puede afectar la ejecución del contrato</w:t>
            </w:r>
          </w:p>
        </w:tc>
        <w:tc>
          <w:tcPr>
            <w:tcW w:w="257" w:type="pct"/>
            <w:tcBorders>
              <w:top w:val="nil"/>
              <w:left w:val="nil"/>
              <w:bottom w:val="single" w:sz="4" w:space="0" w:color="auto"/>
              <w:right w:val="single" w:sz="4" w:space="0" w:color="auto"/>
            </w:tcBorders>
            <w:shd w:val="clear" w:color="auto" w:fill="auto"/>
            <w:vAlign w:val="center"/>
            <w:hideMark/>
          </w:tcPr>
          <w:p w14:paraId="0EB3087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05597AB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54C5165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7F613D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Control de la ejecución de los items de obra con la calidad requerida en especificaciones técnicas. Seguimiento al avance de la obra, al cumplimiento del programa de inversiones.   Comites Técnicos, Seguimiento a informes,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266406F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3D343E98"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D1B066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0D2BE3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4FD93C4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BEA048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BBD54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Economico</w:t>
            </w:r>
          </w:p>
        </w:tc>
        <w:tc>
          <w:tcPr>
            <w:tcW w:w="581" w:type="pct"/>
            <w:tcBorders>
              <w:top w:val="nil"/>
              <w:left w:val="nil"/>
              <w:bottom w:val="single" w:sz="4" w:space="0" w:color="auto"/>
              <w:right w:val="single" w:sz="4" w:space="0" w:color="auto"/>
            </w:tcBorders>
            <w:shd w:val="clear" w:color="auto" w:fill="auto"/>
            <w:vAlign w:val="center"/>
            <w:hideMark/>
          </w:tcPr>
          <w:p w14:paraId="696997E0"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Desabastecimiento de materias primas e insumos. </w:t>
            </w:r>
            <w:r w:rsidRPr="00DC4BD8">
              <w:rPr>
                <w:rFonts w:ascii="Arial" w:eastAsia="Times New Roman" w:hAnsi="Arial" w:cs="Arial"/>
                <w:sz w:val="10"/>
                <w:szCs w:val="10"/>
                <w:lang w:eastAsia="es-CO"/>
              </w:rPr>
              <w:t>Se refiere a la posibilidad que durante la ejecución del contrato, se presenten limitaciones a la consecución de materia primas e insumos de las fuentes de suministros previstas o por el retiro del mercado por parte de sus productores.</w:t>
            </w:r>
          </w:p>
        </w:tc>
        <w:tc>
          <w:tcPr>
            <w:tcW w:w="292" w:type="pct"/>
            <w:tcBorders>
              <w:top w:val="nil"/>
              <w:left w:val="nil"/>
              <w:bottom w:val="single" w:sz="4" w:space="0" w:color="auto"/>
              <w:right w:val="single" w:sz="4" w:space="0" w:color="auto"/>
            </w:tcBorders>
            <w:shd w:val="clear" w:color="auto" w:fill="auto"/>
            <w:vAlign w:val="center"/>
            <w:hideMark/>
          </w:tcPr>
          <w:p w14:paraId="12F460D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Retrazos de las Obras, incumplimiento de cronogramas, mayores costos al contratista de las obras.</w:t>
            </w:r>
          </w:p>
        </w:tc>
        <w:tc>
          <w:tcPr>
            <w:tcW w:w="128" w:type="pct"/>
            <w:tcBorders>
              <w:top w:val="nil"/>
              <w:left w:val="nil"/>
              <w:bottom w:val="single" w:sz="4" w:space="0" w:color="auto"/>
              <w:right w:val="single" w:sz="4" w:space="0" w:color="auto"/>
            </w:tcBorders>
            <w:shd w:val="clear" w:color="auto" w:fill="auto"/>
            <w:noWrap/>
            <w:vAlign w:val="center"/>
            <w:hideMark/>
          </w:tcPr>
          <w:p w14:paraId="4432EFB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7124203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11F5CAA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0" w:type="pct"/>
            <w:tcBorders>
              <w:top w:val="nil"/>
              <w:left w:val="nil"/>
              <w:bottom w:val="single" w:sz="4" w:space="0" w:color="auto"/>
              <w:right w:val="single" w:sz="4" w:space="0" w:color="auto"/>
            </w:tcBorders>
            <w:shd w:val="clear" w:color="auto" w:fill="auto"/>
            <w:vAlign w:val="center"/>
            <w:hideMark/>
          </w:tcPr>
          <w:p w14:paraId="1D6C6AA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6345019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95A7456"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4E2E04D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Recopilación de datos estadísticos e información a partir  de las fuentes oficiales durante la etapa precontractual y contractual</w:t>
            </w:r>
          </w:p>
        </w:tc>
        <w:tc>
          <w:tcPr>
            <w:tcW w:w="108" w:type="pct"/>
            <w:tcBorders>
              <w:top w:val="nil"/>
              <w:left w:val="nil"/>
              <w:bottom w:val="single" w:sz="4" w:space="0" w:color="auto"/>
              <w:right w:val="single" w:sz="4" w:space="0" w:color="auto"/>
            </w:tcBorders>
            <w:shd w:val="clear" w:color="auto" w:fill="auto"/>
            <w:vAlign w:val="center"/>
            <w:hideMark/>
          </w:tcPr>
          <w:p w14:paraId="567BD69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7E5153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5A6B79B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6829CED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6F16BD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 el insumo es materia prima básica puede afectarla, mientras se acuerda solución alterna.</w:t>
            </w:r>
          </w:p>
        </w:tc>
        <w:tc>
          <w:tcPr>
            <w:tcW w:w="257" w:type="pct"/>
            <w:tcBorders>
              <w:top w:val="nil"/>
              <w:left w:val="nil"/>
              <w:bottom w:val="single" w:sz="4" w:space="0" w:color="auto"/>
              <w:right w:val="single" w:sz="4" w:space="0" w:color="auto"/>
            </w:tcBorders>
            <w:shd w:val="clear" w:color="auto" w:fill="auto"/>
            <w:vAlign w:val="center"/>
            <w:hideMark/>
          </w:tcPr>
          <w:p w14:paraId="16C21CF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2FDE537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7F34383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115CB2B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2C40637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17AB9A10"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85224D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25B000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181BE1E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00B750D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13A3FDE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Economico</w:t>
            </w:r>
          </w:p>
        </w:tc>
        <w:tc>
          <w:tcPr>
            <w:tcW w:w="581" w:type="pct"/>
            <w:tcBorders>
              <w:top w:val="nil"/>
              <w:left w:val="nil"/>
              <w:bottom w:val="single" w:sz="4" w:space="0" w:color="auto"/>
              <w:right w:val="single" w:sz="4" w:space="0" w:color="auto"/>
            </w:tcBorders>
            <w:shd w:val="clear" w:color="auto" w:fill="auto"/>
            <w:vAlign w:val="center"/>
            <w:hideMark/>
          </w:tcPr>
          <w:p w14:paraId="154F4AB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Variación de precios durante la ejecución del contrato. </w:t>
            </w:r>
            <w:r w:rsidRPr="00DC4BD8">
              <w:rPr>
                <w:rFonts w:ascii="Arial" w:eastAsia="Times New Roman" w:hAnsi="Arial" w:cs="Arial"/>
                <w:sz w:val="10"/>
                <w:szCs w:val="10"/>
                <w:lang w:eastAsia="es-CO"/>
              </w:rPr>
              <w:t>Se refiere a la posibilidad de que los precios ofrecidos en la propuesta y adjudicados sean influenciados con alzas</w:t>
            </w:r>
            <w:r w:rsidRPr="00DC4BD8">
              <w:rPr>
                <w:rFonts w:ascii="Arial" w:eastAsia="Times New Roman" w:hAnsi="Arial" w:cs="Arial"/>
                <w:b/>
                <w:bCs/>
                <w:sz w:val="10"/>
                <w:szCs w:val="10"/>
                <w:lang w:eastAsia="es-CO"/>
              </w:rPr>
              <w:t xml:space="preserve"> </w:t>
            </w:r>
            <w:r w:rsidRPr="00DC4BD8">
              <w:rPr>
                <w:rFonts w:ascii="Arial" w:eastAsia="Times New Roman" w:hAnsi="Arial" w:cs="Arial"/>
                <w:sz w:val="10"/>
                <w:szCs w:val="10"/>
                <w:lang w:eastAsia="es-CO"/>
              </w:rPr>
              <w:t>previsibles.</w:t>
            </w:r>
          </w:p>
        </w:tc>
        <w:tc>
          <w:tcPr>
            <w:tcW w:w="292" w:type="pct"/>
            <w:tcBorders>
              <w:top w:val="nil"/>
              <w:left w:val="nil"/>
              <w:bottom w:val="single" w:sz="4" w:space="0" w:color="auto"/>
              <w:right w:val="single" w:sz="4" w:space="0" w:color="auto"/>
            </w:tcBorders>
            <w:shd w:val="clear" w:color="auto" w:fill="auto"/>
            <w:vAlign w:val="center"/>
            <w:hideMark/>
          </w:tcPr>
          <w:p w14:paraId="1DF18F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Afectación al equilibrio económico del contrato</w:t>
            </w:r>
          </w:p>
        </w:tc>
        <w:tc>
          <w:tcPr>
            <w:tcW w:w="128" w:type="pct"/>
            <w:tcBorders>
              <w:top w:val="nil"/>
              <w:left w:val="nil"/>
              <w:bottom w:val="single" w:sz="4" w:space="0" w:color="auto"/>
              <w:right w:val="single" w:sz="4" w:space="0" w:color="auto"/>
            </w:tcBorders>
            <w:shd w:val="clear" w:color="auto" w:fill="auto"/>
            <w:noWrap/>
            <w:vAlign w:val="center"/>
            <w:hideMark/>
          </w:tcPr>
          <w:p w14:paraId="571DFB1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34368D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2BD16FE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1CBEB1E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5ABAF115"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0BFA57E"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33CBE1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Recopilación de datos estadísticos e información sobre comportamiento histórico de precios, durante la etapa precontractual. </w:t>
            </w:r>
          </w:p>
        </w:tc>
        <w:tc>
          <w:tcPr>
            <w:tcW w:w="108" w:type="pct"/>
            <w:tcBorders>
              <w:top w:val="nil"/>
              <w:left w:val="nil"/>
              <w:bottom w:val="single" w:sz="4" w:space="0" w:color="auto"/>
              <w:right w:val="single" w:sz="4" w:space="0" w:color="auto"/>
            </w:tcBorders>
            <w:shd w:val="clear" w:color="auto" w:fill="auto"/>
            <w:vAlign w:val="center"/>
            <w:hideMark/>
          </w:tcPr>
          <w:p w14:paraId="2C54969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44215DA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F1341E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30D46AD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013F38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7873579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7BF32C5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3AF9F22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1CAD00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7C9C6A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0C0FBFD0"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D420FC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5A645FC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7BBDD6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D2A103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31BCC64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 - Social</w:t>
            </w:r>
          </w:p>
        </w:tc>
        <w:tc>
          <w:tcPr>
            <w:tcW w:w="581" w:type="pct"/>
            <w:tcBorders>
              <w:top w:val="nil"/>
              <w:left w:val="nil"/>
              <w:bottom w:val="single" w:sz="4" w:space="0" w:color="auto"/>
              <w:right w:val="single" w:sz="4" w:space="0" w:color="auto"/>
            </w:tcBorders>
            <w:shd w:val="clear" w:color="auto" w:fill="auto"/>
            <w:vAlign w:val="center"/>
            <w:hideMark/>
          </w:tcPr>
          <w:p w14:paraId="320E6EE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Cambio en la ubicación de las obras menores. </w:t>
            </w:r>
            <w:r w:rsidRPr="00DC4BD8">
              <w:rPr>
                <w:rFonts w:ascii="Arial" w:eastAsia="Times New Roman" w:hAnsi="Arial" w:cs="Arial"/>
                <w:sz w:val="10"/>
                <w:szCs w:val="10"/>
                <w:lang w:eastAsia="es-CO"/>
              </w:rPr>
              <w:t>Se refiere a solicitudes realizadas por Autoridades Municipales, usuarios o vecinos de la carretera invocando derechos de petición u otras herramientas legales.</w:t>
            </w:r>
          </w:p>
        </w:tc>
        <w:tc>
          <w:tcPr>
            <w:tcW w:w="292" w:type="pct"/>
            <w:tcBorders>
              <w:top w:val="nil"/>
              <w:left w:val="nil"/>
              <w:bottom w:val="single" w:sz="4" w:space="0" w:color="auto"/>
              <w:right w:val="single" w:sz="4" w:space="0" w:color="auto"/>
            </w:tcBorders>
            <w:shd w:val="clear" w:color="auto" w:fill="auto"/>
            <w:vAlign w:val="center"/>
            <w:hideMark/>
          </w:tcPr>
          <w:p w14:paraId="6EC14BB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Ajustes en la programación de obras, modificación de las cantidades de obra  y eventual generación de mayores costos al proyecto.</w:t>
            </w:r>
          </w:p>
        </w:tc>
        <w:tc>
          <w:tcPr>
            <w:tcW w:w="128" w:type="pct"/>
            <w:tcBorders>
              <w:top w:val="nil"/>
              <w:left w:val="nil"/>
              <w:bottom w:val="single" w:sz="4" w:space="0" w:color="auto"/>
              <w:right w:val="single" w:sz="4" w:space="0" w:color="auto"/>
            </w:tcBorders>
            <w:shd w:val="clear" w:color="auto" w:fill="auto"/>
            <w:noWrap/>
            <w:vAlign w:val="center"/>
            <w:hideMark/>
          </w:tcPr>
          <w:p w14:paraId="088377D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369A29D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5343B45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676A068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698A621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7CE19A1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540" w:type="pct"/>
            <w:tcBorders>
              <w:top w:val="nil"/>
              <w:left w:val="nil"/>
              <w:bottom w:val="single" w:sz="4" w:space="0" w:color="auto"/>
              <w:right w:val="single" w:sz="4" w:space="0" w:color="auto"/>
            </w:tcBorders>
            <w:shd w:val="clear" w:color="auto" w:fill="auto"/>
            <w:vAlign w:val="center"/>
            <w:hideMark/>
          </w:tcPr>
          <w:p w14:paraId="75E0613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108" w:type="pct"/>
            <w:tcBorders>
              <w:top w:val="nil"/>
              <w:left w:val="nil"/>
              <w:bottom w:val="single" w:sz="4" w:space="0" w:color="auto"/>
              <w:right w:val="single" w:sz="4" w:space="0" w:color="auto"/>
            </w:tcBorders>
            <w:shd w:val="clear" w:color="auto" w:fill="auto"/>
            <w:vAlign w:val="center"/>
            <w:hideMark/>
          </w:tcPr>
          <w:p w14:paraId="3BFEF3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3ECB3C6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15D8504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268C4AA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F18852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1AB890D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 Diseñador del proyecto</w:t>
            </w:r>
          </w:p>
        </w:tc>
        <w:tc>
          <w:tcPr>
            <w:tcW w:w="259" w:type="pct"/>
            <w:tcBorders>
              <w:top w:val="nil"/>
              <w:left w:val="nil"/>
              <w:bottom w:val="single" w:sz="4" w:space="0" w:color="auto"/>
              <w:right w:val="single" w:sz="4" w:space="0" w:color="auto"/>
            </w:tcBorders>
            <w:shd w:val="clear" w:color="auto" w:fill="auto"/>
            <w:vAlign w:val="center"/>
            <w:hideMark/>
          </w:tcPr>
          <w:p w14:paraId="35987A9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35A2E1F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44C2CF8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Comites Técnicos, Seguimiento a la ejecución, Gestión social -Retroalimentación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009FC33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la solicitud de cambio de ubicación de obras menores.</w:t>
            </w:r>
          </w:p>
        </w:tc>
      </w:tr>
      <w:tr w:rsidR="00653DED" w:rsidRPr="00DC4BD8" w14:paraId="53B0A1DD"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533E4AF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5</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17CE676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4623DE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Externo </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7ED8C1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5F23A7D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Sociales o Politicos</w:t>
            </w:r>
          </w:p>
        </w:tc>
        <w:tc>
          <w:tcPr>
            <w:tcW w:w="581" w:type="pct"/>
            <w:tcBorders>
              <w:top w:val="nil"/>
              <w:left w:val="nil"/>
              <w:bottom w:val="single" w:sz="4" w:space="0" w:color="auto"/>
              <w:right w:val="single" w:sz="4" w:space="0" w:color="auto"/>
            </w:tcBorders>
            <w:shd w:val="clear" w:color="auto" w:fill="auto"/>
            <w:vAlign w:val="center"/>
            <w:hideMark/>
          </w:tcPr>
          <w:p w14:paraId="75EAD5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Orden público:</w:t>
            </w:r>
            <w:r w:rsidRPr="00DC4BD8">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w:t>
            </w:r>
          </w:p>
        </w:tc>
        <w:tc>
          <w:tcPr>
            <w:tcW w:w="292" w:type="pct"/>
            <w:tcBorders>
              <w:top w:val="nil"/>
              <w:left w:val="nil"/>
              <w:bottom w:val="single" w:sz="4" w:space="0" w:color="auto"/>
              <w:right w:val="single" w:sz="4" w:space="0" w:color="auto"/>
            </w:tcBorders>
            <w:shd w:val="clear" w:color="auto" w:fill="auto"/>
            <w:vAlign w:val="center"/>
            <w:hideMark/>
          </w:tcPr>
          <w:p w14:paraId="4D08776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Pérdida de Bienes del contratista, daños en obras del proyecto causadas por disturbios violentos, Interferencia  en el desarrollo del proyecto.</w:t>
            </w:r>
          </w:p>
        </w:tc>
        <w:tc>
          <w:tcPr>
            <w:tcW w:w="128" w:type="pct"/>
            <w:tcBorders>
              <w:top w:val="nil"/>
              <w:left w:val="nil"/>
              <w:bottom w:val="single" w:sz="4" w:space="0" w:color="auto"/>
              <w:right w:val="single" w:sz="4" w:space="0" w:color="auto"/>
            </w:tcBorders>
            <w:shd w:val="clear" w:color="auto" w:fill="auto"/>
            <w:noWrap/>
            <w:vAlign w:val="center"/>
            <w:hideMark/>
          </w:tcPr>
          <w:p w14:paraId="58DA693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E041E6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0F10309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7B23CC8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276ACE3C"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4776904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A894A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8" w:type="pct"/>
            <w:tcBorders>
              <w:top w:val="nil"/>
              <w:left w:val="nil"/>
              <w:bottom w:val="single" w:sz="4" w:space="0" w:color="auto"/>
              <w:right w:val="single" w:sz="4" w:space="0" w:color="auto"/>
            </w:tcBorders>
            <w:shd w:val="clear" w:color="auto" w:fill="auto"/>
            <w:vAlign w:val="center"/>
            <w:hideMark/>
          </w:tcPr>
          <w:p w14:paraId="6FFF13B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27A4284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5FAADD2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38F1F5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567309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52C0EEE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E9A9F3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presentación del evento</w:t>
            </w:r>
          </w:p>
        </w:tc>
        <w:tc>
          <w:tcPr>
            <w:tcW w:w="259" w:type="pct"/>
            <w:tcBorders>
              <w:top w:val="nil"/>
              <w:left w:val="nil"/>
              <w:bottom w:val="single" w:sz="4" w:space="0" w:color="auto"/>
              <w:right w:val="single" w:sz="4" w:space="0" w:color="auto"/>
            </w:tcBorders>
            <w:shd w:val="clear" w:color="auto" w:fill="auto"/>
            <w:vAlign w:val="center"/>
            <w:hideMark/>
          </w:tcPr>
          <w:p w14:paraId="1CD9CAE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ocurrencia del evento</w:t>
            </w:r>
          </w:p>
        </w:tc>
        <w:tc>
          <w:tcPr>
            <w:tcW w:w="432" w:type="pct"/>
            <w:tcBorders>
              <w:top w:val="nil"/>
              <w:left w:val="nil"/>
              <w:bottom w:val="single" w:sz="4" w:space="0" w:color="auto"/>
              <w:right w:val="single" w:sz="4" w:space="0" w:color="auto"/>
            </w:tcBorders>
            <w:shd w:val="clear" w:color="auto" w:fill="auto"/>
            <w:vAlign w:val="center"/>
            <w:hideMark/>
          </w:tcPr>
          <w:p w14:paraId="6A49F14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partir de la información oficial, información del Interventor, del Contratista, del Municipio de Dagua Valle del Cauca e INVIAS, se determinan acciones a seguir, para procurar la menor afectación al proyecto.</w:t>
            </w:r>
          </w:p>
        </w:tc>
        <w:tc>
          <w:tcPr>
            <w:tcW w:w="248" w:type="pct"/>
            <w:tcBorders>
              <w:top w:val="nil"/>
              <w:left w:val="nil"/>
              <w:bottom w:val="single" w:sz="4" w:space="0" w:color="auto"/>
              <w:right w:val="single" w:sz="8" w:space="0" w:color="auto"/>
            </w:tcBorders>
            <w:shd w:val="clear" w:color="auto" w:fill="auto"/>
            <w:vAlign w:val="center"/>
            <w:hideMark/>
          </w:tcPr>
          <w:p w14:paraId="31BA508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presente el evento</w:t>
            </w:r>
          </w:p>
        </w:tc>
      </w:tr>
      <w:tr w:rsidR="00653DED" w:rsidRPr="00DC4BD8" w14:paraId="20714591"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A3E6C0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7C44DF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10EF163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F349CB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06C022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2A9C43F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Accidentalidad: </w:t>
            </w:r>
            <w:r w:rsidRPr="00DC4BD8">
              <w:rPr>
                <w:rFonts w:ascii="Arial" w:eastAsia="Times New Roman" w:hAnsi="Arial" w:cs="Arial"/>
                <w:sz w:val="10"/>
                <w:szCs w:val="10"/>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292" w:type="pct"/>
            <w:tcBorders>
              <w:top w:val="nil"/>
              <w:left w:val="nil"/>
              <w:bottom w:val="single" w:sz="4" w:space="0" w:color="auto"/>
              <w:right w:val="single" w:sz="4" w:space="0" w:color="auto"/>
            </w:tcBorders>
            <w:shd w:val="clear" w:color="auto" w:fill="auto"/>
            <w:vAlign w:val="center"/>
            <w:hideMark/>
          </w:tcPr>
          <w:p w14:paraId="47E7A5A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Negativo en el proyecto por la probable ocurrencia de accidentes de usuarios de la via y trabajadores de la obra, Inconformidad con la obra por parte de la comunidad.</w:t>
            </w:r>
          </w:p>
        </w:tc>
        <w:tc>
          <w:tcPr>
            <w:tcW w:w="128" w:type="pct"/>
            <w:tcBorders>
              <w:top w:val="nil"/>
              <w:left w:val="nil"/>
              <w:bottom w:val="single" w:sz="4" w:space="0" w:color="auto"/>
              <w:right w:val="single" w:sz="4" w:space="0" w:color="auto"/>
            </w:tcBorders>
            <w:shd w:val="clear" w:color="auto" w:fill="auto"/>
            <w:noWrap/>
            <w:vAlign w:val="center"/>
            <w:hideMark/>
          </w:tcPr>
          <w:p w14:paraId="1CCBED5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565CD00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41A4DFC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6D29A3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716771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87D6408"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D7346F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08" w:type="pct"/>
            <w:tcBorders>
              <w:top w:val="nil"/>
              <w:left w:val="nil"/>
              <w:bottom w:val="single" w:sz="4" w:space="0" w:color="auto"/>
              <w:right w:val="single" w:sz="4" w:space="0" w:color="auto"/>
            </w:tcBorders>
            <w:shd w:val="clear" w:color="auto" w:fill="auto"/>
            <w:vAlign w:val="center"/>
            <w:hideMark/>
          </w:tcPr>
          <w:p w14:paraId="7A767D8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2EBB3B9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5FEA51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3B41705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587FEC4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3E9974B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201F0DB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625DBD4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4134506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Inspecciones diarias del Interventor. Comites Técnicos, Seguimiento a informes, requerimientos escritos-Retroalimentacio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0EFD24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Diario</w:t>
            </w:r>
          </w:p>
        </w:tc>
      </w:tr>
      <w:tr w:rsidR="00653DED" w:rsidRPr="00DC4BD8" w14:paraId="5BC4C2A7"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486928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7</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9B14B5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11A44F2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77E53E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464B31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563800E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Por Ajuste y/o Actualizacion  y/o Unificación y/o Modificación de estudios y diseños y/o elaboración de estudios complementarios realizados  por el Contratista:</w:t>
            </w:r>
            <w:r w:rsidRPr="00DC4BD8">
              <w:rPr>
                <w:rFonts w:ascii="Arial" w:eastAsia="Times New Roman" w:hAnsi="Arial" w:cs="Arial"/>
                <w:sz w:val="10"/>
                <w:szCs w:val="10"/>
                <w:lang w:eastAsia="es-CO"/>
              </w:rPr>
              <w:t xml:space="preserve"> Ocurre cuando se presentan efectos originados por cambios o actualización de los estudios y/o diseños definitivos necesarios para la correcta ejecución y operación de las obras.</w:t>
            </w:r>
          </w:p>
        </w:tc>
        <w:tc>
          <w:tcPr>
            <w:tcW w:w="292" w:type="pct"/>
            <w:tcBorders>
              <w:top w:val="nil"/>
              <w:left w:val="nil"/>
              <w:bottom w:val="single" w:sz="4" w:space="0" w:color="auto"/>
              <w:right w:val="single" w:sz="4" w:space="0" w:color="auto"/>
            </w:tcBorders>
            <w:shd w:val="clear" w:color="auto" w:fill="auto"/>
            <w:vAlign w:val="center"/>
            <w:hideMark/>
          </w:tcPr>
          <w:p w14:paraId="3D868B2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Retrasos en el cronograma de ejecución, variación de algunas obras del contrato y por ende de cantidades de   obra.</w:t>
            </w:r>
          </w:p>
        </w:tc>
        <w:tc>
          <w:tcPr>
            <w:tcW w:w="128" w:type="pct"/>
            <w:tcBorders>
              <w:top w:val="nil"/>
              <w:left w:val="nil"/>
              <w:bottom w:val="single" w:sz="4" w:space="0" w:color="auto"/>
              <w:right w:val="single" w:sz="4" w:space="0" w:color="auto"/>
            </w:tcBorders>
            <w:shd w:val="clear" w:color="auto" w:fill="auto"/>
            <w:noWrap/>
            <w:vAlign w:val="center"/>
            <w:hideMark/>
          </w:tcPr>
          <w:p w14:paraId="6D94778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73BB8B7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CE2C22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223E3AB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48603AE7"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EC08C61"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2BD644A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Realizar una revisión detallada por parte de los Especialistas del Contratista e Interventoría, de los estudios y diseños y/o elaboración de estudios complementarios  (si aplica) para evitar cambios que impacten negativamente el proyecto. </w:t>
            </w:r>
            <w:r w:rsidRPr="00DC4BD8">
              <w:rPr>
                <w:rFonts w:ascii="Arial" w:eastAsia="Times New Roman" w:hAnsi="Arial" w:cs="Arial"/>
                <w:sz w:val="10"/>
                <w:szCs w:val="10"/>
                <w:lang w:eastAsia="es-CO"/>
              </w:rPr>
              <w:br w:type="page"/>
              <w:t>Realizar las consultas pertinentes y oportunas cuando se encuentren diferencias o inconsistencias en los diseños.</w:t>
            </w:r>
          </w:p>
        </w:tc>
        <w:tc>
          <w:tcPr>
            <w:tcW w:w="108" w:type="pct"/>
            <w:tcBorders>
              <w:top w:val="nil"/>
              <w:left w:val="nil"/>
              <w:bottom w:val="single" w:sz="4" w:space="0" w:color="auto"/>
              <w:right w:val="single" w:sz="4" w:space="0" w:color="auto"/>
            </w:tcBorders>
            <w:shd w:val="clear" w:color="auto" w:fill="auto"/>
            <w:vAlign w:val="center"/>
            <w:hideMark/>
          </w:tcPr>
          <w:p w14:paraId="56136A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1E4737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742F45F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49D1B5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A2E61A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065DC8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6EC8EC3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del contrato, durante el prceso de revisión detallada de estudios y diseños y/o elaboración de estudios complementarios</w:t>
            </w:r>
          </w:p>
        </w:tc>
        <w:tc>
          <w:tcPr>
            <w:tcW w:w="259" w:type="pct"/>
            <w:tcBorders>
              <w:top w:val="nil"/>
              <w:left w:val="nil"/>
              <w:bottom w:val="single" w:sz="4" w:space="0" w:color="auto"/>
              <w:right w:val="single" w:sz="4" w:space="0" w:color="auto"/>
            </w:tcBorders>
            <w:shd w:val="clear" w:color="auto" w:fill="auto"/>
            <w:vAlign w:val="center"/>
            <w:hideMark/>
          </w:tcPr>
          <w:p w14:paraId="2D1C0D3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final del proceso de revisión de estudios y diseños y/o elaboración de estudios complementarios</w:t>
            </w:r>
          </w:p>
        </w:tc>
        <w:tc>
          <w:tcPr>
            <w:tcW w:w="432" w:type="pct"/>
            <w:tcBorders>
              <w:top w:val="nil"/>
              <w:left w:val="nil"/>
              <w:bottom w:val="single" w:sz="4" w:space="0" w:color="auto"/>
              <w:right w:val="single" w:sz="4" w:space="0" w:color="auto"/>
            </w:tcBorders>
            <w:shd w:val="clear" w:color="auto" w:fill="auto"/>
            <w:vAlign w:val="center"/>
            <w:hideMark/>
          </w:tcPr>
          <w:p w14:paraId="2834F4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El Contratista y la Interventoría debe efectuar seguimiento contínuo  a través de sus Especialistas,  en el proceso de revisión de diseños. La Interventoría debe realizar la revisión en  elaboración de estudios complementarios (si aplica) por parte del Contratista, de manera que los cambios que se requieran impacten lo menos posible al proyecto. </w:t>
            </w:r>
          </w:p>
        </w:tc>
        <w:tc>
          <w:tcPr>
            <w:tcW w:w="248" w:type="pct"/>
            <w:tcBorders>
              <w:top w:val="nil"/>
              <w:left w:val="nil"/>
              <w:bottom w:val="single" w:sz="4" w:space="0" w:color="auto"/>
              <w:right w:val="single" w:sz="8" w:space="0" w:color="auto"/>
            </w:tcBorders>
            <w:shd w:val="clear" w:color="auto" w:fill="auto"/>
            <w:vAlign w:val="center"/>
            <w:hideMark/>
          </w:tcPr>
          <w:p w14:paraId="1286E32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Durante las dos primeras semanas del plazo contractual  y/o durante la elaboración de estudios complementarios (si aplica)</w:t>
            </w:r>
          </w:p>
        </w:tc>
      </w:tr>
      <w:tr w:rsidR="00653DED" w:rsidRPr="00DC4BD8" w14:paraId="2F44629B"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66C740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8</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29AD32C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482A3A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2CD654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2CB361B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78B93652"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Por Ajuste y/o Actualizacion  y/o Unificación y/o Modificación de estudios y diseños y/o elaboración de estudios requeridos: </w:t>
            </w:r>
            <w:r w:rsidRPr="00DC4BD8">
              <w:rPr>
                <w:rFonts w:ascii="Arial" w:eastAsia="Times New Roman" w:hAnsi="Arial" w:cs="Arial"/>
                <w:sz w:val="10"/>
                <w:szCs w:val="10"/>
                <w:lang w:eastAsia="es-CO"/>
              </w:rPr>
              <w:t>Actividad requerida para la correcta ajecucion y operación de las obras.</w:t>
            </w:r>
          </w:p>
        </w:tc>
        <w:tc>
          <w:tcPr>
            <w:tcW w:w="292" w:type="pct"/>
            <w:tcBorders>
              <w:top w:val="nil"/>
              <w:left w:val="nil"/>
              <w:bottom w:val="single" w:sz="4" w:space="0" w:color="auto"/>
              <w:right w:val="single" w:sz="4" w:space="0" w:color="auto"/>
            </w:tcBorders>
            <w:shd w:val="clear" w:color="auto" w:fill="auto"/>
            <w:vAlign w:val="center"/>
            <w:hideMark/>
          </w:tcPr>
          <w:p w14:paraId="7465DD8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Necesidad de realizar estudios y/o intervenciones</w:t>
            </w:r>
          </w:p>
        </w:tc>
        <w:tc>
          <w:tcPr>
            <w:tcW w:w="128" w:type="pct"/>
            <w:tcBorders>
              <w:top w:val="nil"/>
              <w:left w:val="nil"/>
              <w:bottom w:val="single" w:sz="4" w:space="0" w:color="auto"/>
              <w:right w:val="single" w:sz="4" w:space="0" w:color="auto"/>
            </w:tcBorders>
            <w:shd w:val="clear" w:color="auto" w:fill="auto"/>
            <w:noWrap/>
            <w:vAlign w:val="center"/>
            <w:hideMark/>
          </w:tcPr>
          <w:p w14:paraId="02EF5F2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3421308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7850A0E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7</w:t>
            </w:r>
          </w:p>
        </w:tc>
        <w:tc>
          <w:tcPr>
            <w:tcW w:w="140" w:type="pct"/>
            <w:tcBorders>
              <w:top w:val="nil"/>
              <w:left w:val="nil"/>
              <w:bottom w:val="single" w:sz="4" w:space="0" w:color="auto"/>
              <w:right w:val="single" w:sz="4" w:space="0" w:color="auto"/>
            </w:tcBorders>
            <w:shd w:val="clear" w:color="auto" w:fill="auto"/>
            <w:vAlign w:val="center"/>
            <w:hideMark/>
          </w:tcPr>
          <w:p w14:paraId="483AF08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18294C1F"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035A112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150375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Verificar propuesta de Modificación de los Estudios y Diseños y realizar una interventoría adecuada durante la etapa de Ajuste y/o Actualizacion  y/o Unificación y/o Modificación de estudios y diseños y/o elaboración de estudios complementarios  </w:t>
            </w:r>
          </w:p>
        </w:tc>
        <w:tc>
          <w:tcPr>
            <w:tcW w:w="108" w:type="pct"/>
            <w:tcBorders>
              <w:top w:val="nil"/>
              <w:left w:val="nil"/>
              <w:bottom w:val="single" w:sz="4" w:space="0" w:color="auto"/>
              <w:right w:val="single" w:sz="4" w:space="0" w:color="auto"/>
            </w:tcBorders>
            <w:shd w:val="clear" w:color="auto" w:fill="auto"/>
            <w:vAlign w:val="center"/>
            <w:hideMark/>
          </w:tcPr>
          <w:p w14:paraId="6D6702D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5" w:type="pct"/>
            <w:tcBorders>
              <w:top w:val="nil"/>
              <w:left w:val="nil"/>
              <w:bottom w:val="single" w:sz="4" w:space="0" w:color="auto"/>
              <w:right w:val="single" w:sz="4" w:space="0" w:color="auto"/>
            </w:tcBorders>
            <w:shd w:val="clear" w:color="auto" w:fill="auto"/>
            <w:vAlign w:val="center"/>
            <w:hideMark/>
          </w:tcPr>
          <w:p w14:paraId="23E468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0C7C00E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0C3C416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7EA5632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29D8E5F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00FB340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del Ajuste y/o Actualizacion  y/o Unificación y/o Modificación de estudios y diseños y/o elaboración de estudios complementarios</w:t>
            </w:r>
          </w:p>
        </w:tc>
        <w:tc>
          <w:tcPr>
            <w:tcW w:w="259" w:type="pct"/>
            <w:tcBorders>
              <w:top w:val="nil"/>
              <w:left w:val="nil"/>
              <w:bottom w:val="single" w:sz="4" w:space="0" w:color="auto"/>
              <w:right w:val="single" w:sz="4" w:space="0" w:color="auto"/>
            </w:tcBorders>
            <w:shd w:val="clear" w:color="auto" w:fill="auto"/>
            <w:vAlign w:val="center"/>
            <w:hideMark/>
          </w:tcPr>
          <w:p w14:paraId="4008080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final del Ajuste y/o Actualizacion  y/o Unificación y/o Modificación de estudios y diseños y/o elaboración de estudios complementarios</w:t>
            </w:r>
          </w:p>
        </w:tc>
        <w:tc>
          <w:tcPr>
            <w:tcW w:w="432" w:type="pct"/>
            <w:tcBorders>
              <w:top w:val="nil"/>
              <w:left w:val="nil"/>
              <w:bottom w:val="single" w:sz="4" w:space="0" w:color="auto"/>
              <w:right w:val="single" w:sz="4" w:space="0" w:color="auto"/>
            </w:tcBorders>
            <w:shd w:val="clear" w:color="auto" w:fill="auto"/>
            <w:vAlign w:val="center"/>
            <w:hideMark/>
          </w:tcPr>
          <w:p w14:paraId="0F2998D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la Interventoría debe efectuar seguimiento contínuo  a través de sus Especialistas,  al Ajuste y/o Actualizacion  y/o Unificación y/o Modificación de diseños y/o elaboración de estudios complementarios.</w:t>
            </w:r>
          </w:p>
        </w:tc>
        <w:tc>
          <w:tcPr>
            <w:tcW w:w="248" w:type="pct"/>
            <w:tcBorders>
              <w:top w:val="nil"/>
              <w:left w:val="nil"/>
              <w:bottom w:val="single" w:sz="4" w:space="0" w:color="auto"/>
              <w:right w:val="single" w:sz="8" w:space="0" w:color="auto"/>
            </w:tcBorders>
            <w:shd w:val="clear" w:color="auto" w:fill="auto"/>
            <w:vAlign w:val="center"/>
            <w:hideMark/>
          </w:tcPr>
          <w:p w14:paraId="49D9454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 en la etapa de Ajuste y/o Actualizacion  y/o Unificación y/o Modificación de estudios y diseños y/o elaboración de estudios complementarios</w:t>
            </w:r>
          </w:p>
        </w:tc>
      </w:tr>
      <w:tr w:rsidR="00653DED" w:rsidRPr="00DC4BD8" w14:paraId="7A8DABB3"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D87A0A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9</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72B50C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23C5E28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7990AD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E602B1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0A61AB8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Ejecución de mayores cantidades de obra no autorizadas, </w:t>
            </w:r>
            <w:r w:rsidRPr="00DC4BD8">
              <w:rPr>
                <w:rFonts w:ascii="Arial" w:eastAsia="Times New Roman" w:hAnsi="Arial" w:cs="Arial"/>
                <w:sz w:val="10"/>
                <w:szCs w:val="10"/>
                <w:lang w:eastAsia="es-CO"/>
              </w:rPr>
              <w:t xml:space="preserve">por  materiales y/o procedimientos constructivos inadecuados, y/o por deficiente programación  de ejecución de las obras. </w:t>
            </w:r>
          </w:p>
        </w:tc>
        <w:tc>
          <w:tcPr>
            <w:tcW w:w="292" w:type="pct"/>
            <w:tcBorders>
              <w:top w:val="nil"/>
              <w:left w:val="nil"/>
              <w:bottom w:val="single" w:sz="4" w:space="0" w:color="auto"/>
              <w:right w:val="single" w:sz="4" w:space="0" w:color="auto"/>
            </w:tcBorders>
            <w:shd w:val="clear" w:color="auto" w:fill="auto"/>
            <w:vAlign w:val="center"/>
            <w:hideMark/>
          </w:tcPr>
          <w:p w14:paraId="5FFD5C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Demora en la ejecución de la obra  por correctivos necesarios.   </w:t>
            </w:r>
          </w:p>
        </w:tc>
        <w:tc>
          <w:tcPr>
            <w:tcW w:w="128" w:type="pct"/>
            <w:tcBorders>
              <w:top w:val="nil"/>
              <w:left w:val="nil"/>
              <w:bottom w:val="single" w:sz="4" w:space="0" w:color="auto"/>
              <w:right w:val="single" w:sz="4" w:space="0" w:color="auto"/>
            </w:tcBorders>
            <w:shd w:val="clear" w:color="auto" w:fill="auto"/>
            <w:noWrap/>
            <w:vAlign w:val="center"/>
            <w:hideMark/>
          </w:tcPr>
          <w:p w14:paraId="15DC8A1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8A9973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2D1B58E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0D2D43D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1C8F9CD8"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4C80BDDE"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200DEB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Interventoría permanente en la ejecución de las obras, para controlar obras autorizadas, materiales, procedimientos constructivos , ajustados a las obras requeridas y especificaciones técnicas contractuales. </w:t>
            </w:r>
          </w:p>
        </w:tc>
        <w:tc>
          <w:tcPr>
            <w:tcW w:w="108" w:type="pct"/>
            <w:tcBorders>
              <w:top w:val="nil"/>
              <w:left w:val="nil"/>
              <w:bottom w:val="single" w:sz="4" w:space="0" w:color="auto"/>
              <w:right w:val="single" w:sz="4" w:space="0" w:color="auto"/>
            </w:tcBorders>
            <w:shd w:val="clear" w:color="auto" w:fill="auto"/>
            <w:vAlign w:val="center"/>
            <w:hideMark/>
          </w:tcPr>
          <w:p w14:paraId="766CEFF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C3FB12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427AFEE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0391BB7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08D0712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3F91F1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5CEDCA1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296F33A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2A1CFF8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Control permanente por parte del Interventor de la  ejecución de las obras requeridas del proyecto y del cumplimiento de especificaciones técnicas.  </w:t>
            </w:r>
          </w:p>
        </w:tc>
        <w:tc>
          <w:tcPr>
            <w:tcW w:w="248" w:type="pct"/>
            <w:tcBorders>
              <w:top w:val="nil"/>
              <w:left w:val="nil"/>
              <w:bottom w:val="single" w:sz="4" w:space="0" w:color="auto"/>
              <w:right w:val="single" w:sz="8" w:space="0" w:color="auto"/>
            </w:tcBorders>
            <w:shd w:val="clear" w:color="auto" w:fill="auto"/>
            <w:vAlign w:val="center"/>
            <w:hideMark/>
          </w:tcPr>
          <w:p w14:paraId="3582EB6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diario </w:t>
            </w:r>
          </w:p>
        </w:tc>
      </w:tr>
      <w:tr w:rsidR="00653DED" w:rsidRPr="00DC4BD8" w14:paraId="7B78E0FF"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800F7B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10</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82B69A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44817E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6D3ED8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B4D37C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5C629DC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Variación de cantidades de obra debidamente justificadas: Son los efectos derivados de los cambios en las condiciones técnicas que incrementen o disminuyan las cantidades previstas  para la ejecución de las obras. El Municipio de Dagua asume una disminución justificada y en menor proporción del alcance del proyecto. Las variaciones de las cantidades de obra técnicamente requeridas para la ejecución del proyecto y que requieran mayores cantidades depende de la aprobación del INVIAS y el Contratista asume el riesgo de ejecutar las cantidades de obra en las variaciones que sean necesarias.</w:t>
            </w:r>
          </w:p>
        </w:tc>
        <w:tc>
          <w:tcPr>
            <w:tcW w:w="292" w:type="pct"/>
            <w:tcBorders>
              <w:top w:val="nil"/>
              <w:left w:val="nil"/>
              <w:bottom w:val="single" w:sz="4" w:space="0" w:color="auto"/>
              <w:right w:val="single" w:sz="4" w:space="0" w:color="auto"/>
            </w:tcBorders>
            <w:shd w:val="clear" w:color="auto" w:fill="auto"/>
            <w:vAlign w:val="center"/>
            <w:hideMark/>
          </w:tcPr>
          <w:p w14:paraId="4E4C6B5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 variación de las cantidades de obra previstas inicialmente, siendo necesario ajustes al balance de cantidades de obra, para ceñirse al presupuesto contractual.</w:t>
            </w:r>
          </w:p>
        </w:tc>
        <w:tc>
          <w:tcPr>
            <w:tcW w:w="128" w:type="pct"/>
            <w:tcBorders>
              <w:top w:val="nil"/>
              <w:left w:val="nil"/>
              <w:bottom w:val="single" w:sz="4" w:space="0" w:color="auto"/>
              <w:right w:val="single" w:sz="4" w:space="0" w:color="auto"/>
            </w:tcBorders>
            <w:shd w:val="clear" w:color="auto" w:fill="auto"/>
            <w:noWrap/>
            <w:vAlign w:val="center"/>
            <w:hideMark/>
          </w:tcPr>
          <w:p w14:paraId="64BF708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1F4BD4A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3B2A42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7</w:t>
            </w:r>
          </w:p>
        </w:tc>
        <w:tc>
          <w:tcPr>
            <w:tcW w:w="140" w:type="pct"/>
            <w:tcBorders>
              <w:top w:val="nil"/>
              <w:left w:val="nil"/>
              <w:bottom w:val="single" w:sz="4" w:space="0" w:color="auto"/>
              <w:right w:val="single" w:sz="4" w:space="0" w:color="auto"/>
            </w:tcBorders>
            <w:shd w:val="clear" w:color="auto" w:fill="auto"/>
            <w:vAlign w:val="center"/>
            <w:hideMark/>
          </w:tcPr>
          <w:p w14:paraId="5F41DED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7D0F39F1"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4C2ED035"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AF64C4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108" w:type="pct"/>
            <w:tcBorders>
              <w:top w:val="nil"/>
              <w:left w:val="nil"/>
              <w:bottom w:val="single" w:sz="4" w:space="0" w:color="auto"/>
              <w:right w:val="single" w:sz="4" w:space="0" w:color="auto"/>
            </w:tcBorders>
            <w:shd w:val="clear" w:color="auto" w:fill="auto"/>
            <w:vAlign w:val="center"/>
            <w:hideMark/>
          </w:tcPr>
          <w:p w14:paraId="15D8530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5" w:type="pct"/>
            <w:tcBorders>
              <w:top w:val="nil"/>
              <w:left w:val="nil"/>
              <w:bottom w:val="single" w:sz="4" w:space="0" w:color="auto"/>
              <w:right w:val="single" w:sz="4" w:space="0" w:color="auto"/>
            </w:tcBorders>
            <w:shd w:val="clear" w:color="auto" w:fill="auto"/>
            <w:vAlign w:val="center"/>
            <w:hideMark/>
          </w:tcPr>
          <w:p w14:paraId="26F4E4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1BE9BAE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70B4C23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618C2AB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950CF0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0C224F9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1B54928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1686E94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248" w:type="pct"/>
            <w:tcBorders>
              <w:top w:val="nil"/>
              <w:left w:val="nil"/>
              <w:bottom w:val="single" w:sz="4" w:space="0" w:color="auto"/>
              <w:right w:val="single" w:sz="8" w:space="0" w:color="auto"/>
            </w:tcBorders>
            <w:shd w:val="clear" w:color="auto" w:fill="auto"/>
            <w:vAlign w:val="center"/>
            <w:hideMark/>
          </w:tcPr>
          <w:p w14:paraId="50AF987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3D371A92"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75C99A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6680C2F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4C34E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03A3776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1283D8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 - Social</w:t>
            </w:r>
          </w:p>
        </w:tc>
        <w:tc>
          <w:tcPr>
            <w:tcW w:w="581" w:type="pct"/>
            <w:tcBorders>
              <w:top w:val="nil"/>
              <w:left w:val="nil"/>
              <w:bottom w:val="single" w:sz="4" w:space="0" w:color="auto"/>
              <w:right w:val="single" w:sz="4" w:space="0" w:color="auto"/>
            </w:tcBorders>
            <w:shd w:val="clear" w:color="auto" w:fill="auto"/>
            <w:vAlign w:val="center"/>
            <w:hideMark/>
          </w:tcPr>
          <w:p w14:paraId="6FCD23B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Expropiación Predial:</w:t>
            </w:r>
            <w:r w:rsidRPr="00DC4BD8">
              <w:rPr>
                <w:rFonts w:ascii="Arial" w:eastAsia="Times New Roman" w:hAnsi="Arial" w:cs="Arial"/>
                <w:sz w:val="10"/>
                <w:szCs w:val="10"/>
                <w:lang w:eastAsia="es-CO"/>
              </w:rPr>
              <w:t xml:space="preserve"> Se refiere al caso en el que se requiera recurrir al proceso de expropiacion.  El contratista prestará la colaboración requerida en el proceso de expropiación</w:t>
            </w:r>
          </w:p>
        </w:tc>
        <w:tc>
          <w:tcPr>
            <w:tcW w:w="292" w:type="pct"/>
            <w:tcBorders>
              <w:top w:val="nil"/>
              <w:left w:val="nil"/>
              <w:bottom w:val="single" w:sz="4" w:space="0" w:color="auto"/>
              <w:right w:val="single" w:sz="4" w:space="0" w:color="auto"/>
            </w:tcBorders>
            <w:shd w:val="clear" w:color="auto" w:fill="auto"/>
            <w:vAlign w:val="center"/>
            <w:hideMark/>
          </w:tcPr>
          <w:p w14:paraId="2BE0A5E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negativo en el desarrollo  del objeto contractual, por dificultad en gestión predial que afecta la ejecución del proyecto</w:t>
            </w:r>
          </w:p>
        </w:tc>
        <w:tc>
          <w:tcPr>
            <w:tcW w:w="128" w:type="pct"/>
            <w:tcBorders>
              <w:top w:val="nil"/>
              <w:left w:val="nil"/>
              <w:bottom w:val="single" w:sz="4" w:space="0" w:color="auto"/>
              <w:right w:val="single" w:sz="4" w:space="0" w:color="auto"/>
            </w:tcBorders>
            <w:shd w:val="clear" w:color="auto" w:fill="auto"/>
            <w:noWrap/>
            <w:vAlign w:val="center"/>
            <w:hideMark/>
          </w:tcPr>
          <w:p w14:paraId="6449A18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77C78A1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D0A905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0" w:type="pct"/>
            <w:tcBorders>
              <w:top w:val="nil"/>
              <w:left w:val="nil"/>
              <w:bottom w:val="single" w:sz="4" w:space="0" w:color="auto"/>
              <w:right w:val="single" w:sz="4" w:space="0" w:color="auto"/>
            </w:tcBorders>
            <w:shd w:val="clear" w:color="auto" w:fill="auto"/>
            <w:vAlign w:val="center"/>
            <w:hideMark/>
          </w:tcPr>
          <w:p w14:paraId="594F512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52E974A6"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612CED9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3A3287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Planeación, revisión, ajuste y seguimiento en la fase precontractual y contractual de forma adecuada a los  diseños.  Seguimiento constante al proceso de expropiación, diligencia en la gestión administrativa, legal y financiera para la menor demora posible.</w:t>
            </w:r>
          </w:p>
        </w:tc>
        <w:tc>
          <w:tcPr>
            <w:tcW w:w="108" w:type="pct"/>
            <w:tcBorders>
              <w:top w:val="nil"/>
              <w:left w:val="nil"/>
              <w:bottom w:val="single" w:sz="4" w:space="0" w:color="auto"/>
              <w:right w:val="single" w:sz="4" w:space="0" w:color="auto"/>
            </w:tcBorders>
            <w:shd w:val="clear" w:color="auto" w:fill="auto"/>
            <w:vAlign w:val="center"/>
            <w:hideMark/>
          </w:tcPr>
          <w:p w14:paraId="75547E6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582041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7E3DC1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6B7E5FB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A2B3D7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Puede afectarla en cuanto depende de procesos legales</w:t>
            </w:r>
          </w:p>
        </w:tc>
        <w:tc>
          <w:tcPr>
            <w:tcW w:w="257" w:type="pct"/>
            <w:tcBorders>
              <w:top w:val="nil"/>
              <w:left w:val="nil"/>
              <w:bottom w:val="single" w:sz="4" w:space="0" w:color="auto"/>
              <w:right w:val="single" w:sz="4" w:space="0" w:color="auto"/>
            </w:tcBorders>
            <w:shd w:val="clear" w:color="auto" w:fill="auto"/>
            <w:vAlign w:val="center"/>
            <w:hideMark/>
          </w:tcPr>
          <w:p w14:paraId="17E1981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4942AA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etapa de adquisición de predios</w:t>
            </w:r>
          </w:p>
        </w:tc>
        <w:tc>
          <w:tcPr>
            <w:tcW w:w="259" w:type="pct"/>
            <w:tcBorders>
              <w:top w:val="nil"/>
              <w:left w:val="nil"/>
              <w:bottom w:val="single" w:sz="4" w:space="0" w:color="auto"/>
              <w:right w:val="single" w:sz="4" w:space="0" w:color="auto"/>
            </w:tcBorders>
            <w:shd w:val="clear" w:color="auto" w:fill="auto"/>
            <w:vAlign w:val="center"/>
            <w:hideMark/>
          </w:tcPr>
          <w:p w14:paraId="03353E6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final de la etapa de adquisición de predios</w:t>
            </w:r>
          </w:p>
        </w:tc>
        <w:tc>
          <w:tcPr>
            <w:tcW w:w="432" w:type="pct"/>
            <w:tcBorders>
              <w:top w:val="nil"/>
              <w:left w:val="nil"/>
              <w:bottom w:val="single" w:sz="4" w:space="0" w:color="auto"/>
              <w:right w:val="single" w:sz="4" w:space="0" w:color="auto"/>
            </w:tcBorders>
            <w:shd w:val="clear" w:color="auto" w:fill="auto"/>
            <w:vAlign w:val="center"/>
            <w:hideMark/>
          </w:tcPr>
          <w:p w14:paraId="2CA6F6C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Comites Técnicos, Seguimiento constante al proceso de expropiación, informes de los responsables de la gestión predial,  requerimientos escritos-Retroalimentacio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1C567E4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53DED" w:rsidRPr="00DC4BD8" w14:paraId="545C926C"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0603366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44A94F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Especifico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C426EA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B9BADC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E65515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4FEDCE4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Modificación y/o cambios de ubicación en las fuentes de materiales presentadas y/o propuestas y/o proyectadas  por el PROPONENTE Y/O CONTRATISTA</w:t>
            </w:r>
            <w:r w:rsidRPr="00DC4BD8">
              <w:rPr>
                <w:rFonts w:ascii="Arial" w:eastAsia="Times New Roman" w:hAnsi="Arial" w:cs="Arial"/>
                <w:sz w:val="10"/>
                <w:szCs w:val="10"/>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292" w:type="pct"/>
            <w:tcBorders>
              <w:top w:val="nil"/>
              <w:left w:val="nil"/>
              <w:bottom w:val="single" w:sz="4" w:space="0" w:color="auto"/>
              <w:right w:val="single" w:sz="4" w:space="0" w:color="auto"/>
            </w:tcBorders>
            <w:shd w:val="clear" w:color="auto" w:fill="auto"/>
            <w:vAlign w:val="center"/>
            <w:hideMark/>
          </w:tcPr>
          <w:p w14:paraId="710FF7B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0C9F644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59D7AD9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422C89D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41B02E0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1EE3B71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0F3A55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E1A554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Planeación, revisión, ajuste y seguimiento en la fase precontractual   a las fuentes de materiales para el proyecto. En la fase contratual verificación del cumplimiento de especificaciones técnicas de los materiales.</w:t>
            </w:r>
          </w:p>
        </w:tc>
        <w:tc>
          <w:tcPr>
            <w:tcW w:w="108" w:type="pct"/>
            <w:tcBorders>
              <w:top w:val="nil"/>
              <w:left w:val="nil"/>
              <w:bottom w:val="single" w:sz="4" w:space="0" w:color="auto"/>
              <w:right w:val="single" w:sz="4" w:space="0" w:color="auto"/>
            </w:tcBorders>
            <w:shd w:val="clear" w:color="auto" w:fill="auto"/>
            <w:vAlign w:val="center"/>
            <w:hideMark/>
          </w:tcPr>
          <w:p w14:paraId="1346E68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220793E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17C2C9B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26C1F4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79D0D65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BBAA14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21C97E4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planeación del proyecto y en la 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49FD413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13BB4D9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Comites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248" w:type="pct"/>
            <w:tcBorders>
              <w:top w:val="nil"/>
              <w:left w:val="nil"/>
              <w:bottom w:val="single" w:sz="4" w:space="0" w:color="auto"/>
              <w:right w:val="single" w:sz="8" w:space="0" w:color="auto"/>
            </w:tcBorders>
            <w:shd w:val="clear" w:color="auto" w:fill="auto"/>
            <w:vAlign w:val="center"/>
            <w:hideMark/>
          </w:tcPr>
          <w:p w14:paraId="139BA02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3A92241F"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7E6A1C4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7CC21A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Específico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D346E6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F7CDBC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54086A7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de la  Naturaleza</w:t>
            </w:r>
          </w:p>
        </w:tc>
        <w:tc>
          <w:tcPr>
            <w:tcW w:w="581" w:type="pct"/>
            <w:tcBorders>
              <w:top w:val="nil"/>
              <w:left w:val="nil"/>
              <w:bottom w:val="single" w:sz="4" w:space="0" w:color="auto"/>
              <w:right w:val="single" w:sz="4" w:space="0" w:color="auto"/>
            </w:tcBorders>
            <w:shd w:val="clear" w:color="auto" w:fill="auto"/>
            <w:vAlign w:val="center"/>
            <w:hideMark/>
          </w:tcPr>
          <w:p w14:paraId="61EA074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Inestabilidad Geológica, Geotécnica,  Hidrogeológica. </w:t>
            </w:r>
            <w:r w:rsidRPr="00DC4BD8">
              <w:rPr>
                <w:rFonts w:ascii="Arial" w:eastAsia="Times New Roman" w:hAnsi="Arial" w:cs="Arial"/>
                <w:sz w:val="10"/>
                <w:szCs w:val="10"/>
                <w:lang w:eastAsia="es-CO"/>
              </w:rPr>
              <w:t>El</w:t>
            </w:r>
            <w:r w:rsidRPr="00DC4BD8">
              <w:rPr>
                <w:rFonts w:ascii="Arial" w:eastAsia="Times New Roman" w:hAnsi="Arial" w:cs="Arial"/>
                <w:b/>
                <w:bCs/>
                <w:sz w:val="10"/>
                <w:szCs w:val="10"/>
                <w:lang w:eastAsia="es-CO"/>
              </w:rPr>
              <w:t xml:space="preserve"> r</w:t>
            </w:r>
            <w:r w:rsidRPr="00DC4BD8">
              <w:rPr>
                <w:rFonts w:ascii="Arial" w:eastAsia="Times New Roman" w:hAnsi="Arial" w:cs="Arial"/>
                <w:sz w:val="10"/>
                <w:szCs w:val="10"/>
                <w:lang w:eastAsia="es-CO"/>
              </w:rPr>
              <w:t>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 geotécnico e hidrogeológicos identificados, y los que debio identificar en el ajuste y/o elaboracion de estudios y diseños y los que se presenten durante la ejecución del contrato (si aplica lo último). El Municipio de Dagua hará las gestiones pertinentes para justificar ante el INVIAS las mayores cantidades de obra que sean necesarias, siempre y cuando no sean de responsabilidad del Contratista.</w:t>
            </w:r>
          </w:p>
        </w:tc>
        <w:tc>
          <w:tcPr>
            <w:tcW w:w="292" w:type="pct"/>
            <w:tcBorders>
              <w:top w:val="nil"/>
              <w:left w:val="nil"/>
              <w:bottom w:val="single" w:sz="4" w:space="0" w:color="auto"/>
              <w:right w:val="single" w:sz="4" w:space="0" w:color="auto"/>
            </w:tcBorders>
            <w:shd w:val="clear" w:color="auto" w:fill="auto"/>
            <w:vAlign w:val="center"/>
            <w:hideMark/>
          </w:tcPr>
          <w:p w14:paraId="6A267F7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desarrollo del objeto contractual, Aumento de costos por necesidad de mayores cantidades de obra , y eventuales mayores plazos </w:t>
            </w:r>
          </w:p>
        </w:tc>
        <w:tc>
          <w:tcPr>
            <w:tcW w:w="128" w:type="pct"/>
            <w:tcBorders>
              <w:top w:val="nil"/>
              <w:left w:val="nil"/>
              <w:bottom w:val="single" w:sz="4" w:space="0" w:color="auto"/>
              <w:right w:val="single" w:sz="4" w:space="0" w:color="auto"/>
            </w:tcBorders>
            <w:shd w:val="clear" w:color="auto" w:fill="auto"/>
            <w:noWrap/>
            <w:vAlign w:val="center"/>
            <w:hideMark/>
          </w:tcPr>
          <w:p w14:paraId="61F4F3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2" w:type="pct"/>
            <w:tcBorders>
              <w:top w:val="nil"/>
              <w:left w:val="nil"/>
              <w:bottom w:val="single" w:sz="4" w:space="0" w:color="auto"/>
              <w:right w:val="single" w:sz="4" w:space="0" w:color="auto"/>
            </w:tcBorders>
            <w:shd w:val="clear" w:color="auto" w:fill="auto"/>
            <w:noWrap/>
            <w:vAlign w:val="center"/>
            <w:hideMark/>
          </w:tcPr>
          <w:p w14:paraId="0D2AF4A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43F8D85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3C90D02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1A8F6C99"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0B45F50A"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15D630B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Monitoreo del corredor vial por parte de Especialistas en Geotecnia para recomendar medidas preventivas, correctivas ó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ó de mitigación, análisis e implementación.  En todos los casos, adoptar las medidas contractuales a que haya lugar,  en cuanto a mayores cantidades de obra y plazos si fuere necesario.</w:t>
            </w:r>
          </w:p>
        </w:tc>
        <w:tc>
          <w:tcPr>
            <w:tcW w:w="108" w:type="pct"/>
            <w:tcBorders>
              <w:top w:val="nil"/>
              <w:left w:val="nil"/>
              <w:bottom w:val="single" w:sz="4" w:space="0" w:color="auto"/>
              <w:right w:val="single" w:sz="4" w:space="0" w:color="auto"/>
            </w:tcBorders>
            <w:shd w:val="clear" w:color="auto" w:fill="auto"/>
            <w:vAlign w:val="center"/>
            <w:hideMark/>
          </w:tcPr>
          <w:p w14:paraId="55188DA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29FF85C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ABC070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2A6641F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FFD002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emergencias de gran magnitud puede afectarse la ejecución del contrato.</w:t>
            </w:r>
          </w:p>
        </w:tc>
        <w:tc>
          <w:tcPr>
            <w:tcW w:w="257" w:type="pct"/>
            <w:tcBorders>
              <w:top w:val="nil"/>
              <w:left w:val="nil"/>
              <w:bottom w:val="single" w:sz="4" w:space="0" w:color="auto"/>
              <w:right w:val="single" w:sz="4" w:space="0" w:color="auto"/>
            </w:tcBorders>
            <w:shd w:val="clear" w:color="auto" w:fill="auto"/>
            <w:vAlign w:val="center"/>
            <w:hideMark/>
          </w:tcPr>
          <w:p w14:paraId="17FB180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16D5B22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1F20C52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473774F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Visitas y recomendaciones de Especialistas, Análisis de Contratista e Interventor y si es necesario participación del Diseñador del proyecto,  Comités Técnicos, Seguimiento a implementación de medidas preventivas, correctivas ó de mitigación, Informes respectivos,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358E990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del contrato, cuando se detecten nuevos sitios inestables, cuando se presenten emergencias.</w:t>
            </w:r>
          </w:p>
        </w:tc>
      </w:tr>
      <w:tr w:rsidR="00653DED" w:rsidRPr="00DC4BD8" w14:paraId="36BD7A2C"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3808D0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5AF489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Específico</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080BD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15E50AB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ED7B81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Operacional</w:t>
            </w:r>
          </w:p>
        </w:tc>
        <w:tc>
          <w:tcPr>
            <w:tcW w:w="581" w:type="pct"/>
            <w:tcBorders>
              <w:top w:val="nil"/>
              <w:left w:val="nil"/>
              <w:bottom w:val="single" w:sz="4" w:space="0" w:color="auto"/>
              <w:right w:val="single" w:sz="4" w:space="0" w:color="auto"/>
            </w:tcBorders>
            <w:shd w:val="clear" w:color="auto" w:fill="auto"/>
            <w:vAlign w:val="center"/>
            <w:hideMark/>
          </w:tcPr>
          <w:p w14:paraId="04BEF08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Interferencia con las de redes de servicios públicos existentes:</w:t>
            </w:r>
            <w:r w:rsidRPr="00DC4BD8">
              <w:rPr>
                <w:rFonts w:ascii="Arial" w:eastAsia="Times New Roman" w:hAnsi="Arial" w:cs="Arial"/>
                <w:sz w:val="10"/>
                <w:szCs w:val="10"/>
                <w:lang w:eastAsia="es-CO"/>
              </w:rPr>
              <w:t xml:space="preserve"> Ocurre por la presencia de redes existentes, que puedan interferir con el proyecto, afectando el normal desarrollo de las obras. El Contratista deberá realizar todas las gestiones que correspondan. El Municipio de DAGUA asumirá los costos  que corrrespondan  de acuerdo con lo establecido en el Capítulo III  de la Ley 1682 de 2013</w:t>
            </w:r>
          </w:p>
        </w:tc>
        <w:tc>
          <w:tcPr>
            <w:tcW w:w="292" w:type="pct"/>
            <w:tcBorders>
              <w:top w:val="nil"/>
              <w:left w:val="nil"/>
              <w:bottom w:val="single" w:sz="4" w:space="0" w:color="auto"/>
              <w:right w:val="single" w:sz="4" w:space="0" w:color="auto"/>
            </w:tcBorders>
            <w:shd w:val="clear" w:color="auto" w:fill="auto"/>
            <w:vAlign w:val="center"/>
            <w:hideMark/>
          </w:tcPr>
          <w:p w14:paraId="2C1E232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en el desarrollo del objeto contractual, por la interferencia de las redes existentes con la ejecución del proyecto </w:t>
            </w:r>
          </w:p>
        </w:tc>
        <w:tc>
          <w:tcPr>
            <w:tcW w:w="128" w:type="pct"/>
            <w:tcBorders>
              <w:top w:val="nil"/>
              <w:left w:val="nil"/>
              <w:bottom w:val="single" w:sz="4" w:space="0" w:color="auto"/>
              <w:right w:val="single" w:sz="4" w:space="0" w:color="auto"/>
            </w:tcBorders>
            <w:shd w:val="clear" w:color="auto" w:fill="auto"/>
            <w:noWrap/>
            <w:vAlign w:val="center"/>
            <w:hideMark/>
          </w:tcPr>
          <w:p w14:paraId="1B37DDF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94B598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6AB628C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6946E52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5FD21655"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19AF9CD0"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11F9A8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08" w:type="pct"/>
            <w:tcBorders>
              <w:top w:val="nil"/>
              <w:left w:val="nil"/>
              <w:bottom w:val="single" w:sz="4" w:space="0" w:color="auto"/>
              <w:right w:val="single" w:sz="4" w:space="0" w:color="auto"/>
            </w:tcBorders>
            <w:shd w:val="clear" w:color="auto" w:fill="auto"/>
            <w:vAlign w:val="center"/>
            <w:hideMark/>
          </w:tcPr>
          <w:p w14:paraId="3478D58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1AA4B91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3C5DA84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700D396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465F9D1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5D19C38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06F2C3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Fase precontractual,   y cuando se detecte la existencia de redes  de servicio público que interfieran con el proyecto </w:t>
            </w:r>
          </w:p>
        </w:tc>
        <w:tc>
          <w:tcPr>
            <w:tcW w:w="259" w:type="pct"/>
            <w:tcBorders>
              <w:top w:val="nil"/>
              <w:left w:val="nil"/>
              <w:bottom w:val="single" w:sz="4" w:space="0" w:color="auto"/>
              <w:right w:val="single" w:sz="4" w:space="0" w:color="auto"/>
            </w:tcBorders>
            <w:shd w:val="clear" w:color="auto" w:fill="auto"/>
            <w:vAlign w:val="center"/>
            <w:hideMark/>
          </w:tcPr>
          <w:p w14:paraId="04013FB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cuando se solucione la interferencia de las redes de servicio público existentes</w:t>
            </w:r>
          </w:p>
        </w:tc>
        <w:tc>
          <w:tcPr>
            <w:tcW w:w="432" w:type="pct"/>
            <w:tcBorders>
              <w:top w:val="nil"/>
              <w:left w:val="nil"/>
              <w:bottom w:val="single" w:sz="4" w:space="0" w:color="auto"/>
              <w:right w:val="single" w:sz="4" w:space="0" w:color="auto"/>
            </w:tcBorders>
            <w:shd w:val="clear" w:color="auto" w:fill="auto"/>
            <w:vAlign w:val="center"/>
            <w:hideMark/>
          </w:tcPr>
          <w:p w14:paraId="3EF4EB6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248" w:type="pct"/>
            <w:tcBorders>
              <w:top w:val="nil"/>
              <w:left w:val="nil"/>
              <w:bottom w:val="single" w:sz="4" w:space="0" w:color="auto"/>
              <w:right w:val="single" w:sz="8" w:space="0" w:color="auto"/>
            </w:tcBorders>
            <w:shd w:val="clear" w:color="auto" w:fill="auto"/>
            <w:vAlign w:val="center"/>
            <w:hideMark/>
          </w:tcPr>
          <w:p w14:paraId="54F7853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Cuando se presenta la interferencia, seguimiento semanal </w:t>
            </w:r>
          </w:p>
        </w:tc>
      </w:tr>
      <w:tr w:rsidR="00653DED" w:rsidRPr="00DC4BD8" w14:paraId="497BBC2F"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E04CDD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15</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95A75F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E6D81E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A1CE1E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3112CE6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Financiero</w:t>
            </w:r>
          </w:p>
        </w:tc>
        <w:tc>
          <w:tcPr>
            <w:tcW w:w="581" w:type="pct"/>
            <w:tcBorders>
              <w:top w:val="nil"/>
              <w:left w:val="nil"/>
              <w:bottom w:val="single" w:sz="4" w:space="0" w:color="auto"/>
              <w:right w:val="single" w:sz="4" w:space="0" w:color="auto"/>
            </w:tcBorders>
            <w:shd w:val="clear" w:color="auto" w:fill="auto"/>
            <w:vAlign w:val="center"/>
            <w:hideMark/>
          </w:tcPr>
          <w:p w14:paraId="398538C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Riesgo Financiero: </w:t>
            </w:r>
            <w:r w:rsidRPr="00DC4BD8">
              <w:rPr>
                <w:rFonts w:ascii="Arial" w:eastAsia="Times New Roman" w:hAnsi="Arial" w:cs="Arial"/>
                <w:sz w:val="10"/>
                <w:szCs w:val="10"/>
                <w:lang w:eastAsia="es-CO"/>
              </w:rPr>
              <w:t>Se deriva de los efectos provenientes de las variaciones de las tasas de interés, plazos, tasas de cambio, ajustes por inflación, devaluación,  variaciones cambiarias y financieras,  y otras variables del mercado por causas micro o macroeconomicas,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292" w:type="pct"/>
            <w:tcBorders>
              <w:top w:val="nil"/>
              <w:left w:val="nil"/>
              <w:bottom w:val="single" w:sz="4" w:space="0" w:color="auto"/>
              <w:right w:val="single" w:sz="4" w:space="0" w:color="auto"/>
            </w:tcBorders>
            <w:shd w:val="clear" w:color="auto" w:fill="auto"/>
            <w:vAlign w:val="center"/>
            <w:hideMark/>
          </w:tcPr>
          <w:p w14:paraId="46E12C8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Impacto económico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4776DE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363F3D0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31542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51A17C3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3B26AA5D"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5627299"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CD335F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08" w:type="pct"/>
            <w:tcBorders>
              <w:top w:val="nil"/>
              <w:left w:val="nil"/>
              <w:bottom w:val="single" w:sz="4" w:space="0" w:color="auto"/>
              <w:right w:val="single" w:sz="4" w:space="0" w:color="auto"/>
            </w:tcBorders>
            <w:shd w:val="clear" w:color="auto" w:fill="auto"/>
            <w:vAlign w:val="center"/>
            <w:hideMark/>
          </w:tcPr>
          <w:p w14:paraId="0DCB260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457E520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1A1CAF1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9756D6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08F1F74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45A865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683FC39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w:t>
            </w:r>
          </w:p>
        </w:tc>
        <w:tc>
          <w:tcPr>
            <w:tcW w:w="259" w:type="pct"/>
            <w:tcBorders>
              <w:top w:val="nil"/>
              <w:left w:val="nil"/>
              <w:bottom w:val="single" w:sz="4" w:space="0" w:color="auto"/>
              <w:right w:val="single" w:sz="4" w:space="0" w:color="auto"/>
            </w:tcBorders>
            <w:shd w:val="clear" w:color="auto" w:fill="auto"/>
            <w:vAlign w:val="center"/>
            <w:hideMark/>
          </w:tcPr>
          <w:p w14:paraId="713EBB0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0E994F6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48" w:type="pct"/>
            <w:tcBorders>
              <w:top w:val="nil"/>
              <w:left w:val="nil"/>
              <w:bottom w:val="single" w:sz="4" w:space="0" w:color="auto"/>
              <w:right w:val="single" w:sz="8" w:space="0" w:color="auto"/>
            </w:tcBorders>
            <w:shd w:val="clear" w:color="auto" w:fill="auto"/>
            <w:vAlign w:val="center"/>
            <w:hideMark/>
          </w:tcPr>
          <w:p w14:paraId="2A8849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24E03336"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AEF35D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5F20A2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217C036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D9AAD8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2200EA1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Regulatorio</w:t>
            </w:r>
          </w:p>
        </w:tc>
        <w:tc>
          <w:tcPr>
            <w:tcW w:w="581" w:type="pct"/>
            <w:tcBorders>
              <w:top w:val="nil"/>
              <w:left w:val="nil"/>
              <w:bottom w:val="single" w:sz="4" w:space="0" w:color="auto"/>
              <w:right w:val="single" w:sz="4" w:space="0" w:color="auto"/>
            </w:tcBorders>
            <w:shd w:val="clear" w:color="auto" w:fill="auto"/>
            <w:vAlign w:val="center"/>
            <w:hideMark/>
          </w:tcPr>
          <w:p w14:paraId="18215577" w14:textId="77777777" w:rsidR="00653DED" w:rsidRPr="00DC4BD8" w:rsidRDefault="00653DED" w:rsidP="00493727">
            <w:pPr>
              <w:spacing w:line="240" w:lineRule="auto"/>
              <w:contextualSpacing w:val="0"/>
              <w:rPr>
                <w:rFonts w:ascii="Arial" w:eastAsia="Times New Roman" w:hAnsi="Arial" w:cs="Arial"/>
                <w:color w:val="000000"/>
                <w:sz w:val="10"/>
                <w:szCs w:val="10"/>
                <w:lang w:eastAsia="es-CO"/>
              </w:rPr>
            </w:pPr>
            <w:r w:rsidRPr="00DC4BD8">
              <w:rPr>
                <w:rFonts w:ascii="Arial" w:eastAsia="Times New Roman" w:hAnsi="Arial" w:cs="Arial"/>
                <w:b/>
                <w:bCs/>
                <w:color w:val="000000"/>
                <w:sz w:val="10"/>
                <w:szCs w:val="10"/>
                <w:lang w:eastAsia="es-CO"/>
              </w:rPr>
              <w:t>Variacion en la tarifas de impuestos, tasas y/o contribuciones:</w:t>
            </w:r>
            <w:r w:rsidRPr="00DC4BD8">
              <w:rPr>
                <w:rFonts w:ascii="Arial" w:eastAsia="Times New Roman" w:hAnsi="Arial" w:cs="Arial"/>
                <w:color w:val="000000"/>
                <w:sz w:val="10"/>
                <w:szCs w:val="10"/>
                <w:lang w:eastAsia="es-CO"/>
              </w:rPr>
              <w:t xml:space="preserve"> Se deriva de las reformas tributarias nacionales y locales, que pueden afectar las utilidades esperadas o generar pérdidas al contratista.</w:t>
            </w:r>
          </w:p>
        </w:tc>
        <w:tc>
          <w:tcPr>
            <w:tcW w:w="292" w:type="pct"/>
            <w:tcBorders>
              <w:top w:val="nil"/>
              <w:left w:val="nil"/>
              <w:bottom w:val="single" w:sz="4" w:space="0" w:color="auto"/>
              <w:right w:val="single" w:sz="4" w:space="0" w:color="auto"/>
            </w:tcBorders>
            <w:shd w:val="clear" w:color="auto" w:fill="auto"/>
            <w:vAlign w:val="center"/>
            <w:hideMark/>
          </w:tcPr>
          <w:p w14:paraId="51D8794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Afecta las utilidades esperadas o generar pérdidas al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78B1FB8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F0B363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4C2CDE6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705C4B1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1FB98401"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2B09DB5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342FEB8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Proceso precontractual con la definición específica de los impuestos, tasas y retribuciones vigentes nacionales y locales que genera el tipo de contrato que se va a ejecutar   Revisión de  las reformas tributarias sustanciales que se produzcan posterior al cierre del proceso de licitación pública, que afecten el normal desarrollo del contrato,  con el fin de estudiar los ajustes pertinentes a que hubiere lugar.</w:t>
            </w:r>
          </w:p>
        </w:tc>
        <w:tc>
          <w:tcPr>
            <w:tcW w:w="108" w:type="pct"/>
            <w:tcBorders>
              <w:top w:val="nil"/>
              <w:left w:val="nil"/>
              <w:bottom w:val="single" w:sz="4" w:space="0" w:color="auto"/>
              <w:right w:val="single" w:sz="4" w:space="0" w:color="auto"/>
            </w:tcBorders>
            <w:shd w:val="clear" w:color="auto" w:fill="auto"/>
            <w:vAlign w:val="center"/>
            <w:hideMark/>
          </w:tcPr>
          <w:p w14:paraId="2D6A5A0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40B9D4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C9E4AA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4FA2743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2650EE0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09C8FF3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7EF3343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w:t>
            </w:r>
          </w:p>
        </w:tc>
        <w:tc>
          <w:tcPr>
            <w:tcW w:w="259" w:type="pct"/>
            <w:tcBorders>
              <w:top w:val="nil"/>
              <w:left w:val="nil"/>
              <w:bottom w:val="single" w:sz="4" w:space="0" w:color="auto"/>
              <w:right w:val="single" w:sz="4" w:space="0" w:color="auto"/>
            </w:tcBorders>
            <w:shd w:val="clear" w:color="auto" w:fill="auto"/>
            <w:vAlign w:val="center"/>
            <w:hideMark/>
          </w:tcPr>
          <w:p w14:paraId="5328443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4ACE624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w:t>
            </w:r>
          </w:p>
        </w:tc>
        <w:tc>
          <w:tcPr>
            <w:tcW w:w="248" w:type="pct"/>
            <w:tcBorders>
              <w:top w:val="nil"/>
              <w:left w:val="nil"/>
              <w:bottom w:val="single" w:sz="4" w:space="0" w:color="auto"/>
              <w:right w:val="single" w:sz="8" w:space="0" w:color="auto"/>
            </w:tcBorders>
            <w:shd w:val="clear" w:color="auto" w:fill="auto"/>
            <w:vAlign w:val="center"/>
            <w:hideMark/>
          </w:tcPr>
          <w:p w14:paraId="6A9D054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etapa precontractual y en la contractual cuando se presente el evento.</w:t>
            </w:r>
          </w:p>
        </w:tc>
      </w:tr>
      <w:tr w:rsidR="00653DED" w:rsidRPr="00DC4BD8" w14:paraId="4053E2B9"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8195DD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16</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1032801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C68AA8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5663C5E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4CAC114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Regulatorio</w:t>
            </w:r>
          </w:p>
        </w:tc>
        <w:tc>
          <w:tcPr>
            <w:tcW w:w="581" w:type="pct"/>
            <w:tcBorders>
              <w:top w:val="nil"/>
              <w:left w:val="nil"/>
              <w:bottom w:val="single" w:sz="4" w:space="0" w:color="auto"/>
              <w:right w:val="single" w:sz="4" w:space="0" w:color="auto"/>
            </w:tcBorders>
            <w:shd w:val="clear" w:color="auto" w:fill="auto"/>
            <w:vAlign w:val="center"/>
            <w:hideMark/>
          </w:tcPr>
          <w:p w14:paraId="00207D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 xml:space="preserve">Expedición y/o modificación de normas: </w:t>
            </w:r>
            <w:r w:rsidRPr="00DC4BD8">
              <w:rPr>
                <w:rFonts w:ascii="Arial" w:eastAsia="Times New Roman" w:hAnsi="Arial" w:cs="Arial"/>
                <w:sz w:val="10"/>
                <w:szCs w:val="10"/>
                <w:lang w:eastAsia="es-CO"/>
              </w:rPr>
              <w:t>Ocurre por cambios normativos o por la expedición de normas posteriores  al cierre del proceso de licitación pública,  que afecten las condiciones económicas y/o  técnicas inicialmente pactadas.</w:t>
            </w:r>
          </w:p>
        </w:tc>
        <w:tc>
          <w:tcPr>
            <w:tcW w:w="292" w:type="pct"/>
            <w:tcBorders>
              <w:top w:val="nil"/>
              <w:left w:val="nil"/>
              <w:bottom w:val="single" w:sz="4" w:space="0" w:color="auto"/>
              <w:right w:val="single" w:sz="4" w:space="0" w:color="auto"/>
            </w:tcBorders>
            <w:shd w:val="clear" w:color="auto" w:fill="auto"/>
            <w:vAlign w:val="center"/>
            <w:hideMark/>
          </w:tcPr>
          <w:p w14:paraId="7977CEB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Afectación del  desarrollo  del contrato previsto con la normatividad existente al cierre del proceso de selección </w:t>
            </w:r>
          </w:p>
        </w:tc>
        <w:tc>
          <w:tcPr>
            <w:tcW w:w="128" w:type="pct"/>
            <w:tcBorders>
              <w:top w:val="nil"/>
              <w:left w:val="nil"/>
              <w:bottom w:val="single" w:sz="4" w:space="0" w:color="auto"/>
              <w:right w:val="single" w:sz="4" w:space="0" w:color="auto"/>
            </w:tcBorders>
            <w:shd w:val="clear" w:color="auto" w:fill="auto"/>
            <w:noWrap/>
            <w:vAlign w:val="center"/>
            <w:hideMark/>
          </w:tcPr>
          <w:p w14:paraId="0442AE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0D2D798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249C3B1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18947FC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13F7EB7D"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vAlign w:val="center"/>
            <w:hideMark/>
          </w:tcPr>
          <w:p w14:paraId="2911D23C"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540" w:type="pct"/>
            <w:tcBorders>
              <w:top w:val="nil"/>
              <w:left w:val="nil"/>
              <w:bottom w:val="single" w:sz="4" w:space="0" w:color="auto"/>
              <w:right w:val="single" w:sz="4" w:space="0" w:color="auto"/>
            </w:tcBorders>
            <w:shd w:val="clear" w:color="auto" w:fill="auto"/>
            <w:vAlign w:val="center"/>
            <w:hideMark/>
          </w:tcPr>
          <w:p w14:paraId="2BBB07A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08" w:type="pct"/>
            <w:tcBorders>
              <w:top w:val="nil"/>
              <w:left w:val="nil"/>
              <w:bottom w:val="single" w:sz="4" w:space="0" w:color="auto"/>
              <w:right w:val="single" w:sz="4" w:space="0" w:color="auto"/>
            </w:tcBorders>
            <w:shd w:val="clear" w:color="auto" w:fill="auto"/>
            <w:vAlign w:val="center"/>
            <w:hideMark/>
          </w:tcPr>
          <w:p w14:paraId="4120C8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21C2C4C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480485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707F6CB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637B1C5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04FC4BA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5DEEB85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Fase precontractual,   y cuando se expida la nueva  nomatividad que pueda afectar el contrato</w:t>
            </w:r>
          </w:p>
        </w:tc>
        <w:tc>
          <w:tcPr>
            <w:tcW w:w="259" w:type="pct"/>
            <w:tcBorders>
              <w:top w:val="nil"/>
              <w:left w:val="nil"/>
              <w:bottom w:val="single" w:sz="4" w:space="0" w:color="auto"/>
              <w:right w:val="single" w:sz="4" w:space="0" w:color="auto"/>
            </w:tcBorders>
            <w:shd w:val="clear" w:color="auto" w:fill="auto"/>
            <w:vAlign w:val="center"/>
            <w:hideMark/>
          </w:tcPr>
          <w:p w14:paraId="2A2261F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0415B08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Informes, requerimientos escritos. </w:t>
            </w:r>
          </w:p>
        </w:tc>
        <w:tc>
          <w:tcPr>
            <w:tcW w:w="248" w:type="pct"/>
            <w:tcBorders>
              <w:top w:val="nil"/>
              <w:left w:val="nil"/>
              <w:bottom w:val="single" w:sz="4" w:space="0" w:color="auto"/>
              <w:right w:val="single" w:sz="8" w:space="0" w:color="auto"/>
            </w:tcBorders>
            <w:shd w:val="clear" w:color="auto" w:fill="auto"/>
            <w:vAlign w:val="center"/>
            <w:hideMark/>
          </w:tcPr>
          <w:p w14:paraId="4F2101E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0EEE0648"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D2DB62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17</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DB3274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2CF5BDF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A85359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13650C8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269DDBB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Gestion Ambiental:</w:t>
            </w:r>
            <w:r w:rsidRPr="00DC4BD8">
              <w:rPr>
                <w:rFonts w:ascii="Arial" w:eastAsia="Times New Roman" w:hAnsi="Arial" w:cs="Arial"/>
                <w:sz w:val="10"/>
                <w:szCs w:val="10"/>
                <w:lang w:eastAsia="es-CO"/>
              </w:rPr>
              <w:t xml:space="preserve"> Demora en la obtención de licencias y/o permisos ambientales  por demora y/o  inadecuada   presentación de soportes y estudios.</w:t>
            </w:r>
          </w:p>
        </w:tc>
        <w:tc>
          <w:tcPr>
            <w:tcW w:w="292" w:type="pct"/>
            <w:tcBorders>
              <w:top w:val="nil"/>
              <w:left w:val="nil"/>
              <w:bottom w:val="single" w:sz="4" w:space="0" w:color="auto"/>
              <w:right w:val="single" w:sz="4" w:space="0" w:color="auto"/>
            </w:tcBorders>
            <w:shd w:val="clear" w:color="auto" w:fill="auto"/>
            <w:vAlign w:val="center"/>
            <w:hideMark/>
          </w:tcPr>
          <w:p w14:paraId="1102414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Retraso en la Ejecucion de los trabajos</w:t>
            </w:r>
          </w:p>
        </w:tc>
        <w:tc>
          <w:tcPr>
            <w:tcW w:w="128" w:type="pct"/>
            <w:tcBorders>
              <w:top w:val="nil"/>
              <w:left w:val="nil"/>
              <w:bottom w:val="single" w:sz="4" w:space="0" w:color="auto"/>
              <w:right w:val="single" w:sz="4" w:space="0" w:color="auto"/>
            </w:tcBorders>
            <w:shd w:val="clear" w:color="auto" w:fill="auto"/>
            <w:noWrap/>
            <w:vAlign w:val="center"/>
            <w:hideMark/>
          </w:tcPr>
          <w:p w14:paraId="1E8E7C0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B383C4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4" w:space="0" w:color="auto"/>
              <w:right w:val="single" w:sz="4" w:space="0" w:color="auto"/>
            </w:tcBorders>
            <w:shd w:val="clear" w:color="auto" w:fill="auto"/>
            <w:noWrap/>
            <w:vAlign w:val="center"/>
            <w:hideMark/>
          </w:tcPr>
          <w:p w14:paraId="176E658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013A13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2C0B3AC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45DB4C0C"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90146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por parte del Interventor a la gestión  documentada del contratista para la obtención de licencias, permisos y autorizaciones ambientales. </w:t>
            </w:r>
          </w:p>
        </w:tc>
        <w:tc>
          <w:tcPr>
            <w:tcW w:w="108" w:type="pct"/>
            <w:tcBorders>
              <w:top w:val="nil"/>
              <w:left w:val="nil"/>
              <w:bottom w:val="single" w:sz="4" w:space="0" w:color="auto"/>
              <w:right w:val="single" w:sz="4" w:space="0" w:color="auto"/>
            </w:tcBorders>
            <w:shd w:val="clear" w:color="auto" w:fill="auto"/>
            <w:vAlign w:val="center"/>
            <w:hideMark/>
          </w:tcPr>
          <w:p w14:paraId="10FD989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BD3F0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3CC17D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65F8EE5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9DB909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1745B6D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6882FC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041E1B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Una vez obtenida la licencia y/o  permisos y/o autorizaciones ambientales</w:t>
            </w:r>
          </w:p>
        </w:tc>
        <w:tc>
          <w:tcPr>
            <w:tcW w:w="432" w:type="pct"/>
            <w:tcBorders>
              <w:top w:val="nil"/>
              <w:left w:val="nil"/>
              <w:bottom w:val="single" w:sz="4" w:space="0" w:color="auto"/>
              <w:right w:val="single" w:sz="4" w:space="0" w:color="auto"/>
            </w:tcBorders>
            <w:shd w:val="clear" w:color="auto" w:fill="auto"/>
            <w:vAlign w:val="center"/>
            <w:hideMark/>
          </w:tcPr>
          <w:p w14:paraId="1206B67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Verificación de la gestión realizada y sus resultados, por parte de Especialista Ambiental del Interventor.   Comites Técnicos, Seguimiento a informes ambientales por parte de la Supervisión ambiental,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2693CB6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53DED" w:rsidRPr="00DC4BD8" w14:paraId="3BF7DD82"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5C73BAE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18</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5ED69D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A574A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1DC0F2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23D3B3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621622E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Pasivos  Ambientales:</w:t>
            </w:r>
            <w:r w:rsidRPr="00DC4BD8">
              <w:rPr>
                <w:rFonts w:ascii="Arial" w:eastAsia="Times New Roman" w:hAnsi="Arial" w:cs="Arial"/>
                <w:sz w:val="10"/>
                <w:szCs w:val="10"/>
                <w:lang w:eastAsia="es-CO"/>
              </w:rPr>
              <w:t xml:space="preserve"> Pasivos ambientales generados en el proceso constructivo, desde el punto de vista ambiental.</w:t>
            </w:r>
          </w:p>
        </w:tc>
        <w:tc>
          <w:tcPr>
            <w:tcW w:w="292" w:type="pct"/>
            <w:tcBorders>
              <w:top w:val="nil"/>
              <w:left w:val="nil"/>
              <w:bottom w:val="single" w:sz="4" w:space="0" w:color="auto"/>
              <w:right w:val="single" w:sz="4" w:space="0" w:color="auto"/>
            </w:tcBorders>
            <w:shd w:val="clear" w:color="auto" w:fill="auto"/>
            <w:vAlign w:val="center"/>
            <w:hideMark/>
          </w:tcPr>
          <w:p w14:paraId="06458A9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Impacto Negativo por efectos en  la Ejecución  del Proyecto </w:t>
            </w:r>
          </w:p>
        </w:tc>
        <w:tc>
          <w:tcPr>
            <w:tcW w:w="128" w:type="pct"/>
            <w:tcBorders>
              <w:top w:val="nil"/>
              <w:left w:val="nil"/>
              <w:bottom w:val="single" w:sz="4" w:space="0" w:color="auto"/>
              <w:right w:val="single" w:sz="4" w:space="0" w:color="auto"/>
            </w:tcBorders>
            <w:shd w:val="clear" w:color="auto" w:fill="auto"/>
            <w:noWrap/>
            <w:vAlign w:val="center"/>
            <w:hideMark/>
          </w:tcPr>
          <w:p w14:paraId="34E20C0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5EF3841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F1E43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071A638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1A69547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55DB1175"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50398B5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De ser necesario llevar a cabo procesos sancionatorios para conminar su cumplimiento o sancionar el incumplimiento. </w:t>
            </w:r>
          </w:p>
        </w:tc>
        <w:tc>
          <w:tcPr>
            <w:tcW w:w="108" w:type="pct"/>
            <w:tcBorders>
              <w:top w:val="nil"/>
              <w:left w:val="nil"/>
              <w:bottom w:val="single" w:sz="4" w:space="0" w:color="auto"/>
              <w:right w:val="single" w:sz="4" w:space="0" w:color="auto"/>
            </w:tcBorders>
            <w:shd w:val="clear" w:color="auto" w:fill="auto"/>
            <w:vAlign w:val="center"/>
            <w:hideMark/>
          </w:tcPr>
          <w:p w14:paraId="4AA49B7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27EE24C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76052D9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4" w:space="0" w:color="auto"/>
              <w:right w:val="single" w:sz="4" w:space="0" w:color="auto"/>
            </w:tcBorders>
            <w:shd w:val="clear" w:color="auto" w:fill="auto"/>
            <w:vAlign w:val="center"/>
            <w:hideMark/>
          </w:tcPr>
          <w:p w14:paraId="3FB226F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08E6F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635B7F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INVIAS, Supervisor Municipio,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48331E7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6C2537E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6ADDEC2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Comites Técnicos, Seguimiento por parte del Especialista Ambiental de la Interventoría. Requerimientos escritos-Retroalimentación en los procedimientos adelantados por los responsables del tratamiento.</w:t>
            </w:r>
          </w:p>
        </w:tc>
        <w:tc>
          <w:tcPr>
            <w:tcW w:w="248" w:type="pct"/>
            <w:tcBorders>
              <w:top w:val="nil"/>
              <w:left w:val="nil"/>
              <w:bottom w:val="single" w:sz="4" w:space="0" w:color="auto"/>
              <w:right w:val="single" w:sz="8" w:space="0" w:color="auto"/>
            </w:tcBorders>
            <w:shd w:val="clear" w:color="auto" w:fill="auto"/>
            <w:vAlign w:val="center"/>
            <w:hideMark/>
          </w:tcPr>
          <w:p w14:paraId="5EBAB67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semanal</w:t>
            </w:r>
          </w:p>
        </w:tc>
      </w:tr>
      <w:tr w:rsidR="00653DED" w:rsidRPr="00DC4BD8" w14:paraId="06D0E75D"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2EF9A6F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19</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3A87D47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07EE6E3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6106E20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601B4E7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Ambiental</w:t>
            </w:r>
          </w:p>
        </w:tc>
        <w:tc>
          <w:tcPr>
            <w:tcW w:w="581" w:type="pct"/>
            <w:tcBorders>
              <w:top w:val="nil"/>
              <w:left w:val="nil"/>
              <w:bottom w:val="single" w:sz="4" w:space="0" w:color="auto"/>
              <w:right w:val="single" w:sz="4" w:space="0" w:color="auto"/>
            </w:tcBorders>
            <w:shd w:val="clear" w:color="auto" w:fill="auto"/>
            <w:vAlign w:val="center"/>
            <w:hideMark/>
          </w:tcPr>
          <w:p w14:paraId="129EE09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Ambiental:</w:t>
            </w:r>
            <w:r w:rsidRPr="00DC4BD8">
              <w:rPr>
                <w:rFonts w:ascii="Arial" w:eastAsia="Times New Roman" w:hAnsi="Arial" w:cs="Arial"/>
                <w:sz w:val="10"/>
                <w:szCs w:val="10"/>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explotacion minera, ocupacion de cauces e intervenciones forestales sin los debidos permisos de las autoridades ambientales.</w:t>
            </w:r>
          </w:p>
        </w:tc>
        <w:tc>
          <w:tcPr>
            <w:tcW w:w="292" w:type="pct"/>
            <w:tcBorders>
              <w:top w:val="nil"/>
              <w:left w:val="nil"/>
              <w:bottom w:val="single" w:sz="4" w:space="0" w:color="auto"/>
              <w:right w:val="single" w:sz="4" w:space="0" w:color="auto"/>
            </w:tcBorders>
            <w:shd w:val="clear" w:color="auto" w:fill="auto"/>
            <w:vAlign w:val="center"/>
            <w:hideMark/>
          </w:tcPr>
          <w:p w14:paraId="741B9A4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 incumplimiento ambiental que puede afectar la ejecución del proyecto y ocasiona sanciones de las entidades ambientales competentes.</w:t>
            </w:r>
          </w:p>
        </w:tc>
        <w:tc>
          <w:tcPr>
            <w:tcW w:w="128" w:type="pct"/>
            <w:tcBorders>
              <w:top w:val="nil"/>
              <w:left w:val="nil"/>
              <w:bottom w:val="single" w:sz="4" w:space="0" w:color="auto"/>
              <w:right w:val="single" w:sz="4" w:space="0" w:color="auto"/>
            </w:tcBorders>
            <w:shd w:val="clear" w:color="auto" w:fill="auto"/>
            <w:noWrap/>
            <w:vAlign w:val="center"/>
            <w:hideMark/>
          </w:tcPr>
          <w:p w14:paraId="61FAC5A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6C7D572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1F8487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3A4C0C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128B7B83"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0C0DF9BB"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F3223B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c>
          <w:tcPr>
            <w:tcW w:w="108" w:type="pct"/>
            <w:tcBorders>
              <w:top w:val="nil"/>
              <w:left w:val="nil"/>
              <w:bottom w:val="single" w:sz="4" w:space="0" w:color="auto"/>
              <w:right w:val="single" w:sz="4" w:space="0" w:color="auto"/>
            </w:tcBorders>
            <w:shd w:val="clear" w:color="auto" w:fill="auto"/>
            <w:vAlign w:val="center"/>
            <w:hideMark/>
          </w:tcPr>
          <w:p w14:paraId="1190365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64805BF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B545EA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5EC023A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0C24A89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75648A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Constratista-Interventoria</w:t>
            </w:r>
          </w:p>
        </w:tc>
        <w:tc>
          <w:tcPr>
            <w:tcW w:w="259" w:type="pct"/>
            <w:tcBorders>
              <w:top w:val="nil"/>
              <w:left w:val="nil"/>
              <w:bottom w:val="single" w:sz="4" w:space="0" w:color="auto"/>
              <w:right w:val="single" w:sz="4" w:space="0" w:color="auto"/>
            </w:tcBorders>
            <w:shd w:val="clear" w:color="auto" w:fill="auto"/>
            <w:vAlign w:val="center"/>
            <w:hideMark/>
          </w:tcPr>
          <w:p w14:paraId="2D1ECB0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115F2F7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liquidación del contrato</w:t>
            </w:r>
          </w:p>
        </w:tc>
        <w:tc>
          <w:tcPr>
            <w:tcW w:w="432" w:type="pct"/>
            <w:tcBorders>
              <w:top w:val="nil"/>
              <w:left w:val="nil"/>
              <w:bottom w:val="single" w:sz="4" w:space="0" w:color="auto"/>
              <w:right w:val="single" w:sz="4" w:space="0" w:color="auto"/>
            </w:tcBorders>
            <w:shd w:val="clear" w:color="auto" w:fill="auto"/>
            <w:vAlign w:val="center"/>
            <w:hideMark/>
          </w:tcPr>
          <w:p w14:paraId="0BABFDD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Verificación del Cumplimiento de las normas ambientales y de las obligaciones ambientales  del contratista.  Informes de Interventoría Ambiental. Requerimientos escritos. Retroalimentación en los procedimientos adelantados por los responsables del tratamiento. </w:t>
            </w:r>
          </w:p>
        </w:tc>
        <w:tc>
          <w:tcPr>
            <w:tcW w:w="248" w:type="pct"/>
            <w:tcBorders>
              <w:top w:val="nil"/>
              <w:left w:val="nil"/>
              <w:bottom w:val="single" w:sz="4" w:space="0" w:color="auto"/>
              <w:right w:val="single" w:sz="8" w:space="0" w:color="auto"/>
            </w:tcBorders>
            <w:shd w:val="clear" w:color="auto" w:fill="auto"/>
            <w:vAlign w:val="center"/>
            <w:hideMark/>
          </w:tcPr>
          <w:p w14:paraId="6035B0E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mensual</w:t>
            </w:r>
          </w:p>
        </w:tc>
      </w:tr>
      <w:tr w:rsidR="00653DED" w:rsidRPr="00DC4BD8" w14:paraId="5CC77203"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174892E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20</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5638A9F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6DE5BB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B70C77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20A1914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Social</w:t>
            </w:r>
          </w:p>
        </w:tc>
        <w:tc>
          <w:tcPr>
            <w:tcW w:w="581" w:type="pct"/>
            <w:tcBorders>
              <w:top w:val="nil"/>
              <w:left w:val="nil"/>
              <w:bottom w:val="single" w:sz="4" w:space="0" w:color="auto"/>
              <w:right w:val="single" w:sz="4" w:space="0" w:color="auto"/>
            </w:tcBorders>
            <w:shd w:val="clear" w:color="auto" w:fill="auto"/>
            <w:vAlign w:val="center"/>
            <w:hideMark/>
          </w:tcPr>
          <w:p w14:paraId="714F113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Social</w:t>
            </w:r>
            <w:r w:rsidRPr="00DC4BD8">
              <w:rPr>
                <w:rFonts w:ascii="Arial" w:eastAsia="Times New Roman" w:hAnsi="Arial" w:cs="Arial"/>
                <w:sz w:val="10"/>
                <w:szCs w:val="10"/>
                <w:lang w:eastAsia="es-CO"/>
              </w:rPr>
              <w:t>:  Riesgo asociado a los procesos de Gestión Social que realice el Contratista y que esté en cabeza de éste.</w:t>
            </w:r>
          </w:p>
        </w:tc>
        <w:tc>
          <w:tcPr>
            <w:tcW w:w="292" w:type="pct"/>
            <w:tcBorders>
              <w:top w:val="nil"/>
              <w:left w:val="nil"/>
              <w:bottom w:val="single" w:sz="4" w:space="0" w:color="auto"/>
              <w:right w:val="single" w:sz="4" w:space="0" w:color="auto"/>
            </w:tcBorders>
            <w:shd w:val="clear" w:color="auto" w:fill="auto"/>
            <w:vAlign w:val="center"/>
            <w:hideMark/>
          </w:tcPr>
          <w:p w14:paraId="0154E6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Inconformidad de la comunidad en proceso de Gestión Social por la socialización del proyecto y ejecución de  la obra, puede generar atrasos en la ejecución de la obra.   </w:t>
            </w:r>
          </w:p>
        </w:tc>
        <w:tc>
          <w:tcPr>
            <w:tcW w:w="128" w:type="pct"/>
            <w:tcBorders>
              <w:top w:val="nil"/>
              <w:left w:val="nil"/>
              <w:bottom w:val="single" w:sz="4" w:space="0" w:color="auto"/>
              <w:right w:val="single" w:sz="4" w:space="0" w:color="auto"/>
            </w:tcBorders>
            <w:shd w:val="clear" w:color="auto" w:fill="auto"/>
            <w:noWrap/>
            <w:vAlign w:val="center"/>
            <w:hideMark/>
          </w:tcPr>
          <w:p w14:paraId="3116673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43824BE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78A68E4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28AC581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76BC2339"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2AA03CB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047026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la Dirección de Participación y Asuntos Locales del Municipio de DAGUA, cuando sea requerido.</w:t>
            </w:r>
          </w:p>
        </w:tc>
        <w:tc>
          <w:tcPr>
            <w:tcW w:w="108" w:type="pct"/>
            <w:tcBorders>
              <w:top w:val="nil"/>
              <w:left w:val="nil"/>
              <w:bottom w:val="single" w:sz="4" w:space="0" w:color="auto"/>
              <w:right w:val="single" w:sz="4" w:space="0" w:color="auto"/>
            </w:tcBorders>
            <w:shd w:val="clear" w:color="auto" w:fill="auto"/>
            <w:vAlign w:val="center"/>
            <w:hideMark/>
          </w:tcPr>
          <w:p w14:paraId="1F33871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16D2C2F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22" w:type="pct"/>
            <w:tcBorders>
              <w:top w:val="nil"/>
              <w:left w:val="nil"/>
              <w:bottom w:val="single" w:sz="4" w:space="0" w:color="auto"/>
              <w:right w:val="single" w:sz="4" w:space="0" w:color="auto"/>
            </w:tcBorders>
            <w:shd w:val="clear" w:color="auto" w:fill="auto"/>
            <w:vAlign w:val="center"/>
            <w:hideMark/>
          </w:tcPr>
          <w:p w14:paraId="2E8D70D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032FBBE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5948832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NO</w:t>
            </w:r>
          </w:p>
        </w:tc>
        <w:tc>
          <w:tcPr>
            <w:tcW w:w="257" w:type="pct"/>
            <w:tcBorders>
              <w:top w:val="nil"/>
              <w:left w:val="nil"/>
              <w:bottom w:val="single" w:sz="4" w:space="0" w:color="auto"/>
              <w:right w:val="single" w:sz="4" w:space="0" w:color="auto"/>
            </w:tcBorders>
            <w:shd w:val="clear" w:color="auto" w:fill="auto"/>
            <w:vAlign w:val="center"/>
            <w:hideMark/>
          </w:tcPr>
          <w:p w14:paraId="4DDC612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 Supervisor, Interventor, Contratista</w:t>
            </w:r>
          </w:p>
        </w:tc>
        <w:tc>
          <w:tcPr>
            <w:tcW w:w="259" w:type="pct"/>
            <w:tcBorders>
              <w:top w:val="nil"/>
              <w:left w:val="nil"/>
              <w:bottom w:val="single" w:sz="4" w:space="0" w:color="auto"/>
              <w:right w:val="single" w:sz="4" w:space="0" w:color="auto"/>
            </w:tcBorders>
            <w:shd w:val="clear" w:color="auto" w:fill="auto"/>
            <w:vAlign w:val="center"/>
            <w:hideMark/>
          </w:tcPr>
          <w:p w14:paraId="1A8750C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5432028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liquidación del contrato</w:t>
            </w:r>
          </w:p>
        </w:tc>
        <w:tc>
          <w:tcPr>
            <w:tcW w:w="432" w:type="pct"/>
            <w:tcBorders>
              <w:top w:val="nil"/>
              <w:left w:val="nil"/>
              <w:bottom w:val="single" w:sz="4" w:space="0" w:color="auto"/>
              <w:right w:val="single" w:sz="4" w:space="0" w:color="auto"/>
            </w:tcBorders>
            <w:shd w:val="clear" w:color="auto" w:fill="auto"/>
            <w:vAlign w:val="center"/>
            <w:hideMark/>
          </w:tcPr>
          <w:p w14:paraId="1D98165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Visitas de seguimiento y control para garantizar el  Seguimiento a todos los protocolos y procesos de Gestión social de los proyectos  Socialización desde el comienzo del proyecto a las comunidades que se encuentran directamente afectadas.  Seguimiento al proceso en conjunto con el con la Dirección de Participación y Asuntos Locales del Municipio de DAGUA, cuando sea requerido.</w:t>
            </w:r>
          </w:p>
        </w:tc>
        <w:tc>
          <w:tcPr>
            <w:tcW w:w="248" w:type="pct"/>
            <w:tcBorders>
              <w:top w:val="nil"/>
              <w:left w:val="nil"/>
              <w:bottom w:val="single" w:sz="4" w:space="0" w:color="auto"/>
              <w:right w:val="single" w:sz="8" w:space="0" w:color="auto"/>
            </w:tcBorders>
            <w:shd w:val="clear" w:color="auto" w:fill="auto"/>
            <w:vAlign w:val="center"/>
            <w:hideMark/>
          </w:tcPr>
          <w:p w14:paraId="6E9ECA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semanal mientras se ejecute la Gestión social </w:t>
            </w:r>
          </w:p>
        </w:tc>
      </w:tr>
      <w:tr w:rsidR="00653DED" w:rsidRPr="00DC4BD8" w14:paraId="6AD85711"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6A6DB78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21</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E26991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79CC32D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9C83FD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024723F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de la naturaleza</w:t>
            </w:r>
          </w:p>
        </w:tc>
        <w:tc>
          <w:tcPr>
            <w:tcW w:w="581" w:type="pct"/>
            <w:tcBorders>
              <w:top w:val="nil"/>
              <w:left w:val="nil"/>
              <w:bottom w:val="single" w:sz="4" w:space="0" w:color="auto"/>
              <w:right w:val="single" w:sz="4" w:space="0" w:color="auto"/>
            </w:tcBorders>
            <w:shd w:val="clear" w:color="auto" w:fill="auto"/>
            <w:vAlign w:val="center"/>
            <w:hideMark/>
          </w:tcPr>
          <w:p w14:paraId="7E3B2E9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Fuerza mayor asegurable</w:t>
            </w:r>
            <w:r w:rsidRPr="00DC4BD8">
              <w:rPr>
                <w:rFonts w:ascii="Arial" w:eastAsia="Times New Roman" w:hAnsi="Arial"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w:t>
            </w:r>
          </w:p>
        </w:tc>
        <w:tc>
          <w:tcPr>
            <w:tcW w:w="292" w:type="pct"/>
            <w:tcBorders>
              <w:top w:val="nil"/>
              <w:left w:val="nil"/>
              <w:bottom w:val="single" w:sz="4" w:space="0" w:color="auto"/>
              <w:right w:val="single" w:sz="4" w:space="0" w:color="auto"/>
            </w:tcBorders>
            <w:shd w:val="clear" w:color="auto" w:fill="auto"/>
            <w:vAlign w:val="center"/>
            <w:hideMark/>
          </w:tcPr>
          <w:p w14:paraId="3F7746B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Demora en la ejecución del proyecto. Pérdida de bienes del Contratista</w:t>
            </w:r>
          </w:p>
        </w:tc>
        <w:tc>
          <w:tcPr>
            <w:tcW w:w="128" w:type="pct"/>
            <w:tcBorders>
              <w:top w:val="nil"/>
              <w:left w:val="nil"/>
              <w:bottom w:val="single" w:sz="4" w:space="0" w:color="auto"/>
              <w:right w:val="single" w:sz="4" w:space="0" w:color="auto"/>
            </w:tcBorders>
            <w:shd w:val="clear" w:color="auto" w:fill="auto"/>
            <w:noWrap/>
            <w:vAlign w:val="center"/>
            <w:hideMark/>
          </w:tcPr>
          <w:p w14:paraId="5DE11F5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207B46C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8" w:type="pct"/>
            <w:tcBorders>
              <w:top w:val="nil"/>
              <w:left w:val="nil"/>
              <w:bottom w:val="single" w:sz="4" w:space="0" w:color="auto"/>
              <w:right w:val="single" w:sz="4" w:space="0" w:color="auto"/>
            </w:tcBorders>
            <w:shd w:val="clear" w:color="auto" w:fill="auto"/>
            <w:noWrap/>
            <w:vAlign w:val="center"/>
            <w:hideMark/>
          </w:tcPr>
          <w:p w14:paraId="3457572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4" w:space="0" w:color="auto"/>
              <w:right w:val="single" w:sz="4" w:space="0" w:color="auto"/>
            </w:tcBorders>
            <w:shd w:val="clear" w:color="auto" w:fill="auto"/>
            <w:vAlign w:val="center"/>
            <w:hideMark/>
          </w:tcPr>
          <w:p w14:paraId="15B632C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4" w:space="0" w:color="auto"/>
              <w:right w:val="single" w:sz="4" w:space="0" w:color="auto"/>
            </w:tcBorders>
            <w:shd w:val="clear" w:color="auto" w:fill="auto"/>
            <w:vAlign w:val="center"/>
            <w:hideMark/>
          </w:tcPr>
          <w:p w14:paraId="09C5DE93"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noWrap/>
            <w:vAlign w:val="center"/>
            <w:hideMark/>
          </w:tcPr>
          <w:p w14:paraId="06F8535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7FA120D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08" w:type="pct"/>
            <w:tcBorders>
              <w:top w:val="nil"/>
              <w:left w:val="nil"/>
              <w:bottom w:val="single" w:sz="4" w:space="0" w:color="auto"/>
              <w:right w:val="single" w:sz="4" w:space="0" w:color="auto"/>
            </w:tcBorders>
            <w:shd w:val="clear" w:color="auto" w:fill="auto"/>
            <w:vAlign w:val="center"/>
            <w:hideMark/>
          </w:tcPr>
          <w:p w14:paraId="6374DC5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1535334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4" w:space="0" w:color="auto"/>
              <w:right w:val="single" w:sz="4" w:space="0" w:color="auto"/>
            </w:tcBorders>
            <w:shd w:val="clear" w:color="auto" w:fill="auto"/>
            <w:vAlign w:val="center"/>
            <w:hideMark/>
          </w:tcPr>
          <w:p w14:paraId="34FDA79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44" w:type="pct"/>
            <w:tcBorders>
              <w:top w:val="nil"/>
              <w:left w:val="nil"/>
              <w:bottom w:val="single" w:sz="4" w:space="0" w:color="auto"/>
              <w:right w:val="single" w:sz="4" w:space="0" w:color="auto"/>
            </w:tcBorders>
            <w:shd w:val="clear" w:color="auto" w:fill="auto"/>
            <w:vAlign w:val="center"/>
            <w:hideMark/>
          </w:tcPr>
          <w:p w14:paraId="0213933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4404724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79A04BC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1588278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236120D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Una vez instalado el contratista en el proyecto e implementado el plan de seguridad industrial con las debidas revisiones. </w:t>
            </w:r>
          </w:p>
        </w:tc>
        <w:tc>
          <w:tcPr>
            <w:tcW w:w="432" w:type="pct"/>
            <w:tcBorders>
              <w:top w:val="nil"/>
              <w:left w:val="nil"/>
              <w:bottom w:val="single" w:sz="4" w:space="0" w:color="auto"/>
              <w:right w:val="single" w:sz="4" w:space="0" w:color="auto"/>
            </w:tcBorders>
            <w:shd w:val="clear" w:color="auto" w:fill="auto"/>
            <w:vAlign w:val="center"/>
            <w:hideMark/>
          </w:tcPr>
          <w:p w14:paraId="6036885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Revisiones de expertos del contratista en los tratamientos y controles  a ser implementados</w:t>
            </w:r>
          </w:p>
        </w:tc>
        <w:tc>
          <w:tcPr>
            <w:tcW w:w="248" w:type="pct"/>
            <w:tcBorders>
              <w:top w:val="nil"/>
              <w:left w:val="nil"/>
              <w:bottom w:val="single" w:sz="4" w:space="0" w:color="auto"/>
              <w:right w:val="single" w:sz="8" w:space="0" w:color="auto"/>
            </w:tcBorders>
            <w:shd w:val="clear" w:color="auto" w:fill="auto"/>
            <w:vAlign w:val="center"/>
            <w:hideMark/>
          </w:tcPr>
          <w:p w14:paraId="271850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Determinadas por los expertos del contratista en esta materia</w:t>
            </w:r>
          </w:p>
        </w:tc>
      </w:tr>
      <w:tr w:rsidR="00653DED" w:rsidRPr="00DC4BD8" w14:paraId="1BE85401"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0891197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22</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4189DE0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118053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718DECA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textDirection w:val="btLr"/>
            <w:vAlign w:val="center"/>
            <w:hideMark/>
          </w:tcPr>
          <w:p w14:paraId="6CBD517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político-social, Riesgo de la naturaleza</w:t>
            </w:r>
          </w:p>
        </w:tc>
        <w:tc>
          <w:tcPr>
            <w:tcW w:w="581" w:type="pct"/>
            <w:tcBorders>
              <w:top w:val="nil"/>
              <w:left w:val="nil"/>
              <w:bottom w:val="single" w:sz="4" w:space="0" w:color="auto"/>
              <w:right w:val="single" w:sz="4" w:space="0" w:color="auto"/>
            </w:tcBorders>
            <w:shd w:val="clear" w:color="auto" w:fill="auto"/>
            <w:vAlign w:val="center"/>
            <w:hideMark/>
          </w:tcPr>
          <w:p w14:paraId="35EAE0B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b/>
                <w:bCs/>
                <w:sz w:val="10"/>
                <w:szCs w:val="10"/>
                <w:lang w:eastAsia="es-CO"/>
              </w:rPr>
              <w:t>Fuerza mayor no asegurable.</w:t>
            </w:r>
            <w:r w:rsidRPr="00DC4BD8">
              <w:rPr>
                <w:rFonts w:ascii="Arial" w:eastAsia="Times New Roman" w:hAnsi="Arial" w:cs="Arial"/>
                <w:sz w:val="10"/>
                <w:szCs w:val="10"/>
                <w:lang w:eastAsia="es-CO"/>
              </w:rPr>
              <w:t xml:space="preserve">  Incertidumbre de ocurrencia de eventos de fuerza mayor no asegurables, tales como guerras, hallazgos arqueológicos,  yacimientos mineros.  Se define la Fuerza Mayor o Caso Fortuito, en los términos de la legislación existente.</w:t>
            </w:r>
          </w:p>
        </w:tc>
        <w:tc>
          <w:tcPr>
            <w:tcW w:w="292" w:type="pct"/>
            <w:tcBorders>
              <w:top w:val="nil"/>
              <w:left w:val="nil"/>
              <w:bottom w:val="single" w:sz="4" w:space="0" w:color="auto"/>
              <w:right w:val="single" w:sz="4" w:space="0" w:color="auto"/>
            </w:tcBorders>
            <w:shd w:val="clear" w:color="auto" w:fill="auto"/>
            <w:vAlign w:val="center"/>
            <w:hideMark/>
          </w:tcPr>
          <w:p w14:paraId="0EBC16B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Interferencia  en la ejecución del proyecto, pérdidas de bienes de la nación ó del contratista,  cambios en las obras por necesidad de ajustar diseños</w:t>
            </w:r>
          </w:p>
        </w:tc>
        <w:tc>
          <w:tcPr>
            <w:tcW w:w="128" w:type="pct"/>
            <w:tcBorders>
              <w:top w:val="nil"/>
              <w:left w:val="nil"/>
              <w:bottom w:val="single" w:sz="4" w:space="0" w:color="auto"/>
              <w:right w:val="single" w:sz="4" w:space="0" w:color="auto"/>
            </w:tcBorders>
            <w:shd w:val="clear" w:color="auto" w:fill="auto"/>
            <w:noWrap/>
            <w:vAlign w:val="center"/>
            <w:hideMark/>
          </w:tcPr>
          <w:p w14:paraId="60C0277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4" w:space="0" w:color="auto"/>
              <w:right w:val="single" w:sz="4" w:space="0" w:color="auto"/>
            </w:tcBorders>
            <w:shd w:val="clear" w:color="auto" w:fill="auto"/>
            <w:noWrap/>
            <w:vAlign w:val="center"/>
            <w:hideMark/>
          </w:tcPr>
          <w:p w14:paraId="46B7214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7A837B5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0" w:type="pct"/>
            <w:tcBorders>
              <w:top w:val="nil"/>
              <w:left w:val="nil"/>
              <w:bottom w:val="single" w:sz="4" w:space="0" w:color="auto"/>
              <w:right w:val="single" w:sz="4" w:space="0" w:color="auto"/>
            </w:tcBorders>
            <w:shd w:val="clear" w:color="auto" w:fill="auto"/>
            <w:vAlign w:val="center"/>
            <w:hideMark/>
          </w:tcPr>
          <w:p w14:paraId="2120032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191" w:type="pct"/>
            <w:tcBorders>
              <w:top w:val="nil"/>
              <w:left w:val="nil"/>
              <w:bottom w:val="single" w:sz="4" w:space="0" w:color="auto"/>
              <w:right w:val="single" w:sz="4" w:space="0" w:color="auto"/>
            </w:tcBorders>
            <w:shd w:val="clear" w:color="auto" w:fill="auto"/>
            <w:vAlign w:val="center"/>
            <w:hideMark/>
          </w:tcPr>
          <w:p w14:paraId="64252EA7"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4" w:space="0" w:color="auto"/>
              <w:right w:val="single" w:sz="4" w:space="0" w:color="auto"/>
            </w:tcBorders>
            <w:shd w:val="clear" w:color="auto" w:fill="auto"/>
            <w:noWrap/>
            <w:vAlign w:val="center"/>
            <w:hideMark/>
          </w:tcPr>
          <w:p w14:paraId="017BADD0"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00C7C2A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modificaciones a que hubiere lugar en la ejecución del proyecto. En caso de guerra tratar y acordar con el Municipio de DAGUA y el INVIAS el tratamiento contractual al proyecto</w:t>
            </w:r>
          </w:p>
        </w:tc>
        <w:tc>
          <w:tcPr>
            <w:tcW w:w="108" w:type="pct"/>
            <w:tcBorders>
              <w:top w:val="nil"/>
              <w:left w:val="nil"/>
              <w:bottom w:val="single" w:sz="4" w:space="0" w:color="auto"/>
              <w:right w:val="single" w:sz="4" w:space="0" w:color="auto"/>
            </w:tcBorders>
            <w:shd w:val="clear" w:color="auto" w:fill="auto"/>
            <w:vAlign w:val="center"/>
            <w:hideMark/>
          </w:tcPr>
          <w:p w14:paraId="0A8456F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120836B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602745B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5DAB6D2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148756E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271E68D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w:t>
            </w:r>
          </w:p>
        </w:tc>
        <w:tc>
          <w:tcPr>
            <w:tcW w:w="259" w:type="pct"/>
            <w:tcBorders>
              <w:top w:val="nil"/>
              <w:left w:val="nil"/>
              <w:bottom w:val="single" w:sz="4" w:space="0" w:color="auto"/>
              <w:right w:val="single" w:sz="4" w:space="0" w:color="auto"/>
            </w:tcBorders>
            <w:shd w:val="clear" w:color="auto" w:fill="auto"/>
            <w:vAlign w:val="center"/>
            <w:hideMark/>
          </w:tcPr>
          <w:p w14:paraId="54A8B00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Etapa precontractual</w:t>
            </w:r>
          </w:p>
        </w:tc>
        <w:tc>
          <w:tcPr>
            <w:tcW w:w="259" w:type="pct"/>
            <w:tcBorders>
              <w:top w:val="nil"/>
              <w:left w:val="nil"/>
              <w:bottom w:val="single" w:sz="4" w:space="0" w:color="auto"/>
              <w:right w:val="single" w:sz="4" w:space="0" w:color="auto"/>
            </w:tcBorders>
            <w:shd w:val="clear" w:color="auto" w:fill="auto"/>
            <w:vAlign w:val="center"/>
            <w:hideMark/>
          </w:tcPr>
          <w:p w14:paraId="667712E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 la ejecución del contrato</w:t>
            </w:r>
          </w:p>
        </w:tc>
        <w:tc>
          <w:tcPr>
            <w:tcW w:w="432" w:type="pct"/>
            <w:tcBorders>
              <w:top w:val="nil"/>
              <w:left w:val="nil"/>
              <w:bottom w:val="single" w:sz="4" w:space="0" w:color="auto"/>
              <w:right w:val="single" w:sz="4" w:space="0" w:color="auto"/>
            </w:tcBorders>
            <w:shd w:val="clear" w:color="auto" w:fill="auto"/>
            <w:vAlign w:val="center"/>
            <w:hideMark/>
          </w:tcPr>
          <w:p w14:paraId="011C1D0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Revisión de la información obtenida, para tomar las medidas a que haya lugar </w:t>
            </w:r>
          </w:p>
        </w:tc>
        <w:tc>
          <w:tcPr>
            <w:tcW w:w="248" w:type="pct"/>
            <w:tcBorders>
              <w:top w:val="nil"/>
              <w:left w:val="nil"/>
              <w:bottom w:val="single" w:sz="4" w:space="0" w:color="auto"/>
              <w:right w:val="single" w:sz="8" w:space="0" w:color="auto"/>
            </w:tcBorders>
            <w:shd w:val="clear" w:color="auto" w:fill="auto"/>
            <w:vAlign w:val="center"/>
            <w:hideMark/>
          </w:tcPr>
          <w:p w14:paraId="2E916BF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En la etapa precontractual y en la contractual cuando se presente el evento.</w:t>
            </w:r>
          </w:p>
        </w:tc>
      </w:tr>
      <w:tr w:rsidR="00653DED" w:rsidRPr="00DC4BD8" w14:paraId="0F0B8A97"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3AEB64D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23</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738896A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5A09A26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xml:space="preserve">Externo </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3EA8E3F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03EA00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la Salud</w:t>
            </w:r>
          </w:p>
        </w:tc>
        <w:tc>
          <w:tcPr>
            <w:tcW w:w="581" w:type="pct"/>
            <w:tcBorders>
              <w:top w:val="nil"/>
              <w:left w:val="nil"/>
              <w:bottom w:val="single" w:sz="4" w:space="0" w:color="auto"/>
              <w:right w:val="single" w:sz="4" w:space="0" w:color="auto"/>
            </w:tcBorders>
            <w:shd w:val="clear" w:color="auto" w:fill="auto"/>
            <w:vAlign w:val="center"/>
            <w:hideMark/>
          </w:tcPr>
          <w:p w14:paraId="2D8DD47B"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Presencia de Riesgos Biológicos. </w:t>
            </w:r>
            <w:r w:rsidRPr="00DC4BD8">
              <w:rPr>
                <w:rFonts w:ascii="Arial" w:eastAsia="Times New Roman" w:hAnsi="Arial" w:cs="Arial"/>
                <w:sz w:val="10"/>
                <w:szCs w:val="10"/>
                <w:lang w:eastAsia="es-CO"/>
              </w:rPr>
              <w:t xml:space="preserve">Se refiere a la posibilidad que durante la ejecución del contrato, los colaboradores del Contratista, presenten sintomas de enfermedades altamente contagiosas incluyendo el COVID -19 y que afecten y deterioren la Salud del Personal. </w:t>
            </w:r>
          </w:p>
        </w:tc>
        <w:tc>
          <w:tcPr>
            <w:tcW w:w="292" w:type="pct"/>
            <w:tcBorders>
              <w:top w:val="nil"/>
              <w:left w:val="nil"/>
              <w:bottom w:val="single" w:sz="4" w:space="0" w:color="auto"/>
              <w:right w:val="single" w:sz="4" w:space="0" w:color="auto"/>
            </w:tcBorders>
            <w:shd w:val="clear" w:color="auto" w:fill="auto"/>
            <w:vAlign w:val="center"/>
            <w:hideMark/>
          </w:tcPr>
          <w:p w14:paraId="351D457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Deterioro notorio y grave de la salud y posible contagio</w:t>
            </w:r>
          </w:p>
        </w:tc>
        <w:tc>
          <w:tcPr>
            <w:tcW w:w="128" w:type="pct"/>
            <w:tcBorders>
              <w:top w:val="nil"/>
              <w:left w:val="nil"/>
              <w:bottom w:val="single" w:sz="4" w:space="0" w:color="auto"/>
              <w:right w:val="single" w:sz="4" w:space="0" w:color="auto"/>
            </w:tcBorders>
            <w:shd w:val="clear" w:color="auto" w:fill="auto"/>
            <w:noWrap/>
            <w:vAlign w:val="center"/>
            <w:hideMark/>
          </w:tcPr>
          <w:p w14:paraId="3EFF4E8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2" w:type="pct"/>
            <w:tcBorders>
              <w:top w:val="nil"/>
              <w:left w:val="nil"/>
              <w:bottom w:val="single" w:sz="4" w:space="0" w:color="auto"/>
              <w:right w:val="single" w:sz="4" w:space="0" w:color="auto"/>
            </w:tcBorders>
            <w:shd w:val="clear" w:color="auto" w:fill="auto"/>
            <w:noWrap/>
            <w:vAlign w:val="center"/>
            <w:hideMark/>
          </w:tcPr>
          <w:p w14:paraId="6373AE5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67F4F72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8</w:t>
            </w:r>
          </w:p>
        </w:tc>
        <w:tc>
          <w:tcPr>
            <w:tcW w:w="140" w:type="pct"/>
            <w:tcBorders>
              <w:top w:val="nil"/>
              <w:left w:val="nil"/>
              <w:bottom w:val="single" w:sz="4" w:space="0" w:color="auto"/>
              <w:right w:val="single" w:sz="4" w:space="0" w:color="auto"/>
            </w:tcBorders>
            <w:shd w:val="clear" w:color="auto" w:fill="auto"/>
            <w:vAlign w:val="center"/>
            <w:hideMark/>
          </w:tcPr>
          <w:p w14:paraId="3BBA9D6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Extremo</w:t>
            </w:r>
          </w:p>
        </w:tc>
        <w:tc>
          <w:tcPr>
            <w:tcW w:w="191" w:type="pct"/>
            <w:tcBorders>
              <w:top w:val="nil"/>
              <w:left w:val="nil"/>
              <w:bottom w:val="single" w:sz="4" w:space="0" w:color="auto"/>
              <w:right w:val="single" w:sz="4" w:space="0" w:color="auto"/>
            </w:tcBorders>
            <w:shd w:val="clear" w:color="auto" w:fill="auto"/>
            <w:vAlign w:val="center"/>
            <w:hideMark/>
          </w:tcPr>
          <w:p w14:paraId="0135A3DC"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01DBD2D1"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69334FA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La aplicación preventiva de las medidas de Bioseguridad establecidas por las Autoridades de Salud en Colombia y sus respectivos Protocolos, cumplimiento de la Resolución 0312 de 2019, .Informar de inmediato las novedades de salud.  Tener en cuenta, además, Decreto 417 del 17 de marzo del 2020,  Decreto No. 457 del 22 de marzo de 2020, Decreto 039 de 2021 de 14 de enero de 2021, Decreto 206 de 26 de febrero de 2021,  Resolución 223 de 2021 y demás normas que establezcan lineamientos de prevención de contagio por COVID-19</w:t>
            </w:r>
          </w:p>
        </w:tc>
        <w:tc>
          <w:tcPr>
            <w:tcW w:w="108" w:type="pct"/>
            <w:tcBorders>
              <w:top w:val="nil"/>
              <w:left w:val="nil"/>
              <w:bottom w:val="single" w:sz="4" w:space="0" w:color="auto"/>
              <w:right w:val="single" w:sz="4" w:space="0" w:color="auto"/>
            </w:tcBorders>
            <w:shd w:val="clear" w:color="auto" w:fill="auto"/>
            <w:vAlign w:val="center"/>
            <w:hideMark/>
          </w:tcPr>
          <w:p w14:paraId="70829F3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5" w:type="pct"/>
            <w:tcBorders>
              <w:top w:val="nil"/>
              <w:left w:val="nil"/>
              <w:bottom w:val="single" w:sz="4" w:space="0" w:color="auto"/>
              <w:right w:val="single" w:sz="4" w:space="0" w:color="auto"/>
            </w:tcBorders>
            <w:shd w:val="clear" w:color="auto" w:fill="auto"/>
            <w:vAlign w:val="center"/>
            <w:hideMark/>
          </w:tcPr>
          <w:p w14:paraId="5E22529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65C7A72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5</w:t>
            </w:r>
          </w:p>
        </w:tc>
        <w:tc>
          <w:tcPr>
            <w:tcW w:w="144" w:type="pct"/>
            <w:tcBorders>
              <w:top w:val="nil"/>
              <w:left w:val="nil"/>
              <w:bottom w:val="single" w:sz="4" w:space="0" w:color="auto"/>
              <w:right w:val="single" w:sz="4" w:space="0" w:color="auto"/>
            </w:tcBorders>
            <w:shd w:val="clear" w:color="auto" w:fill="auto"/>
            <w:vAlign w:val="center"/>
            <w:hideMark/>
          </w:tcPr>
          <w:p w14:paraId="3764486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Medio</w:t>
            </w:r>
          </w:p>
        </w:tc>
        <w:tc>
          <w:tcPr>
            <w:tcW w:w="225" w:type="pct"/>
            <w:tcBorders>
              <w:top w:val="nil"/>
              <w:left w:val="nil"/>
              <w:bottom w:val="single" w:sz="4" w:space="0" w:color="auto"/>
              <w:right w:val="single" w:sz="4" w:space="0" w:color="auto"/>
            </w:tcBorders>
            <w:shd w:val="clear" w:color="auto" w:fill="auto"/>
            <w:vAlign w:val="center"/>
            <w:hideMark/>
          </w:tcPr>
          <w:p w14:paraId="1D3A6AF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65264D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 de Obra, e interventor</w:t>
            </w:r>
          </w:p>
        </w:tc>
        <w:tc>
          <w:tcPr>
            <w:tcW w:w="259" w:type="pct"/>
            <w:tcBorders>
              <w:top w:val="nil"/>
              <w:left w:val="nil"/>
              <w:bottom w:val="single" w:sz="4" w:space="0" w:color="auto"/>
              <w:right w:val="single" w:sz="4" w:space="0" w:color="auto"/>
            </w:tcBorders>
            <w:shd w:val="clear" w:color="auto" w:fill="auto"/>
            <w:vAlign w:val="center"/>
            <w:hideMark/>
          </w:tcPr>
          <w:p w14:paraId="097874E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w:t>
            </w:r>
          </w:p>
        </w:tc>
        <w:tc>
          <w:tcPr>
            <w:tcW w:w="259" w:type="pct"/>
            <w:tcBorders>
              <w:top w:val="nil"/>
              <w:left w:val="nil"/>
              <w:bottom w:val="single" w:sz="4" w:space="0" w:color="auto"/>
              <w:right w:val="single" w:sz="4" w:space="0" w:color="auto"/>
            </w:tcBorders>
            <w:shd w:val="clear" w:color="auto" w:fill="auto"/>
            <w:vAlign w:val="center"/>
            <w:hideMark/>
          </w:tcPr>
          <w:p w14:paraId="6D28B0D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4" w:space="0" w:color="auto"/>
              <w:right w:val="single" w:sz="4" w:space="0" w:color="auto"/>
            </w:tcBorders>
            <w:shd w:val="clear" w:color="auto" w:fill="auto"/>
            <w:vAlign w:val="center"/>
            <w:hideMark/>
          </w:tcPr>
          <w:p w14:paraId="4D15A89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Previo al inicio de la ejecución de las obras, el contratista deberá presentar certificación individual vigente del estado de salud de cada integrante colaborador (empleado o contratista) expedida por la ARL y protocolo de Bioseguridad que se aplicará en el trasncurso de la obra.</w:t>
            </w:r>
          </w:p>
        </w:tc>
        <w:tc>
          <w:tcPr>
            <w:tcW w:w="248" w:type="pct"/>
            <w:tcBorders>
              <w:top w:val="nil"/>
              <w:left w:val="nil"/>
              <w:bottom w:val="single" w:sz="4" w:space="0" w:color="auto"/>
              <w:right w:val="single" w:sz="8" w:space="0" w:color="auto"/>
            </w:tcBorders>
            <w:shd w:val="clear" w:color="auto" w:fill="auto"/>
            <w:vAlign w:val="center"/>
            <w:hideMark/>
          </w:tcPr>
          <w:p w14:paraId="52F1530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Cada vez que haya novedades de cambio de personal</w:t>
            </w:r>
          </w:p>
        </w:tc>
      </w:tr>
      <w:tr w:rsidR="00653DED" w:rsidRPr="00DC4BD8" w14:paraId="4E1C2B90" w14:textId="77777777" w:rsidTr="00493727">
        <w:trPr>
          <w:cantSplit/>
          <w:trHeight w:val="20"/>
        </w:trPr>
        <w:tc>
          <w:tcPr>
            <w:tcW w:w="90" w:type="pct"/>
            <w:tcBorders>
              <w:top w:val="nil"/>
              <w:left w:val="single" w:sz="8" w:space="0" w:color="auto"/>
              <w:bottom w:val="single" w:sz="4" w:space="0" w:color="auto"/>
              <w:right w:val="single" w:sz="4" w:space="0" w:color="auto"/>
            </w:tcBorders>
            <w:shd w:val="clear" w:color="auto" w:fill="auto"/>
            <w:noWrap/>
            <w:vAlign w:val="center"/>
            <w:hideMark/>
          </w:tcPr>
          <w:p w14:paraId="48D0822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lastRenderedPageBreak/>
              <w:t>24</w:t>
            </w:r>
          </w:p>
        </w:tc>
        <w:tc>
          <w:tcPr>
            <w:tcW w:w="88" w:type="pct"/>
            <w:tcBorders>
              <w:top w:val="nil"/>
              <w:left w:val="nil"/>
              <w:bottom w:val="single" w:sz="4" w:space="0" w:color="auto"/>
              <w:right w:val="single" w:sz="4" w:space="0" w:color="auto"/>
            </w:tcBorders>
            <w:shd w:val="clear" w:color="auto" w:fill="auto"/>
            <w:noWrap/>
            <w:textDirection w:val="btLr"/>
            <w:vAlign w:val="center"/>
            <w:hideMark/>
          </w:tcPr>
          <w:p w14:paraId="021E981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4" w:space="0" w:color="auto"/>
              <w:right w:val="single" w:sz="4" w:space="0" w:color="auto"/>
            </w:tcBorders>
            <w:shd w:val="clear" w:color="auto" w:fill="auto"/>
            <w:noWrap/>
            <w:textDirection w:val="btLr"/>
            <w:vAlign w:val="center"/>
            <w:hideMark/>
          </w:tcPr>
          <w:p w14:paraId="6ABE915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4" w:space="0" w:color="auto"/>
              <w:right w:val="single" w:sz="4" w:space="0" w:color="auto"/>
            </w:tcBorders>
            <w:shd w:val="clear" w:color="auto" w:fill="auto"/>
            <w:noWrap/>
            <w:textDirection w:val="btLr"/>
            <w:vAlign w:val="center"/>
            <w:hideMark/>
          </w:tcPr>
          <w:p w14:paraId="2BDA734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Ejecución</w:t>
            </w:r>
          </w:p>
        </w:tc>
        <w:tc>
          <w:tcPr>
            <w:tcW w:w="120" w:type="pct"/>
            <w:tcBorders>
              <w:top w:val="nil"/>
              <w:left w:val="nil"/>
              <w:bottom w:val="single" w:sz="4" w:space="0" w:color="auto"/>
              <w:right w:val="single" w:sz="4" w:space="0" w:color="auto"/>
            </w:tcBorders>
            <w:shd w:val="clear" w:color="auto" w:fill="auto"/>
            <w:noWrap/>
            <w:textDirection w:val="btLr"/>
            <w:vAlign w:val="center"/>
            <w:hideMark/>
          </w:tcPr>
          <w:p w14:paraId="7686206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la Salud</w:t>
            </w:r>
          </w:p>
        </w:tc>
        <w:tc>
          <w:tcPr>
            <w:tcW w:w="581" w:type="pct"/>
            <w:tcBorders>
              <w:top w:val="nil"/>
              <w:left w:val="nil"/>
              <w:bottom w:val="single" w:sz="4" w:space="0" w:color="auto"/>
              <w:right w:val="single" w:sz="4" w:space="0" w:color="auto"/>
            </w:tcBorders>
            <w:shd w:val="clear" w:color="auto" w:fill="auto"/>
            <w:vAlign w:val="center"/>
            <w:hideMark/>
          </w:tcPr>
          <w:p w14:paraId="1295B137"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Disponibilidad de los Elementos de Protección Personal. </w:t>
            </w:r>
            <w:r w:rsidRPr="00DC4BD8">
              <w:rPr>
                <w:rFonts w:ascii="Arial" w:eastAsia="Times New Roman" w:hAnsi="Arial" w:cs="Arial"/>
                <w:sz w:val="10"/>
                <w:szCs w:val="10"/>
                <w:lang w:eastAsia="es-CO"/>
              </w:rPr>
              <w:t>Se refiere a la posibilidad de que el Contratista no disponga o suministre a sus colaboradores y demas, los Elementos de Protección Personal EPP y los de Riesgo Biológico.</w:t>
            </w:r>
          </w:p>
        </w:tc>
        <w:tc>
          <w:tcPr>
            <w:tcW w:w="292" w:type="pct"/>
            <w:tcBorders>
              <w:top w:val="nil"/>
              <w:left w:val="nil"/>
              <w:bottom w:val="single" w:sz="4" w:space="0" w:color="auto"/>
              <w:right w:val="single" w:sz="4" w:space="0" w:color="auto"/>
            </w:tcBorders>
            <w:shd w:val="clear" w:color="auto" w:fill="auto"/>
            <w:vAlign w:val="center"/>
            <w:hideMark/>
          </w:tcPr>
          <w:p w14:paraId="13BC3B7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Accidentes de trabajo y posible exposición a Riegos Biológicos</w:t>
            </w:r>
          </w:p>
        </w:tc>
        <w:tc>
          <w:tcPr>
            <w:tcW w:w="128" w:type="pct"/>
            <w:tcBorders>
              <w:top w:val="nil"/>
              <w:left w:val="nil"/>
              <w:bottom w:val="single" w:sz="4" w:space="0" w:color="auto"/>
              <w:right w:val="single" w:sz="4" w:space="0" w:color="auto"/>
            </w:tcBorders>
            <w:shd w:val="clear" w:color="auto" w:fill="auto"/>
            <w:noWrap/>
            <w:vAlign w:val="center"/>
            <w:hideMark/>
          </w:tcPr>
          <w:p w14:paraId="3741E55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02" w:type="pct"/>
            <w:tcBorders>
              <w:top w:val="nil"/>
              <w:left w:val="nil"/>
              <w:bottom w:val="single" w:sz="4" w:space="0" w:color="auto"/>
              <w:right w:val="single" w:sz="4" w:space="0" w:color="auto"/>
            </w:tcBorders>
            <w:shd w:val="clear" w:color="auto" w:fill="auto"/>
            <w:noWrap/>
            <w:vAlign w:val="center"/>
            <w:hideMark/>
          </w:tcPr>
          <w:p w14:paraId="76086C1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08" w:type="pct"/>
            <w:tcBorders>
              <w:top w:val="nil"/>
              <w:left w:val="nil"/>
              <w:bottom w:val="single" w:sz="4" w:space="0" w:color="auto"/>
              <w:right w:val="single" w:sz="4" w:space="0" w:color="auto"/>
            </w:tcBorders>
            <w:shd w:val="clear" w:color="auto" w:fill="auto"/>
            <w:noWrap/>
            <w:vAlign w:val="center"/>
            <w:hideMark/>
          </w:tcPr>
          <w:p w14:paraId="3C2853C6"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6</w:t>
            </w:r>
          </w:p>
        </w:tc>
        <w:tc>
          <w:tcPr>
            <w:tcW w:w="140" w:type="pct"/>
            <w:tcBorders>
              <w:top w:val="nil"/>
              <w:left w:val="nil"/>
              <w:bottom w:val="single" w:sz="4" w:space="0" w:color="auto"/>
              <w:right w:val="single" w:sz="4" w:space="0" w:color="auto"/>
            </w:tcBorders>
            <w:shd w:val="clear" w:color="auto" w:fill="auto"/>
            <w:vAlign w:val="center"/>
            <w:hideMark/>
          </w:tcPr>
          <w:p w14:paraId="7222B87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Alto</w:t>
            </w:r>
          </w:p>
        </w:tc>
        <w:tc>
          <w:tcPr>
            <w:tcW w:w="191" w:type="pct"/>
            <w:tcBorders>
              <w:top w:val="nil"/>
              <w:left w:val="nil"/>
              <w:bottom w:val="single" w:sz="4" w:space="0" w:color="auto"/>
              <w:right w:val="single" w:sz="4" w:space="0" w:color="auto"/>
            </w:tcBorders>
            <w:shd w:val="clear" w:color="auto" w:fill="auto"/>
            <w:vAlign w:val="center"/>
            <w:hideMark/>
          </w:tcPr>
          <w:p w14:paraId="390B3F1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 </w:t>
            </w:r>
          </w:p>
        </w:tc>
        <w:tc>
          <w:tcPr>
            <w:tcW w:w="244" w:type="pct"/>
            <w:tcBorders>
              <w:top w:val="nil"/>
              <w:left w:val="nil"/>
              <w:bottom w:val="single" w:sz="4" w:space="0" w:color="auto"/>
              <w:right w:val="single" w:sz="4" w:space="0" w:color="auto"/>
            </w:tcBorders>
            <w:shd w:val="clear" w:color="auto" w:fill="auto"/>
            <w:vAlign w:val="center"/>
            <w:hideMark/>
          </w:tcPr>
          <w:p w14:paraId="7F7F2BA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4" w:space="0" w:color="auto"/>
              <w:right w:val="single" w:sz="4" w:space="0" w:color="auto"/>
            </w:tcBorders>
            <w:shd w:val="clear" w:color="auto" w:fill="auto"/>
            <w:vAlign w:val="center"/>
            <w:hideMark/>
          </w:tcPr>
          <w:p w14:paraId="4CBA22D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El contratista deberá suministrar todos los EPP a sus colaboradores en las obras, o solicitar a la ARL que los suministre.</w:t>
            </w:r>
          </w:p>
        </w:tc>
        <w:tc>
          <w:tcPr>
            <w:tcW w:w="108" w:type="pct"/>
            <w:tcBorders>
              <w:top w:val="nil"/>
              <w:left w:val="nil"/>
              <w:bottom w:val="single" w:sz="4" w:space="0" w:color="auto"/>
              <w:right w:val="single" w:sz="4" w:space="0" w:color="auto"/>
            </w:tcBorders>
            <w:shd w:val="clear" w:color="auto" w:fill="auto"/>
            <w:vAlign w:val="center"/>
            <w:hideMark/>
          </w:tcPr>
          <w:p w14:paraId="1BD6B00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4" w:space="0" w:color="auto"/>
              <w:right w:val="single" w:sz="4" w:space="0" w:color="auto"/>
            </w:tcBorders>
            <w:shd w:val="clear" w:color="auto" w:fill="auto"/>
            <w:vAlign w:val="center"/>
            <w:hideMark/>
          </w:tcPr>
          <w:p w14:paraId="162BB8F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22" w:type="pct"/>
            <w:tcBorders>
              <w:top w:val="nil"/>
              <w:left w:val="nil"/>
              <w:bottom w:val="single" w:sz="4" w:space="0" w:color="auto"/>
              <w:right w:val="single" w:sz="4" w:space="0" w:color="auto"/>
            </w:tcBorders>
            <w:shd w:val="clear" w:color="auto" w:fill="auto"/>
            <w:vAlign w:val="center"/>
            <w:hideMark/>
          </w:tcPr>
          <w:p w14:paraId="2662921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4" w:type="pct"/>
            <w:tcBorders>
              <w:top w:val="nil"/>
              <w:left w:val="nil"/>
              <w:bottom w:val="single" w:sz="4" w:space="0" w:color="auto"/>
              <w:right w:val="single" w:sz="4" w:space="0" w:color="auto"/>
            </w:tcBorders>
            <w:shd w:val="clear" w:color="auto" w:fill="auto"/>
            <w:vAlign w:val="center"/>
            <w:hideMark/>
          </w:tcPr>
          <w:p w14:paraId="2E8BAAC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4" w:space="0" w:color="auto"/>
              <w:right w:val="single" w:sz="4" w:space="0" w:color="auto"/>
            </w:tcBorders>
            <w:shd w:val="clear" w:color="auto" w:fill="auto"/>
            <w:vAlign w:val="center"/>
            <w:hideMark/>
          </w:tcPr>
          <w:p w14:paraId="3F23DBD4"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4" w:space="0" w:color="auto"/>
              <w:right w:val="single" w:sz="4" w:space="0" w:color="auto"/>
            </w:tcBorders>
            <w:shd w:val="clear" w:color="auto" w:fill="auto"/>
            <w:vAlign w:val="center"/>
            <w:hideMark/>
          </w:tcPr>
          <w:p w14:paraId="5DB522B0"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 de Obra, e interventor</w:t>
            </w:r>
          </w:p>
        </w:tc>
        <w:tc>
          <w:tcPr>
            <w:tcW w:w="259" w:type="pct"/>
            <w:tcBorders>
              <w:top w:val="nil"/>
              <w:left w:val="nil"/>
              <w:bottom w:val="single" w:sz="4" w:space="0" w:color="auto"/>
              <w:right w:val="single" w:sz="4" w:space="0" w:color="auto"/>
            </w:tcBorders>
            <w:shd w:val="clear" w:color="auto" w:fill="auto"/>
            <w:vAlign w:val="center"/>
            <w:hideMark/>
          </w:tcPr>
          <w:p w14:paraId="0900AF8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 y de manera permanente.</w:t>
            </w:r>
          </w:p>
        </w:tc>
        <w:tc>
          <w:tcPr>
            <w:tcW w:w="259" w:type="pct"/>
            <w:tcBorders>
              <w:top w:val="nil"/>
              <w:left w:val="nil"/>
              <w:bottom w:val="single" w:sz="4" w:space="0" w:color="auto"/>
              <w:right w:val="single" w:sz="4" w:space="0" w:color="auto"/>
            </w:tcBorders>
            <w:shd w:val="clear" w:color="auto" w:fill="auto"/>
            <w:vAlign w:val="center"/>
            <w:hideMark/>
          </w:tcPr>
          <w:p w14:paraId="7A599B1C"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4" w:space="0" w:color="auto"/>
              <w:right w:val="single" w:sz="4" w:space="0" w:color="auto"/>
            </w:tcBorders>
            <w:shd w:val="clear" w:color="auto" w:fill="auto"/>
            <w:vAlign w:val="center"/>
            <w:hideMark/>
          </w:tcPr>
          <w:p w14:paraId="5AA08AA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Vigilancia permanente de los cambios de salud de los colaboradores</w:t>
            </w:r>
          </w:p>
        </w:tc>
        <w:tc>
          <w:tcPr>
            <w:tcW w:w="248" w:type="pct"/>
            <w:tcBorders>
              <w:top w:val="nil"/>
              <w:left w:val="nil"/>
              <w:bottom w:val="single" w:sz="4" w:space="0" w:color="auto"/>
              <w:right w:val="single" w:sz="8" w:space="0" w:color="auto"/>
            </w:tcBorders>
            <w:shd w:val="clear" w:color="auto" w:fill="auto"/>
            <w:vAlign w:val="center"/>
            <w:hideMark/>
          </w:tcPr>
          <w:p w14:paraId="5BF48195"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Diario</w:t>
            </w:r>
          </w:p>
        </w:tc>
      </w:tr>
      <w:tr w:rsidR="00653DED" w:rsidRPr="00DC4BD8" w14:paraId="39B0A388" w14:textId="77777777" w:rsidTr="00493727">
        <w:trPr>
          <w:cantSplit/>
          <w:trHeight w:val="20"/>
        </w:trPr>
        <w:tc>
          <w:tcPr>
            <w:tcW w:w="90" w:type="pct"/>
            <w:tcBorders>
              <w:top w:val="nil"/>
              <w:left w:val="single" w:sz="8" w:space="0" w:color="auto"/>
              <w:bottom w:val="single" w:sz="8" w:space="0" w:color="auto"/>
              <w:right w:val="single" w:sz="4" w:space="0" w:color="auto"/>
            </w:tcBorders>
            <w:shd w:val="clear" w:color="auto" w:fill="auto"/>
            <w:noWrap/>
            <w:vAlign w:val="center"/>
            <w:hideMark/>
          </w:tcPr>
          <w:p w14:paraId="29C0058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25</w:t>
            </w:r>
          </w:p>
        </w:tc>
        <w:tc>
          <w:tcPr>
            <w:tcW w:w="88" w:type="pct"/>
            <w:tcBorders>
              <w:top w:val="nil"/>
              <w:left w:val="nil"/>
              <w:bottom w:val="single" w:sz="8" w:space="0" w:color="auto"/>
              <w:right w:val="single" w:sz="4" w:space="0" w:color="auto"/>
            </w:tcBorders>
            <w:shd w:val="clear" w:color="auto" w:fill="auto"/>
            <w:noWrap/>
            <w:textDirection w:val="btLr"/>
            <w:vAlign w:val="center"/>
            <w:hideMark/>
          </w:tcPr>
          <w:p w14:paraId="46A03008"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General</w:t>
            </w:r>
          </w:p>
        </w:tc>
        <w:tc>
          <w:tcPr>
            <w:tcW w:w="105" w:type="pct"/>
            <w:tcBorders>
              <w:top w:val="nil"/>
              <w:left w:val="nil"/>
              <w:bottom w:val="single" w:sz="8" w:space="0" w:color="auto"/>
              <w:right w:val="single" w:sz="4" w:space="0" w:color="auto"/>
            </w:tcBorders>
            <w:shd w:val="clear" w:color="auto" w:fill="auto"/>
            <w:noWrap/>
            <w:textDirection w:val="btLr"/>
            <w:vAlign w:val="center"/>
            <w:hideMark/>
          </w:tcPr>
          <w:p w14:paraId="0A5F7AA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Externo</w:t>
            </w:r>
          </w:p>
        </w:tc>
        <w:tc>
          <w:tcPr>
            <w:tcW w:w="111" w:type="pct"/>
            <w:tcBorders>
              <w:top w:val="nil"/>
              <w:left w:val="nil"/>
              <w:bottom w:val="single" w:sz="8" w:space="0" w:color="auto"/>
              <w:right w:val="single" w:sz="4" w:space="0" w:color="auto"/>
            </w:tcBorders>
            <w:shd w:val="clear" w:color="auto" w:fill="auto"/>
            <w:noWrap/>
            <w:textDirection w:val="btLr"/>
            <w:vAlign w:val="center"/>
            <w:hideMark/>
          </w:tcPr>
          <w:p w14:paraId="0BF100A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Selección - Ejecución</w:t>
            </w:r>
          </w:p>
        </w:tc>
        <w:tc>
          <w:tcPr>
            <w:tcW w:w="120" w:type="pct"/>
            <w:tcBorders>
              <w:top w:val="nil"/>
              <w:left w:val="nil"/>
              <w:bottom w:val="single" w:sz="8" w:space="0" w:color="auto"/>
              <w:right w:val="single" w:sz="4" w:space="0" w:color="auto"/>
            </w:tcBorders>
            <w:shd w:val="clear" w:color="auto" w:fill="auto"/>
            <w:noWrap/>
            <w:textDirection w:val="btLr"/>
            <w:vAlign w:val="center"/>
            <w:hideMark/>
          </w:tcPr>
          <w:p w14:paraId="37B3ECE7"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Riesgos de Corrupción</w:t>
            </w:r>
          </w:p>
        </w:tc>
        <w:tc>
          <w:tcPr>
            <w:tcW w:w="581" w:type="pct"/>
            <w:tcBorders>
              <w:top w:val="nil"/>
              <w:left w:val="nil"/>
              <w:bottom w:val="single" w:sz="8" w:space="0" w:color="auto"/>
              <w:right w:val="single" w:sz="4" w:space="0" w:color="auto"/>
            </w:tcBorders>
            <w:shd w:val="clear" w:color="auto" w:fill="auto"/>
            <w:vAlign w:val="center"/>
            <w:hideMark/>
          </w:tcPr>
          <w:p w14:paraId="0C941DA8"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 xml:space="preserve">Gestión Indebida y dolosa de los Recursos Financieros, de Insumos y Obras. </w:t>
            </w:r>
            <w:r w:rsidRPr="00DC4BD8">
              <w:rPr>
                <w:rFonts w:ascii="Arial" w:eastAsia="Times New Roman" w:hAnsi="Arial" w:cs="Arial"/>
                <w:sz w:val="10"/>
                <w:szCs w:val="10"/>
                <w:lang w:eastAsia="es-CO"/>
              </w:rPr>
              <w:t>Se refiere a la posibilidad de que el Contratista de las Obras, de la Interventoría y de funcionarios del Municipio de DAGUA y del INVIAS, promuevan y participen de acciones fraudulentas en el manejo de los recursos destinados a las obras tanto en los aspectos financieros, facturación, calidad y cantidad de materiales e insumos, diseños y obras sin justificar.</w:t>
            </w:r>
          </w:p>
        </w:tc>
        <w:tc>
          <w:tcPr>
            <w:tcW w:w="292" w:type="pct"/>
            <w:tcBorders>
              <w:top w:val="nil"/>
              <w:left w:val="nil"/>
              <w:bottom w:val="single" w:sz="8" w:space="0" w:color="auto"/>
              <w:right w:val="single" w:sz="4" w:space="0" w:color="auto"/>
            </w:tcBorders>
            <w:shd w:val="clear" w:color="auto" w:fill="auto"/>
            <w:vAlign w:val="center"/>
            <w:hideMark/>
          </w:tcPr>
          <w:p w14:paraId="2942714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Graves daños personales e Institucionales. Daño a la reputación de la entidad, pérdida de recursos y daños sociales.</w:t>
            </w:r>
          </w:p>
        </w:tc>
        <w:tc>
          <w:tcPr>
            <w:tcW w:w="128" w:type="pct"/>
            <w:tcBorders>
              <w:top w:val="nil"/>
              <w:left w:val="nil"/>
              <w:bottom w:val="single" w:sz="8" w:space="0" w:color="auto"/>
              <w:right w:val="single" w:sz="4" w:space="0" w:color="auto"/>
            </w:tcBorders>
            <w:shd w:val="clear" w:color="auto" w:fill="auto"/>
            <w:noWrap/>
            <w:vAlign w:val="center"/>
            <w:hideMark/>
          </w:tcPr>
          <w:p w14:paraId="75016472"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2" w:type="pct"/>
            <w:tcBorders>
              <w:top w:val="nil"/>
              <w:left w:val="nil"/>
              <w:bottom w:val="single" w:sz="8" w:space="0" w:color="auto"/>
              <w:right w:val="single" w:sz="4" w:space="0" w:color="auto"/>
            </w:tcBorders>
            <w:shd w:val="clear" w:color="auto" w:fill="auto"/>
            <w:noWrap/>
            <w:vAlign w:val="center"/>
            <w:hideMark/>
          </w:tcPr>
          <w:p w14:paraId="5177629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3</w:t>
            </w:r>
          </w:p>
        </w:tc>
        <w:tc>
          <w:tcPr>
            <w:tcW w:w="108" w:type="pct"/>
            <w:tcBorders>
              <w:top w:val="nil"/>
              <w:left w:val="nil"/>
              <w:bottom w:val="single" w:sz="8" w:space="0" w:color="auto"/>
              <w:right w:val="single" w:sz="4" w:space="0" w:color="auto"/>
            </w:tcBorders>
            <w:shd w:val="clear" w:color="auto" w:fill="auto"/>
            <w:noWrap/>
            <w:vAlign w:val="center"/>
            <w:hideMark/>
          </w:tcPr>
          <w:p w14:paraId="6C0D704D"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4</w:t>
            </w:r>
          </w:p>
        </w:tc>
        <w:tc>
          <w:tcPr>
            <w:tcW w:w="140" w:type="pct"/>
            <w:tcBorders>
              <w:top w:val="nil"/>
              <w:left w:val="nil"/>
              <w:bottom w:val="single" w:sz="8" w:space="0" w:color="auto"/>
              <w:right w:val="single" w:sz="4" w:space="0" w:color="auto"/>
            </w:tcBorders>
            <w:shd w:val="clear" w:color="auto" w:fill="auto"/>
            <w:vAlign w:val="center"/>
            <w:hideMark/>
          </w:tcPr>
          <w:p w14:paraId="5A9A1E1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191" w:type="pct"/>
            <w:tcBorders>
              <w:top w:val="nil"/>
              <w:left w:val="nil"/>
              <w:bottom w:val="single" w:sz="8" w:space="0" w:color="auto"/>
              <w:right w:val="single" w:sz="4" w:space="0" w:color="auto"/>
            </w:tcBorders>
            <w:shd w:val="clear" w:color="auto" w:fill="auto"/>
            <w:vAlign w:val="center"/>
            <w:hideMark/>
          </w:tcPr>
          <w:p w14:paraId="6580B284"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244" w:type="pct"/>
            <w:tcBorders>
              <w:top w:val="nil"/>
              <w:left w:val="nil"/>
              <w:bottom w:val="single" w:sz="8" w:space="0" w:color="auto"/>
              <w:right w:val="single" w:sz="4" w:space="0" w:color="auto"/>
            </w:tcBorders>
            <w:shd w:val="clear" w:color="auto" w:fill="auto"/>
            <w:vAlign w:val="center"/>
            <w:hideMark/>
          </w:tcPr>
          <w:p w14:paraId="154D5636" w14:textId="77777777" w:rsidR="00653DED" w:rsidRPr="00DC4BD8" w:rsidRDefault="00653DED" w:rsidP="00493727">
            <w:pPr>
              <w:spacing w:line="240" w:lineRule="auto"/>
              <w:contextualSpacing w:val="0"/>
              <w:jc w:val="center"/>
              <w:rPr>
                <w:rFonts w:ascii="Arial" w:eastAsia="Times New Roman" w:hAnsi="Arial" w:cs="Arial"/>
                <w:b/>
                <w:bCs/>
                <w:sz w:val="10"/>
                <w:szCs w:val="10"/>
                <w:lang w:eastAsia="es-CO"/>
              </w:rPr>
            </w:pPr>
            <w:r w:rsidRPr="00DC4BD8">
              <w:rPr>
                <w:rFonts w:ascii="Arial" w:eastAsia="Times New Roman" w:hAnsi="Arial" w:cs="Arial"/>
                <w:b/>
                <w:bCs/>
                <w:sz w:val="10"/>
                <w:szCs w:val="10"/>
                <w:lang w:eastAsia="es-CO"/>
              </w:rPr>
              <w:t>X</w:t>
            </w:r>
          </w:p>
        </w:tc>
        <w:tc>
          <w:tcPr>
            <w:tcW w:w="540" w:type="pct"/>
            <w:tcBorders>
              <w:top w:val="nil"/>
              <w:left w:val="nil"/>
              <w:bottom w:val="single" w:sz="8" w:space="0" w:color="auto"/>
              <w:right w:val="single" w:sz="4" w:space="0" w:color="auto"/>
            </w:tcBorders>
            <w:shd w:val="clear" w:color="auto" w:fill="auto"/>
            <w:vAlign w:val="center"/>
            <w:hideMark/>
          </w:tcPr>
          <w:p w14:paraId="52F10A7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Todos los participantes de la Ejecución de los Proyectos (Contratistas, Interventores, Supervisores, Funcionarios, Proveedores y Cominidad en general) deberán actuar de manera diafana, con ética, altos valores y principios como regla de conducta imprescindible, y dar cumplimiento a la normatividad vigente en cuanto al manejo de los recursos públicos con transparencia y honestidad. Cualquier situación irregular deberá ser comunicada al Municipio de DAGUA.</w:t>
            </w:r>
          </w:p>
        </w:tc>
        <w:tc>
          <w:tcPr>
            <w:tcW w:w="108" w:type="pct"/>
            <w:tcBorders>
              <w:top w:val="nil"/>
              <w:left w:val="nil"/>
              <w:bottom w:val="single" w:sz="8" w:space="0" w:color="auto"/>
              <w:right w:val="single" w:sz="4" w:space="0" w:color="auto"/>
            </w:tcBorders>
            <w:shd w:val="clear" w:color="auto" w:fill="auto"/>
            <w:vAlign w:val="center"/>
            <w:hideMark/>
          </w:tcPr>
          <w:p w14:paraId="042A6D1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05" w:type="pct"/>
            <w:tcBorders>
              <w:top w:val="nil"/>
              <w:left w:val="nil"/>
              <w:bottom w:val="single" w:sz="8" w:space="0" w:color="auto"/>
              <w:right w:val="single" w:sz="4" w:space="0" w:color="auto"/>
            </w:tcBorders>
            <w:shd w:val="clear" w:color="auto" w:fill="auto"/>
            <w:vAlign w:val="center"/>
            <w:hideMark/>
          </w:tcPr>
          <w:p w14:paraId="6AA6DAB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1</w:t>
            </w:r>
          </w:p>
        </w:tc>
        <w:tc>
          <w:tcPr>
            <w:tcW w:w="122" w:type="pct"/>
            <w:tcBorders>
              <w:top w:val="nil"/>
              <w:left w:val="nil"/>
              <w:bottom w:val="single" w:sz="8" w:space="0" w:color="auto"/>
              <w:right w:val="single" w:sz="4" w:space="0" w:color="auto"/>
            </w:tcBorders>
            <w:shd w:val="clear" w:color="auto" w:fill="auto"/>
            <w:vAlign w:val="center"/>
            <w:hideMark/>
          </w:tcPr>
          <w:p w14:paraId="1E22CCB9"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2</w:t>
            </w:r>
          </w:p>
        </w:tc>
        <w:tc>
          <w:tcPr>
            <w:tcW w:w="144" w:type="pct"/>
            <w:tcBorders>
              <w:top w:val="nil"/>
              <w:left w:val="nil"/>
              <w:bottom w:val="single" w:sz="8" w:space="0" w:color="auto"/>
              <w:right w:val="single" w:sz="4" w:space="0" w:color="auto"/>
            </w:tcBorders>
            <w:shd w:val="clear" w:color="auto" w:fill="auto"/>
            <w:vAlign w:val="center"/>
            <w:hideMark/>
          </w:tcPr>
          <w:p w14:paraId="381487E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Riesgo Bajo</w:t>
            </w:r>
          </w:p>
        </w:tc>
        <w:tc>
          <w:tcPr>
            <w:tcW w:w="225" w:type="pct"/>
            <w:tcBorders>
              <w:top w:val="nil"/>
              <w:left w:val="nil"/>
              <w:bottom w:val="single" w:sz="8" w:space="0" w:color="auto"/>
              <w:right w:val="single" w:sz="4" w:space="0" w:color="auto"/>
            </w:tcBorders>
            <w:shd w:val="clear" w:color="auto" w:fill="auto"/>
            <w:vAlign w:val="center"/>
            <w:hideMark/>
          </w:tcPr>
          <w:p w14:paraId="06AFB48B"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SI</w:t>
            </w:r>
          </w:p>
        </w:tc>
        <w:tc>
          <w:tcPr>
            <w:tcW w:w="257" w:type="pct"/>
            <w:tcBorders>
              <w:top w:val="nil"/>
              <w:left w:val="nil"/>
              <w:bottom w:val="single" w:sz="8" w:space="0" w:color="auto"/>
              <w:right w:val="single" w:sz="4" w:space="0" w:color="auto"/>
            </w:tcBorders>
            <w:shd w:val="clear" w:color="auto" w:fill="auto"/>
            <w:vAlign w:val="center"/>
            <w:hideMark/>
          </w:tcPr>
          <w:p w14:paraId="1DADEE5F"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Contratistas de Obra, interventor, Supervisores y/o Gestores y/o Funcionarios  Municipio de DAGUA y del INVIAS</w:t>
            </w:r>
          </w:p>
        </w:tc>
        <w:tc>
          <w:tcPr>
            <w:tcW w:w="259" w:type="pct"/>
            <w:tcBorders>
              <w:top w:val="nil"/>
              <w:left w:val="nil"/>
              <w:bottom w:val="single" w:sz="8" w:space="0" w:color="auto"/>
              <w:right w:val="single" w:sz="4" w:space="0" w:color="auto"/>
            </w:tcBorders>
            <w:shd w:val="clear" w:color="auto" w:fill="auto"/>
            <w:vAlign w:val="center"/>
            <w:hideMark/>
          </w:tcPr>
          <w:p w14:paraId="349E7CFE"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Al inicio de la ejecución del contrato y de manera permanente.</w:t>
            </w:r>
          </w:p>
        </w:tc>
        <w:tc>
          <w:tcPr>
            <w:tcW w:w="259" w:type="pct"/>
            <w:tcBorders>
              <w:top w:val="nil"/>
              <w:left w:val="nil"/>
              <w:bottom w:val="single" w:sz="8" w:space="0" w:color="auto"/>
              <w:right w:val="single" w:sz="4" w:space="0" w:color="auto"/>
            </w:tcBorders>
            <w:shd w:val="clear" w:color="auto" w:fill="auto"/>
            <w:vAlign w:val="center"/>
            <w:hideMark/>
          </w:tcPr>
          <w:p w14:paraId="3F2DE4E1"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A la terminación del contrato</w:t>
            </w:r>
          </w:p>
        </w:tc>
        <w:tc>
          <w:tcPr>
            <w:tcW w:w="432" w:type="pct"/>
            <w:tcBorders>
              <w:top w:val="nil"/>
              <w:left w:val="nil"/>
              <w:bottom w:val="single" w:sz="8" w:space="0" w:color="auto"/>
              <w:right w:val="single" w:sz="4" w:space="0" w:color="auto"/>
            </w:tcBorders>
            <w:shd w:val="clear" w:color="auto" w:fill="auto"/>
            <w:vAlign w:val="center"/>
            <w:hideMark/>
          </w:tcPr>
          <w:p w14:paraId="5EB265F3"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Vigilancia de cada una de las actuaciones de los participantes en la ejecución de las obras.</w:t>
            </w:r>
          </w:p>
        </w:tc>
        <w:tc>
          <w:tcPr>
            <w:tcW w:w="248" w:type="pct"/>
            <w:tcBorders>
              <w:top w:val="nil"/>
              <w:left w:val="nil"/>
              <w:bottom w:val="single" w:sz="8" w:space="0" w:color="auto"/>
              <w:right w:val="single" w:sz="8" w:space="0" w:color="auto"/>
            </w:tcBorders>
            <w:shd w:val="clear" w:color="auto" w:fill="auto"/>
            <w:vAlign w:val="center"/>
            <w:hideMark/>
          </w:tcPr>
          <w:p w14:paraId="7CFE0FCA" w14:textId="77777777" w:rsidR="00653DED" w:rsidRPr="00DC4BD8" w:rsidRDefault="00653DED" w:rsidP="00493727">
            <w:pPr>
              <w:spacing w:line="240" w:lineRule="auto"/>
              <w:contextualSpacing w:val="0"/>
              <w:jc w:val="center"/>
              <w:rPr>
                <w:rFonts w:ascii="Arial" w:eastAsia="Times New Roman" w:hAnsi="Arial" w:cs="Arial"/>
                <w:sz w:val="10"/>
                <w:szCs w:val="10"/>
                <w:lang w:eastAsia="es-CO"/>
              </w:rPr>
            </w:pPr>
            <w:r w:rsidRPr="00DC4BD8">
              <w:rPr>
                <w:rFonts w:ascii="Arial" w:eastAsia="Times New Roman" w:hAnsi="Arial" w:cs="Arial"/>
                <w:sz w:val="10"/>
                <w:szCs w:val="10"/>
                <w:lang w:eastAsia="es-CO"/>
              </w:rPr>
              <w:t>permanente</w:t>
            </w:r>
          </w:p>
        </w:tc>
      </w:tr>
    </w:tbl>
    <w:p w14:paraId="77031AF6" w14:textId="250AF235" w:rsidR="0058222E" w:rsidRPr="00FC5AD3" w:rsidRDefault="0058222E" w:rsidP="007C702A">
      <w:pPr>
        <w:rPr>
          <w:rFonts w:ascii="Arial" w:hAnsi="Arial" w:cs="Arial"/>
          <w:sz w:val="20"/>
          <w:szCs w:val="20"/>
          <w:lang w:val="es-ES_tradnl" w:eastAsia="es-CO"/>
        </w:rPr>
      </w:pPr>
    </w:p>
    <w:sectPr w:rsidR="0058222E" w:rsidRPr="00FC5AD3"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387CA" w14:textId="77777777" w:rsidR="004A3379" w:rsidRDefault="004A3379" w:rsidP="00091875">
      <w:pPr>
        <w:spacing w:line="240" w:lineRule="auto"/>
      </w:pPr>
      <w:r>
        <w:separator/>
      </w:r>
    </w:p>
  </w:endnote>
  <w:endnote w:type="continuationSeparator" w:id="0">
    <w:p w14:paraId="1F5254B3" w14:textId="77777777" w:rsidR="004A3379" w:rsidRDefault="004A3379"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A085BB8" w:rsidR="00F56CD2" w:rsidRPr="00925AC3" w:rsidRDefault="001B6DB3" w:rsidP="00F56CD2">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82EA2" w14:textId="77777777" w:rsidR="004A3379" w:rsidRDefault="004A3379" w:rsidP="00091875">
      <w:pPr>
        <w:spacing w:line="240" w:lineRule="auto"/>
      </w:pPr>
      <w:r>
        <w:separator/>
      </w:r>
    </w:p>
  </w:footnote>
  <w:footnote w:type="continuationSeparator" w:id="0">
    <w:p w14:paraId="0B7AE136" w14:textId="77777777" w:rsidR="004A3379" w:rsidRDefault="004A3379"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1CBC3EDA"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2 </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79398AD" w:rsidR="0021061A" w:rsidRPr="006030C5" w:rsidRDefault="001B6DB3" w:rsidP="0021061A">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06204239">
    <w:abstractNumId w:val="6"/>
  </w:num>
  <w:num w:numId="2" w16cid:durableId="1976175677">
    <w:abstractNumId w:val="6"/>
  </w:num>
  <w:num w:numId="3" w16cid:durableId="190000333">
    <w:abstractNumId w:val="6"/>
  </w:num>
  <w:num w:numId="4" w16cid:durableId="1908032375">
    <w:abstractNumId w:val="6"/>
  </w:num>
  <w:num w:numId="5" w16cid:durableId="1759476286">
    <w:abstractNumId w:val="6"/>
  </w:num>
  <w:num w:numId="6" w16cid:durableId="338505923">
    <w:abstractNumId w:val="6"/>
  </w:num>
  <w:num w:numId="7" w16cid:durableId="2146654958">
    <w:abstractNumId w:val="6"/>
  </w:num>
  <w:num w:numId="8" w16cid:durableId="1679651120">
    <w:abstractNumId w:val="6"/>
  </w:num>
  <w:num w:numId="9" w16cid:durableId="607855327">
    <w:abstractNumId w:val="6"/>
  </w:num>
  <w:num w:numId="10" w16cid:durableId="861699648">
    <w:abstractNumId w:val="3"/>
  </w:num>
  <w:num w:numId="11" w16cid:durableId="103232995">
    <w:abstractNumId w:val="1"/>
  </w:num>
  <w:num w:numId="12" w16cid:durableId="745415364">
    <w:abstractNumId w:val="21"/>
  </w:num>
  <w:num w:numId="13" w16cid:durableId="199825661">
    <w:abstractNumId w:val="29"/>
  </w:num>
  <w:num w:numId="14" w16cid:durableId="121925179">
    <w:abstractNumId w:val="14"/>
  </w:num>
  <w:num w:numId="15" w16cid:durableId="2068726276">
    <w:abstractNumId w:val="16"/>
  </w:num>
  <w:num w:numId="16" w16cid:durableId="701827347">
    <w:abstractNumId w:val="0"/>
  </w:num>
  <w:num w:numId="17" w16cid:durableId="1549804155">
    <w:abstractNumId w:val="2"/>
  </w:num>
  <w:num w:numId="18" w16cid:durableId="1701130295">
    <w:abstractNumId w:val="9"/>
  </w:num>
  <w:num w:numId="19" w16cid:durableId="86509129">
    <w:abstractNumId w:val="4"/>
  </w:num>
  <w:num w:numId="20" w16cid:durableId="1995714075">
    <w:abstractNumId w:val="18"/>
  </w:num>
  <w:num w:numId="21" w16cid:durableId="237904917">
    <w:abstractNumId w:val="7"/>
  </w:num>
  <w:num w:numId="22" w16cid:durableId="929774300">
    <w:abstractNumId w:val="27"/>
  </w:num>
  <w:num w:numId="23" w16cid:durableId="2108572860">
    <w:abstractNumId w:val="11"/>
  </w:num>
  <w:num w:numId="24" w16cid:durableId="1113136927">
    <w:abstractNumId w:val="12"/>
  </w:num>
  <w:num w:numId="25" w16cid:durableId="476149118">
    <w:abstractNumId w:val="5"/>
  </w:num>
  <w:num w:numId="26" w16cid:durableId="1779596702">
    <w:abstractNumId w:val="17"/>
  </w:num>
  <w:num w:numId="27" w16cid:durableId="1007976142">
    <w:abstractNumId w:val="15"/>
  </w:num>
  <w:num w:numId="28" w16cid:durableId="969868010">
    <w:abstractNumId w:val="10"/>
  </w:num>
  <w:num w:numId="29" w16cid:durableId="457769595">
    <w:abstractNumId w:val="25"/>
  </w:num>
  <w:num w:numId="30" w16cid:durableId="994407756">
    <w:abstractNumId w:val="26"/>
  </w:num>
  <w:num w:numId="31" w16cid:durableId="55664012">
    <w:abstractNumId w:val="24"/>
  </w:num>
  <w:num w:numId="32" w16cid:durableId="989363002">
    <w:abstractNumId w:val="13"/>
  </w:num>
  <w:num w:numId="33" w16cid:durableId="419840219">
    <w:abstractNumId w:val="23"/>
  </w:num>
  <w:num w:numId="34" w16cid:durableId="1940991801">
    <w:abstractNumId w:val="8"/>
  </w:num>
  <w:num w:numId="35" w16cid:durableId="188489508">
    <w:abstractNumId w:val="22"/>
  </w:num>
  <w:num w:numId="36" w16cid:durableId="25377703">
    <w:abstractNumId w:val="28"/>
  </w:num>
  <w:num w:numId="37" w16cid:durableId="1184899692">
    <w:abstractNumId w:val="20"/>
  </w:num>
  <w:num w:numId="38" w16cid:durableId="21212958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F17C7"/>
    <w:rsid w:val="003322F8"/>
    <w:rsid w:val="00357BA7"/>
    <w:rsid w:val="00374B32"/>
    <w:rsid w:val="00375454"/>
    <w:rsid w:val="0039239D"/>
    <w:rsid w:val="003B7338"/>
    <w:rsid w:val="003D7874"/>
    <w:rsid w:val="003E331F"/>
    <w:rsid w:val="003E4428"/>
    <w:rsid w:val="003F50E3"/>
    <w:rsid w:val="004338C5"/>
    <w:rsid w:val="004A3379"/>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53DED"/>
    <w:rsid w:val="006830E6"/>
    <w:rsid w:val="00686C25"/>
    <w:rsid w:val="00692562"/>
    <w:rsid w:val="006A3288"/>
    <w:rsid w:val="006B4FEE"/>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E39CA"/>
    <w:rsid w:val="00912B23"/>
    <w:rsid w:val="009321E7"/>
    <w:rsid w:val="009771F1"/>
    <w:rsid w:val="009C77CA"/>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920EB"/>
    <w:rsid w:val="00B92158"/>
    <w:rsid w:val="00B923A4"/>
    <w:rsid w:val="00B94790"/>
    <w:rsid w:val="00BA3870"/>
    <w:rsid w:val="00BF2138"/>
    <w:rsid w:val="00C0062A"/>
    <w:rsid w:val="00C53FEB"/>
    <w:rsid w:val="00C54F77"/>
    <w:rsid w:val="00C71F76"/>
    <w:rsid w:val="00CB7D17"/>
    <w:rsid w:val="00CD1911"/>
    <w:rsid w:val="00CD267D"/>
    <w:rsid w:val="00D02C93"/>
    <w:rsid w:val="00D13765"/>
    <w:rsid w:val="00D55C91"/>
    <w:rsid w:val="00D70D7B"/>
    <w:rsid w:val="00D8093A"/>
    <w:rsid w:val="00D86ECC"/>
    <w:rsid w:val="00DA2321"/>
    <w:rsid w:val="00DD4300"/>
    <w:rsid w:val="00DF421A"/>
    <w:rsid w:val="00E011A2"/>
    <w:rsid w:val="00E148BE"/>
    <w:rsid w:val="00E44A7F"/>
    <w:rsid w:val="00E46F79"/>
    <w:rsid w:val="00E52A5A"/>
    <w:rsid w:val="00E56873"/>
    <w:rsid w:val="00E601F9"/>
    <w:rsid w:val="00E63731"/>
    <w:rsid w:val="00E93807"/>
    <w:rsid w:val="00F31CB0"/>
    <w:rsid w:val="00F4546D"/>
    <w:rsid w:val="00F56CD2"/>
    <w:rsid w:val="00F6022F"/>
    <w:rsid w:val="00F63350"/>
    <w:rsid w:val="00F711B1"/>
    <w:rsid w:val="00F77C04"/>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596577D-B6D3-42EB-87D9-3F70F7ED5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5287</Words>
  <Characters>29083</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Banco de Proyectos Dagua</cp:lastModifiedBy>
  <cp:revision>6</cp:revision>
  <cp:lastPrinted>2022-07-22T22:12:00Z</cp:lastPrinted>
  <dcterms:created xsi:type="dcterms:W3CDTF">2022-07-22T22:12:00Z</dcterms:created>
  <dcterms:modified xsi:type="dcterms:W3CDTF">2023-09-18T20:22:00Z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