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3101E" w14:textId="50ECBC2D" w:rsidR="006E2746" w:rsidRDefault="00681B42" w:rsidP="00517FF8">
      <w:pPr>
        <w:jc w:val="both"/>
        <w:rPr>
          <w:rFonts w:ascii="Arial" w:hAnsi="Arial" w:cs="Arial"/>
          <w:b/>
          <w:bCs/>
          <w:sz w:val="22"/>
          <w:szCs w:val="22"/>
        </w:rPr>
      </w:pPr>
      <w:r w:rsidRPr="00681B42">
        <w:rPr>
          <w:rFonts w:ascii="Arial" w:hAnsi="Arial" w:cs="Arial"/>
          <w:b/>
          <w:bCs/>
          <w:sz w:val="22"/>
          <w:szCs w:val="22"/>
        </w:rPr>
        <w:t>Contratar en nombre de LA NACIÓN    -  CONSEJO  SUPERIOR  DE  LA  JUDICATURA  – DIRECCIÓN EJECUTIVA SECCIONAL DE ADMINISTRACIÓN JUDICIAL DE CUCUTA,</w:t>
      </w:r>
      <w:r w:rsidR="006F5CFB" w:rsidRPr="006F5CFB">
        <w:t xml:space="preserve"> </w:t>
      </w:r>
      <w:r w:rsidR="006F5CFB" w:rsidRPr="006F5CFB">
        <w:rPr>
          <w:rFonts w:ascii="Arial" w:hAnsi="Arial" w:cs="Arial"/>
          <w:b/>
          <w:bCs/>
          <w:sz w:val="22"/>
          <w:szCs w:val="22"/>
        </w:rPr>
        <w:t>la compra de discos duros, memorias RAM, memorias DDR4, de acuerdo a las especificaciones técnicas del objeto contractual contenidas en el presente, acordes con el Plan Estratégico de Transformación Digital 2021-2025, adoptado a través de Acuerdo PCSJA20-11631;</w:t>
      </w:r>
      <w:r w:rsidRPr="00681B42">
        <w:rPr>
          <w:rFonts w:ascii="Arial" w:hAnsi="Arial" w:cs="Arial"/>
          <w:b/>
          <w:bCs/>
          <w:sz w:val="22"/>
          <w:szCs w:val="22"/>
        </w:rPr>
        <w:t>; en las condiciones técnicas de calidad y cantidad establecidas por el Consejo Superior de la Judicatura de conformidad con lo previsto en la Ley 80 de 1993, Ley 1150 de 2007, y Decreto 1082 de 2015.</w:t>
      </w:r>
    </w:p>
    <w:p w14:paraId="0A498382" w14:textId="77777777" w:rsidR="00681B42" w:rsidRPr="001F130D" w:rsidRDefault="00681B42" w:rsidP="00517FF8">
      <w:pPr>
        <w:jc w:val="both"/>
        <w:rPr>
          <w:rFonts w:ascii="Arial" w:hAnsi="Arial" w:cs="Arial"/>
          <w:b/>
          <w:bCs/>
          <w:sz w:val="22"/>
          <w:szCs w:val="22"/>
        </w:rPr>
      </w:pPr>
    </w:p>
    <w:p w14:paraId="7E11164A" w14:textId="4C53FF98" w:rsidR="0098205F" w:rsidRDefault="00517FF8" w:rsidP="00517FF8">
      <w:pPr>
        <w:jc w:val="both"/>
        <w:rPr>
          <w:rFonts w:ascii="Arial" w:hAnsi="Arial" w:cs="Arial"/>
          <w:i/>
          <w:iCs/>
          <w:sz w:val="22"/>
          <w:szCs w:val="22"/>
        </w:rPr>
      </w:pPr>
      <w:r w:rsidRPr="001F130D">
        <w:rPr>
          <w:rFonts w:ascii="Arial" w:hAnsi="Arial" w:cs="Arial"/>
          <w:sz w:val="22"/>
          <w:szCs w:val="22"/>
        </w:rPr>
        <w:t xml:space="preserve">La Dirección Ejecutiva Seccional de Administración Judicial </w:t>
      </w:r>
      <w:r w:rsidR="0098205F">
        <w:rPr>
          <w:rFonts w:ascii="Arial" w:hAnsi="Arial" w:cs="Arial"/>
          <w:sz w:val="22"/>
          <w:szCs w:val="22"/>
        </w:rPr>
        <w:t>Cúcuta</w:t>
      </w:r>
      <w:r w:rsidRPr="001F130D">
        <w:rPr>
          <w:rFonts w:ascii="Arial" w:hAnsi="Arial" w:cs="Arial"/>
          <w:sz w:val="22"/>
          <w:szCs w:val="22"/>
        </w:rPr>
        <w:t>, al tenor de lo establecido en el artículo 2.2.1.1.1.6.1 del Decreto 1082 de 2015</w:t>
      </w:r>
      <w:r w:rsidR="00A35F3F" w:rsidRPr="001F130D">
        <w:rPr>
          <w:rFonts w:ascii="Arial" w:hAnsi="Arial" w:cs="Arial"/>
          <w:sz w:val="22"/>
          <w:szCs w:val="22"/>
        </w:rPr>
        <w:t xml:space="preserve">, siguiendo los lineamientos dados por Colombia Compra Eficiente a través de la </w:t>
      </w:r>
      <w:r w:rsidR="00A35F3F" w:rsidRPr="001F130D">
        <w:rPr>
          <w:rFonts w:ascii="Arial" w:hAnsi="Arial" w:cs="Arial"/>
          <w:i/>
          <w:iCs/>
          <w:sz w:val="22"/>
          <w:szCs w:val="22"/>
        </w:rPr>
        <w:t xml:space="preserve">“Guía para la Elaboración de Estudios de Sector” </w:t>
      </w:r>
      <w:r w:rsidR="00A35F3F" w:rsidRPr="001F130D">
        <w:rPr>
          <w:rFonts w:ascii="Arial" w:hAnsi="Arial" w:cs="Arial"/>
          <w:sz w:val="22"/>
          <w:szCs w:val="22"/>
        </w:rPr>
        <w:t>y con la finalidad de materializar los principios de planeación, responsabilidad y transparencia</w:t>
      </w:r>
      <w:r w:rsidRPr="001F130D">
        <w:rPr>
          <w:rFonts w:ascii="Arial" w:hAnsi="Arial" w:cs="Arial"/>
          <w:sz w:val="22"/>
          <w:szCs w:val="22"/>
        </w:rPr>
        <w:t xml:space="preserve"> </w:t>
      </w:r>
      <w:r w:rsidR="00A35F3F" w:rsidRPr="001F130D">
        <w:rPr>
          <w:rFonts w:ascii="Arial" w:hAnsi="Arial" w:cs="Arial"/>
          <w:sz w:val="22"/>
          <w:szCs w:val="22"/>
        </w:rPr>
        <w:t xml:space="preserve">en el </w:t>
      </w:r>
      <w:r w:rsidRPr="001F130D">
        <w:rPr>
          <w:rFonts w:ascii="Arial" w:hAnsi="Arial" w:cs="Arial"/>
          <w:sz w:val="22"/>
          <w:szCs w:val="22"/>
        </w:rPr>
        <w:t>presente proceso contractual,</w:t>
      </w:r>
      <w:r w:rsidR="00A35F3F" w:rsidRPr="001F130D">
        <w:rPr>
          <w:rFonts w:ascii="Arial" w:hAnsi="Arial" w:cs="Arial"/>
          <w:sz w:val="22"/>
          <w:szCs w:val="22"/>
        </w:rPr>
        <w:t xml:space="preserve"> </w:t>
      </w:r>
      <w:r w:rsidRPr="001F130D">
        <w:rPr>
          <w:rFonts w:ascii="Arial" w:hAnsi="Arial" w:cs="Arial"/>
          <w:sz w:val="22"/>
          <w:szCs w:val="22"/>
        </w:rPr>
        <w:t>desarrolla el respectivo análisis necesario para conocer el sector relativo al objeto del</w:t>
      </w:r>
      <w:r w:rsidR="00A35F3F" w:rsidRPr="001F130D">
        <w:rPr>
          <w:rFonts w:ascii="Arial" w:hAnsi="Arial" w:cs="Arial"/>
          <w:sz w:val="22"/>
          <w:szCs w:val="22"/>
        </w:rPr>
        <w:t xml:space="preserve"> </w:t>
      </w:r>
      <w:r w:rsidRPr="001F130D">
        <w:rPr>
          <w:rFonts w:ascii="Arial" w:hAnsi="Arial" w:cs="Arial"/>
          <w:sz w:val="22"/>
          <w:szCs w:val="22"/>
        </w:rPr>
        <w:t xml:space="preserve">proceso de Contratación, que en el presente caso corresponde a </w:t>
      </w:r>
      <w:r w:rsidR="001F130D" w:rsidRPr="001F130D">
        <w:rPr>
          <w:rFonts w:ascii="Arial" w:hAnsi="Arial" w:cs="Arial"/>
          <w:sz w:val="22"/>
          <w:szCs w:val="22"/>
        </w:rPr>
        <w:t>“</w:t>
      </w:r>
      <w:r w:rsidR="006E2746" w:rsidRPr="006E2746">
        <w:rPr>
          <w:rFonts w:ascii="Arial" w:hAnsi="Arial" w:cs="Arial"/>
          <w:i/>
          <w:iCs/>
          <w:sz w:val="22"/>
          <w:szCs w:val="22"/>
        </w:rPr>
        <w:t xml:space="preserve">Contratar a nombre de la NACIÓN - CONSEJO SUPERIOR DE LA JUDICATURA - DIRECCIÓN EJECUTIVA SECCIONAL DE ADMINISTRACIÓN JUDICIAL DE </w:t>
      </w:r>
      <w:r w:rsidR="0098205F">
        <w:rPr>
          <w:rFonts w:ascii="Arial" w:hAnsi="Arial" w:cs="Arial"/>
          <w:i/>
          <w:iCs/>
          <w:sz w:val="22"/>
          <w:szCs w:val="22"/>
        </w:rPr>
        <w:t>CUCUTA</w:t>
      </w:r>
      <w:r w:rsidR="006E2746" w:rsidRPr="006E2746">
        <w:rPr>
          <w:rFonts w:ascii="Arial" w:hAnsi="Arial" w:cs="Arial"/>
          <w:i/>
          <w:iCs/>
          <w:sz w:val="22"/>
          <w:szCs w:val="22"/>
        </w:rPr>
        <w:t>,</w:t>
      </w:r>
      <w:r w:rsidR="006F5CFB" w:rsidRPr="006F5CFB">
        <w:rPr>
          <w:bCs/>
          <w:sz w:val="22"/>
        </w:rPr>
        <w:t xml:space="preserve"> </w:t>
      </w:r>
      <w:r w:rsidR="006F5CFB" w:rsidRPr="004173DA">
        <w:rPr>
          <w:bCs/>
          <w:sz w:val="22"/>
        </w:rPr>
        <w:t>,</w:t>
      </w:r>
      <w:r w:rsidR="006F5CFB" w:rsidRPr="00DE738C">
        <w:rPr>
          <w:bCs/>
          <w:i/>
          <w:iCs/>
          <w:sz w:val="22"/>
          <w:u w:val="single"/>
        </w:rPr>
        <w:t xml:space="preserve"> </w:t>
      </w:r>
      <w:r w:rsidR="006F5CFB" w:rsidRPr="006F5CFB">
        <w:rPr>
          <w:rFonts w:ascii="Arial" w:hAnsi="Arial" w:cs="Arial"/>
          <w:bCs/>
          <w:i/>
          <w:iCs/>
          <w:sz w:val="22"/>
          <w:u w:val="single"/>
        </w:rPr>
        <w:t>la compra de discos duros, memorias RAM, memorias DDR4, de acuerdo a las especificaciones técnicas del objeto contractual contenidas en el presente, acordes con el Plan Estratégico de Transformación Digital 2021-2025, adoptado a través de Acuerdo PCSJA20-11631</w:t>
      </w:r>
      <w:r w:rsidR="006F5CFB" w:rsidRPr="006F5CFB">
        <w:rPr>
          <w:rFonts w:ascii="Arial" w:hAnsi="Arial" w:cs="Arial"/>
          <w:i/>
          <w:iCs/>
          <w:sz w:val="22"/>
          <w:u w:val="single"/>
        </w:rPr>
        <w:t>;</w:t>
      </w:r>
      <w:r w:rsidR="0098205F" w:rsidRPr="0098205F">
        <w:rPr>
          <w:rFonts w:ascii="Arial" w:hAnsi="Arial" w:cs="Arial"/>
          <w:i/>
          <w:iCs/>
          <w:sz w:val="22"/>
          <w:szCs w:val="22"/>
        </w:rPr>
        <w:t xml:space="preserve"> en las condiciones técnicas de calidad y cantidad establecidas por el Consejo Superior de la Judicatura de conformidad con lo previsto en la Ley 80 de 1993, Ley 1150 de 2007, y Decreto 1082 de 2015</w:t>
      </w:r>
      <w:r w:rsidR="0098205F">
        <w:rPr>
          <w:rFonts w:ascii="Arial" w:hAnsi="Arial" w:cs="Arial"/>
          <w:i/>
          <w:iCs/>
          <w:sz w:val="22"/>
          <w:szCs w:val="22"/>
        </w:rPr>
        <w:t>”</w:t>
      </w:r>
      <w:r w:rsidR="0098205F" w:rsidRPr="0098205F">
        <w:rPr>
          <w:rFonts w:ascii="Arial" w:hAnsi="Arial" w:cs="Arial"/>
          <w:i/>
          <w:iCs/>
          <w:sz w:val="22"/>
          <w:szCs w:val="22"/>
        </w:rPr>
        <w:t>.</w:t>
      </w:r>
    </w:p>
    <w:p w14:paraId="0A1EF084" w14:textId="77777777" w:rsidR="0098205F" w:rsidRDefault="0098205F" w:rsidP="00517FF8">
      <w:pPr>
        <w:jc w:val="both"/>
        <w:rPr>
          <w:rFonts w:ascii="Arial" w:hAnsi="Arial" w:cs="Arial"/>
          <w:i/>
          <w:iCs/>
          <w:sz w:val="22"/>
          <w:szCs w:val="22"/>
        </w:rPr>
      </w:pPr>
    </w:p>
    <w:p w14:paraId="257908F0" w14:textId="77777777" w:rsidR="00E45CFB" w:rsidRPr="001F130D" w:rsidRDefault="00E45CFB" w:rsidP="00517FF8">
      <w:pPr>
        <w:jc w:val="both"/>
        <w:rPr>
          <w:rFonts w:ascii="Arial" w:hAnsi="Arial" w:cs="Arial"/>
          <w:i/>
          <w:iCs/>
          <w:sz w:val="22"/>
          <w:szCs w:val="22"/>
        </w:rPr>
      </w:pPr>
    </w:p>
    <w:p w14:paraId="739A87DB" w14:textId="24C49AF2" w:rsidR="00517FF8" w:rsidRPr="001F130D" w:rsidRDefault="00517FF8" w:rsidP="00517FF8">
      <w:pPr>
        <w:jc w:val="both"/>
        <w:rPr>
          <w:rFonts w:ascii="Arial" w:hAnsi="Arial" w:cs="Arial"/>
          <w:sz w:val="22"/>
          <w:szCs w:val="22"/>
        </w:rPr>
      </w:pPr>
      <w:r w:rsidRPr="001F130D">
        <w:rPr>
          <w:rFonts w:ascii="Arial" w:hAnsi="Arial" w:cs="Arial"/>
          <w:sz w:val="22"/>
          <w:szCs w:val="22"/>
        </w:rPr>
        <w:t>El presente análisis se desarrolla teniendo en cuenta los lineamientos generales de la Guía para la elaboración de Estudios del Sector publicada por Colombia Compra Eficiente.</w:t>
      </w:r>
    </w:p>
    <w:p w14:paraId="3621DB3E" w14:textId="4BE4A7AC" w:rsidR="00517FF8" w:rsidRPr="001F130D" w:rsidRDefault="00517FF8" w:rsidP="00517FF8">
      <w:pPr>
        <w:jc w:val="both"/>
        <w:rPr>
          <w:rFonts w:ascii="Arial" w:hAnsi="Arial" w:cs="Arial"/>
          <w:sz w:val="22"/>
          <w:szCs w:val="22"/>
        </w:rPr>
      </w:pPr>
    </w:p>
    <w:p w14:paraId="673A3E46" w14:textId="2D164CCE" w:rsidR="00517FF8" w:rsidRPr="001F130D" w:rsidRDefault="00713942" w:rsidP="000655A4">
      <w:pPr>
        <w:pStyle w:val="Prrafodelista"/>
        <w:numPr>
          <w:ilvl w:val="0"/>
          <w:numId w:val="1"/>
        </w:numPr>
        <w:jc w:val="both"/>
        <w:rPr>
          <w:rFonts w:ascii="Arial" w:hAnsi="Arial" w:cs="Arial"/>
          <w:b/>
          <w:bCs/>
          <w:sz w:val="22"/>
          <w:szCs w:val="22"/>
        </w:rPr>
      </w:pPr>
      <w:r w:rsidRPr="001F130D">
        <w:rPr>
          <w:rFonts w:ascii="Arial" w:hAnsi="Arial" w:cs="Arial"/>
          <w:b/>
          <w:bCs/>
          <w:sz w:val="22"/>
          <w:szCs w:val="22"/>
        </w:rPr>
        <w:t>DEFINICIÓN TÉCNICA DE LA FORMA EN QUE LA ENTIDAD PROYECTA SATISFACER LA NECESIDAD.</w:t>
      </w:r>
    </w:p>
    <w:p w14:paraId="4B8D4B62" w14:textId="016400C9" w:rsidR="00713942" w:rsidRPr="001F130D" w:rsidRDefault="00713942" w:rsidP="00713942">
      <w:pPr>
        <w:jc w:val="both"/>
        <w:rPr>
          <w:rFonts w:ascii="Arial" w:hAnsi="Arial" w:cs="Arial"/>
          <w:b/>
          <w:bCs/>
          <w:sz w:val="22"/>
          <w:szCs w:val="22"/>
        </w:rPr>
      </w:pPr>
    </w:p>
    <w:p w14:paraId="747EC801" w14:textId="7A9809ED" w:rsidR="00713942" w:rsidRPr="001F130D" w:rsidRDefault="00713942" w:rsidP="000655A4">
      <w:pPr>
        <w:pStyle w:val="Prrafodelista"/>
        <w:numPr>
          <w:ilvl w:val="1"/>
          <w:numId w:val="1"/>
        </w:numPr>
        <w:jc w:val="both"/>
        <w:rPr>
          <w:rFonts w:ascii="Arial" w:hAnsi="Arial" w:cs="Arial"/>
          <w:sz w:val="22"/>
          <w:szCs w:val="22"/>
        </w:rPr>
      </w:pPr>
      <w:r w:rsidRPr="001F130D">
        <w:rPr>
          <w:rFonts w:ascii="Arial" w:hAnsi="Arial" w:cs="Arial"/>
          <w:sz w:val="22"/>
          <w:szCs w:val="22"/>
        </w:rPr>
        <w:t>IDENTIFICACIÓN EN EL CLASIFICADOR DE BIENES Y SERVICIOS.</w:t>
      </w:r>
    </w:p>
    <w:p w14:paraId="17FDB1BB" w14:textId="27970F1A" w:rsidR="00713942" w:rsidRPr="001F130D" w:rsidRDefault="00713942" w:rsidP="00713942">
      <w:pPr>
        <w:jc w:val="both"/>
        <w:rPr>
          <w:rFonts w:ascii="Arial" w:hAnsi="Arial" w:cs="Arial"/>
          <w:b/>
          <w:bCs/>
          <w:sz w:val="22"/>
          <w:szCs w:val="22"/>
        </w:rPr>
      </w:pPr>
    </w:p>
    <w:p w14:paraId="692B3295" w14:textId="00611DA4" w:rsidR="00713942" w:rsidRPr="001F130D" w:rsidRDefault="00713942" w:rsidP="00713942">
      <w:pPr>
        <w:jc w:val="both"/>
        <w:rPr>
          <w:rFonts w:ascii="Arial" w:hAnsi="Arial" w:cs="Arial"/>
          <w:sz w:val="22"/>
          <w:szCs w:val="22"/>
        </w:rPr>
      </w:pPr>
      <w:r w:rsidRPr="001F130D">
        <w:rPr>
          <w:rFonts w:ascii="Arial" w:hAnsi="Arial" w:cs="Arial"/>
          <w:sz w:val="22"/>
          <w:szCs w:val="22"/>
        </w:rPr>
        <w:t>De acuerdo al Artículo 2.2.1.2.1.2.1 del Decreto 1082 de 2015, se procede a identificar el objeto a contratar en el clasificador de bienes y servicios.</w:t>
      </w:r>
    </w:p>
    <w:p w14:paraId="488EFDC9" w14:textId="30AAE109" w:rsidR="00713942" w:rsidRPr="001F130D" w:rsidRDefault="00713942" w:rsidP="00713942">
      <w:pPr>
        <w:jc w:val="both"/>
        <w:rPr>
          <w:rFonts w:ascii="Arial" w:hAnsi="Arial" w:cs="Arial"/>
          <w:sz w:val="22"/>
          <w:szCs w:val="22"/>
        </w:rPr>
      </w:pPr>
    </w:p>
    <w:tbl>
      <w:tblPr>
        <w:tblW w:w="5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6"/>
        <w:gridCol w:w="3515"/>
      </w:tblGrid>
      <w:tr w:rsidR="006F5CFB" w:rsidRPr="004F6AA2" w14:paraId="720A398A" w14:textId="77777777" w:rsidTr="00CE06FE">
        <w:trPr>
          <w:trHeight w:val="263"/>
          <w:jc w:val="center"/>
        </w:trPr>
        <w:tc>
          <w:tcPr>
            <w:tcW w:w="2156" w:type="dxa"/>
            <w:shd w:val="clear" w:color="000000" w:fill="6D6E70"/>
            <w:vAlign w:val="center"/>
            <w:hideMark/>
          </w:tcPr>
          <w:p w14:paraId="2DB1ADDE" w14:textId="77777777" w:rsidR="006F5CFB" w:rsidRPr="004F6AA2" w:rsidRDefault="006F5CFB" w:rsidP="00CE06FE">
            <w:pPr>
              <w:rPr>
                <w:rFonts w:ascii="Arial" w:hAnsi="Arial" w:cs="Arial"/>
                <w:b/>
                <w:bCs/>
                <w:color w:val="000000"/>
                <w:sz w:val="18"/>
                <w:szCs w:val="18"/>
              </w:rPr>
            </w:pPr>
            <w:r w:rsidRPr="004F6AA2">
              <w:rPr>
                <w:rFonts w:ascii="Arial" w:hAnsi="Arial" w:cs="Arial"/>
                <w:b/>
                <w:bCs/>
                <w:color w:val="000000"/>
                <w:sz w:val="18"/>
                <w:szCs w:val="18"/>
              </w:rPr>
              <w:t>Código - Producto</w:t>
            </w:r>
          </w:p>
        </w:tc>
        <w:tc>
          <w:tcPr>
            <w:tcW w:w="3515" w:type="dxa"/>
            <w:shd w:val="clear" w:color="000000" w:fill="6D6E70"/>
            <w:vAlign w:val="center"/>
            <w:hideMark/>
          </w:tcPr>
          <w:p w14:paraId="1467ED60" w14:textId="77777777" w:rsidR="006F5CFB" w:rsidRPr="004F6AA2" w:rsidRDefault="006F5CFB" w:rsidP="00CE06FE">
            <w:pPr>
              <w:rPr>
                <w:rFonts w:ascii="Arial" w:hAnsi="Arial" w:cs="Arial"/>
                <w:b/>
                <w:bCs/>
                <w:color w:val="000000"/>
                <w:sz w:val="18"/>
                <w:szCs w:val="18"/>
              </w:rPr>
            </w:pPr>
            <w:r w:rsidRPr="004F6AA2">
              <w:rPr>
                <w:rFonts w:ascii="Arial" w:hAnsi="Arial" w:cs="Arial"/>
                <w:b/>
                <w:bCs/>
                <w:color w:val="000000"/>
                <w:sz w:val="18"/>
                <w:szCs w:val="18"/>
              </w:rPr>
              <w:t>Nombre - Producto</w:t>
            </w:r>
          </w:p>
        </w:tc>
      </w:tr>
      <w:tr w:rsidR="006F5CFB" w:rsidRPr="004F6AA2" w14:paraId="0C0D7068" w14:textId="77777777" w:rsidTr="00CE06FE">
        <w:trPr>
          <w:trHeight w:val="281"/>
          <w:jc w:val="center"/>
        </w:trPr>
        <w:tc>
          <w:tcPr>
            <w:tcW w:w="2156" w:type="dxa"/>
            <w:shd w:val="clear" w:color="000000" w:fill="E5E5E5"/>
            <w:vAlign w:val="center"/>
          </w:tcPr>
          <w:p w14:paraId="4A12DD0A" w14:textId="77777777" w:rsidR="006F5CFB" w:rsidRPr="00362C72" w:rsidRDefault="006F5CFB" w:rsidP="00CE06FE">
            <w:pPr>
              <w:rPr>
                <w:rFonts w:ascii="Arial" w:hAnsi="Arial" w:cs="Arial"/>
                <w:color w:val="000000"/>
                <w:sz w:val="18"/>
                <w:szCs w:val="18"/>
              </w:rPr>
            </w:pPr>
            <w:r>
              <w:rPr>
                <w:rFonts w:ascii="Arial" w:hAnsi="Arial" w:cs="Arial"/>
                <w:color w:val="000000"/>
                <w:sz w:val="18"/>
                <w:szCs w:val="18"/>
              </w:rPr>
              <w:t>43201800</w:t>
            </w:r>
          </w:p>
        </w:tc>
        <w:tc>
          <w:tcPr>
            <w:tcW w:w="3515" w:type="dxa"/>
            <w:shd w:val="clear" w:color="000000" w:fill="E5E5E5"/>
            <w:vAlign w:val="center"/>
          </w:tcPr>
          <w:p w14:paraId="50B6B368" w14:textId="77777777" w:rsidR="006F5CFB" w:rsidRPr="00362C72" w:rsidRDefault="006F5CFB" w:rsidP="00CE06FE">
            <w:pPr>
              <w:jc w:val="both"/>
              <w:rPr>
                <w:rFonts w:ascii="Arial" w:hAnsi="Arial" w:cs="Arial"/>
                <w:color w:val="000000"/>
                <w:sz w:val="18"/>
                <w:szCs w:val="18"/>
              </w:rPr>
            </w:pPr>
            <w:r>
              <w:rPr>
                <w:rFonts w:ascii="Arial" w:hAnsi="Arial" w:cs="Arial"/>
                <w:color w:val="000000"/>
                <w:sz w:val="18"/>
                <w:szCs w:val="18"/>
              </w:rPr>
              <w:t>Dispositivos de almacenamiento</w:t>
            </w:r>
          </w:p>
        </w:tc>
      </w:tr>
    </w:tbl>
    <w:p w14:paraId="228E1810" w14:textId="77777777" w:rsidR="00E0115B" w:rsidRPr="001F130D" w:rsidRDefault="00E0115B" w:rsidP="002F05A3">
      <w:pPr>
        <w:jc w:val="center"/>
        <w:rPr>
          <w:rFonts w:ascii="Arial" w:hAnsi="Arial" w:cs="Arial"/>
          <w:sz w:val="22"/>
          <w:szCs w:val="22"/>
        </w:rPr>
      </w:pPr>
    </w:p>
    <w:p w14:paraId="0A4C2D12" w14:textId="7D1DB3E3" w:rsidR="00713942" w:rsidRPr="001F130D" w:rsidRDefault="00720D2A">
      <w:pPr>
        <w:pStyle w:val="Prrafodelista"/>
        <w:numPr>
          <w:ilvl w:val="0"/>
          <w:numId w:val="5"/>
        </w:numPr>
        <w:jc w:val="both"/>
        <w:rPr>
          <w:rFonts w:ascii="Arial" w:hAnsi="Arial" w:cs="Arial"/>
          <w:b/>
          <w:bCs/>
          <w:sz w:val="22"/>
          <w:szCs w:val="22"/>
        </w:rPr>
      </w:pPr>
      <w:r w:rsidRPr="001F130D">
        <w:rPr>
          <w:rFonts w:ascii="Arial" w:hAnsi="Arial" w:cs="Arial"/>
          <w:b/>
          <w:bCs/>
          <w:sz w:val="22"/>
          <w:szCs w:val="22"/>
        </w:rPr>
        <w:t>OBJETO.</w:t>
      </w:r>
    </w:p>
    <w:p w14:paraId="19B62503" w14:textId="6F9298AC" w:rsidR="00720D2A" w:rsidRPr="001F130D" w:rsidRDefault="00720D2A" w:rsidP="00720D2A">
      <w:pPr>
        <w:jc w:val="both"/>
        <w:rPr>
          <w:rFonts w:ascii="Arial" w:hAnsi="Arial" w:cs="Arial"/>
          <w:b/>
          <w:bCs/>
          <w:sz w:val="22"/>
          <w:szCs w:val="22"/>
        </w:rPr>
      </w:pPr>
    </w:p>
    <w:p w14:paraId="2A3F88CF" w14:textId="66A77AA3" w:rsidR="006E2746" w:rsidRDefault="00681B42" w:rsidP="00A35F3F">
      <w:pPr>
        <w:jc w:val="both"/>
        <w:rPr>
          <w:rFonts w:ascii="Arial" w:hAnsi="Arial" w:cs="Arial"/>
          <w:sz w:val="22"/>
          <w:szCs w:val="22"/>
        </w:rPr>
      </w:pPr>
      <w:r w:rsidRPr="00681B42">
        <w:rPr>
          <w:rFonts w:ascii="Arial" w:hAnsi="Arial" w:cs="Arial"/>
          <w:sz w:val="22"/>
          <w:szCs w:val="22"/>
        </w:rPr>
        <w:t>Contratar en nombre de LA NACIÓN    -  CONSEJO  SUPERIOR  DE  LA  JUDICATURA  – DIRECCIÓN EJECUTIVA SECCIONAL DE ADMINISTRACIÓN JUDICIAL DE CUCUTA,</w:t>
      </w:r>
      <w:r w:rsidR="006F5CFB" w:rsidRPr="006F5CFB">
        <w:rPr>
          <w:rFonts w:ascii="Arial" w:hAnsi="Arial" w:cs="Arial"/>
          <w:bCs/>
          <w:i/>
          <w:iCs/>
          <w:sz w:val="22"/>
          <w:u w:val="single"/>
        </w:rPr>
        <w:t xml:space="preserve"> la compra de discos duros, memorias RAM, memorias DDR4, de acuerdo a las especificaciones técnicas del objeto contractual contenidas en el presente, acordes con el Plan Estratégico de Transformación Digital 2021-2025, adoptado a través de Acuerdo PCSJA20-11631</w:t>
      </w:r>
      <w:r w:rsidRPr="00681B42">
        <w:rPr>
          <w:rFonts w:ascii="Arial" w:hAnsi="Arial" w:cs="Arial"/>
          <w:sz w:val="22"/>
          <w:szCs w:val="22"/>
        </w:rPr>
        <w:t>; en las condiciones técnicas de calidad y cantidad establecidas por el Consejo Superior de la Judicatura de conformidad con lo previsto en la Ley 80 de 1993, Ley 1150 de 2007, y Decreto 1082 de 2015.</w:t>
      </w:r>
    </w:p>
    <w:p w14:paraId="46B428BD" w14:textId="77777777" w:rsidR="006F5CFB" w:rsidRPr="001F130D" w:rsidRDefault="006F5CFB" w:rsidP="00A35F3F">
      <w:pPr>
        <w:jc w:val="both"/>
        <w:rPr>
          <w:rFonts w:ascii="Arial" w:hAnsi="Arial" w:cs="Arial"/>
          <w:sz w:val="22"/>
          <w:szCs w:val="22"/>
        </w:rPr>
      </w:pPr>
    </w:p>
    <w:p w14:paraId="38D0A094" w14:textId="63A9C355" w:rsidR="00720D2A" w:rsidRPr="001F130D" w:rsidRDefault="00720D2A">
      <w:pPr>
        <w:pStyle w:val="Prrafodelista"/>
        <w:numPr>
          <w:ilvl w:val="0"/>
          <w:numId w:val="5"/>
        </w:numPr>
        <w:jc w:val="both"/>
        <w:rPr>
          <w:rFonts w:ascii="Arial" w:hAnsi="Arial" w:cs="Arial"/>
          <w:b/>
          <w:bCs/>
          <w:sz w:val="22"/>
          <w:szCs w:val="22"/>
        </w:rPr>
      </w:pPr>
      <w:r w:rsidRPr="001F130D">
        <w:rPr>
          <w:rFonts w:ascii="Arial" w:hAnsi="Arial" w:cs="Arial"/>
          <w:b/>
          <w:bCs/>
          <w:sz w:val="22"/>
          <w:szCs w:val="22"/>
        </w:rPr>
        <w:t>ANÁLISIS DEL SECTOR.</w:t>
      </w:r>
    </w:p>
    <w:p w14:paraId="47AC625F" w14:textId="469C44F5" w:rsidR="00720D2A" w:rsidRPr="001F130D" w:rsidRDefault="00720D2A" w:rsidP="00720D2A">
      <w:pPr>
        <w:jc w:val="both"/>
        <w:rPr>
          <w:rFonts w:ascii="Arial" w:hAnsi="Arial" w:cs="Arial"/>
          <w:b/>
          <w:bCs/>
          <w:sz w:val="22"/>
          <w:szCs w:val="22"/>
        </w:rPr>
      </w:pPr>
    </w:p>
    <w:p w14:paraId="3F274849" w14:textId="6FCD3AB6" w:rsidR="00713942" w:rsidRPr="0066570C" w:rsidRDefault="004B33AA" w:rsidP="00713942">
      <w:pPr>
        <w:jc w:val="both"/>
        <w:rPr>
          <w:rFonts w:ascii="Arial" w:hAnsi="Arial" w:cs="Arial"/>
          <w:b/>
          <w:bCs/>
          <w:sz w:val="22"/>
          <w:szCs w:val="22"/>
        </w:rPr>
      </w:pPr>
      <w:r w:rsidRPr="001F130D">
        <w:rPr>
          <w:rFonts w:ascii="Arial" w:hAnsi="Arial" w:cs="Arial"/>
          <w:sz w:val="22"/>
          <w:szCs w:val="22"/>
        </w:rPr>
        <w:t xml:space="preserve">2.1. </w:t>
      </w:r>
      <w:r w:rsidR="00720D2A" w:rsidRPr="0066570C">
        <w:rPr>
          <w:rFonts w:ascii="Arial" w:hAnsi="Arial" w:cs="Arial"/>
          <w:b/>
          <w:bCs/>
          <w:sz w:val="22"/>
          <w:szCs w:val="22"/>
        </w:rPr>
        <w:t>ASPECTOS GENERALES</w:t>
      </w:r>
      <w:r w:rsidR="00F35A32" w:rsidRPr="0066570C">
        <w:rPr>
          <w:rFonts w:ascii="Arial" w:hAnsi="Arial" w:cs="Arial"/>
          <w:b/>
          <w:bCs/>
          <w:sz w:val="22"/>
          <w:szCs w:val="22"/>
        </w:rPr>
        <w:t>.</w:t>
      </w:r>
    </w:p>
    <w:p w14:paraId="3DA5ED4A" w14:textId="218D108B" w:rsidR="00AD0972" w:rsidRPr="001F130D" w:rsidRDefault="00AD0972" w:rsidP="00713942">
      <w:pPr>
        <w:jc w:val="both"/>
        <w:rPr>
          <w:rFonts w:ascii="Arial" w:hAnsi="Arial" w:cs="Arial"/>
          <w:sz w:val="22"/>
          <w:szCs w:val="22"/>
        </w:rPr>
      </w:pPr>
    </w:p>
    <w:p w14:paraId="6F439BE6" w14:textId="56211F84" w:rsidR="006E2746" w:rsidRPr="006E2746" w:rsidRDefault="006E2746" w:rsidP="006E2746">
      <w:pPr>
        <w:autoSpaceDE w:val="0"/>
        <w:autoSpaceDN w:val="0"/>
        <w:adjustRightInd w:val="0"/>
        <w:jc w:val="both"/>
        <w:rPr>
          <w:rFonts w:ascii="Arial" w:eastAsia="Arial" w:hAnsi="Arial" w:cs="Arial"/>
          <w:sz w:val="22"/>
          <w:szCs w:val="22"/>
          <w:lang w:eastAsia="en-US"/>
        </w:rPr>
      </w:pPr>
      <w:r w:rsidRPr="006E2746">
        <w:rPr>
          <w:rFonts w:ascii="Arial" w:eastAsia="Arial" w:hAnsi="Arial" w:cs="Arial"/>
          <w:sz w:val="22"/>
          <w:szCs w:val="22"/>
          <w:lang w:eastAsia="en-US"/>
        </w:rPr>
        <w:t>La Dirección Ejecutiva Seccional de Administración Judicial tiene la obligación de coadyuvar para el buen desempeño de las funciones propias de las diferentes Corporaciones y Despachos Judiciales, y suministrar los medios y las herramientas necesarias para la buena marcha de la Administración de Justicia.</w:t>
      </w:r>
    </w:p>
    <w:p w14:paraId="0FC0C21D" w14:textId="77777777" w:rsidR="006E2746" w:rsidRPr="006E2746" w:rsidRDefault="006E2746" w:rsidP="006E2746">
      <w:pPr>
        <w:autoSpaceDE w:val="0"/>
        <w:autoSpaceDN w:val="0"/>
        <w:adjustRightInd w:val="0"/>
        <w:jc w:val="both"/>
        <w:rPr>
          <w:rFonts w:ascii="Arial" w:eastAsia="Arial" w:hAnsi="Arial" w:cs="Arial"/>
          <w:sz w:val="22"/>
          <w:szCs w:val="22"/>
          <w:lang w:eastAsia="en-US"/>
        </w:rPr>
      </w:pPr>
    </w:p>
    <w:p w14:paraId="70E39A3D" w14:textId="77777777" w:rsidR="006E2746" w:rsidRPr="006E2746" w:rsidRDefault="006E2746" w:rsidP="006E2746">
      <w:pPr>
        <w:autoSpaceDE w:val="0"/>
        <w:autoSpaceDN w:val="0"/>
        <w:adjustRightInd w:val="0"/>
        <w:jc w:val="both"/>
        <w:rPr>
          <w:rFonts w:ascii="Arial" w:eastAsia="Arial" w:hAnsi="Arial" w:cs="Arial"/>
          <w:sz w:val="22"/>
          <w:szCs w:val="22"/>
          <w:lang w:eastAsia="en-US"/>
        </w:rPr>
      </w:pPr>
      <w:r w:rsidRPr="006E2746">
        <w:rPr>
          <w:rFonts w:ascii="Arial" w:eastAsia="Arial" w:hAnsi="Arial" w:cs="Arial"/>
          <w:sz w:val="22"/>
          <w:szCs w:val="22"/>
          <w:lang w:eastAsia="en-US"/>
        </w:rPr>
        <w:lastRenderedPageBreak/>
        <w:t>De conformidad con lo previsto en el artículo 99 numerales 2 y 8 de la Ley 270 de 1996, corresponde al Director Ejecutivo de Administración Judicial “Administrar los bienes y recursos destinados para el funcionamiento de la Rama Judicial y responder por su correcta aplicación o utilización”; a su vez, conforme al numeral 2 del artículo 103 de la misma Ley, corresponde al Director Ejecutivo Seccional de Administración Judicial, en el ámbito de su jurisdicción, y conforme a las órdenes, directrices y orientaciones del Director Ejecutivo de Administración Judicial, “Administrar los bienes y recursos destinados para el funcionamiento de la Rama Judicial y responder por su correcta aplicación o utilización”.</w:t>
      </w:r>
    </w:p>
    <w:p w14:paraId="66A10FD7" w14:textId="77777777" w:rsidR="006E2746" w:rsidRPr="006E2746" w:rsidRDefault="006E2746" w:rsidP="006E2746">
      <w:pPr>
        <w:autoSpaceDE w:val="0"/>
        <w:autoSpaceDN w:val="0"/>
        <w:adjustRightInd w:val="0"/>
        <w:jc w:val="both"/>
        <w:rPr>
          <w:rFonts w:ascii="Arial" w:eastAsia="Arial" w:hAnsi="Arial" w:cs="Arial"/>
          <w:sz w:val="22"/>
          <w:szCs w:val="22"/>
          <w:lang w:eastAsia="en-US"/>
        </w:rPr>
      </w:pPr>
    </w:p>
    <w:p w14:paraId="4BE9AAB5" w14:textId="5BCB6BA3" w:rsidR="006E2746" w:rsidRPr="006E2746" w:rsidRDefault="006E2746" w:rsidP="006E2746">
      <w:pPr>
        <w:autoSpaceDE w:val="0"/>
        <w:autoSpaceDN w:val="0"/>
        <w:adjustRightInd w:val="0"/>
        <w:jc w:val="both"/>
        <w:rPr>
          <w:rFonts w:ascii="Arial" w:eastAsia="Arial" w:hAnsi="Arial" w:cs="Arial"/>
          <w:sz w:val="22"/>
          <w:szCs w:val="22"/>
          <w:lang w:eastAsia="en-US"/>
        </w:rPr>
      </w:pPr>
      <w:r w:rsidRPr="006E2746">
        <w:rPr>
          <w:rFonts w:ascii="Arial" w:eastAsia="Arial" w:hAnsi="Arial" w:cs="Arial"/>
          <w:sz w:val="22"/>
          <w:szCs w:val="22"/>
          <w:lang w:eastAsia="en-US"/>
        </w:rPr>
        <w:t>Es así como la Dirección Seccional en cumplimiento de la planeación requerida en la gestión contractual, así como la normatividad en materia de presupuesto, debe identificar las necesidades, establecer las especificaciones técnicas que se deben requerir con el ánimo de obtener bienes, servicios y obras de primera calidad y de forma oportuna, y analizar el mecanismo idóneo para satisfacerlas.</w:t>
      </w:r>
    </w:p>
    <w:p w14:paraId="5E46C867" w14:textId="77777777" w:rsidR="006E2746" w:rsidRPr="006E2746" w:rsidRDefault="006E2746" w:rsidP="006E2746">
      <w:pPr>
        <w:autoSpaceDE w:val="0"/>
        <w:autoSpaceDN w:val="0"/>
        <w:adjustRightInd w:val="0"/>
        <w:jc w:val="both"/>
        <w:rPr>
          <w:rFonts w:ascii="Arial" w:eastAsia="Arial" w:hAnsi="Arial" w:cs="Arial"/>
          <w:sz w:val="22"/>
          <w:szCs w:val="22"/>
          <w:lang w:eastAsia="en-US"/>
        </w:rPr>
      </w:pPr>
    </w:p>
    <w:p w14:paraId="2F6BDB59" w14:textId="77777777" w:rsidR="006F5CFB" w:rsidRPr="005B613E" w:rsidRDefault="006F5CFB" w:rsidP="006F5CFB">
      <w:pPr>
        <w:ind w:left="15"/>
        <w:jc w:val="both"/>
        <w:rPr>
          <w:rFonts w:ascii="Arial" w:hAnsi="Arial" w:cs="Arial"/>
          <w:i/>
          <w:iCs/>
          <w:sz w:val="22"/>
          <w:szCs w:val="22"/>
        </w:rPr>
      </w:pPr>
      <w:r w:rsidRPr="00C43EF9">
        <w:rPr>
          <w:rFonts w:ascii="Arial" w:hAnsi="Arial" w:cs="Arial"/>
          <w:sz w:val="22"/>
          <w:szCs w:val="22"/>
        </w:rPr>
        <w:t xml:space="preserve">Con base en lo anterior, y </w:t>
      </w:r>
      <w:r>
        <w:rPr>
          <w:rFonts w:ascii="Arial" w:hAnsi="Arial" w:cs="Arial"/>
          <w:sz w:val="22"/>
          <w:szCs w:val="22"/>
        </w:rPr>
        <w:t xml:space="preserve">en el </w:t>
      </w:r>
      <w:r w:rsidRPr="00C43EF9">
        <w:rPr>
          <w:rFonts w:ascii="Arial" w:hAnsi="Arial" w:cs="Arial"/>
          <w:sz w:val="22"/>
          <w:szCs w:val="22"/>
        </w:rPr>
        <w:t>Plan Estratégico de Transformación Digital 2021-2025, adoptado a través de Acuerdo PCSJA20-11631</w:t>
      </w:r>
      <w:r>
        <w:rPr>
          <w:rFonts w:ascii="Arial" w:hAnsi="Arial" w:cs="Arial"/>
          <w:sz w:val="22"/>
          <w:szCs w:val="22"/>
        </w:rPr>
        <w:t xml:space="preserve">, </w:t>
      </w:r>
      <w:r w:rsidRPr="00C43EF9">
        <w:rPr>
          <w:rFonts w:ascii="Arial" w:hAnsi="Arial" w:cs="Arial"/>
          <w:sz w:val="22"/>
          <w:szCs w:val="22"/>
        </w:rPr>
        <w:t>se han definido líneas principales: la adquisición de computadores portátiles para la totalidad de jueces y magistrados del país,  la adquisición de computadores de escritorio tipo Todo en Uno (AIO ) para los servidores de la Rama Judicial a nivel nacional</w:t>
      </w:r>
      <w:r>
        <w:rPr>
          <w:rFonts w:ascii="Arial" w:hAnsi="Arial" w:cs="Arial"/>
          <w:sz w:val="22"/>
          <w:szCs w:val="22"/>
        </w:rPr>
        <w:t xml:space="preserve">, y la repotenciación de equipos bien sea el remplazo de discos duros, memorias y demás, o con la adquisición de equipos nuevos, en razón a que </w:t>
      </w:r>
      <w:r w:rsidRPr="008D2ABB">
        <w:rPr>
          <w:rFonts w:ascii="Arial" w:hAnsi="Arial" w:cs="Arial"/>
          <w:sz w:val="22"/>
          <w:szCs w:val="22"/>
        </w:rPr>
        <w:t xml:space="preserve">según la definición habitual de </w:t>
      </w:r>
      <w:r>
        <w:rPr>
          <w:rFonts w:ascii="Arial" w:hAnsi="Arial" w:cs="Arial"/>
          <w:sz w:val="22"/>
          <w:szCs w:val="22"/>
        </w:rPr>
        <w:t xml:space="preserve">tienen una </w:t>
      </w:r>
      <w:r w:rsidRPr="008D2ABB">
        <w:rPr>
          <w:rFonts w:ascii="Arial" w:hAnsi="Arial" w:cs="Arial"/>
          <w:sz w:val="22"/>
          <w:szCs w:val="22"/>
        </w:rPr>
        <w:t>vida útil de 5 años</w:t>
      </w:r>
      <w:r>
        <w:rPr>
          <w:rFonts w:ascii="Arial" w:hAnsi="Arial" w:cs="Arial"/>
          <w:sz w:val="22"/>
          <w:szCs w:val="22"/>
        </w:rPr>
        <w:t xml:space="preserve">; por lo que según lo señalado en el </w:t>
      </w:r>
      <w:r w:rsidRPr="008D2ABB">
        <w:rPr>
          <w:rFonts w:ascii="Arial" w:hAnsi="Arial" w:cs="Arial"/>
          <w:sz w:val="22"/>
          <w:szCs w:val="22"/>
        </w:rPr>
        <w:t>MEMORANDO</w:t>
      </w:r>
      <w:r>
        <w:rPr>
          <w:rFonts w:ascii="Arial" w:hAnsi="Arial" w:cs="Arial"/>
          <w:sz w:val="22"/>
          <w:szCs w:val="22"/>
        </w:rPr>
        <w:t xml:space="preserve"> </w:t>
      </w:r>
      <w:r w:rsidRPr="008D2ABB">
        <w:rPr>
          <w:rFonts w:ascii="Arial" w:hAnsi="Arial" w:cs="Arial"/>
          <w:sz w:val="22"/>
          <w:szCs w:val="22"/>
        </w:rPr>
        <w:t>DEAJIFM23-518</w:t>
      </w:r>
      <w:r>
        <w:rPr>
          <w:rFonts w:ascii="Arial" w:hAnsi="Arial" w:cs="Arial"/>
          <w:sz w:val="22"/>
          <w:szCs w:val="22"/>
        </w:rPr>
        <w:t xml:space="preserve"> emitido por la Dirección Ejecutiva, en septiembre 26 de 2023: </w:t>
      </w:r>
      <w:r w:rsidRPr="008D2ABB">
        <w:rPr>
          <w:rFonts w:ascii="Arial" w:hAnsi="Arial" w:cs="Arial"/>
          <w:i/>
          <w:iCs/>
          <w:sz w:val="22"/>
          <w:szCs w:val="22"/>
        </w:rPr>
        <w:t>después de que logre la meta de que la totalidad de servidores de la Rama Judicial cuente con equipos ingresados en los años más recientes, el siguiente paso es actualizar equipos como los ingresados o puestos en uso entre 2018 y 2020, para acercar sus características a los equipos que se han adquirido desde 2020 y se han puesto en servicio desde 2021, en particular, las características de memoria (antes 8 Gb, ahora 16 Gb) y disco duro (antes rotacional, ahora de estado sólido), y elementos para audio y video (los computadores de escritorio adquiridos anteriormente no tenían cámara web, parlantes o micrófono, siendo la masificación de los mecanismos de videoconferencia que tuvo lugar por la pandemia, la circunstancia que cambió esa tendencia</w:t>
      </w:r>
      <w:r w:rsidRPr="008D2ABB">
        <w:rPr>
          <w:rFonts w:ascii="Arial" w:hAnsi="Arial" w:cs="Arial"/>
          <w:sz w:val="22"/>
          <w:szCs w:val="22"/>
        </w:rPr>
        <w:t>.</w:t>
      </w:r>
      <w:r>
        <w:rPr>
          <w:rFonts w:ascii="Arial" w:hAnsi="Arial" w:cs="Arial"/>
          <w:sz w:val="22"/>
          <w:szCs w:val="22"/>
        </w:rPr>
        <w:t xml:space="preserve"> Asignando para la Seccional de Cúcuta el presupuesto de $ </w:t>
      </w:r>
      <w:r w:rsidRPr="008D2ABB">
        <w:rPr>
          <w:rFonts w:ascii="Arial" w:hAnsi="Arial" w:cs="Arial"/>
          <w:sz w:val="22"/>
          <w:szCs w:val="22"/>
        </w:rPr>
        <w:t>1.392.975.230</w:t>
      </w:r>
      <w:r>
        <w:rPr>
          <w:rFonts w:ascii="Arial" w:hAnsi="Arial" w:cs="Arial"/>
          <w:sz w:val="22"/>
          <w:szCs w:val="22"/>
        </w:rPr>
        <w:t xml:space="preserve"> para cubrir las adquisiciones mencionadas.</w:t>
      </w:r>
    </w:p>
    <w:p w14:paraId="57CAC131" w14:textId="77777777" w:rsidR="006F5CFB" w:rsidRPr="008D2ABB" w:rsidRDefault="006F5CFB" w:rsidP="006F5CFB">
      <w:pPr>
        <w:pStyle w:val="NormalWeb"/>
        <w:jc w:val="both"/>
        <w:rPr>
          <w:rFonts w:ascii="Arial" w:hAnsi="Arial" w:cs="Arial"/>
        </w:rPr>
      </w:pPr>
      <w:r w:rsidRPr="008D2ABB">
        <w:rPr>
          <w:rFonts w:ascii="Arial" w:hAnsi="Arial" w:cs="Arial"/>
          <w:sz w:val="22"/>
          <w:szCs w:val="22"/>
        </w:rPr>
        <w:t>En este sentido y con base en correo enviado por el Ingeniero LUIS ORLANDO ROJAS NIÑO - Coordinador de Apoyo Tecnológico, se establece la necesidad de</w:t>
      </w:r>
      <w:r w:rsidRPr="008D2ABB">
        <w:rPr>
          <w:rFonts w:ascii="Arial" w:hAnsi="Arial" w:cs="Arial"/>
          <w:color w:val="000000"/>
          <w:sz w:val="22"/>
          <w:szCs w:val="22"/>
        </w:rPr>
        <w:t xml:space="preserve"> unidades de CD externas</w:t>
      </w:r>
      <w:r>
        <w:rPr>
          <w:rFonts w:ascii="Arial" w:hAnsi="Arial" w:cs="Arial"/>
          <w:color w:val="000000"/>
          <w:sz w:val="22"/>
          <w:szCs w:val="22"/>
        </w:rPr>
        <w:t xml:space="preserve"> en razón a que con frecuencia los despachos solicitan esta herramienta tecnológica  cuando reciben pruebas en CD ya que muchos de los equipos no tienen el correspondiente lector</w:t>
      </w:r>
      <w:r w:rsidRPr="008D2ABB">
        <w:rPr>
          <w:rFonts w:ascii="Arial" w:hAnsi="Arial" w:cs="Arial"/>
          <w:color w:val="000000"/>
          <w:sz w:val="22"/>
          <w:szCs w:val="22"/>
        </w:rPr>
        <w:t xml:space="preserve">, discos duros, memorias RAM, memorias DDR4, con el objeto de </w:t>
      </w:r>
      <w:r w:rsidRPr="008D2ABB">
        <w:rPr>
          <w:rFonts w:ascii="Arial" w:hAnsi="Arial" w:cs="Arial"/>
          <w:sz w:val="22"/>
          <w:szCs w:val="22"/>
        </w:rPr>
        <w:t>repotenciar los 175 equipos Lenovo Thinkcentre adquiridos en el año 2019 y cuyos discos duros están fallando además de aumentar la memoria Ram a 16 GB al igual que los 137 equipos Dell todo en uno adquiridos en el 2020, también de aumentar la memoria a 16 GB de los 64 equipos Hp de las salas de audiencias NEC instaladas en el año 2017. Además se requiere disponibilidad de espacio de almacenamiento para el respaldo de información sensible que nos protejan de ciberataques como el registrado el pasado 12 de septiembre y que nos garantice la continuidad de</w:t>
      </w:r>
      <w:r>
        <w:rPr>
          <w:rFonts w:ascii="Arial" w:hAnsi="Arial" w:cs="Arial"/>
          <w:sz w:val="22"/>
          <w:szCs w:val="22"/>
        </w:rPr>
        <w:t xml:space="preserve"> las funciones que hacen parte del objeto misional de la Rama Judicial</w:t>
      </w:r>
      <w:r w:rsidRPr="008D2ABB">
        <w:rPr>
          <w:rFonts w:ascii="Arial" w:hAnsi="Arial" w:cs="Arial"/>
          <w:sz w:val="22"/>
          <w:szCs w:val="22"/>
        </w:rPr>
        <w:t xml:space="preserve">. </w:t>
      </w:r>
    </w:p>
    <w:p w14:paraId="6CCDCCEF" w14:textId="77777777" w:rsidR="006F5CFB" w:rsidRDefault="006F5CFB" w:rsidP="006F5CFB">
      <w:pPr>
        <w:pStyle w:val="NormalWeb"/>
        <w:jc w:val="both"/>
        <w:rPr>
          <w:rFonts w:ascii="Arial" w:hAnsi="Arial" w:cs="Arial"/>
          <w:sz w:val="22"/>
          <w:szCs w:val="22"/>
        </w:rPr>
      </w:pPr>
      <w:r w:rsidRPr="00FE1675">
        <w:rPr>
          <w:rFonts w:ascii="Arial" w:hAnsi="Arial" w:cs="Arial"/>
          <w:sz w:val="22"/>
          <w:szCs w:val="22"/>
        </w:rPr>
        <w:t xml:space="preserve">En consecuencia, </w:t>
      </w:r>
      <w:r>
        <w:rPr>
          <w:rFonts w:ascii="Arial" w:hAnsi="Arial" w:cs="Arial"/>
          <w:sz w:val="22"/>
          <w:szCs w:val="22"/>
        </w:rPr>
        <w:t>s</w:t>
      </w:r>
      <w:r w:rsidRPr="00FE1675">
        <w:rPr>
          <w:rFonts w:ascii="Arial" w:hAnsi="Arial" w:cs="Arial"/>
          <w:sz w:val="22"/>
          <w:szCs w:val="22"/>
        </w:rPr>
        <w:t xml:space="preserve">e hace imperativo que el Consejo Superior de la Judicatura a través </w:t>
      </w:r>
      <w:r>
        <w:rPr>
          <w:rFonts w:ascii="Arial" w:hAnsi="Arial" w:cs="Arial"/>
          <w:sz w:val="22"/>
          <w:szCs w:val="22"/>
        </w:rPr>
        <w:t xml:space="preserve">de la </w:t>
      </w:r>
      <w:r w:rsidRPr="00FE1675">
        <w:rPr>
          <w:rFonts w:ascii="Arial" w:hAnsi="Arial" w:cs="Arial"/>
          <w:sz w:val="22"/>
          <w:szCs w:val="22"/>
        </w:rPr>
        <w:t>Dirección Seccional de Administración Judicial, cumpla de manera oportuna con su deber misional y legal de atender</w:t>
      </w:r>
      <w:r>
        <w:rPr>
          <w:rFonts w:ascii="Arial" w:hAnsi="Arial" w:cs="Arial"/>
          <w:sz w:val="22"/>
          <w:szCs w:val="22"/>
        </w:rPr>
        <w:t xml:space="preserve"> el requerimiento señalado</w:t>
      </w:r>
      <w:r w:rsidRPr="00FE1675">
        <w:rPr>
          <w:rFonts w:ascii="Arial" w:hAnsi="Arial" w:cs="Arial"/>
          <w:sz w:val="22"/>
          <w:szCs w:val="22"/>
        </w:rPr>
        <w:t>,</w:t>
      </w:r>
      <w:r>
        <w:rPr>
          <w:rFonts w:ascii="Arial" w:hAnsi="Arial" w:cs="Arial"/>
          <w:sz w:val="22"/>
          <w:szCs w:val="22"/>
        </w:rPr>
        <w:t xml:space="preserve"> ya que no hay existencia de los mismos en el almacén, con las características mencionadas en los requerimientos técnicos del presente.  </w:t>
      </w:r>
    </w:p>
    <w:p w14:paraId="2E3BCC96" w14:textId="77777777" w:rsidR="006F5CFB" w:rsidRDefault="006F5CFB" w:rsidP="006F5CFB">
      <w:pPr>
        <w:pStyle w:val="NormalWeb"/>
        <w:jc w:val="both"/>
        <w:rPr>
          <w:rFonts w:ascii="Arial" w:hAnsi="Arial" w:cs="Arial"/>
          <w:sz w:val="22"/>
          <w:szCs w:val="22"/>
        </w:rPr>
      </w:pPr>
      <w:r w:rsidRPr="00982688">
        <w:rPr>
          <w:rFonts w:ascii="Arial" w:hAnsi="Arial" w:cs="Arial"/>
          <w:sz w:val="22"/>
          <w:szCs w:val="22"/>
        </w:rPr>
        <w:t xml:space="preserve">En tal sentido, para garantizar de manera eficiente el cumplimiento del objetivo propuesto por el Consejo Superior de la Judicatura, la Dirección Ejecutiva Seccional de Administración Judicial de </w:t>
      </w:r>
      <w:r>
        <w:rPr>
          <w:rFonts w:ascii="Arial" w:hAnsi="Arial" w:cs="Arial"/>
          <w:sz w:val="22"/>
          <w:szCs w:val="22"/>
        </w:rPr>
        <w:t>Cúcuta</w:t>
      </w:r>
      <w:r w:rsidRPr="00982688">
        <w:rPr>
          <w:rFonts w:ascii="Arial" w:hAnsi="Arial" w:cs="Arial"/>
          <w:sz w:val="22"/>
          <w:szCs w:val="22"/>
        </w:rPr>
        <w:t xml:space="preserve">, se requiere adelantar un proceso de Selección de Menor Cuantía con la finalidad de cubrir las diferentes necesidades </w:t>
      </w:r>
      <w:r>
        <w:rPr>
          <w:rFonts w:ascii="Arial" w:hAnsi="Arial" w:cs="Arial"/>
          <w:sz w:val="22"/>
          <w:szCs w:val="22"/>
        </w:rPr>
        <w:t xml:space="preserve">manifestadas, </w:t>
      </w:r>
      <w:r w:rsidRPr="00982688">
        <w:rPr>
          <w:rFonts w:ascii="Arial" w:hAnsi="Arial" w:cs="Arial"/>
          <w:sz w:val="22"/>
          <w:szCs w:val="22"/>
        </w:rPr>
        <w:t>a través de la modalidad Selección Abreviada para la adquisición de Bienes y Servicios de Características Técnicas Uniformes por Subasta Inversa</w:t>
      </w:r>
      <w:r>
        <w:rPr>
          <w:rFonts w:ascii="Arial" w:hAnsi="Arial" w:cs="Arial"/>
          <w:sz w:val="22"/>
          <w:szCs w:val="22"/>
        </w:rPr>
        <w:t>.</w:t>
      </w:r>
    </w:p>
    <w:p w14:paraId="47244F36" w14:textId="77777777" w:rsidR="006F5CFB" w:rsidRDefault="006F5CFB" w:rsidP="006F5CFB">
      <w:pPr>
        <w:pStyle w:val="NormalWeb"/>
        <w:jc w:val="both"/>
        <w:rPr>
          <w:rFonts w:ascii="Arial" w:hAnsi="Arial" w:cs="Arial"/>
          <w:sz w:val="22"/>
          <w:szCs w:val="22"/>
        </w:rPr>
      </w:pPr>
      <w:r w:rsidRPr="000F2C84">
        <w:rPr>
          <w:rFonts w:ascii="Arial" w:hAnsi="Arial" w:cs="Arial"/>
          <w:sz w:val="22"/>
          <w:szCs w:val="22"/>
        </w:rPr>
        <w:lastRenderedPageBreak/>
        <w:t xml:space="preserve">Además, teniendo en cuenta la CIRCULAR PCSJC17-8 del 09 de febrero de 2017, expedida por la Presidencia del Consejo Superior de la Judicatura, mediante la cual se imparten directrices de transparencia y eficiencia en materia contratación, se confirma que actualmente no hay un acuerdo marco vigente en </w:t>
      </w:r>
      <w:r w:rsidRPr="00A86628">
        <w:rPr>
          <w:rFonts w:ascii="Arial" w:hAnsi="Arial" w:cs="Arial"/>
          <w:sz w:val="22"/>
          <w:szCs w:val="22"/>
        </w:rPr>
        <w:t>la página WEB de Colombia Compra Eficiente que cubra el objeto del presente estudio, y</w:t>
      </w:r>
      <w:r>
        <w:rPr>
          <w:rFonts w:ascii="Arial" w:hAnsi="Arial" w:cs="Arial"/>
          <w:sz w:val="22"/>
          <w:szCs w:val="22"/>
        </w:rPr>
        <w:t>a que si bien en el acuerdo marco de instrumento de agregación de demanda de grandes almacenes actualizado en octubre de 2022</w:t>
      </w:r>
      <w:r>
        <w:rPr>
          <w:rStyle w:val="Refdenotaalpie"/>
          <w:rFonts w:ascii="Arial" w:hAnsi="Arial" w:cs="Arial"/>
          <w:sz w:val="22"/>
          <w:szCs w:val="22"/>
        </w:rPr>
        <w:footnoteReference w:id="1"/>
      </w:r>
      <w:r>
        <w:rPr>
          <w:rFonts w:ascii="Arial" w:hAnsi="Arial" w:cs="Arial"/>
          <w:sz w:val="22"/>
          <w:szCs w:val="22"/>
        </w:rPr>
        <w:t xml:space="preserve">, se encuentran disponibles artículos ya nombrados, también lo es, que en el mencionado acuerdo, se encuentra limitado el valor de la compra al valor máximo de la minina cuantía de la respectiva entidad compradora; </w:t>
      </w:r>
      <w:r w:rsidRPr="000F2C84">
        <w:rPr>
          <w:rFonts w:ascii="Arial" w:hAnsi="Arial" w:cs="Arial"/>
          <w:sz w:val="22"/>
          <w:szCs w:val="22"/>
        </w:rPr>
        <w:t xml:space="preserve">y por tal razón se considera que </w:t>
      </w:r>
      <w:r>
        <w:rPr>
          <w:rFonts w:ascii="Arial" w:hAnsi="Arial" w:cs="Arial"/>
          <w:sz w:val="22"/>
          <w:szCs w:val="22"/>
        </w:rPr>
        <w:t xml:space="preserve">la adquisición con las características técnicas </w:t>
      </w:r>
      <w:r w:rsidRPr="000F2C84">
        <w:rPr>
          <w:rFonts w:ascii="Arial" w:hAnsi="Arial" w:cs="Arial"/>
          <w:sz w:val="22"/>
          <w:szCs w:val="22"/>
        </w:rPr>
        <w:t>requerid</w:t>
      </w:r>
      <w:r>
        <w:rPr>
          <w:rFonts w:ascii="Arial" w:hAnsi="Arial" w:cs="Arial"/>
          <w:sz w:val="22"/>
          <w:szCs w:val="22"/>
        </w:rPr>
        <w:t>as</w:t>
      </w:r>
      <w:r w:rsidRPr="000F2C84">
        <w:rPr>
          <w:rFonts w:ascii="Arial" w:hAnsi="Arial" w:cs="Arial"/>
          <w:sz w:val="22"/>
          <w:szCs w:val="22"/>
        </w:rPr>
        <w:t xml:space="preserve"> por la DIRECCIÓN EJECUTIVA SECCIONAL DE ADMINISTRACIÓN JUDICIAL DE CUCUTA – NORTE DE SANTANDER, debe ser adquirido a través de un proceso contractual, bajo la modalidad de M</w:t>
      </w:r>
      <w:r>
        <w:rPr>
          <w:rFonts w:ascii="Arial" w:hAnsi="Arial" w:cs="Arial"/>
          <w:sz w:val="22"/>
          <w:szCs w:val="22"/>
        </w:rPr>
        <w:t>enor</w:t>
      </w:r>
      <w:r w:rsidRPr="000F2C84">
        <w:rPr>
          <w:rFonts w:ascii="Arial" w:hAnsi="Arial" w:cs="Arial"/>
          <w:sz w:val="22"/>
          <w:szCs w:val="22"/>
        </w:rPr>
        <w:t xml:space="preserve"> </w:t>
      </w:r>
      <w:r>
        <w:rPr>
          <w:rFonts w:ascii="Arial" w:hAnsi="Arial" w:cs="Arial"/>
          <w:sz w:val="22"/>
          <w:szCs w:val="22"/>
        </w:rPr>
        <w:t xml:space="preserve">Cuantía </w:t>
      </w:r>
      <w:r w:rsidRPr="002F163E">
        <w:rPr>
          <w:rFonts w:ascii="Arial" w:hAnsi="Arial" w:cs="Arial"/>
          <w:bCs/>
          <w:color w:val="000000" w:themeColor="text1"/>
          <w:sz w:val="22"/>
          <w:szCs w:val="22"/>
        </w:rPr>
        <w:t>mediante el procedimiento de Subasta Inversa</w:t>
      </w:r>
      <w:r w:rsidRPr="000F2C84">
        <w:rPr>
          <w:rFonts w:ascii="Arial" w:hAnsi="Arial" w:cs="Arial"/>
          <w:sz w:val="22"/>
          <w:szCs w:val="22"/>
        </w:rPr>
        <w:t xml:space="preserve"> a través de la plataforma del SECOP II.</w:t>
      </w:r>
    </w:p>
    <w:p w14:paraId="610E60C2" w14:textId="56FFB7B6" w:rsidR="000139AF" w:rsidRDefault="006F5CFB" w:rsidP="006F5CFB">
      <w:pPr>
        <w:autoSpaceDE w:val="0"/>
        <w:autoSpaceDN w:val="0"/>
        <w:adjustRightInd w:val="0"/>
        <w:jc w:val="both"/>
        <w:rPr>
          <w:rFonts w:ascii="Arial" w:eastAsia="Arial" w:hAnsi="Arial" w:cs="Arial"/>
          <w:sz w:val="22"/>
          <w:szCs w:val="22"/>
          <w:lang w:eastAsia="en-US"/>
        </w:rPr>
      </w:pPr>
      <w:r>
        <w:rPr>
          <w:rFonts w:ascii="Arial" w:hAnsi="Arial" w:cs="Arial"/>
          <w:sz w:val="22"/>
          <w:szCs w:val="22"/>
        </w:rPr>
        <w:t>P</w:t>
      </w:r>
      <w:r w:rsidRPr="000F2C84">
        <w:rPr>
          <w:rFonts w:ascii="Arial" w:hAnsi="Arial" w:cs="Arial"/>
          <w:sz w:val="22"/>
          <w:szCs w:val="22"/>
        </w:rPr>
        <w:t xml:space="preserve">or lo anteriormente expuesto, para la Dirección Seccional de Administración Judicial Cúcuta, como administradora y veedora de los bienes inmuebles, muebles, equipos, enseres y demás propiedades de la Nación Consejo Superior de la Judicatura, para dar cumplimiento al compromiso del Consejo Superior de la Judicatura frente al Plan Sectorial de Desarrollo, a los procesos misionales y de apoyo de la Entidad; se hace perentorio e indispensable contratar dicho </w:t>
      </w:r>
      <w:r>
        <w:rPr>
          <w:rFonts w:ascii="Arial" w:hAnsi="Arial" w:cs="Arial"/>
          <w:sz w:val="22"/>
          <w:szCs w:val="22"/>
        </w:rPr>
        <w:t xml:space="preserve">suministro </w:t>
      </w:r>
      <w:r w:rsidRPr="000F2C84">
        <w:rPr>
          <w:rFonts w:ascii="Arial" w:hAnsi="Arial" w:cs="Arial"/>
          <w:sz w:val="22"/>
          <w:szCs w:val="22"/>
        </w:rPr>
        <w:t>con un contratista calificado, ya que la entidad no dispone en su planta de personal con</w:t>
      </w:r>
      <w:r>
        <w:rPr>
          <w:rFonts w:ascii="Arial" w:hAnsi="Arial" w:cs="Arial"/>
          <w:sz w:val="22"/>
          <w:szCs w:val="22"/>
        </w:rPr>
        <w:t xml:space="preserve"> el</w:t>
      </w:r>
      <w:r w:rsidRPr="000F2C84">
        <w:rPr>
          <w:rFonts w:ascii="Arial" w:hAnsi="Arial" w:cs="Arial"/>
          <w:sz w:val="22"/>
          <w:szCs w:val="22"/>
        </w:rPr>
        <w:t xml:space="preserve"> recurso, ni de los equipos para realizar dicha tarea, en las condiciones técnicas de calidad y cantidad establecidas por el Consejo Superior de la Judicatura.</w:t>
      </w:r>
    </w:p>
    <w:p w14:paraId="24A4842B" w14:textId="77777777" w:rsidR="000139AF" w:rsidRDefault="000139AF" w:rsidP="006E2746">
      <w:pPr>
        <w:autoSpaceDE w:val="0"/>
        <w:autoSpaceDN w:val="0"/>
        <w:adjustRightInd w:val="0"/>
        <w:jc w:val="both"/>
        <w:rPr>
          <w:rFonts w:ascii="Arial" w:eastAsia="Arial" w:hAnsi="Arial" w:cs="Arial"/>
          <w:sz w:val="22"/>
          <w:szCs w:val="22"/>
          <w:lang w:eastAsia="en-US"/>
        </w:rPr>
      </w:pPr>
    </w:p>
    <w:p w14:paraId="311CDA99" w14:textId="77777777" w:rsidR="006E2746" w:rsidRPr="001F130D" w:rsidRDefault="006E2746" w:rsidP="006E2746">
      <w:pPr>
        <w:autoSpaceDE w:val="0"/>
        <w:autoSpaceDN w:val="0"/>
        <w:adjustRightInd w:val="0"/>
        <w:jc w:val="both"/>
        <w:rPr>
          <w:rFonts w:ascii="Arial" w:hAnsi="Arial" w:cs="Arial"/>
          <w:sz w:val="22"/>
          <w:szCs w:val="22"/>
        </w:rPr>
      </w:pPr>
    </w:p>
    <w:p w14:paraId="150A761E" w14:textId="6E764C74" w:rsidR="004B33AA" w:rsidRPr="001F130D" w:rsidRDefault="004B33AA" w:rsidP="0079701A">
      <w:pPr>
        <w:autoSpaceDE w:val="0"/>
        <w:autoSpaceDN w:val="0"/>
        <w:adjustRightInd w:val="0"/>
        <w:jc w:val="both"/>
        <w:rPr>
          <w:rFonts w:ascii="Arial" w:hAnsi="Arial" w:cs="Arial"/>
          <w:color w:val="000000"/>
          <w:sz w:val="22"/>
          <w:szCs w:val="22"/>
        </w:rPr>
      </w:pPr>
      <w:r w:rsidRPr="001F130D">
        <w:rPr>
          <w:rFonts w:ascii="Arial" w:hAnsi="Arial" w:cs="Arial"/>
          <w:sz w:val="22"/>
          <w:szCs w:val="22"/>
        </w:rPr>
        <w:t>2.</w:t>
      </w:r>
      <w:r w:rsidR="00712166" w:rsidRPr="001F130D">
        <w:rPr>
          <w:rFonts w:ascii="Arial" w:hAnsi="Arial" w:cs="Arial"/>
          <w:sz w:val="22"/>
          <w:szCs w:val="22"/>
        </w:rPr>
        <w:t>2</w:t>
      </w:r>
      <w:r w:rsidRPr="001F130D">
        <w:rPr>
          <w:rFonts w:ascii="Arial" w:hAnsi="Arial" w:cs="Arial"/>
          <w:sz w:val="22"/>
          <w:szCs w:val="22"/>
        </w:rPr>
        <w:t xml:space="preserve">. </w:t>
      </w:r>
      <w:r w:rsidR="00712166" w:rsidRPr="00123D59">
        <w:rPr>
          <w:rFonts w:ascii="Arial" w:hAnsi="Arial" w:cs="Arial"/>
          <w:b/>
          <w:bCs/>
          <w:color w:val="000000"/>
          <w:sz w:val="22"/>
          <w:szCs w:val="22"/>
        </w:rPr>
        <w:t>PERSPECTIVA ECONÓMICA.</w:t>
      </w:r>
    </w:p>
    <w:p w14:paraId="5CEA98DA" w14:textId="77777777" w:rsidR="000139AF" w:rsidRDefault="000139AF" w:rsidP="000139AF">
      <w:pPr>
        <w:pStyle w:val="NormalWeb"/>
        <w:jc w:val="both"/>
      </w:pPr>
      <w:r>
        <w:rPr>
          <w:rFonts w:ascii="ArialMT" w:hAnsi="ArialMT"/>
          <w:sz w:val="22"/>
          <w:szCs w:val="22"/>
        </w:rPr>
        <w:t xml:space="preserve">Las actividades económicas de producción y distribución de bienes y servicios son muy diversas y son desarrolladas por empresas tanto públicas como privadas; los sectores económicos del país están relacionados entre sí y se subdividen sucesivamente agrupándose en tres categorías así: </w:t>
      </w:r>
    </w:p>
    <w:p w14:paraId="2EF6C49A" w14:textId="353E4FBA" w:rsidR="000139AF" w:rsidRDefault="000139AF">
      <w:pPr>
        <w:pStyle w:val="NormalWeb"/>
        <w:numPr>
          <w:ilvl w:val="0"/>
          <w:numId w:val="6"/>
        </w:numPr>
        <w:spacing w:before="0" w:beforeAutospacing="0" w:after="0" w:afterAutospacing="0"/>
        <w:ind w:left="714" w:hanging="357"/>
        <w:jc w:val="both"/>
      </w:pPr>
      <w:r>
        <w:rPr>
          <w:rFonts w:ascii="ArialMT" w:hAnsi="ArialMT"/>
          <w:sz w:val="22"/>
          <w:szCs w:val="22"/>
        </w:rPr>
        <w:t xml:space="preserve">Sector dividido en subsectores </w:t>
      </w:r>
    </w:p>
    <w:p w14:paraId="4BE126E1" w14:textId="792E521A" w:rsidR="000139AF" w:rsidRDefault="000139AF">
      <w:pPr>
        <w:pStyle w:val="NormalWeb"/>
        <w:numPr>
          <w:ilvl w:val="0"/>
          <w:numId w:val="6"/>
        </w:numPr>
        <w:spacing w:before="0" w:beforeAutospacing="0" w:after="0" w:afterAutospacing="0"/>
        <w:ind w:left="714" w:hanging="357"/>
        <w:jc w:val="both"/>
      </w:pPr>
      <w:r>
        <w:rPr>
          <w:rFonts w:ascii="ArialMT" w:hAnsi="ArialMT"/>
          <w:sz w:val="22"/>
          <w:szCs w:val="22"/>
        </w:rPr>
        <w:t xml:space="preserve">Subsector dividido en ramas de actividad. </w:t>
      </w:r>
    </w:p>
    <w:p w14:paraId="179D64E6" w14:textId="46920005" w:rsidR="000139AF" w:rsidRPr="000139AF" w:rsidRDefault="000139AF">
      <w:pPr>
        <w:pStyle w:val="NormalWeb"/>
        <w:numPr>
          <w:ilvl w:val="0"/>
          <w:numId w:val="6"/>
        </w:numPr>
        <w:spacing w:before="0" w:beforeAutospacing="0" w:after="0" w:afterAutospacing="0"/>
        <w:ind w:left="714" w:hanging="357"/>
        <w:jc w:val="both"/>
      </w:pPr>
      <w:r>
        <w:rPr>
          <w:rFonts w:ascii="ArialMT" w:hAnsi="ArialMT"/>
          <w:sz w:val="22"/>
          <w:szCs w:val="22"/>
        </w:rPr>
        <w:t xml:space="preserve">Rama de Actividad conformada por varias actividades </w:t>
      </w:r>
    </w:p>
    <w:p w14:paraId="41B883D1" w14:textId="77777777" w:rsidR="000139AF" w:rsidRDefault="000139AF" w:rsidP="000139AF">
      <w:pPr>
        <w:pStyle w:val="NormalWeb"/>
        <w:spacing w:before="0" w:beforeAutospacing="0" w:after="0" w:afterAutospacing="0"/>
        <w:ind w:left="357"/>
        <w:jc w:val="both"/>
      </w:pPr>
    </w:p>
    <w:p w14:paraId="12CD9D48" w14:textId="77777777" w:rsidR="000139AF" w:rsidRDefault="000139AF" w:rsidP="007572C5">
      <w:pPr>
        <w:pStyle w:val="NormalWeb"/>
        <w:spacing w:before="0" w:beforeAutospacing="0" w:after="0" w:afterAutospacing="0"/>
        <w:jc w:val="both"/>
      </w:pPr>
      <w:r>
        <w:rPr>
          <w:rFonts w:ascii="ArialMT" w:hAnsi="ArialMT"/>
          <w:sz w:val="22"/>
          <w:szCs w:val="22"/>
        </w:rPr>
        <w:t xml:space="preserve">Así cada sector económico en Colombia está compuesto por subsectores y ramas de actividad que tienen características comunes, agrupadas en función de afinidades y competencias, que lo hacen perfectamente diferenciables; esta división está realizada de conformidad con los procesos de producción que realiza cada uno de ellos. </w:t>
      </w:r>
    </w:p>
    <w:p w14:paraId="7517825C" w14:textId="77777777" w:rsidR="000139AF" w:rsidRDefault="000139AF" w:rsidP="007572C5">
      <w:pPr>
        <w:pStyle w:val="NormalWeb"/>
        <w:jc w:val="both"/>
      </w:pPr>
      <w:r>
        <w:rPr>
          <w:rFonts w:ascii="ArialMT" w:hAnsi="ArialMT"/>
          <w:sz w:val="22"/>
          <w:szCs w:val="22"/>
        </w:rPr>
        <w:t xml:space="preserve">De acuerdo a la división clásica de la economía, los sectores de la económica son los siguientes: </w:t>
      </w:r>
    </w:p>
    <w:p w14:paraId="21F0EDE6" w14:textId="06E52F66" w:rsidR="000139AF" w:rsidRDefault="000139AF">
      <w:pPr>
        <w:pStyle w:val="NormalWeb"/>
        <w:numPr>
          <w:ilvl w:val="1"/>
          <w:numId w:val="6"/>
        </w:numPr>
        <w:jc w:val="both"/>
      </w:pPr>
      <w:r>
        <w:rPr>
          <w:rFonts w:ascii="ArialMT" w:hAnsi="ArialMT"/>
          <w:sz w:val="22"/>
          <w:szCs w:val="22"/>
        </w:rPr>
        <w:t xml:space="preserve">Sector primario o sector agropecuario </w:t>
      </w:r>
    </w:p>
    <w:p w14:paraId="32E34861" w14:textId="1A1EBB8B" w:rsidR="000139AF" w:rsidRDefault="000139AF">
      <w:pPr>
        <w:pStyle w:val="NormalWeb"/>
        <w:numPr>
          <w:ilvl w:val="1"/>
          <w:numId w:val="6"/>
        </w:numPr>
        <w:jc w:val="both"/>
      </w:pPr>
      <w:r>
        <w:rPr>
          <w:rFonts w:ascii="ArialMT" w:hAnsi="ArialMT"/>
          <w:sz w:val="22"/>
          <w:szCs w:val="22"/>
        </w:rPr>
        <w:t xml:space="preserve">Sector secundario o sector industrial </w:t>
      </w:r>
    </w:p>
    <w:p w14:paraId="545C7114" w14:textId="20CB06B6" w:rsidR="000139AF" w:rsidRDefault="000139AF">
      <w:pPr>
        <w:pStyle w:val="NormalWeb"/>
        <w:numPr>
          <w:ilvl w:val="1"/>
          <w:numId w:val="6"/>
        </w:numPr>
        <w:jc w:val="both"/>
      </w:pPr>
      <w:r>
        <w:rPr>
          <w:rFonts w:ascii="ArialMT" w:hAnsi="ArialMT"/>
          <w:sz w:val="22"/>
          <w:szCs w:val="22"/>
        </w:rPr>
        <w:t xml:space="preserve">Sector terciario o sector de servicios </w:t>
      </w:r>
    </w:p>
    <w:p w14:paraId="796ADCCF" w14:textId="2BCDE6D2" w:rsidR="000139AF" w:rsidRDefault="000139AF">
      <w:pPr>
        <w:pStyle w:val="NormalWeb"/>
        <w:numPr>
          <w:ilvl w:val="1"/>
          <w:numId w:val="6"/>
        </w:numPr>
        <w:jc w:val="both"/>
      </w:pPr>
      <w:r>
        <w:rPr>
          <w:rFonts w:ascii="ArialMT" w:hAnsi="ArialMT"/>
          <w:sz w:val="22"/>
          <w:szCs w:val="22"/>
        </w:rPr>
        <w:t xml:space="preserve">Sector Cuaternario o de la tecnología </w:t>
      </w:r>
    </w:p>
    <w:p w14:paraId="30A8A348" w14:textId="79E323F5" w:rsidR="007572C5" w:rsidRDefault="007572C5" w:rsidP="007572C5">
      <w:pPr>
        <w:pStyle w:val="NormalWeb"/>
        <w:jc w:val="both"/>
        <w:rPr>
          <w:rFonts w:ascii="ArialMT" w:hAnsi="ArialMT"/>
          <w:sz w:val="22"/>
          <w:szCs w:val="22"/>
        </w:rPr>
      </w:pPr>
      <w:r>
        <w:rPr>
          <w:rFonts w:ascii="ArialMT" w:hAnsi="ArialMT"/>
          <w:sz w:val="22"/>
          <w:szCs w:val="22"/>
        </w:rPr>
        <w:t xml:space="preserve">Según las características identificadas de los bienes y servicios requeridos, contenidos en el objeto del proceso contractual, la adquisición pertenece al sector secundario o industrial. </w:t>
      </w:r>
    </w:p>
    <w:p w14:paraId="5E0E7DEA" w14:textId="77777777" w:rsidR="00870C00" w:rsidRDefault="00870C00" w:rsidP="007572C5">
      <w:pPr>
        <w:pStyle w:val="NormalWeb"/>
        <w:jc w:val="both"/>
        <w:rPr>
          <w:rFonts w:ascii="ArialMT" w:hAnsi="ArialMT"/>
          <w:sz w:val="22"/>
          <w:szCs w:val="22"/>
        </w:rPr>
      </w:pPr>
    </w:p>
    <w:p w14:paraId="686D4CD2" w14:textId="77777777" w:rsidR="00870C00" w:rsidRDefault="00870C00" w:rsidP="007572C5">
      <w:pPr>
        <w:pStyle w:val="NormalWeb"/>
        <w:jc w:val="both"/>
        <w:rPr>
          <w:rFonts w:ascii="ArialMT" w:hAnsi="ArialMT"/>
          <w:sz w:val="22"/>
          <w:szCs w:val="22"/>
        </w:rPr>
      </w:pPr>
    </w:p>
    <w:p w14:paraId="7207B0DD" w14:textId="77777777" w:rsidR="00870C00" w:rsidRDefault="00870C00" w:rsidP="007572C5">
      <w:pPr>
        <w:pStyle w:val="NormalWeb"/>
        <w:jc w:val="both"/>
        <w:rPr>
          <w:rFonts w:ascii="ArialMT" w:hAnsi="ArialMT"/>
          <w:sz w:val="22"/>
          <w:szCs w:val="22"/>
        </w:rPr>
      </w:pPr>
    </w:p>
    <w:p w14:paraId="1F9F9605" w14:textId="77777777" w:rsidR="0032360E" w:rsidRPr="0032360E" w:rsidRDefault="0032360E" w:rsidP="0032360E">
      <w:pPr>
        <w:pStyle w:val="NormalWeb"/>
        <w:jc w:val="both"/>
        <w:rPr>
          <w:rFonts w:ascii="Arial" w:hAnsi="Arial" w:cs="Arial"/>
          <w:sz w:val="22"/>
          <w:szCs w:val="22"/>
        </w:rPr>
      </w:pPr>
      <w:r w:rsidRPr="0032360E">
        <w:rPr>
          <w:rFonts w:ascii="Arial" w:hAnsi="Arial" w:cs="Arial"/>
          <w:sz w:val="22"/>
          <w:szCs w:val="22"/>
        </w:rPr>
        <w:lastRenderedPageBreak/>
        <w:t>Según la Federación Colombiana de la Industria del Software y las Tecnologías Informáticas, Fedesoft, el sector ha mantenido tasas de crecimiento entre 10% y 15% anuales en los últimos años, convirtiéndose en uno de los de mayor incremento de la economía y un motor para la generación de empleo.</w:t>
      </w:r>
    </w:p>
    <w:p w14:paraId="2EC07104" w14:textId="6272414F" w:rsidR="0032360E" w:rsidRPr="0032360E" w:rsidRDefault="0032360E" w:rsidP="0032360E">
      <w:pPr>
        <w:pStyle w:val="NormalWeb"/>
        <w:jc w:val="both"/>
        <w:rPr>
          <w:rFonts w:ascii="Arial" w:hAnsi="Arial" w:cs="Arial"/>
          <w:sz w:val="22"/>
          <w:szCs w:val="22"/>
        </w:rPr>
      </w:pPr>
      <w:r w:rsidRPr="0032360E">
        <w:rPr>
          <w:rFonts w:ascii="Arial" w:hAnsi="Arial" w:cs="Arial"/>
          <w:sz w:val="22"/>
          <w:szCs w:val="22"/>
        </w:rPr>
        <w:t>De acuerdo con el Departamento Administrativo Nacional de Estadística, Dane, la tasa dedesempleo en Colombia fue el 9,5 % a finales de 2022. Si bien esto indica una mejoría de</w:t>
      </w:r>
      <w:r>
        <w:rPr>
          <w:rFonts w:ascii="Arial" w:hAnsi="Arial" w:cs="Arial"/>
          <w:sz w:val="22"/>
          <w:szCs w:val="22"/>
        </w:rPr>
        <w:t xml:space="preserve"> </w:t>
      </w:r>
      <w:r w:rsidRPr="0032360E">
        <w:rPr>
          <w:rFonts w:ascii="Arial" w:hAnsi="Arial" w:cs="Arial"/>
          <w:sz w:val="22"/>
          <w:szCs w:val="22"/>
        </w:rPr>
        <w:t>2 puntos porcentuales frente al año anterior, las cifras de desempleo en Colombia no dejan de seraltas.</w:t>
      </w:r>
      <w:r>
        <w:rPr>
          <w:rFonts w:ascii="Arial" w:hAnsi="Arial" w:cs="Arial"/>
          <w:sz w:val="22"/>
          <w:szCs w:val="22"/>
        </w:rPr>
        <w:t xml:space="preserve"> </w:t>
      </w:r>
      <w:r w:rsidRPr="0032360E">
        <w:rPr>
          <w:rFonts w:ascii="Arial" w:hAnsi="Arial" w:cs="Arial"/>
          <w:sz w:val="22"/>
          <w:szCs w:val="22"/>
        </w:rPr>
        <w:t>De hecho, el país se ubica por encima del promedio latinoamericano, que según la Organización Internacional del Trabajo corresponde a un 7,9%.</w:t>
      </w:r>
    </w:p>
    <w:p w14:paraId="567BF81B" w14:textId="27BC826E" w:rsidR="00870C00" w:rsidRDefault="0032360E" w:rsidP="0032360E">
      <w:pPr>
        <w:pStyle w:val="NormalWeb"/>
        <w:jc w:val="both"/>
        <w:rPr>
          <w:rFonts w:ascii="Arial" w:hAnsi="Arial" w:cs="Arial"/>
          <w:sz w:val="22"/>
          <w:szCs w:val="22"/>
        </w:rPr>
      </w:pPr>
      <w:r w:rsidRPr="0032360E">
        <w:rPr>
          <w:rFonts w:ascii="Arial" w:hAnsi="Arial" w:cs="Arial"/>
          <w:sz w:val="22"/>
          <w:szCs w:val="22"/>
        </w:rPr>
        <w:t>De otro lado, la industria del software tuvo un crecimiento del 10.1% en el último año, impactando positivamente la economía.</w:t>
      </w:r>
    </w:p>
    <w:p w14:paraId="43B087DA" w14:textId="2936C623" w:rsidR="0032360E" w:rsidRPr="0032360E" w:rsidRDefault="0032360E" w:rsidP="0032360E">
      <w:pPr>
        <w:pStyle w:val="NormalWeb"/>
        <w:jc w:val="both"/>
        <w:rPr>
          <w:rFonts w:ascii="Arial" w:hAnsi="Arial" w:cs="Arial"/>
          <w:sz w:val="22"/>
          <w:szCs w:val="22"/>
        </w:rPr>
      </w:pPr>
      <w:r>
        <w:rPr>
          <w:rFonts w:ascii="Arial" w:hAnsi="Arial" w:cs="Arial"/>
          <w:sz w:val="22"/>
          <w:szCs w:val="22"/>
        </w:rPr>
        <w:t xml:space="preserve">La </w:t>
      </w:r>
      <w:r w:rsidRPr="0032360E">
        <w:rPr>
          <w:rFonts w:ascii="Arial" w:hAnsi="Arial" w:cs="Arial"/>
          <w:sz w:val="22"/>
          <w:szCs w:val="22"/>
        </w:rPr>
        <w:t>cadena desde los fabricantes hasta la entrega al usuario final también es descrita por Colombia Compra Eficiente agrupándoloe tres grandes fases:</w:t>
      </w:r>
    </w:p>
    <w:p w14:paraId="23272D48" w14:textId="77777777" w:rsidR="0032360E" w:rsidRDefault="0032360E" w:rsidP="0032360E">
      <w:pPr>
        <w:pStyle w:val="NormalWeb"/>
        <w:jc w:val="both"/>
        <w:rPr>
          <w:rFonts w:ascii="Arial" w:hAnsi="Arial" w:cs="Arial"/>
          <w:sz w:val="22"/>
          <w:szCs w:val="22"/>
        </w:rPr>
      </w:pPr>
      <w:r w:rsidRPr="0032360E">
        <w:rPr>
          <w:rFonts w:ascii="Arial" w:hAnsi="Arial" w:cs="Arial"/>
          <w:sz w:val="22"/>
          <w:szCs w:val="22"/>
        </w:rPr>
        <w:t xml:space="preserve">1) La generación del pedidoal mayorista o fabricante. </w:t>
      </w:r>
    </w:p>
    <w:p w14:paraId="66588A30" w14:textId="355BF087" w:rsidR="0032360E" w:rsidRPr="0032360E" w:rsidRDefault="0032360E" w:rsidP="0032360E">
      <w:pPr>
        <w:pStyle w:val="NormalWeb"/>
        <w:jc w:val="both"/>
        <w:rPr>
          <w:rFonts w:ascii="Arial" w:hAnsi="Arial" w:cs="Arial"/>
          <w:sz w:val="22"/>
          <w:szCs w:val="22"/>
        </w:rPr>
      </w:pPr>
      <w:r w:rsidRPr="0032360E">
        <w:rPr>
          <w:rFonts w:ascii="Arial" w:hAnsi="Arial" w:cs="Arial"/>
          <w:sz w:val="22"/>
          <w:szCs w:val="22"/>
        </w:rPr>
        <w:t>2) La recepción de los equipos y/o elementos.</w:t>
      </w:r>
    </w:p>
    <w:p w14:paraId="42DFCDD0" w14:textId="6DBA4507" w:rsidR="0032360E" w:rsidRDefault="0032360E" w:rsidP="0032360E">
      <w:pPr>
        <w:pStyle w:val="NormalWeb"/>
        <w:jc w:val="both"/>
        <w:rPr>
          <w:rFonts w:ascii="Arial" w:hAnsi="Arial" w:cs="Arial"/>
          <w:sz w:val="22"/>
          <w:szCs w:val="22"/>
        </w:rPr>
      </w:pPr>
      <w:r w:rsidRPr="0032360E">
        <w:rPr>
          <w:rFonts w:ascii="Arial" w:hAnsi="Arial" w:cs="Arial"/>
          <w:sz w:val="22"/>
          <w:szCs w:val="22"/>
        </w:rPr>
        <w:t>3) La entrega e instalación al usuariofinal.</w:t>
      </w:r>
    </w:p>
    <w:p w14:paraId="6F76BB85" w14:textId="2AE6644C" w:rsidR="0032360E" w:rsidRPr="0032360E" w:rsidRDefault="0032360E" w:rsidP="0032360E">
      <w:pPr>
        <w:pStyle w:val="NormalWeb"/>
        <w:jc w:val="both"/>
        <w:rPr>
          <w:rFonts w:ascii="Arial" w:hAnsi="Arial" w:cs="Arial"/>
          <w:sz w:val="22"/>
          <w:szCs w:val="22"/>
        </w:rPr>
      </w:pPr>
      <w:r>
        <w:rPr>
          <w:rFonts w:ascii="Arial" w:hAnsi="Arial" w:cs="Arial"/>
          <w:sz w:val="22"/>
          <w:szCs w:val="22"/>
        </w:rPr>
        <w:t>E</w:t>
      </w:r>
      <w:r w:rsidRPr="0032360E">
        <w:rPr>
          <w:rFonts w:ascii="Arial" w:hAnsi="Arial" w:cs="Arial"/>
          <w:sz w:val="22"/>
          <w:szCs w:val="22"/>
        </w:rPr>
        <w:t>l circuito a través del cual los fabricantes (productores) ponen a disposición de los consumidores (usuarios finales) los productos para que los adquieran. La separación geográfica entre compradores y vendedores y la imposibilidad de situar la fábrica frente al consumidor hacen necesaria la distribución transporte y comercialización) de b i e n e s servicios desde su lugar de producción hasta su lugar de utilización oconsumo.</w:t>
      </w:r>
    </w:p>
    <w:p w14:paraId="3904D2E1" w14:textId="77777777" w:rsidR="0032360E" w:rsidRPr="0032360E" w:rsidRDefault="0032360E" w:rsidP="0032360E">
      <w:pPr>
        <w:pStyle w:val="NormalWeb"/>
        <w:jc w:val="both"/>
        <w:rPr>
          <w:rFonts w:ascii="Arial" w:hAnsi="Arial" w:cs="Arial"/>
          <w:sz w:val="22"/>
          <w:szCs w:val="22"/>
        </w:rPr>
      </w:pPr>
      <w:r w:rsidRPr="0032360E">
        <w:rPr>
          <w:rFonts w:ascii="Arial" w:hAnsi="Arial" w:cs="Arial"/>
          <w:sz w:val="22"/>
          <w:szCs w:val="22"/>
        </w:rPr>
        <w:t>El punto de partida del canal de distribución e sel productor. El punto final o de destino es el consumidor. El conjunto de personas u organizaciones que están entre productor y usuario final son los intermediarios. En este sentido, un canal de distribución está constituido por una serie de empresas y/o personas que facilitan la circulación del producto elaborado hasta llegar a las manos del comprador o usuario y que se denominan genéricamente intermediarios.</w:t>
      </w:r>
    </w:p>
    <w:p w14:paraId="0B7E30C4" w14:textId="091ADB6E" w:rsidR="0032360E" w:rsidRPr="0032360E" w:rsidRDefault="0032360E" w:rsidP="0032360E">
      <w:pPr>
        <w:pStyle w:val="NormalWeb"/>
        <w:jc w:val="both"/>
        <w:rPr>
          <w:rFonts w:ascii="Arial" w:hAnsi="Arial" w:cs="Arial"/>
          <w:sz w:val="22"/>
          <w:szCs w:val="22"/>
        </w:rPr>
      </w:pPr>
      <w:r w:rsidRPr="0032360E">
        <w:rPr>
          <w:rFonts w:ascii="Arial" w:hAnsi="Arial" w:cs="Arial"/>
          <w:sz w:val="22"/>
          <w:szCs w:val="22"/>
        </w:rPr>
        <w:t>Los intermediarios son los que realizan las funciones de distribución, son empresas de distribución situadas entre el productor y el usuario final; en la mayoría de los casos son organizaciones independientes del fabricante.</w:t>
      </w:r>
    </w:p>
    <w:p w14:paraId="29ECFA9F" w14:textId="4D417440" w:rsidR="00681B42" w:rsidRPr="00BE089C" w:rsidRDefault="00681B42" w:rsidP="00681B42">
      <w:pPr>
        <w:pStyle w:val="NormalWeb"/>
        <w:jc w:val="both"/>
        <w:rPr>
          <w:rFonts w:ascii="Arial" w:hAnsi="Arial" w:cs="Arial"/>
          <w:b/>
          <w:bCs/>
          <w:sz w:val="22"/>
          <w:szCs w:val="22"/>
        </w:rPr>
      </w:pPr>
      <w:r w:rsidRPr="00BE089C">
        <w:rPr>
          <w:rFonts w:ascii="Arial" w:hAnsi="Arial" w:cs="Arial"/>
          <w:b/>
          <w:bCs/>
          <w:sz w:val="22"/>
          <w:szCs w:val="22"/>
        </w:rPr>
        <w:t>Índice de Precios al Consumidor (IPC)</w:t>
      </w:r>
    </w:p>
    <w:p w14:paraId="03577FFB" w14:textId="77777777" w:rsidR="00681B42" w:rsidRDefault="00681B42" w:rsidP="00681B42">
      <w:pPr>
        <w:pStyle w:val="TableParagraph"/>
        <w:ind w:left="22"/>
        <w:jc w:val="both"/>
      </w:pPr>
      <w:r w:rsidRPr="009D5D33">
        <w:t>En el mes de mayo de 2023, el IPC registró una variación de 0,43% en comparación con abril de 2023, siete divisiones se ubicaron por encima del promedio nacional (0,43%): Transporte (1,19%), Bebidas alcohólicas y tabaco (1,15%), Alojamiento, agua, electricidad, gas y otros combustibles (0,92%), Salud (0,85%), Restaurantes y hoteles (0,68%), Prendas de vestir y calzado (0,60%) y, por último, Muebles, artículos para el hogar y para la conservación ordinaria del hogar (0,44%). Por debajo se ubicaron: Bienes y servicios diversos (0,37%), Información y comunicación (0,05%), Educación (0,02%), Recreación y cultura (0,02%) y, por último, Alimentos y bebidas no alcohólicas (-0,85%).</w:t>
      </w:r>
    </w:p>
    <w:p w14:paraId="4ED567F8" w14:textId="77777777" w:rsidR="00681B42" w:rsidRDefault="00681B42" w:rsidP="00681B42">
      <w:pPr>
        <w:pStyle w:val="TableParagraph"/>
        <w:ind w:left="22"/>
        <w:jc w:val="both"/>
      </w:pPr>
    </w:p>
    <w:p w14:paraId="6C02803D" w14:textId="77777777" w:rsidR="00681B42" w:rsidRDefault="00681B42" w:rsidP="00681B42">
      <w:pPr>
        <w:pStyle w:val="TableParagraph"/>
        <w:ind w:left="22"/>
        <w:jc w:val="center"/>
      </w:pPr>
      <w:r w:rsidRPr="009D5D33">
        <w:rPr>
          <w:noProof/>
        </w:rPr>
        <w:lastRenderedPageBreak/>
        <w:drawing>
          <wp:inline distT="0" distB="0" distL="0" distR="0" wp14:anchorId="26234412" wp14:editId="31F7355D">
            <wp:extent cx="4163548" cy="2137351"/>
            <wp:effectExtent l="0" t="0" r="2540" b="0"/>
            <wp:docPr id="158440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0582" name=""/>
                    <pic:cNvPicPr/>
                  </pic:nvPicPr>
                  <pic:blipFill>
                    <a:blip r:embed="rId8"/>
                    <a:stretch>
                      <a:fillRect/>
                    </a:stretch>
                  </pic:blipFill>
                  <pic:spPr>
                    <a:xfrm>
                      <a:off x="0" y="0"/>
                      <a:ext cx="4171934" cy="2141656"/>
                    </a:xfrm>
                    <a:prstGeom prst="rect">
                      <a:avLst/>
                    </a:prstGeom>
                  </pic:spPr>
                </pic:pic>
              </a:graphicData>
            </a:graphic>
          </wp:inline>
        </w:drawing>
      </w:r>
    </w:p>
    <w:p w14:paraId="36FE9A9F" w14:textId="77777777" w:rsidR="00681B42" w:rsidRDefault="00681B42" w:rsidP="00681B42">
      <w:pPr>
        <w:pStyle w:val="NormalWeb"/>
        <w:jc w:val="both"/>
        <w:rPr>
          <w:rFonts w:ascii="Arial" w:hAnsi="Arial" w:cs="Arial"/>
          <w:sz w:val="22"/>
          <w:szCs w:val="22"/>
        </w:rPr>
      </w:pPr>
      <w:r w:rsidRPr="009D5D33">
        <w:rPr>
          <w:rFonts w:ascii="Arial" w:hAnsi="Arial" w:cs="Arial"/>
          <w:sz w:val="22"/>
          <w:szCs w:val="22"/>
        </w:rPr>
        <w:t>Los mayores aportes a la variación mensual del IPC (0,43%), se ubicaron en las divisiones de: Alojamiento, agua, electricidad, gas y otros combustibles y Transporte, las cuales aportaron 0,43 puntos porcentuales a la variación total.</w:t>
      </w:r>
    </w:p>
    <w:p w14:paraId="607EA658" w14:textId="77777777" w:rsidR="00681B42" w:rsidRDefault="00681B42" w:rsidP="00681B42">
      <w:pPr>
        <w:pStyle w:val="NormalWeb"/>
        <w:jc w:val="both"/>
        <w:rPr>
          <w:rFonts w:ascii="Arial" w:hAnsi="Arial" w:cs="Arial"/>
          <w:sz w:val="22"/>
          <w:szCs w:val="22"/>
        </w:rPr>
      </w:pPr>
      <w:r w:rsidRPr="009D5D33">
        <w:rPr>
          <w:rFonts w:ascii="Arial" w:hAnsi="Arial" w:cs="Arial"/>
          <w:sz w:val="22"/>
          <w:szCs w:val="22"/>
        </w:rPr>
        <w:t xml:space="preserve">En mayo de 2023 en comparación con abril de 2023, la variación de las subclases que más aportaron al índice total fueron: combustibles para vehículos (4,63%), arriendo imputado (0,92%), arriendo efectivo (0,92%), electricidad (1,63%), comidas en establecimientos de servicio a la mesa y autoservicio (0,62%), comidas preparadas fuera del hogar para consumo inmediato (1,03%), suministro de agua (0,90%), vehículo particular nuevo o usado (0,52%), carne de aves (0,86%) y cerveza y refajo (1,12%). Las variaciones de las subclases con los mayores aportes negativos a la variación fueron: frutas frescas (-5,81%), cebolla (-18,07%), papas (-8,11%), plátanos (-6,10%) y hortalizas y legumbres frescas (-2,84%). </w:t>
      </w:r>
    </w:p>
    <w:p w14:paraId="75C05CFA" w14:textId="77777777" w:rsidR="00681B42" w:rsidRPr="0052070B" w:rsidRDefault="00681B42" w:rsidP="00681B42">
      <w:pPr>
        <w:pStyle w:val="NormalWeb"/>
        <w:jc w:val="both"/>
        <w:rPr>
          <w:rFonts w:ascii="Arial" w:hAnsi="Arial" w:cs="Arial"/>
        </w:rPr>
      </w:pPr>
      <w:r w:rsidRPr="009D5D33">
        <w:rPr>
          <w:rFonts w:ascii="Arial" w:hAnsi="Arial" w:cs="Arial"/>
          <w:noProof/>
        </w:rPr>
        <w:drawing>
          <wp:inline distT="0" distB="0" distL="0" distR="0" wp14:anchorId="73C70DEB" wp14:editId="366DE81B">
            <wp:extent cx="5613400" cy="2940050"/>
            <wp:effectExtent l="0" t="0" r="0" b="6350"/>
            <wp:docPr id="96056496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64962" name=""/>
                    <pic:cNvPicPr/>
                  </pic:nvPicPr>
                  <pic:blipFill>
                    <a:blip r:embed="rId9"/>
                    <a:stretch>
                      <a:fillRect/>
                    </a:stretch>
                  </pic:blipFill>
                  <pic:spPr>
                    <a:xfrm>
                      <a:off x="0" y="0"/>
                      <a:ext cx="5613400" cy="2940050"/>
                    </a:xfrm>
                    <a:prstGeom prst="rect">
                      <a:avLst/>
                    </a:prstGeom>
                  </pic:spPr>
                </pic:pic>
              </a:graphicData>
            </a:graphic>
          </wp:inline>
        </w:drawing>
      </w:r>
      <w:r w:rsidRPr="009D5D33">
        <w:rPr>
          <w:rFonts w:ascii="Arial" w:hAnsi="Arial" w:cs="Arial"/>
          <w:sz w:val="22"/>
          <w:szCs w:val="22"/>
        </w:rPr>
        <w:t>En lo corrido del año, (enero - mayo), siete divisiones de bienes y servicios se ubicaron por encima del promedio nacional (5,83%): Transporte (10,17%), Educación (8,88%), Restaurantes y hoteles (8,11%), Muebles, artículos para el hogar y para la conservación ordinaria del hogar (7,50%), Bienes y servicios diversos (6,97%), Bebidas alcohólicas y tabaco (6,82%) y, por último, Salud (6,34%). El resto de las divisiones se ubicaron por debajo del promedio: Alojamiento, agua, electricidad, gas y otros combustibles (4,60%), Alimentos y bebidas no alcohólicas (4,08%), Recreación y cultura (3,85%), Prendas de vestir y calzado (3,26%) y, por último, Información y comunicación (0,13%).</w:t>
      </w:r>
    </w:p>
    <w:p w14:paraId="6FBBC8F2" w14:textId="77777777" w:rsidR="00681B42" w:rsidRDefault="00681B42" w:rsidP="00681B42">
      <w:pPr>
        <w:pStyle w:val="NormalWeb"/>
        <w:jc w:val="center"/>
        <w:rPr>
          <w:rFonts w:ascii="Arial" w:hAnsi="Arial" w:cs="Arial"/>
          <w:sz w:val="22"/>
          <w:szCs w:val="22"/>
        </w:rPr>
      </w:pPr>
      <w:r w:rsidRPr="009D5D33">
        <w:rPr>
          <w:rFonts w:ascii="Arial" w:hAnsi="Arial" w:cs="Arial"/>
          <w:noProof/>
          <w:sz w:val="22"/>
          <w:szCs w:val="22"/>
        </w:rPr>
        <w:lastRenderedPageBreak/>
        <w:drawing>
          <wp:inline distT="0" distB="0" distL="0" distR="0" wp14:anchorId="316E37B0" wp14:editId="6C5B39A5">
            <wp:extent cx="4566185" cy="2828039"/>
            <wp:effectExtent l="0" t="0" r="0" b="4445"/>
            <wp:docPr id="13717786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778621" name=""/>
                    <pic:cNvPicPr/>
                  </pic:nvPicPr>
                  <pic:blipFill>
                    <a:blip r:embed="rId10"/>
                    <a:stretch>
                      <a:fillRect/>
                    </a:stretch>
                  </pic:blipFill>
                  <pic:spPr>
                    <a:xfrm>
                      <a:off x="0" y="0"/>
                      <a:ext cx="4573415" cy="2832517"/>
                    </a:xfrm>
                    <a:prstGeom prst="rect">
                      <a:avLst/>
                    </a:prstGeom>
                  </pic:spPr>
                </pic:pic>
              </a:graphicData>
            </a:graphic>
          </wp:inline>
        </w:drawing>
      </w:r>
    </w:p>
    <w:p w14:paraId="1218DBEF" w14:textId="77777777" w:rsidR="00681B42" w:rsidRDefault="00681B42" w:rsidP="00681B42">
      <w:pPr>
        <w:pStyle w:val="NormalWeb"/>
        <w:jc w:val="both"/>
        <w:rPr>
          <w:rFonts w:ascii="Arial" w:hAnsi="Arial" w:cs="Arial"/>
          <w:sz w:val="22"/>
          <w:szCs w:val="22"/>
        </w:rPr>
      </w:pPr>
      <w:r w:rsidRPr="009D5D33">
        <w:rPr>
          <w:rFonts w:ascii="Arial" w:hAnsi="Arial" w:cs="Arial"/>
          <w:sz w:val="22"/>
          <w:szCs w:val="22"/>
        </w:rPr>
        <w:t xml:space="preserve">Los mayores aportes a la variación en lo corrido del año (enero - mayo), se ubicaron en las divisiones de Alojamiento, agua, electricidad, gas y otros combustibles, Transporte, Restaurantes y hoteles, Alimentos y bebidas no alcohólicas y Bienes y servicios diversos, las cuales en conjunto contribuyeron con 4,72 puntos porcentuales a la variación total. </w:t>
      </w:r>
    </w:p>
    <w:p w14:paraId="5EBA2894" w14:textId="77777777" w:rsidR="00681B42" w:rsidRPr="009D5D33" w:rsidRDefault="00681B42" w:rsidP="00681B42">
      <w:pPr>
        <w:pStyle w:val="NormalWeb"/>
        <w:jc w:val="both"/>
        <w:rPr>
          <w:rFonts w:ascii="Arial" w:hAnsi="Arial" w:cs="Arial"/>
          <w:sz w:val="22"/>
          <w:szCs w:val="22"/>
        </w:rPr>
      </w:pPr>
      <w:r w:rsidRPr="009D5D33">
        <w:rPr>
          <w:rFonts w:ascii="Arial" w:hAnsi="Arial" w:cs="Arial"/>
          <w:sz w:val="22"/>
          <w:szCs w:val="22"/>
        </w:rPr>
        <w:t>En mayo de 2023 en comparación con diciembre de 2022, la variación de las subclases que más aportaron al acumulado del año fueron: comidas en establecimientos de servicio a la mesa y autoservicio (8,30%), arriendo imputado (3,72%), combustibles para vehículos (18,23%), transporte urbano (10,26%), arriendo efectivo (3,76%), electricidad (7,30%), vehículo particular nuevo o usado (7,31%), comidas preparadas fuera del hogar para consumo inmediato (8,28%), leche (11,19%) y productos de limpieza y mantenimiento (9,76%). Las variaciones de las subclases con contribución negativa fueron: papas (-15,53%), cebolla (-21,90%), tomate (-24,67%), yuca para consumo en el hogar (-16,28%) y equipo para la grabación, recepción y reproducción de imagen y sonido (-2,95%)</w:t>
      </w:r>
      <w:r>
        <w:rPr>
          <w:rStyle w:val="Refdenotaalpie"/>
          <w:rFonts w:ascii="Arial" w:hAnsi="Arial" w:cs="Arial"/>
          <w:sz w:val="22"/>
          <w:szCs w:val="22"/>
        </w:rPr>
        <w:footnoteReference w:id="2"/>
      </w:r>
      <w:r w:rsidRPr="009D5D33">
        <w:rPr>
          <w:rFonts w:ascii="Arial" w:hAnsi="Arial" w:cs="Arial"/>
          <w:sz w:val="22"/>
          <w:szCs w:val="22"/>
        </w:rPr>
        <w:t>.</w:t>
      </w:r>
    </w:p>
    <w:p w14:paraId="26B39DEB" w14:textId="77777777" w:rsidR="00681B42" w:rsidRPr="009D5D33" w:rsidRDefault="00681B42" w:rsidP="00681B42">
      <w:pPr>
        <w:pStyle w:val="NormalWeb"/>
        <w:jc w:val="both"/>
        <w:rPr>
          <w:rFonts w:ascii="Arial" w:hAnsi="Arial" w:cs="Arial"/>
          <w:b/>
          <w:bCs/>
          <w:sz w:val="22"/>
          <w:szCs w:val="22"/>
        </w:rPr>
      </w:pPr>
      <w:r w:rsidRPr="009D5D33">
        <w:rPr>
          <w:rFonts w:ascii="Arial" w:hAnsi="Arial" w:cs="Arial"/>
          <w:b/>
          <w:bCs/>
          <w:noProof/>
          <w:sz w:val="22"/>
          <w:szCs w:val="22"/>
        </w:rPr>
        <w:drawing>
          <wp:inline distT="0" distB="0" distL="0" distR="0" wp14:anchorId="02BF5F90" wp14:editId="02C1CB18">
            <wp:extent cx="5613400" cy="2843530"/>
            <wp:effectExtent l="0" t="0" r="0" b="1270"/>
            <wp:docPr id="16324885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488508" name=""/>
                    <pic:cNvPicPr/>
                  </pic:nvPicPr>
                  <pic:blipFill>
                    <a:blip r:embed="rId11"/>
                    <a:stretch>
                      <a:fillRect/>
                    </a:stretch>
                  </pic:blipFill>
                  <pic:spPr>
                    <a:xfrm>
                      <a:off x="0" y="0"/>
                      <a:ext cx="5613400" cy="2843530"/>
                    </a:xfrm>
                    <a:prstGeom prst="rect">
                      <a:avLst/>
                    </a:prstGeom>
                  </pic:spPr>
                </pic:pic>
              </a:graphicData>
            </a:graphic>
          </wp:inline>
        </w:drawing>
      </w:r>
    </w:p>
    <w:p w14:paraId="53BE0647" w14:textId="77777777" w:rsidR="00681B42" w:rsidRDefault="00681B42" w:rsidP="00681B42">
      <w:pPr>
        <w:pStyle w:val="TableParagraph"/>
        <w:tabs>
          <w:tab w:val="left" w:pos="1438"/>
        </w:tabs>
        <w:rPr>
          <w:b/>
        </w:rPr>
      </w:pPr>
      <w:r w:rsidRPr="00FC4E3B">
        <w:rPr>
          <w:b/>
          <w:w w:val="105"/>
        </w:rPr>
        <w:t>Producto</w:t>
      </w:r>
      <w:r w:rsidRPr="00FC4E3B">
        <w:rPr>
          <w:b/>
          <w:spacing w:val="-4"/>
          <w:w w:val="105"/>
        </w:rPr>
        <w:t xml:space="preserve"> </w:t>
      </w:r>
      <w:r w:rsidRPr="00FC4E3B">
        <w:rPr>
          <w:b/>
          <w:w w:val="105"/>
        </w:rPr>
        <w:t>Interno</w:t>
      </w:r>
      <w:r w:rsidRPr="00FC4E3B">
        <w:rPr>
          <w:b/>
          <w:spacing w:val="-4"/>
          <w:w w:val="105"/>
        </w:rPr>
        <w:t xml:space="preserve"> </w:t>
      </w:r>
      <w:r w:rsidRPr="00FC4E3B">
        <w:rPr>
          <w:b/>
          <w:w w:val="105"/>
        </w:rPr>
        <w:t>Bruto</w:t>
      </w:r>
      <w:r w:rsidRPr="00FC4E3B">
        <w:rPr>
          <w:b/>
          <w:spacing w:val="-3"/>
          <w:w w:val="105"/>
        </w:rPr>
        <w:t xml:space="preserve"> </w:t>
      </w:r>
      <w:r w:rsidRPr="00FC4E3B">
        <w:rPr>
          <w:b/>
          <w:w w:val="105"/>
        </w:rPr>
        <w:t>(PIB)</w:t>
      </w:r>
    </w:p>
    <w:p w14:paraId="3C03BDB1" w14:textId="77777777" w:rsidR="00681B42" w:rsidRDefault="00681B42" w:rsidP="00681B42">
      <w:pPr>
        <w:pStyle w:val="TableParagraph"/>
        <w:spacing w:before="2"/>
      </w:pPr>
    </w:p>
    <w:p w14:paraId="7690F85A" w14:textId="77777777" w:rsidR="00681B42" w:rsidRPr="009D5D33" w:rsidRDefault="00681B42" w:rsidP="00681B42">
      <w:pPr>
        <w:pStyle w:val="TableParagraph"/>
        <w:jc w:val="both"/>
      </w:pPr>
      <w:r w:rsidRPr="009D5D33">
        <w:t>En el primer trimestre de 2023pr, el Producto Interno Bruto en su serie original, crece 3,0% respecto al mismo periodo de 2022pr (ver tabla 1). Las actividades económicas que más contribuyen a la dinámica del valor agregado son:</w:t>
      </w:r>
    </w:p>
    <w:p w14:paraId="329498B8" w14:textId="77777777" w:rsidR="00681B42" w:rsidRPr="009D5D33" w:rsidRDefault="00681B42" w:rsidP="00681B42">
      <w:pPr>
        <w:pStyle w:val="TableParagraph"/>
        <w:jc w:val="both"/>
      </w:pPr>
      <w:r w:rsidRPr="009D5D33">
        <w:t> Actividades financieras y de seguros crece 22,8% (contribuye 1,0 puntos porcentuales a la variación anual).</w:t>
      </w:r>
    </w:p>
    <w:p w14:paraId="09B3A6A2" w14:textId="77777777" w:rsidR="00681B42" w:rsidRPr="009D5D33" w:rsidRDefault="00681B42" w:rsidP="00681B42">
      <w:pPr>
        <w:pStyle w:val="TableParagraph"/>
        <w:jc w:val="both"/>
      </w:pPr>
      <w:r w:rsidRPr="009D5D33">
        <w:lastRenderedPageBreak/>
        <w:t> Actividades artísticas, de entretenimiento y recreación y otras actividades de servicios; Actividades de los hogares individuales en calidad de empleadores; Actividades no diferenciadas de los hogares individuales como productores de bienes y servicios para uso propio crece 18,7% (contribuye 0,7 puntos porcentuales a la variación anual).</w:t>
      </w:r>
    </w:p>
    <w:p w14:paraId="4C0C5BE2" w14:textId="77777777" w:rsidR="00681B42" w:rsidRPr="009D5D33" w:rsidRDefault="00681B42" w:rsidP="00681B42">
      <w:pPr>
        <w:pStyle w:val="TableParagraph"/>
        <w:jc w:val="both"/>
      </w:pPr>
      <w:r w:rsidRPr="009D5D33">
        <w:t> Administración pública y defensa; planes de seguridad social de afiliación obligatoria; Educación; Actividades de atención de la salud humana y de servicios sociales crece 1,9% (contribuye 0,3 puntos porcentuales a la variación anual).</w:t>
      </w:r>
    </w:p>
    <w:p w14:paraId="112DCE70" w14:textId="77777777" w:rsidR="00681B42" w:rsidRPr="009D5D33" w:rsidRDefault="00681B42" w:rsidP="00681B42">
      <w:pPr>
        <w:pStyle w:val="TableParagraph"/>
        <w:jc w:val="both"/>
      </w:pPr>
      <w:r w:rsidRPr="009D5D33">
        <w:t>Respecto al trimestre inmediatamente anterior, el Producto Interno Bruto en su serie ajustada por efecto estacional y calendario crece 1,4%. Esta variación se explica principalmente por la siguiente dinámica:</w:t>
      </w:r>
    </w:p>
    <w:p w14:paraId="2555504B" w14:textId="77777777" w:rsidR="00681B42" w:rsidRPr="009D5D33" w:rsidRDefault="00681B42" w:rsidP="00681B42">
      <w:pPr>
        <w:pStyle w:val="TableParagraph"/>
        <w:jc w:val="both"/>
      </w:pPr>
      <w:r w:rsidRPr="009D5D33">
        <w:t> Explotación de minas y canteras crece 4,5%.</w:t>
      </w:r>
    </w:p>
    <w:p w14:paraId="54F60A29" w14:textId="77777777" w:rsidR="00681B42" w:rsidRPr="009D5D33" w:rsidRDefault="00681B42" w:rsidP="00681B42">
      <w:pPr>
        <w:pStyle w:val="TableParagraph"/>
        <w:jc w:val="both"/>
      </w:pPr>
      <w:r w:rsidRPr="009D5D33">
        <w:t> Actividades artísticas, de entretenimiento y recreación y otras actividades de servicios; Actividades de los hogares individuales en calidad de empleadores; Actividades no diferenciadas de los hogares individuales como productores de bienes y servicios para uso propio crece 4,4%.</w:t>
      </w:r>
    </w:p>
    <w:p w14:paraId="7DF0BA95" w14:textId="77777777" w:rsidR="00681B42" w:rsidRPr="009D5D33" w:rsidRDefault="00681B42" w:rsidP="00681B42">
      <w:pPr>
        <w:pStyle w:val="TableParagraph"/>
        <w:jc w:val="both"/>
      </w:pPr>
      <w:r w:rsidRPr="009D5D33">
        <w:t> Actividades financieras y de seguros crece 4,4%.</w:t>
      </w:r>
    </w:p>
    <w:p w14:paraId="1732D15B" w14:textId="77777777" w:rsidR="00681B42" w:rsidRDefault="00681B42" w:rsidP="00681B42">
      <w:pPr>
        <w:pStyle w:val="TableParagraph"/>
        <w:jc w:val="both"/>
        <w:rPr>
          <w:rFonts w:ascii="Times New Roman"/>
        </w:rPr>
      </w:pPr>
    </w:p>
    <w:p w14:paraId="139640D7" w14:textId="77777777" w:rsidR="00681B42" w:rsidRDefault="00681B42" w:rsidP="00681B42">
      <w:pPr>
        <w:pStyle w:val="TableParagraph"/>
        <w:jc w:val="center"/>
        <w:rPr>
          <w:rFonts w:ascii="Times New Roman"/>
        </w:rPr>
      </w:pPr>
      <w:r w:rsidRPr="009D5D33">
        <w:rPr>
          <w:rFonts w:ascii="Times New Roman"/>
          <w:noProof/>
        </w:rPr>
        <w:drawing>
          <wp:inline distT="0" distB="0" distL="0" distR="0" wp14:anchorId="5F98F88A" wp14:editId="0A83A60A">
            <wp:extent cx="4756580" cy="4193215"/>
            <wp:effectExtent l="0" t="0" r="6350" b="0"/>
            <wp:docPr id="11727103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710329" name=""/>
                    <pic:cNvPicPr/>
                  </pic:nvPicPr>
                  <pic:blipFill>
                    <a:blip r:embed="rId12"/>
                    <a:stretch>
                      <a:fillRect/>
                    </a:stretch>
                  </pic:blipFill>
                  <pic:spPr>
                    <a:xfrm>
                      <a:off x="0" y="0"/>
                      <a:ext cx="4766496" cy="4201956"/>
                    </a:xfrm>
                    <a:prstGeom prst="rect">
                      <a:avLst/>
                    </a:prstGeom>
                  </pic:spPr>
                </pic:pic>
              </a:graphicData>
            </a:graphic>
          </wp:inline>
        </w:drawing>
      </w:r>
    </w:p>
    <w:p w14:paraId="0642351A" w14:textId="77777777" w:rsidR="00681B42" w:rsidRDefault="00681B42" w:rsidP="00681B42">
      <w:pPr>
        <w:pStyle w:val="TableParagraph"/>
        <w:jc w:val="center"/>
        <w:rPr>
          <w:rFonts w:ascii="Times New Roman"/>
        </w:rPr>
      </w:pPr>
    </w:p>
    <w:p w14:paraId="34FBD461" w14:textId="77777777" w:rsidR="00681B42" w:rsidRPr="009D5D33" w:rsidRDefault="00681B42" w:rsidP="00681B42">
      <w:pPr>
        <w:pStyle w:val="NormalWeb"/>
        <w:spacing w:before="0" w:beforeAutospacing="0" w:after="0" w:afterAutospacing="0"/>
        <w:jc w:val="both"/>
        <w:rPr>
          <w:rFonts w:ascii="Arial" w:hAnsi="Arial" w:cs="Arial"/>
          <w:sz w:val="22"/>
          <w:szCs w:val="22"/>
        </w:rPr>
      </w:pPr>
      <w:r w:rsidRPr="009D5D33">
        <w:rPr>
          <w:rFonts w:ascii="Arial" w:hAnsi="Arial" w:cs="Arial"/>
          <w:sz w:val="22"/>
          <w:szCs w:val="22"/>
        </w:rPr>
        <w:t>En el primer trimestre de 2023</w:t>
      </w:r>
      <w:r w:rsidRPr="009D5D33">
        <w:rPr>
          <w:rFonts w:ascii="Arial" w:hAnsi="Arial" w:cs="Arial"/>
          <w:position w:val="10"/>
          <w:sz w:val="22"/>
          <w:szCs w:val="22"/>
        </w:rPr>
        <w:t>pr</w:t>
      </w:r>
      <w:r w:rsidRPr="009D5D33">
        <w:rPr>
          <w:rFonts w:ascii="Arial" w:hAnsi="Arial" w:cs="Arial"/>
          <w:sz w:val="22"/>
          <w:szCs w:val="22"/>
        </w:rPr>
        <w:t>, el valor agregado de las actividades profesionales, científicas y técnicas; y actividades de servicios administrativos y de apoyo crece 2,3% en</w:t>
      </w:r>
      <w:r>
        <w:rPr>
          <w:rFonts w:ascii="Arial" w:hAnsi="Arial" w:cs="Arial"/>
          <w:sz w:val="22"/>
          <w:szCs w:val="22"/>
        </w:rPr>
        <w:t xml:space="preserve"> </w:t>
      </w:r>
      <w:r w:rsidRPr="009D5D33">
        <w:rPr>
          <w:rFonts w:ascii="Arial" w:hAnsi="Arial" w:cs="Arial"/>
          <w:sz w:val="22"/>
          <w:szCs w:val="22"/>
        </w:rPr>
        <w:t>su serie original, respecto al mismo periodo de 2022</w:t>
      </w:r>
      <w:r w:rsidRPr="009D5D33">
        <w:rPr>
          <w:rFonts w:ascii="Arial" w:hAnsi="Arial" w:cs="Arial"/>
          <w:position w:val="10"/>
          <w:sz w:val="22"/>
          <w:szCs w:val="22"/>
        </w:rPr>
        <w:t>pr</w:t>
      </w:r>
      <w:r w:rsidRPr="009D5D33">
        <w:rPr>
          <w:rFonts w:ascii="Arial" w:hAnsi="Arial" w:cs="Arial"/>
          <w:sz w:val="22"/>
          <w:szCs w:val="22"/>
        </w:rPr>
        <w:t xml:space="preserve">. Esta dinámica se explica por los siguientes comportamientos (ver tabla 11): </w:t>
      </w:r>
    </w:p>
    <w:p w14:paraId="3C0F4DFA" w14:textId="77777777" w:rsidR="00681B42" w:rsidRDefault="00681B42" w:rsidP="00681B42">
      <w:pPr>
        <w:pStyle w:val="NormalWeb"/>
        <w:spacing w:before="0" w:beforeAutospacing="0" w:after="0" w:afterAutospacing="0"/>
        <w:jc w:val="both"/>
        <w:rPr>
          <w:rFonts w:ascii="Arial" w:hAnsi="Arial" w:cs="Arial"/>
          <w:sz w:val="22"/>
          <w:szCs w:val="22"/>
        </w:rPr>
      </w:pPr>
      <w:r w:rsidRPr="009D5D33">
        <w:rPr>
          <w:rFonts w:ascii="Arial" w:hAnsi="Arial" w:cs="Arial"/>
          <w:color w:val="232323"/>
          <w:sz w:val="22"/>
          <w:szCs w:val="22"/>
        </w:rPr>
        <w:sym w:font="Symbol" w:char="F0B7"/>
      </w:r>
      <w:r w:rsidRPr="009D5D33">
        <w:rPr>
          <w:rFonts w:ascii="Arial" w:hAnsi="Arial" w:cs="Arial"/>
          <w:color w:val="232323"/>
          <w:sz w:val="22"/>
          <w:szCs w:val="22"/>
        </w:rPr>
        <w:t xml:space="preserve">  </w:t>
      </w:r>
      <w:r w:rsidRPr="009D5D33">
        <w:rPr>
          <w:rFonts w:ascii="Arial" w:hAnsi="Arial" w:cs="Arial"/>
          <w:sz w:val="22"/>
          <w:szCs w:val="22"/>
        </w:rPr>
        <w:t xml:space="preserve">Actividades profesionales, científicas y técnicas crece 1,4%. </w:t>
      </w:r>
    </w:p>
    <w:p w14:paraId="322F4743" w14:textId="77777777" w:rsidR="00681B42" w:rsidRDefault="00681B42" w:rsidP="00681B42">
      <w:pPr>
        <w:pStyle w:val="NormalWeb"/>
        <w:spacing w:before="0" w:beforeAutospacing="0" w:after="0" w:afterAutospacing="0"/>
        <w:jc w:val="both"/>
        <w:rPr>
          <w:rFonts w:ascii="Arial" w:hAnsi="Arial" w:cs="Arial"/>
          <w:sz w:val="22"/>
          <w:szCs w:val="22"/>
        </w:rPr>
      </w:pPr>
      <w:r w:rsidRPr="009D5D33">
        <w:rPr>
          <w:rFonts w:ascii="Arial" w:hAnsi="Arial" w:cs="Arial"/>
          <w:color w:val="232323"/>
          <w:sz w:val="22"/>
          <w:szCs w:val="22"/>
        </w:rPr>
        <w:sym w:font="Symbol" w:char="F0B7"/>
      </w:r>
      <w:r w:rsidRPr="009D5D33">
        <w:rPr>
          <w:rFonts w:ascii="Arial" w:hAnsi="Arial" w:cs="Arial"/>
          <w:color w:val="232323"/>
          <w:sz w:val="22"/>
          <w:szCs w:val="22"/>
        </w:rPr>
        <w:t xml:space="preserve">  </w:t>
      </w:r>
      <w:r w:rsidRPr="009D5D33">
        <w:rPr>
          <w:rFonts w:ascii="Arial" w:hAnsi="Arial" w:cs="Arial"/>
          <w:sz w:val="22"/>
          <w:szCs w:val="22"/>
        </w:rPr>
        <w:t xml:space="preserve">Actividades de servicios administrativos y de apoyo crece 3,0%. </w:t>
      </w:r>
    </w:p>
    <w:p w14:paraId="5ACDAE34" w14:textId="77777777" w:rsidR="00681B42" w:rsidRDefault="00681B42" w:rsidP="00681B42">
      <w:pPr>
        <w:pStyle w:val="NormalWeb"/>
        <w:spacing w:before="0" w:beforeAutospacing="0" w:after="0" w:afterAutospacing="0"/>
        <w:jc w:val="both"/>
        <w:rPr>
          <w:rFonts w:ascii="Arial" w:hAnsi="Arial" w:cs="Arial"/>
          <w:sz w:val="22"/>
          <w:szCs w:val="22"/>
        </w:rPr>
      </w:pPr>
    </w:p>
    <w:p w14:paraId="1FA0EB11" w14:textId="77777777" w:rsidR="00681B42" w:rsidRPr="009D5D33" w:rsidRDefault="00681B42" w:rsidP="00681B42">
      <w:pPr>
        <w:pStyle w:val="NormalWeb"/>
        <w:spacing w:before="0" w:beforeAutospacing="0" w:after="0" w:afterAutospacing="0"/>
        <w:jc w:val="both"/>
        <w:rPr>
          <w:rFonts w:ascii="Arial" w:hAnsi="Arial" w:cs="Arial"/>
          <w:sz w:val="22"/>
          <w:szCs w:val="22"/>
        </w:rPr>
      </w:pPr>
      <w:r w:rsidRPr="009D5D33">
        <w:rPr>
          <w:rFonts w:ascii="Arial" w:hAnsi="Arial" w:cs="Arial"/>
          <w:sz w:val="22"/>
          <w:szCs w:val="22"/>
        </w:rPr>
        <w:t xml:space="preserve">Respecto al trimestre inmediatamente anterior en su serie ajustada por efecto estacional y calendario, el valor agregado de las actividades profesionales, científicas y técnicas; y actividades de servicios administrativos y de apoyo crece en 1,8%, explicado por: </w:t>
      </w:r>
    </w:p>
    <w:p w14:paraId="7B66AD69" w14:textId="77777777" w:rsidR="00681B42" w:rsidRPr="009D5D33" w:rsidRDefault="00681B42" w:rsidP="00681B42">
      <w:pPr>
        <w:pStyle w:val="NormalWeb"/>
        <w:spacing w:before="0" w:beforeAutospacing="0" w:after="0" w:afterAutospacing="0"/>
        <w:jc w:val="both"/>
        <w:rPr>
          <w:rFonts w:ascii="Arial" w:hAnsi="Arial" w:cs="Arial"/>
          <w:sz w:val="22"/>
          <w:szCs w:val="22"/>
        </w:rPr>
      </w:pPr>
      <w:r w:rsidRPr="009D5D33">
        <w:rPr>
          <w:rFonts w:ascii="Arial" w:hAnsi="Arial" w:cs="Arial"/>
          <w:color w:val="232323"/>
          <w:sz w:val="22"/>
          <w:szCs w:val="22"/>
        </w:rPr>
        <w:sym w:font="Symbol" w:char="F0B7"/>
      </w:r>
      <w:r w:rsidRPr="009D5D33">
        <w:rPr>
          <w:rFonts w:ascii="Arial" w:hAnsi="Arial" w:cs="Arial"/>
          <w:color w:val="232323"/>
          <w:sz w:val="22"/>
          <w:szCs w:val="22"/>
        </w:rPr>
        <w:t xml:space="preserve">  </w:t>
      </w:r>
      <w:r w:rsidRPr="009D5D33">
        <w:rPr>
          <w:rFonts w:ascii="Arial" w:hAnsi="Arial" w:cs="Arial"/>
          <w:sz w:val="22"/>
          <w:szCs w:val="22"/>
        </w:rPr>
        <w:t xml:space="preserve">Actividades profesionales, científicas y técnicas crece 1,5%. </w:t>
      </w:r>
    </w:p>
    <w:p w14:paraId="2D1784DD" w14:textId="77777777" w:rsidR="00681B42" w:rsidRPr="009D5D33" w:rsidRDefault="00681B42" w:rsidP="00681B42">
      <w:pPr>
        <w:pStyle w:val="NormalWeb"/>
        <w:spacing w:before="0" w:beforeAutospacing="0" w:after="0" w:afterAutospacing="0"/>
        <w:jc w:val="both"/>
        <w:rPr>
          <w:rFonts w:ascii="Arial" w:hAnsi="Arial" w:cs="Arial"/>
          <w:sz w:val="22"/>
          <w:szCs w:val="22"/>
        </w:rPr>
      </w:pPr>
      <w:r w:rsidRPr="009D5D33">
        <w:rPr>
          <w:rFonts w:ascii="Arial" w:hAnsi="Arial" w:cs="Arial"/>
          <w:color w:val="232323"/>
          <w:sz w:val="22"/>
          <w:szCs w:val="22"/>
        </w:rPr>
        <w:sym w:font="Symbol" w:char="F0B7"/>
      </w:r>
      <w:r w:rsidRPr="009D5D33">
        <w:rPr>
          <w:rFonts w:ascii="Arial" w:hAnsi="Arial" w:cs="Arial"/>
          <w:color w:val="232323"/>
          <w:sz w:val="22"/>
          <w:szCs w:val="22"/>
        </w:rPr>
        <w:t xml:space="preserve">  </w:t>
      </w:r>
      <w:r w:rsidRPr="009D5D33">
        <w:rPr>
          <w:rFonts w:ascii="Arial" w:hAnsi="Arial" w:cs="Arial"/>
          <w:sz w:val="22"/>
          <w:szCs w:val="22"/>
        </w:rPr>
        <w:t xml:space="preserve">Actividades de servicios administrativos y de apoyo crece 0,8%. </w:t>
      </w:r>
    </w:p>
    <w:p w14:paraId="7A50E587" w14:textId="77777777" w:rsidR="00681B42" w:rsidRDefault="00681B42" w:rsidP="00681B42">
      <w:pPr>
        <w:pStyle w:val="TableParagraph"/>
        <w:jc w:val="center"/>
        <w:rPr>
          <w:rFonts w:ascii="Times New Roman"/>
        </w:rPr>
      </w:pPr>
    </w:p>
    <w:p w14:paraId="0C8264AE" w14:textId="77777777" w:rsidR="00681B42" w:rsidRDefault="00681B42" w:rsidP="00681B42">
      <w:pPr>
        <w:pStyle w:val="TableParagraph"/>
        <w:jc w:val="center"/>
      </w:pPr>
      <w:r w:rsidRPr="00674524">
        <w:rPr>
          <w:rFonts w:ascii="Times New Roman"/>
          <w:noProof/>
        </w:rPr>
        <w:lastRenderedPageBreak/>
        <w:drawing>
          <wp:inline distT="0" distB="0" distL="0" distR="0" wp14:anchorId="77858CA5" wp14:editId="59718CED">
            <wp:extent cx="4786842" cy="3179134"/>
            <wp:effectExtent l="0" t="0" r="1270" b="0"/>
            <wp:docPr id="6663565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56507" name=""/>
                    <pic:cNvPicPr/>
                  </pic:nvPicPr>
                  <pic:blipFill>
                    <a:blip r:embed="rId13"/>
                    <a:stretch>
                      <a:fillRect/>
                    </a:stretch>
                  </pic:blipFill>
                  <pic:spPr>
                    <a:xfrm>
                      <a:off x="0" y="0"/>
                      <a:ext cx="4823757" cy="3203650"/>
                    </a:xfrm>
                    <a:prstGeom prst="rect">
                      <a:avLst/>
                    </a:prstGeom>
                  </pic:spPr>
                </pic:pic>
              </a:graphicData>
            </a:graphic>
          </wp:inline>
        </w:drawing>
      </w:r>
    </w:p>
    <w:p w14:paraId="015D2BA0" w14:textId="77777777" w:rsidR="00681B42" w:rsidRPr="0052070B" w:rsidRDefault="00681B42" w:rsidP="00681B42">
      <w:pPr>
        <w:pStyle w:val="TableParagraph"/>
        <w:jc w:val="both"/>
        <w:rPr>
          <w:rFonts w:ascii="Times New Roman"/>
        </w:rPr>
      </w:pPr>
      <w:r w:rsidRPr="00674524">
        <w:t>En abril de 2023, catorce de los dieciocho subsectores de servicios presentaron variación positiva en el personal ocupado total, en comparación con abril de 2022.</w:t>
      </w:r>
    </w:p>
    <w:p w14:paraId="6E5F4661" w14:textId="77777777" w:rsidR="00681B42" w:rsidRPr="00674524" w:rsidRDefault="00681B42" w:rsidP="00681B42">
      <w:pPr>
        <w:pStyle w:val="NormalWeb"/>
        <w:jc w:val="center"/>
        <w:rPr>
          <w:rFonts w:ascii="Arial" w:hAnsi="Arial" w:cs="Arial"/>
          <w:sz w:val="22"/>
          <w:szCs w:val="22"/>
        </w:rPr>
      </w:pPr>
      <w:r w:rsidRPr="00674524">
        <w:rPr>
          <w:rFonts w:ascii="Arial" w:hAnsi="Arial" w:cs="Arial"/>
          <w:noProof/>
          <w:sz w:val="22"/>
          <w:szCs w:val="22"/>
        </w:rPr>
        <w:drawing>
          <wp:inline distT="0" distB="0" distL="0" distR="0" wp14:anchorId="74384B04" wp14:editId="2EA2E060">
            <wp:extent cx="4465674" cy="3854422"/>
            <wp:effectExtent l="0" t="0" r="5080" b="0"/>
            <wp:docPr id="6708510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851068" name=""/>
                    <pic:cNvPicPr/>
                  </pic:nvPicPr>
                  <pic:blipFill>
                    <a:blip r:embed="rId14"/>
                    <a:stretch>
                      <a:fillRect/>
                    </a:stretch>
                  </pic:blipFill>
                  <pic:spPr>
                    <a:xfrm>
                      <a:off x="0" y="0"/>
                      <a:ext cx="4473915" cy="3861535"/>
                    </a:xfrm>
                    <a:prstGeom prst="rect">
                      <a:avLst/>
                    </a:prstGeom>
                  </pic:spPr>
                </pic:pic>
              </a:graphicData>
            </a:graphic>
          </wp:inline>
        </w:drawing>
      </w:r>
    </w:p>
    <w:p w14:paraId="581BEC5A" w14:textId="77777777" w:rsidR="00681B42" w:rsidRDefault="00681B42" w:rsidP="00681B42">
      <w:pPr>
        <w:pStyle w:val="NormalWeb"/>
        <w:rPr>
          <w:rFonts w:ascii="Arial" w:hAnsi="Arial" w:cs="Arial"/>
          <w:sz w:val="22"/>
          <w:szCs w:val="22"/>
        </w:rPr>
      </w:pPr>
      <w:r w:rsidRPr="00674524">
        <w:rPr>
          <w:rFonts w:ascii="Arial" w:hAnsi="Arial" w:cs="Arial"/>
          <w:sz w:val="22"/>
          <w:szCs w:val="22"/>
        </w:rPr>
        <w:t xml:space="preserve">En abril de 2023, todos los subsectores de servicios presentaron variación positiva en los salarios, en comparación con abril de 2022. </w:t>
      </w:r>
    </w:p>
    <w:p w14:paraId="42471A54" w14:textId="77777777" w:rsidR="00681B42" w:rsidRPr="00674524" w:rsidRDefault="00681B42" w:rsidP="00681B42">
      <w:pPr>
        <w:pStyle w:val="NormalWeb"/>
        <w:rPr>
          <w:rFonts w:ascii="Arial" w:hAnsi="Arial" w:cs="Arial"/>
        </w:rPr>
      </w:pPr>
      <w:r w:rsidRPr="00674524">
        <w:rPr>
          <w:rFonts w:ascii="Arial" w:hAnsi="Arial" w:cs="Arial"/>
          <w:noProof/>
        </w:rPr>
        <w:lastRenderedPageBreak/>
        <w:drawing>
          <wp:inline distT="0" distB="0" distL="0" distR="0" wp14:anchorId="39868962" wp14:editId="79514B84">
            <wp:extent cx="5613400" cy="4947285"/>
            <wp:effectExtent l="0" t="0" r="0" b="5715"/>
            <wp:docPr id="5174864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486444" name=""/>
                    <pic:cNvPicPr/>
                  </pic:nvPicPr>
                  <pic:blipFill>
                    <a:blip r:embed="rId15"/>
                    <a:stretch>
                      <a:fillRect/>
                    </a:stretch>
                  </pic:blipFill>
                  <pic:spPr>
                    <a:xfrm>
                      <a:off x="0" y="0"/>
                      <a:ext cx="5613400" cy="4947285"/>
                    </a:xfrm>
                    <a:prstGeom prst="rect">
                      <a:avLst/>
                    </a:prstGeom>
                  </pic:spPr>
                </pic:pic>
              </a:graphicData>
            </a:graphic>
          </wp:inline>
        </w:drawing>
      </w:r>
    </w:p>
    <w:p w14:paraId="3CC9D5FE" w14:textId="77777777" w:rsidR="00681B42" w:rsidRDefault="00681B42" w:rsidP="00681B42">
      <w:pPr>
        <w:pStyle w:val="TableParagraph"/>
        <w:jc w:val="both"/>
        <w:rPr>
          <w:rFonts w:ascii="Times New Roman"/>
        </w:rPr>
      </w:pPr>
    </w:p>
    <w:p w14:paraId="0FCAC370" w14:textId="507AE469" w:rsidR="00BE089C" w:rsidRDefault="00BE089C" w:rsidP="00BE089C">
      <w:pPr>
        <w:pStyle w:val="TableParagraph"/>
        <w:ind w:left="320"/>
        <w:rPr>
          <w:rFonts w:ascii="Times New Roman"/>
          <w:sz w:val="20"/>
        </w:rPr>
      </w:pPr>
    </w:p>
    <w:p w14:paraId="741BB14B" w14:textId="6A223984" w:rsidR="00950925" w:rsidRPr="00950925" w:rsidRDefault="0001676C" w:rsidP="00BE089C">
      <w:pPr>
        <w:pStyle w:val="TableParagraph"/>
        <w:jc w:val="both"/>
        <w:rPr>
          <w:rFonts w:ascii="Times New Roman"/>
          <w:b/>
          <w:bCs/>
        </w:rPr>
      </w:pPr>
      <w:r>
        <w:rPr>
          <w:b/>
          <w:bCs/>
        </w:rPr>
        <w:t>A</w:t>
      </w:r>
      <w:r w:rsidR="00950925" w:rsidRPr="00950925">
        <w:rPr>
          <w:b/>
          <w:bCs/>
        </w:rPr>
        <w:t xml:space="preserve">ctividad </w:t>
      </w:r>
      <w:r w:rsidR="003D3686">
        <w:rPr>
          <w:b/>
          <w:bCs/>
        </w:rPr>
        <w:t xml:space="preserve">comercio de </w:t>
      </w:r>
      <w:r w:rsidR="003D3686" w:rsidRPr="003D3686">
        <w:rPr>
          <w:b/>
          <w:bCs/>
        </w:rPr>
        <w:t>Dispositivos de almacenamiento</w:t>
      </w:r>
      <w:r w:rsidR="003D3686">
        <w:rPr>
          <w:b/>
          <w:bCs/>
        </w:rPr>
        <w:t xml:space="preserve"> y </w:t>
      </w:r>
      <w:r w:rsidR="003D3686" w:rsidRPr="003D3686">
        <w:rPr>
          <w:b/>
          <w:bCs/>
        </w:rPr>
        <w:t>Dispositivos informáticos de entrada de datos</w:t>
      </w:r>
    </w:p>
    <w:p w14:paraId="46531BD4" w14:textId="77777777" w:rsidR="003D3686" w:rsidRPr="003D3686" w:rsidRDefault="003D3686" w:rsidP="003D3686">
      <w:pPr>
        <w:pStyle w:val="NormalWeb"/>
        <w:jc w:val="both"/>
        <w:rPr>
          <w:rFonts w:ascii="Arial" w:hAnsi="Arial" w:cs="Arial"/>
          <w:color w:val="232323"/>
          <w:sz w:val="22"/>
          <w:szCs w:val="22"/>
        </w:rPr>
      </w:pPr>
      <w:r w:rsidRPr="003D3686">
        <w:rPr>
          <w:rFonts w:ascii="Arial" w:hAnsi="Arial" w:cs="Arial"/>
          <w:color w:val="232323"/>
          <w:sz w:val="22"/>
          <w:szCs w:val="22"/>
        </w:rPr>
        <w:t>Raúl Katz en su publicación El ecosistema y la economía digital en América Latina, define la economía digital como “el nuevo contexto industrial, de impacto económico y social que es resultado de la adopción masiva de la TIC”. (Katz, 2015, p.5)</w:t>
      </w:r>
    </w:p>
    <w:p w14:paraId="7E23ED43" w14:textId="7D5F6C0E" w:rsidR="0084333B" w:rsidRDefault="003D3686" w:rsidP="003D3686">
      <w:pPr>
        <w:pStyle w:val="NormalWeb"/>
        <w:jc w:val="both"/>
        <w:rPr>
          <w:rFonts w:ascii="Arial" w:hAnsi="Arial" w:cs="Arial"/>
          <w:color w:val="232323"/>
          <w:sz w:val="22"/>
          <w:szCs w:val="22"/>
        </w:rPr>
      </w:pPr>
      <w:r w:rsidRPr="003D3686">
        <w:rPr>
          <w:rFonts w:ascii="Arial" w:hAnsi="Arial" w:cs="Arial"/>
          <w:color w:val="232323"/>
          <w:sz w:val="22"/>
          <w:szCs w:val="22"/>
        </w:rPr>
        <w:t>En consecuencia, hoy la cadena de valor del sector TIC en Colombia se compone de cinco grandes dimensiones, (1) la infraestructura que soporta la utilización de los servicios y productos, (2) la fabricación y/o venta de los bienes TIC, (3) la producción de los servicios de telecomunicaciones, donde el servicio de Internet comienza a ser el punto de surgimiento de una nueva industria, (4) la industria de las plataformas digitales. Toda la cadena de valor (Gráfica 1) tiene como componente transversal el conjunto de actividades de (5) investigación, desarrollo e innovación necesarias para la continua evolución del sector.</w:t>
      </w:r>
    </w:p>
    <w:p w14:paraId="1BAA233D" w14:textId="039B9173" w:rsidR="003D3686" w:rsidRDefault="003D3686" w:rsidP="003D3686">
      <w:pPr>
        <w:pStyle w:val="NormalWeb"/>
        <w:jc w:val="center"/>
        <w:rPr>
          <w:rFonts w:ascii="Arial" w:hAnsi="Arial" w:cs="Arial"/>
          <w:color w:val="232323"/>
          <w:sz w:val="22"/>
          <w:szCs w:val="22"/>
        </w:rPr>
      </w:pPr>
      <w:r w:rsidRPr="003D3686">
        <w:rPr>
          <w:rFonts w:ascii="Arial" w:hAnsi="Arial" w:cs="Arial"/>
          <w:noProof/>
          <w:color w:val="232323"/>
          <w:sz w:val="22"/>
          <w:szCs w:val="22"/>
        </w:rPr>
        <w:drawing>
          <wp:inline distT="0" distB="0" distL="0" distR="0" wp14:anchorId="0227924B" wp14:editId="69AED1FA">
            <wp:extent cx="3211032" cy="1838351"/>
            <wp:effectExtent l="0" t="0" r="2540" b="3175"/>
            <wp:docPr id="9318575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857599" name=""/>
                    <pic:cNvPicPr/>
                  </pic:nvPicPr>
                  <pic:blipFill>
                    <a:blip r:embed="rId16"/>
                    <a:stretch>
                      <a:fillRect/>
                    </a:stretch>
                  </pic:blipFill>
                  <pic:spPr>
                    <a:xfrm>
                      <a:off x="0" y="0"/>
                      <a:ext cx="3233901" cy="1851444"/>
                    </a:xfrm>
                    <a:prstGeom prst="rect">
                      <a:avLst/>
                    </a:prstGeom>
                  </pic:spPr>
                </pic:pic>
              </a:graphicData>
            </a:graphic>
          </wp:inline>
        </w:drawing>
      </w:r>
    </w:p>
    <w:p w14:paraId="0CC6E8D2"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lastRenderedPageBreak/>
        <w:t xml:space="preserve">En el componente de </w:t>
      </w:r>
      <w:r w:rsidRPr="003D3686">
        <w:rPr>
          <w:rFonts w:ascii="Arial" w:hAnsi="Arial" w:cs="Arial"/>
          <w:b/>
          <w:bCs/>
          <w:color w:val="5B3A8E"/>
          <w:sz w:val="22"/>
          <w:szCs w:val="22"/>
        </w:rPr>
        <w:t xml:space="preserve">bienes TIC </w:t>
      </w:r>
      <w:r w:rsidRPr="003D3686">
        <w:rPr>
          <w:rFonts w:ascii="Arial" w:hAnsi="Arial" w:cs="Arial"/>
          <w:sz w:val="22"/>
          <w:szCs w:val="22"/>
        </w:rPr>
        <w:t xml:space="preserve">se identifican las categorías de equipos, aparatos periféricos y terminales que hacen referencia a computadores, tabletas, terminales de pago electrónicos, máquinas para procesamientos de datos, escáner, unidades como teclado, ratón, entre otros. Equipos de comunicaciones como alarmas para incendios, cámaras de televisión, aparatos telefónicos para recepción de voz o datos, entre otros. </w:t>
      </w:r>
    </w:p>
    <w:p w14:paraId="6885CEBF"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Equipos electrónicos de consumo, que hacen referencia a consolas de video juegos, cámaras digitales, aparatos para grabación o reproducción de sonido, micrófonos, auriculares, amplificadores entre otros. Dentro de la categoría componentes y bienes TIC diversos se encuentran las tarjetas de sonido, video o similares para máquinas de procesamiento automático de datos, circuitos impresos, transistores, circuitos electrónicos, tarjetas de bandas magnéticas entre otros. Y por último en la categoría de fabricación de equipos TIC se hace referencia a servicios de fabricación de tableros y componentes electrónicos, computadores, entre otros. En el anexo A se encuentra con más detalle este componente de bienes TIC de acuerdo con la clasificación CPC 2 que hace Naciones Unidas y lineamientos dados por la OECD.</w:t>
      </w:r>
    </w:p>
    <w:p w14:paraId="705975D0"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En resumen el componente de bienes TIC se refiere principalmente a los elementos físicos o hardware que hacen parte de un sistema informático.</w:t>
      </w:r>
    </w:p>
    <w:p w14:paraId="45DE6993" w14:textId="33099324" w:rsid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Dentro del componente de producción de servicios TIC se encuentran los servicios y redes de telecomunicaciones, como: servicios de telefonía fija, móvil, transmisión de datos, internet, correos y postales, radio y televisión, entre otros. Así mismo, se encuentra la industria de software que hace referencia a licencias, sistemas informáticos, paquetes de software de aplicaciones. Los servicios de consultoría en TI (tecnología e información) se refieren a los servicios de gestión de procesos empresariales, soporte, diseño y desarrollo de TI para aplicaciones, servicios de alojamiento (hosting), entre otros.</w:t>
      </w:r>
    </w:p>
    <w:p w14:paraId="177AD33B"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Otra de las categorías de servicios TIC es leasing o servicios de arrendamiento de equipos, como arrendamiento sin opción de compra de computadores u otros equipos de telecomunicaciones, televisores, radios, grabadoras. Por último, se evidencian otros servicios TIC que hacen referencia a servicios de</w:t>
      </w:r>
    </w:p>
    <w:p w14:paraId="5E064338"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ingeniería para proyectos de telecomunicaciones, radiodifusión, mantenimiento y reparación de computadores o equipos periféricos. En el anexo B se encuentra con más detalle este componente de producción de servicios TIC de acuerdo con la clasificación CPC 2 que hace Naciones Unidas y lineamientos dados por la OECD.</w:t>
      </w:r>
    </w:p>
    <w:p w14:paraId="314DA272"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En conclusión los servicios TIC son el resultado de las soluciones a necesidades que evidencia la economía para usos específicos de las redes de telecomunicaciones y los bienes TIC.</w:t>
      </w:r>
    </w:p>
    <w:p w14:paraId="0A5DC6DC"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Actualmente se identifica un componente que resulta del uso y apropiación de las tecnologías, especialmente por la masificación de internet, categorizado por la sociedad de la información como servicio público. Este componente hace referencia a la industria de las plataformas digitales o economía digital. Dentro de la industria de las plataformas digitales se encuentra la creación de contenidos, el desarrollo de aplicaciones, contenido creado por el usuario vía online, el uso del servicio OTT que significa video y audio por vía internet, tecnologías IP y usuarios que comparten sus contenidos en línea.</w:t>
      </w:r>
    </w:p>
    <w:p w14:paraId="5881A6EF" w14:textId="5189FE92" w:rsid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Según Raúl Katz en su publicación El ecosistema y la economía digital en América Latina 2015, “la digitalización describe las transformaciones sociales, económicas y políticas asociadas con la adopción masiva de las tecnologías de información y comunicación (...) y depende del despliegue y ampliación de infraestructura de telecomunicaciones”. (Katz, 2015, p.16)</w:t>
      </w:r>
      <w:r>
        <w:rPr>
          <w:rFonts w:ascii="Arial" w:hAnsi="Arial" w:cs="Arial"/>
          <w:sz w:val="22"/>
          <w:szCs w:val="22"/>
        </w:rPr>
        <w:t>.</w:t>
      </w:r>
    </w:p>
    <w:p w14:paraId="7EAAD3F1"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 xml:space="preserve">Según el Departamento Administrativo Nacional de Estadística (DANE), el cálculo del Producto Interno Bruto (PIB) se puede realizar de tres formas: (a) Desde la demanda, (b) Desde la oferta, y (c) Desde los ingresos generados. Para efectos de este documento se toma el PIB desde el punto de vista de la oferta, este cálculo lo hace el DANE por producto </w:t>
      </w:r>
      <w:r w:rsidRPr="003D3686">
        <w:rPr>
          <w:rFonts w:ascii="Arial" w:hAnsi="Arial" w:cs="Arial"/>
          <w:sz w:val="22"/>
          <w:szCs w:val="22"/>
        </w:rPr>
        <w:lastRenderedPageBreak/>
        <w:t>agregado, es decir, sumando los valores agregados que añaden las empresas de diferentes etapas de producción en todos los sectores.</w:t>
      </w:r>
    </w:p>
    <w:p w14:paraId="7A91D383" w14:textId="77777777" w:rsidR="003D3686" w:rsidRP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Para el caso del sector TIC se identifica la rama Transporte, Almacenamiento y Comunicaciones de la que se desprende la actividad económica correo y telecomunicaciones, que es finalmente el criterio que mide el aporte de la oferta que generan las empresas privadas del sector TIC al PIB. Correo y Telecomunicaciones abarca las actividades relacionadas con servicios de postales nacionales, telefonía y servicios de radio y televisión, las cuales se identifican de acuerdo a la Clasificación Industrial Internacional Uniforme de todas las actividades económicas (CIIU Rev. 3 A.C) que son referente internacional dado por la Organización de las Naciones Unidas (ONU) y adaptadas para Colombia por el DANE (Tabla 1).</w:t>
      </w:r>
    </w:p>
    <w:p w14:paraId="04861D97" w14:textId="0D72FDB0" w:rsidR="003D3686" w:rsidRDefault="003D3686" w:rsidP="003D3686">
      <w:pPr>
        <w:pStyle w:val="NormalWeb"/>
        <w:shd w:val="clear" w:color="auto" w:fill="FFFFFF"/>
        <w:jc w:val="both"/>
        <w:rPr>
          <w:rFonts w:ascii="Arial" w:hAnsi="Arial" w:cs="Arial"/>
          <w:sz w:val="22"/>
          <w:szCs w:val="22"/>
        </w:rPr>
      </w:pPr>
      <w:r w:rsidRPr="003D3686">
        <w:rPr>
          <w:rFonts w:ascii="Arial" w:hAnsi="Arial" w:cs="Arial"/>
          <w:sz w:val="22"/>
          <w:szCs w:val="22"/>
        </w:rPr>
        <w:t>Se espera que para el año 2018 el sector TIC se ajuste a un año base más actualizado1 con el fin de medir actividades acorde a la clasificación CIIU 4 y obtener una medición más precisa del crecimiento del sector TIC en Colombia, que involucre toda la cadena de valor descrita en la gráfica</w:t>
      </w:r>
      <w:r>
        <w:rPr>
          <w:rFonts w:ascii="Arial" w:hAnsi="Arial" w:cs="Arial"/>
          <w:sz w:val="22"/>
          <w:szCs w:val="22"/>
        </w:rPr>
        <w:t>:</w:t>
      </w:r>
    </w:p>
    <w:p w14:paraId="7B99E708" w14:textId="1A4EFB74" w:rsidR="003D3686" w:rsidRPr="003D3686" w:rsidRDefault="003D3686" w:rsidP="003D3686">
      <w:pPr>
        <w:pStyle w:val="NormalWeb"/>
        <w:shd w:val="clear" w:color="auto" w:fill="FFFFFF"/>
        <w:jc w:val="center"/>
        <w:rPr>
          <w:rFonts w:ascii="Arial" w:hAnsi="Arial" w:cs="Arial"/>
          <w:sz w:val="22"/>
          <w:szCs w:val="22"/>
        </w:rPr>
      </w:pPr>
      <w:r w:rsidRPr="003D3686">
        <w:rPr>
          <w:rFonts w:ascii="Arial" w:hAnsi="Arial" w:cs="Arial"/>
          <w:noProof/>
          <w:sz w:val="22"/>
          <w:szCs w:val="22"/>
        </w:rPr>
        <w:drawing>
          <wp:inline distT="0" distB="0" distL="0" distR="0" wp14:anchorId="63114C42" wp14:editId="3F696029">
            <wp:extent cx="3870251" cy="2791484"/>
            <wp:effectExtent l="0" t="0" r="3810" b="2540"/>
            <wp:docPr id="904370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70156" name=""/>
                    <pic:cNvPicPr/>
                  </pic:nvPicPr>
                  <pic:blipFill>
                    <a:blip r:embed="rId17"/>
                    <a:stretch>
                      <a:fillRect/>
                    </a:stretch>
                  </pic:blipFill>
                  <pic:spPr>
                    <a:xfrm>
                      <a:off x="0" y="0"/>
                      <a:ext cx="3880975" cy="2799219"/>
                    </a:xfrm>
                    <a:prstGeom prst="rect">
                      <a:avLst/>
                    </a:prstGeom>
                  </pic:spPr>
                </pic:pic>
              </a:graphicData>
            </a:graphic>
          </wp:inline>
        </w:drawing>
      </w:r>
    </w:p>
    <w:p w14:paraId="78E217CE" w14:textId="7DC5D1A3" w:rsidR="003D3686" w:rsidRDefault="003D3686" w:rsidP="0084333B">
      <w:pPr>
        <w:pStyle w:val="NormalWeb"/>
        <w:jc w:val="both"/>
        <w:rPr>
          <w:rFonts w:ascii="Arial" w:hAnsi="Arial" w:cs="Arial"/>
          <w:color w:val="232323"/>
          <w:sz w:val="22"/>
          <w:szCs w:val="22"/>
        </w:rPr>
      </w:pPr>
      <w:r w:rsidRPr="003D3686">
        <w:rPr>
          <w:rFonts w:ascii="Arial" w:hAnsi="Arial" w:cs="Arial"/>
          <w:color w:val="232323"/>
          <w:sz w:val="22"/>
          <w:szCs w:val="22"/>
        </w:rPr>
        <w:t>Para realizar un análisis más integral del crecimiento del sector TIC se identifican las actividades económicas correspondientes a construcción de obras de ingeniería civil, comercio y administración pública y defensa; seguridad social de afiliación obligatoria; educación de no mercado que hacen parte del Producto Interno Bruto.</w:t>
      </w:r>
    </w:p>
    <w:p w14:paraId="3FD7786A" w14:textId="59412192" w:rsidR="003D3686" w:rsidRDefault="003D3686" w:rsidP="0084333B">
      <w:pPr>
        <w:pStyle w:val="NormalWeb"/>
        <w:jc w:val="both"/>
        <w:rPr>
          <w:rFonts w:ascii="Arial" w:hAnsi="Arial" w:cs="Arial"/>
          <w:color w:val="232323"/>
          <w:sz w:val="22"/>
          <w:szCs w:val="22"/>
        </w:rPr>
      </w:pPr>
      <w:r w:rsidRPr="003D3686">
        <w:rPr>
          <w:rFonts w:ascii="Arial" w:hAnsi="Arial" w:cs="Arial"/>
          <w:color w:val="232323"/>
          <w:sz w:val="22"/>
          <w:szCs w:val="22"/>
        </w:rPr>
        <w:t>De acuerdo con la forma como se está midiendo hoy el sector TIC, desde la actividad correo y telecomunicaciones dentro del Producto Interno Bruto (PIB) no se puede analizar el sector TIC en su completitud sino únicamente desde los servicios de telecomunicaciones que generan un ingreso importante al país. Para el segundo trimestre de 2015 la actividad económica Correo y Telecomunicaciones presenta un decrecimiento del 1,8 con una participación en el PIB de 3%. Por su parte el crecimiento económico anual de Colombia para el mismo período fue de 3,0.</w:t>
      </w:r>
    </w:p>
    <w:p w14:paraId="21646A0E" w14:textId="27EE9F3B" w:rsidR="003D3686" w:rsidRDefault="003D3686" w:rsidP="003D3686">
      <w:pPr>
        <w:pStyle w:val="NormalWeb"/>
        <w:jc w:val="center"/>
        <w:rPr>
          <w:rFonts w:ascii="Arial" w:hAnsi="Arial" w:cs="Arial"/>
          <w:color w:val="232323"/>
          <w:sz w:val="22"/>
          <w:szCs w:val="22"/>
        </w:rPr>
      </w:pPr>
      <w:r w:rsidRPr="003D3686">
        <w:rPr>
          <w:rFonts w:ascii="Arial" w:hAnsi="Arial" w:cs="Arial"/>
          <w:noProof/>
          <w:color w:val="232323"/>
          <w:sz w:val="22"/>
          <w:szCs w:val="22"/>
        </w:rPr>
        <w:drawing>
          <wp:inline distT="0" distB="0" distL="0" distR="0" wp14:anchorId="085F6FA1" wp14:editId="673DCE9E">
            <wp:extent cx="3965944" cy="1558562"/>
            <wp:effectExtent l="0" t="0" r="0" b="3810"/>
            <wp:docPr id="14612093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209346" name=""/>
                    <pic:cNvPicPr/>
                  </pic:nvPicPr>
                  <pic:blipFill>
                    <a:blip r:embed="rId18"/>
                    <a:stretch>
                      <a:fillRect/>
                    </a:stretch>
                  </pic:blipFill>
                  <pic:spPr>
                    <a:xfrm>
                      <a:off x="0" y="0"/>
                      <a:ext cx="3978102" cy="1563340"/>
                    </a:xfrm>
                    <a:prstGeom prst="rect">
                      <a:avLst/>
                    </a:prstGeom>
                  </pic:spPr>
                </pic:pic>
              </a:graphicData>
            </a:graphic>
          </wp:inline>
        </w:drawing>
      </w:r>
    </w:p>
    <w:p w14:paraId="086B51B3" w14:textId="77777777" w:rsidR="00950925" w:rsidRDefault="00950925" w:rsidP="00950925">
      <w:pPr>
        <w:pStyle w:val="TableParagraph"/>
        <w:jc w:val="both"/>
      </w:pPr>
    </w:p>
    <w:p w14:paraId="14E5D20C" w14:textId="4FB7D9DE" w:rsidR="00950925" w:rsidRDefault="00950925" w:rsidP="00950925">
      <w:pPr>
        <w:pStyle w:val="TableParagraph"/>
        <w:jc w:val="both"/>
      </w:pPr>
    </w:p>
    <w:p w14:paraId="3DBE2D6F" w14:textId="77777777" w:rsidR="003D3686" w:rsidRDefault="003D3686" w:rsidP="003D3686">
      <w:pPr>
        <w:pStyle w:val="TableParagraph"/>
        <w:jc w:val="both"/>
      </w:pPr>
      <w:r>
        <w:t>Con respecto al año anterior, el PIB cerró en el segundo trimestre de 2014 en 4,2% y la actividad de Correo y Telecomunicaciones en 4,8%, con una participación en el PIB de 3,2%.</w:t>
      </w:r>
    </w:p>
    <w:p w14:paraId="3D402BBC" w14:textId="77777777" w:rsidR="003D3686" w:rsidRDefault="003D3686" w:rsidP="003D3686">
      <w:pPr>
        <w:pStyle w:val="TableParagraph"/>
        <w:jc w:val="both"/>
      </w:pPr>
    </w:p>
    <w:p w14:paraId="18346E3A" w14:textId="3F5137E4" w:rsidR="003D3686" w:rsidRDefault="003D3686" w:rsidP="003D3686">
      <w:pPr>
        <w:pStyle w:val="TableParagraph"/>
        <w:jc w:val="both"/>
      </w:pPr>
      <w:r>
        <w:t>Cabe destacar que la gráfica 2 muestra el comportamiento de la actividad de correo y telecomunicaciones, la cual no refleja todo el sector TIC, sino solo una parte de la cadena de valor del sector, como se observa resaltado en verde en la gráfica</w:t>
      </w:r>
      <w:r>
        <w:rPr>
          <w:rStyle w:val="Refdenotaalpie"/>
        </w:rPr>
        <w:footnoteReference w:id="3"/>
      </w:r>
      <w:r>
        <w:t>:</w:t>
      </w:r>
    </w:p>
    <w:p w14:paraId="08065FCB" w14:textId="77777777" w:rsidR="003D3686" w:rsidRDefault="003D3686" w:rsidP="003D3686">
      <w:pPr>
        <w:pStyle w:val="TableParagraph"/>
        <w:jc w:val="both"/>
      </w:pPr>
    </w:p>
    <w:p w14:paraId="50302552" w14:textId="028E5006" w:rsidR="003D3686" w:rsidRDefault="003D3686" w:rsidP="003D3686">
      <w:pPr>
        <w:pStyle w:val="TableParagraph"/>
        <w:jc w:val="both"/>
      </w:pPr>
      <w:r w:rsidRPr="003D3686">
        <w:rPr>
          <w:noProof/>
        </w:rPr>
        <w:drawing>
          <wp:inline distT="0" distB="0" distL="0" distR="0" wp14:anchorId="28A0B0B3" wp14:editId="61DCAB3C">
            <wp:extent cx="5613400" cy="3274577"/>
            <wp:effectExtent l="0" t="0" r="0" b="2540"/>
            <wp:docPr id="6228810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881059" name=""/>
                    <pic:cNvPicPr/>
                  </pic:nvPicPr>
                  <pic:blipFill rotWithShape="1">
                    <a:blip r:embed="rId19"/>
                    <a:srcRect t="3449"/>
                    <a:stretch/>
                  </pic:blipFill>
                  <pic:spPr bwMode="auto">
                    <a:xfrm>
                      <a:off x="0" y="0"/>
                      <a:ext cx="5613400" cy="3274577"/>
                    </a:xfrm>
                    <a:prstGeom prst="rect">
                      <a:avLst/>
                    </a:prstGeom>
                    <a:ln>
                      <a:noFill/>
                    </a:ln>
                    <a:extLst>
                      <a:ext uri="{53640926-AAD7-44D8-BBD7-CCE9431645EC}">
                        <a14:shadowObscured xmlns:a14="http://schemas.microsoft.com/office/drawing/2010/main"/>
                      </a:ext>
                    </a:extLst>
                  </pic:spPr>
                </pic:pic>
              </a:graphicData>
            </a:graphic>
          </wp:inline>
        </w:drawing>
      </w:r>
    </w:p>
    <w:p w14:paraId="66AF6393" w14:textId="77777777" w:rsidR="003D3686" w:rsidRDefault="003D3686" w:rsidP="00950925">
      <w:pPr>
        <w:pStyle w:val="TableParagraph"/>
        <w:jc w:val="both"/>
      </w:pPr>
    </w:p>
    <w:p w14:paraId="5B2E0CBD" w14:textId="10AB8881" w:rsidR="00950925" w:rsidRDefault="00950925" w:rsidP="00950925">
      <w:pPr>
        <w:pStyle w:val="TableParagraph"/>
        <w:jc w:val="both"/>
      </w:pPr>
    </w:p>
    <w:p w14:paraId="5B1BEB9F" w14:textId="77777777" w:rsidR="00950925" w:rsidRDefault="00950925" w:rsidP="00950925">
      <w:pPr>
        <w:pStyle w:val="TableParagraph"/>
        <w:ind w:left="22"/>
        <w:rPr>
          <w:b/>
        </w:rPr>
      </w:pPr>
      <w:r>
        <w:rPr>
          <w:b/>
        </w:rPr>
        <w:t>2.2.3.</w:t>
      </w:r>
      <w:r>
        <w:rPr>
          <w:b/>
          <w:spacing w:val="61"/>
        </w:rPr>
        <w:t xml:space="preserve"> </w:t>
      </w:r>
      <w:r>
        <w:rPr>
          <w:b/>
        </w:rPr>
        <w:t>MiPymes</w:t>
      </w:r>
      <w:r>
        <w:rPr>
          <w:b/>
          <w:spacing w:val="7"/>
        </w:rPr>
        <w:t xml:space="preserve"> </w:t>
      </w:r>
      <w:r>
        <w:rPr>
          <w:b/>
        </w:rPr>
        <w:t>en</w:t>
      </w:r>
      <w:r>
        <w:rPr>
          <w:b/>
          <w:spacing w:val="6"/>
        </w:rPr>
        <w:t xml:space="preserve"> </w:t>
      </w:r>
      <w:r>
        <w:rPr>
          <w:b/>
        </w:rPr>
        <w:t>Colombia</w:t>
      </w:r>
    </w:p>
    <w:p w14:paraId="592B2254" w14:textId="77777777" w:rsidR="00950925" w:rsidRDefault="00950925" w:rsidP="00950925">
      <w:pPr>
        <w:pStyle w:val="TableParagraph"/>
        <w:spacing w:before="10"/>
        <w:rPr>
          <w:sz w:val="21"/>
        </w:rPr>
      </w:pPr>
    </w:p>
    <w:p w14:paraId="75991814" w14:textId="7B7BF44C" w:rsidR="00950925" w:rsidRDefault="00950925" w:rsidP="000B0465">
      <w:pPr>
        <w:pStyle w:val="TableParagraph"/>
        <w:spacing w:line="242" w:lineRule="auto"/>
        <w:ind w:left="22" w:right="48"/>
        <w:jc w:val="both"/>
      </w:pPr>
      <w:r>
        <w:t xml:space="preserve">En Colombia es considerada una </w:t>
      </w:r>
      <w:proofErr w:type="spellStart"/>
      <w:r>
        <w:t>MiPyme</w:t>
      </w:r>
      <w:proofErr w:type="spellEnd"/>
      <w:r>
        <w:t xml:space="preserve"> a las micro, pequeñas y medianas empresas, calificadas bajo el</w:t>
      </w:r>
      <w:r>
        <w:rPr>
          <w:spacing w:val="1"/>
        </w:rPr>
        <w:t xml:space="preserve"> </w:t>
      </w:r>
      <w:r>
        <w:rPr>
          <w:spacing w:val="-1"/>
        </w:rPr>
        <w:t>número</w:t>
      </w:r>
      <w:r>
        <w:rPr>
          <w:spacing w:val="-9"/>
        </w:rPr>
        <w:t xml:space="preserve"> </w:t>
      </w:r>
      <w:r>
        <w:rPr>
          <w:spacing w:val="-1"/>
        </w:rPr>
        <w:t>de</w:t>
      </w:r>
      <w:r>
        <w:rPr>
          <w:spacing w:val="-8"/>
        </w:rPr>
        <w:t xml:space="preserve"> </w:t>
      </w:r>
      <w:r>
        <w:rPr>
          <w:spacing w:val="-1"/>
        </w:rPr>
        <w:t>trabajadores</w:t>
      </w:r>
      <w:r>
        <w:rPr>
          <w:spacing w:val="-8"/>
        </w:rPr>
        <w:t xml:space="preserve"> </w:t>
      </w:r>
      <w:r>
        <w:rPr>
          <w:spacing w:val="-1"/>
        </w:rPr>
        <w:t>y</w:t>
      </w:r>
      <w:r>
        <w:rPr>
          <w:spacing w:val="-13"/>
        </w:rPr>
        <w:t xml:space="preserve"> </w:t>
      </w:r>
      <w:r>
        <w:t>el</w:t>
      </w:r>
      <w:r>
        <w:rPr>
          <w:spacing w:val="-15"/>
        </w:rPr>
        <w:t xml:space="preserve"> </w:t>
      </w:r>
      <w:r>
        <w:t>monto</w:t>
      </w:r>
      <w:r>
        <w:rPr>
          <w:spacing w:val="-8"/>
        </w:rPr>
        <w:t xml:space="preserve"> </w:t>
      </w:r>
      <w:r>
        <w:t>de</w:t>
      </w:r>
      <w:r>
        <w:rPr>
          <w:spacing w:val="-8"/>
        </w:rPr>
        <w:t xml:space="preserve"> </w:t>
      </w:r>
      <w:r>
        <w:t>sus</w:t>
      </w:r>
      <w:r>
        <w:rPr>
          <w:spacing w:val="-13"/>
        </w:rPr>
        <w:t xml:space="preserve"> </w:t>
      </w:r>
      <w:r>
        <w:t>activos.</w:t>
      </w:r>
      <w:r>
        <w:rPr>
          <w:spacing w:val="-11"/>
        </w:rPr>
        <w:t xml:space="preserve"> </w:t>
      </w:r>
      <w:r>
        <w:t>Con</w:t>
      </w:r>
      <w:r>
        <w:rPr>
          <w:spacing w:val="-8"/>
        </w:rPr>
        <w:t xml:space="preserve"> </w:t>
      </w:r>
      <w:r>
        <w:t>casi</w:t>
      </w:r>
      <w:r>
        <w:rPr>
          <w:spacing w:val="-15"/>
        </w:rPr>
        <w:t xml:space="preserve"> </w:t>
      </w:r>
      <w:r>
        <w:t>2</w:t>
      </w:r>
      <w:r>
        <w:rPr>
          <w:spacing w:val="-9"/>
        </w:rPr>
        <w:t xml:space="preserve"> </w:t>
      </w:r>
      <w:r>
        <w:t>millones</w:t>
      </w:r>
      <w:r>
        <w:rPr>
          <w:spacing w:val="-8"/>
        </w:rPr>
        <w:t xml:space="preserve"> </w:t>
      </w:r>
      <w:r>
        <w:t>de</w:t>
      </w:r>
      <w:r>
        <w:rPr>
          <w:spacing w:val="-8"/>
        </w:rPr>
        <w:t xml:space="preserve"> </w:t>
      </w:r>
      <w:r>
        <w:t>empresas,</w:t>
      </w:r>
      <w:r>
        <w:rPr>
          <w:spacing w:val="-11"/>
        </w:rPr>
        <w:t xml:space="preserve"> </w:t>
      </w:r>
      <w:r>
        <w:t>estas</w:t>
      </w:r>
      <w:r>
        <w:rPr>
          <w:spacing w:val="-9"/>
        </w:rPr>
        <w:t xml:space="preserve"> </w:t>
      </w:r>
      <w:r>
        <w:t>representan</w:t>
      </w:r>
      <w:r>
        <w:rPr>
          <w:spacing w:val="-8"/>
        </w:rPr>
        <w:t xml:space="preserve"> </w:t>
      </w:r>
      <w:r>
        <w:t>el</w:t>
      </w:r>
      <w:r>
        <w:rPr>
          <w:spacing w:val="-15"/>
        </w:rPr>
        <w:t xml:space="preserve"> </w:t>
      </w:r>
      <w:r>
        <w:t>99,7</w:t>
      </w:r>
      <w:r w:rsidR="000B0465">
        <w:t xml:space="preserve"> </w:t>
      </w:r>
      <w:r>
        <w:t>% del</w:t>
      </w:r>
      <w:r>
        <w:rPr>
          <w:spacing w:val="-5"/>
        </w:rPr>
        <w:t xml:space="preserve"> </w:t>
      </w:r>
      <w:r>
        <w:t>tejido</w:t>
      </w:r>
      <w:r>
        <w:rPr>
          <w:spacing w:val="1"/>
        </w:rPr>
        <w:t xml:space="preserve"> </w:t>
      </w:r>
      <w:r>
        <w:t>empresarial</w:t>
      </w:r>
      <w:r>
        <w:rPr>
          <w:spacing w:val="-5"/>
        </w:rPr>
        <w:t xml:space="preserve"> </w:t>
      </w:r>
      <w:r>
        <w:t>del</w:t>
      </w:r>
      <w:r>
        <w:rPr>
          <w:spacing w:val="-5"/>
        </w:rPr>
        <w:t xml:space="preserve"> </w:t>
      </w:r>
      <w:r>
        <w:t>país,</w:t>
      </w:r>
      <w:r>
        <w:rPr>
          <w:spacing w:val="-1"/>
        </w:rPr>
        <w:t xml:space="preserve"> </w:t>
      </w:r>
      <w:r>
        <w:t>generan</w:t>
      </w:r>
      <w:r>
        <w:rPr>
          <w:spacing w:val="1"/>
        </w:rPr>
        <w:t xml:space="preserve"> </w:t>
      </w:r>
      <w:r>
        <w:t>más</w:t>
      </w:r>
      <w:r>
        <w:rPr>
          <w:spacing w:val="1"/>
        </w:rPr>
        <w:t xml:space="preserve"> </w:t>
      </w:r>
      <w:r>
        <w:t>del</w:t>
      </w:r>
      <w:r>
        <w:rPr>
          <w:spacing w:val="-5"/>
        </w:rPr>
        <w:t xml:space="preserve"> </w:t>
      </w:r>
      <w:r>
        <w:t>78</w:t>
      </w:r>
      <w:r>
        <w:rPr>
          <w:spacing w:val="1"/>
        </w:rPr>
        <w:t xml:space="preserve"> </w:t>
      </w:r>
      <w:r>
        <w:t>%</w:t>
      </w:r>
      <w:r>
        <w:rPr>
          <w:spacing w:val="1"/>
        </w:rPr>
        <w:t xml:space="preserve"> </w:t>
      </w:r>
      <w:r>
        <w:t>del</w:t>
      </w:r>
      <w:r>
        <w:rPr>
          <w:spacing w:val="-5"/>
        </w:rPr>
        <w:t xml:space="preserve"> </w:t>
      </w:r>
      <w:r>
        <w:t>empleo</w:t>
      </w:r>
      <w:r>
        <w:rPr>
          <w:spacing w:val="1"/>
        </w:rPr>
        <w:t xml:space="preserve"> </w:t>
      </w:r>
      <w:r>
        <w:t>total</w:t>
      </w:r>
      <w:r>
        <w:rPr>
          <w:spacing w:val="-5"/>
        </w:rPr>
        <w:t xml:space="preserve"> </w:t>
      </w:r>
      <w:r>
        <w:t>y</w:t>
      </w:r>
      <w:r>
        <w:rPr>
          <w:spacing w:val="1"/>
        </w:rPr>
        <w:t xml:space="preserve"> </w:t>
      </w:r>
      <w:r>
        <w:t>aportan</w:t>
      </w:r>
      <w:r>
        <w:rPr>
          <w:spacing w:val="2"/>
        </w:rPr>
        <w:t xml:space="preserve"> </w:t>
      </w:r>
      <w:r>
        <w:t>el</w:t>
      </w:r>
      <w:r>
        <w:rPr>
          <w:spacing w:val="-5"/>
        </w:rPr>
        <w:t xml:space="preserve"> </w:t>
      </w:r>
      <w:r>
        <w:t>50% del</w:t>
      </w:r>
      <w:r>
        <w:rPr>
          <w:spacing w:val="-5"/>
        </w:rPr>
        <w:t xml:space="preserve"> </w:t>
      </w:r>
      <w:r>
        <w:t>PIB.</w:t>
      </w:r>
    </w:p>
    <w:p w14:paraId="0D3DA56A" w14:textId="5D57F561" w:rsidR="00950925" w:rsidRDefault="00950925" w:rsidP="00950925">
      <w:pPr>
        <w:pStyle w:val="TableParagraph"/>
        <w:spacing w:before="10"/>
        <w:rPr>
          <w:sz w:val="21"/>
        </w:rPr>
      </w:pPr>
    </w:p>
    <w:p w14:paraId="10FF8796" w14:textId="424EEE5F" w:rsidR="00950925" w:rsidRDefault="00950925" w:rsidP="000B0465">
      <w:pPr>
        <w:pStyle w:val="TableParagraph"/>
        <w:ind w:right="38"/>
        <w:jc w:val="both"/>
      </w:pPr>
      <w:r>
        <w:t>La Encuesta de Desempeño Empresarial (EDE) para el cuarto trimestre de 202</w:t>
      </w:r>
      <w:r w:rsidR="000B0465">
        <w:t>1</w:t>
      </w:r>
      <w:r>
        <w:t>, realizada por La Asociación</w:t>
      </w:r>
      <w:r>
        <w:rPr>
          <w:spacing w:val="-59"/>
        </w:rPr>
        <w:t xml:space="preserve"> </w:t>
      </w:r>
      <w:r>
        <w:t>Colombiana de las Micro, Pequeñas y Medianas Empresas – ACOPI, se orienta a buscar evidencia en la</w:t>
      </w:r>
      <w:r>
        <w:rPr>
          <w:spacing w:val="1"/>
        </w:rPr>
        <w:t xml:space="preserve"> </w:t>
      </w:r>
      <w:r>
        <w:t>dinámica de la reactivación económica, haciendo énfasis en los indicadores denominados fundamentales.</w:t>
      </w:r>
      <w:r>
        <w:rPr>
          <w:spacing w:val="1"/>
        </w:rPr>
        <w:t xml:space="preserve"> </w:t>
      </w:r>
      <w:r>
        <w:t>Tales indicadores</w:t>
      </w:r>
      <w:r>
        <w:rPr>
          <w:spacing w:val="-7"/>
        </w:rPr>
        <w:t xml:space="preserve"> </w:t>
      </w:r>
      <w:r>
        <w:t>seguidamente</w:t>
      </w:r>
      <w:r>
        <w:rPr>
          <w:spacing w:val="-7"/>
        </w:rPr>
        <w:t xml:space="preserve"> </w:t>
      </w:r>
      <w:r>
        <w:t>se</w:t>
      </w:r>
      <w:r>
        <w:rPr>
          <w:spacing w:val="-4"/>
        </w:rPr>
        <w:t xml:space="preserve"> </w:t>
      </w:r>
      <w:r>
        <w:t>transcribirán,</w:t>
      </w:r>
      <w:r>
        <w:rPr>
          <w:spacing w:val="-6"/>
        </w:rPr>
        <w:t xml:space="preserve"> </w:t>
      </w:r>
      <w:r>
        <w:t>teniendo</w:t>
      </w:r>
      <w:r>
        <w:rPr>
          <w:spacing w:val="-3"/>
        </w:rPr>
        <w:t xml:space="preserve"> </w:t>
      </w:r>
      <w:r>
        <w:t>en</w:t>
      </w:r>
      <w:r>
        <w:rPr>
          <w:spacing w:val="-7"/>
        </w:rPr>
        <w:t xml:space="preserve"> </w:t>
      </w:r>
      <w:r>
        <w:t>cuenta</w:t>
      </w:r>
      <w:r>
        <w:rPr>
          <w:spacing w:val="-8"/>
        </w:rPr>
        <w:t xml:space="preserve"> </w:t>
      </w:r>
      <w:r>
        <w:t>aquellos</w:t>
      </w:r>
      <w:r>
        <w:rPr>
          <w:spacing w:val="-3"/>
        </w:rPr>
        <w:t xml:space="preserve"> </w:t>
      </w:r>
      <w:r>
        <w:t>que</w:t>
      </w:r>
      <w:r>
        <w:rPr>
          <w:spacing w:val="-7"/>
        </w:rPr>
        <w:t xml:space="preserve"> </w:t>
      </w:r>
      <w:r>
        <w:t>sirvan</w:t>
      </w:r>
      <w:r>
        <w:rPr>
          <w:spacing w:val="-7"/>
        </w:rPr>
        <w:t xml:space="preserve"> </w:t>
      </w:r>
      <w:r>
        <w:t>para</w:t>
      </w:r>
      <w:r>
        <w:rPr>
          <w:spacing w:val="-7"/>
        </w:rPr>
        <w:t xml:space="preserve"> </w:t>
      </w:r>
      <w:r>
        <w:t>fundamentar</w:t>
      </w:r>
      <w:r>
        <w:rPr>
          <w:spacing w:val="-6"/>
        </w:rPr>
        <w:t xml:space="preserve"> </w:t>
      </w:r>
      <w:r>
        <w:t>el</w:t>
      </w:r>
      <w:r>
        <w:rPr>
          <w:spacing w:val="-59"/>
        </w:rPr>
        <w:t xml:space="preserve"> </w:t>
      </w:r>
      <w:r>
        <w:t>presente</w:t>
      </w:r>
      <w:r>
        <w:rPr>
          <w:spacing w:val="-1"/>
        </w:rPr>
        <w:t xml:space="preserve"> </w:t>
      </w:r>
      <w:r>
        <w:t>estudio.</w:t>
      </w:r>
    </w:p>
    <w:p w14:paraId="3601422F" w14:textId="77777777" w:rsidR="00950925" w:rsidRDefault="00950925" w:rsidP="00950925">
      <w:pPr>
        <w:pStyle w:val="TableParagraph"/>
        <w:spacing w:before="2"/>
      </w:pPr>
    </w:p>
    <w:p w14:paraId="6954E3DB" w14:textId="77777777" w:rsidR="00950925" w:rsidRDefault="00950925" w:rsidP="00950925">
      <w:pPr>
        <w:pStyle w:val="TableParagraph"/>
        <w:ind w:left="22" w:right="40"/>
        <w:jc w:val="both"/>
      </w:pPr>
      <w:r>
        <w:t>Por otro lado, de acuerdo a la distribución de la muestra según el tamaño de la empresa, la mayor proporción</w:t>
      </w:r>
      <w:r>
        <w:rPr>
          <w:spacing w:val="-59"/>
        </w:rPr>
        <w:t xml:space="preserve"> </w:t>
      </w:r>
      <w:r>
        <w:t>son las microempresas con un 57,26% de participación, seguida por la pequeña empresa (27,49%), y, por</w:t>
      </w:r>
      <w:r>
        <w:rPr>
          <w:spacing w:val="1"/>
        </w:rPr>
        <w:t xml:space="preserve"> </w:t>
      </w:r>
      <w:r>
        <w:t>último, la mediana empresa con una participación del 15,24%. Este comportamiento guarda relación con el</w:t>
      </w:r>
      <w:r>
        <w:rPr>
          <w:spacing w:val="1"/>
        </w:rPr>
        <w:t xml:space="preserve"> </w:t>
      </w:r>
      <w:r>
        <w:t>tejido</w:t>
      </w:r>
      <w:r>
        <w:rPr>
          <w:spacing w:val="1"/>
        </w:rPr>
        <w:t xml:space="preserve"> </w:t>
      </w:r>
      <w:r>
        <w:t>empresarial</w:t>
      </w:r>
      <w:r>
        <w:rPr>
          <w:spacing w:val="1"/>
        </w:rPr>
        <w:t xml:space="preserve"> </w:t>
      </w:r>
      <w:r>
        <w:t>de</w:t>
      </w:r>
      <w:r>
        <w:rPr>
          <w:spacing w:val="1"/>
        </w:rPr>
        <w:t xml:space="preserve"> </w:t>
      </w:r>
      <w:r>
        <w:t>las</w:t>
      </w:r>
      <w:r>
        <w:rPr>
          <w:spacing w:val="1"/>
        </w:rPr>
        <w:t xml:space="preserve"> </w:t>
      </w:r>
      <w:r>
        <w:t>principales</w:t>
      </w:r>
      <w:r>
        <w:rPr>
          <w:spacing w:val="1"/>
        </w:rPr>
        <w:t xml:space="preserve"> </w:t>
      </w:r>
      <w:r>
        <w:t>ciudades</w:t>
      </w:r>
      <w:r>
        <w:rPr>
          <w:spacing w:val="1"/>
        </w:rPr>
        <w:t xml:space="preserve"> </w:t>
      </w:r>
      <w:r>
        <w:t>y</w:t>
      </w:r>
      <w:r>
        <w:rPr>
          <w:spacing w:val="1"/>
        </w:rPr>
        <w:t xml:space="preserve"> </w:t>
      </w:r>
      <w:r>
        <w:t>departamentos</w:t>
      </w:r>
      <w:r>
        <w:rPr>
          <w:spacing w:val="1"/>
        </w:rPr>
        <w:t xml:space="preserve"> </w:t>
      </w:r>
      <w:r>
        <w:t>del</w:t>
      </w:r>
      <w:r>
        <w:rPr>
          <w:spacing w:val="1"/>
        </w:rPr>
        <w:t xml:space="preserve"> </w:t>
      </w:r>
      <w:r>
        <w:t>país,</w:t>
      </w:r>
      <w:r>
        <w:rPr>
          <w:spacing w:val="1"/>
        </w:rPr>
        <w:t xml:space="preserve"> </w:t>
      </w:r>
      <w:r>
        <w:t>en</w:t>
      </w:r>
      <w:r>
        <w:rPr>
          <w:spacing w:val="1"/>
        </w:rPr>
        <w:t xml:space="preserve"> </w:t>
      </w:r>
      <w:r>
        <w:t>donde</w:t>
      </w:r>
      <w:r>
        <w:rPr>
          <w:spacing w:val="1"/>
        </w:rPr>
        <w:t xml:space="preserve"> </w:t>
      </w:r>
      <w:r>
        <w:t>se</w:t>
      </w:r>
      <w:r>
        <w:rPr>
          <w:spacing w:val="1"/>
        </w:rPr>
        <w:t xml:space="preserve"> </w:t>
      </w:r>
      <w:r>
        <w:t>evidencia</w:t>
      </w:r>
      <w:r>
        <w:rPr>
          <w:spacing w:val="1"/>
        </w:rPr>
        <w:t xml:space="preserve"> </w:t>
      </w:r>
      <w:r>
        <w:t>una</w:t>
      </w:r>
      <w:r>
        <w:rPr>
          <w:spacing w:val="1"/>
        </w:rPr>
        <w:t xml:space="preserve"> </w:t>
      </w:r>
      <w:r>
        <w:t>participación significativa de estos segmentos empresariales en la dinámica económica local. A nivel región,</w:t>
      </w:r>
      <w:r>
        <w:rPr>
          <w:spacing w:val="1"/>
        </w:rPr>
        <w:t xml:space="preserve"> </w:t>
      </w:r>
      <w:r>
        <w:t>la mayor participación de las MiPymes se encuentra en los segmentos de microempresas y pequeñas</w:t>
      </w:r>
      <w:r>
        <w:rPr>
          <w:spacing w:val="1"/>
        </w:rPr>
        <w:t xml:space="preserve"> </w:t>
      </w:r>
      <w:r>
        <w:t>empresas.</w:t>
      </w:r>
    </w:p>
    <w:p w14:paraId="78B64024" w14:textId="77777777" w:rsidR="00950925" w:rsidRDefault="00950925" w:rsidP="00950925">
      <w:pPr>
        <w:pStyle w:val="TableParagraph"/>
      </w:pPr>
    </w:p>
    <w:p w14:paraId="437824B1" w14:textId="77777777" w:rsidR="00950925" w:rsidRDefault="00950925" w:rsidP="00950925">
      <w:pPr>
        <w:pStyle w:val="TableParagraph"/>
        <w:spacing w:before="56"/>
        <w:ind w:left="22" w:right="52"/>
        <w:jc w:val="both"/>
      </w:pPr>
      <w:r>
        <w:t>Para el primer trimestre de 2022, de acuerdo a la distribución de la muestra según el tamaño de empresa, la</w:t>
      </w:r>
      <w:r>
        <w:rPr>
          <w:spacing w:val="1"/>
        </w:rPr>
        <w:t xml:space="preserve"> </w:t>
      </w:r>
      <w:r>
        <w:t>mayor proporción corresponde a las microempresas con un 55,7% de participación, seguida por la pequeña</w:t>
      </w:r>
      <w:r>
        <w:rPr>
          <w:spacing w:val="1"/>
        </w:rPr>
        <w:t xml:space="preserve"> </w:t>
      </w:r>
      <w:r>
        <w:t>empresa</w:t>
      </w:r>
      <w:r>
        <w:rPr>
          <w:spacing w:val="-7"/>
        </w:rPr>
        <w:t xml:space="preserve"> </w:t>
      </w:r>
      <w:r>
        <w:t>(29,6%),</w:t>
      </w:r>
      <w:r>
        <w:rPr>
          <w:spacing w:val="-10"/>
        </w:rPr>
        <w:t xml:space="preserve"> </w:t>
      </w:r>
      <w:r>
        <w:t>y,</w:t>
      </w:r>
      <w:r>
        <w:rPr>
          <w:spacing w:val="-9"/>
        </w:rPr>
        <w:t xml:space="preserve"> </w:t>
      </w:r>
      <w:r>
        <w:t>por</w:t>
      </w:r>
      <w:r>
        <w:rPr>
          <w:spacing w:val="-10"/>
        </w:rPr>
        <w:t xml:space="preserve"> </w:t>
      </w:r>
      <w:r>
        <w:t>último,</w:t>
      </w:r>
      <w:r>
        <w:rPr>
          <w:spacing w:val="-10"/>
        </w:rPr>
        <w:t xml:space="preserve"> </w:t>
      </w:r>
      <w:r>
        <w:t>la</w:t>
      </w:r>
      <w:r>
        <w:rPr>
          <w:spacing w:val="-6"/>
        </w:rPr>
        <w:t xml:space="preserve"> </w:t>
      </w:r>
      <w:r>
        <w:t>mediana</w:t>
      </w:r>
      <w:r>
        <w:rPr>
          <w:spacing w:val="-7"/>
        </w:rPr>
        <w:t xml:space="preserve"> </w:t>
      </w:r>
      <w:r>
        <w:t>empresa</w:t>
      </w:r>
      <w:r>
        <w:rPr>
          <w:spacing w:val="-11"/>
        </w:rPr>
        <w:t xml:space="preserve"> </w:t>
      </w:r>
      <w:r>
        <w:t>con</w:t>
      </w:r>
      <w:r>
        <w:rPr>
          <w:spacing w:val="-6"/>
        </w:rPr>
        <w:t xml:space="preserve"> </w:t>
      </w:r>
      <w:r>
        <w:t>una</w:t>
      </w:r>
      <w:r>
        <w:rPr>
          <w:spacing w:val="-7"/>
        </w:rPr>
        <w:t xml:space="preserve"> </w:t>
      </w:r>
      <w:r>
        <w:t>participación</w:t>
      </w:r>
      <w:r>
        <w:rPr>
          <w:spacing w:val="-7"/>
        </w:rPr>
        <w:t xml:space="preserve"> </w:t>
      </w:r>
      <w:r>
        <w:t>del</w:t>
      </w:r>
      <w:r>
        <w:rPr>
          <w:spacing w:val="-12"/>
        </w:rPr>
        <w:t xml:space="preserve"> </w:t>
      </w:r>
      <w:r>
        <w:t>14,7%.</w:t>
      </w:r>
      <w:r>
        <w:rPr>
          <w:spacing w:val="-9"/>
        </w:rPr>
        <w:t xml:space="preserve"> </w:t>
      </w:r>
      <w:r>
        <w:t>Se</w:t>
      </w:r>
      <w:r>
        <w:rPr>
          <w:spacing w:val="-7"/>
        </w:rPr>
        <w:t xml:space="preserve"> </w:t>
      </w:r>
      <w:r>
        <w:t>puede</w:t>
      </w:r>
      <w:r>
        <w:rPr>
          <w:spacing w:val="-6"/>
        </w:rPr>
        <w:t xml:space="preserve"> </w:t>
      </w:r>
      <w:r>
        <w:t>observar</w:t>
      </w:r>
      <w:r>
        <w:rPr>
          <w:spacing w:val="-10"/>
        </w:rPr>
        <w:t xml:space="preserve"> </w:t>
      </w:r>
      <w:r>
        <w:t>que,</w:t>
      </w:r>
      <w:r>
        <w:rPr>
          <w:spacing w:val="-59"/>
        </w:rPr>
        <w:t xml:space="preserve"> </w:t>
      </w:r>
      <w:r>
        <w:t>este</w:t>
      </w:r>
      <w:r>
        <w:rPr>
          <w:spacing w:val="13"/>
        </w:rPr>
        <w:t xml:space="preserve"> </w:t>
      </w:r>
      <w:r>
        <w:t>comportamiento</w:t>
      </w:r>
      <w:r>
        <w:rPr>
          <w:spacing w:val="13"/>
        </w:rPr>
        <w:t xml:space="preserve"> </w:t>
      </w:r>
      <w:r>
        <w:t>guarda</w:t>
      </w:r>
      <w:r>
        <w:rPr>
          <w:spacing w:val="13"/>
        </w:rPr>
        <w:t xml:space="preserve"> </w:t>
      </w:r>
      <w:r>
        <w:t>relación</w:t>
      </w:r>
      <w:r>
        <w:rPr>
          <w:spacing w:val="13"/>
        </w:rPr>
        <w:t xml:space="preserve"> </w:t>
      </w:r>
      <w:r>
        <w:t>con</w:t>
      </w:r>
      <w:r>
        <w:rPr>
          <w:spacing w:val="13"/>
        </w:rPr>
        <w:t xml:space="preserve"> </w:t>
      </w:r>
      <w:r>
        <w:t>el</w:t>
      </w:r>
      <w:r>
        <w:rPr>
          <w:spacing w:val="6"/>
        </w:rPr>
        <w:t xml:space="preserve"> </w:t>
      </w:r>
      <w:r>
        <w:t>tejido</w:t>
      </w:r>
      <w:r>
        <w:rPr>
          <w:spacing w:val="14"/>
        </w:rPr>
        <w:t xml:space="preserve"> </w:t>
      </w:r>
      <w:r>
        <w:t>empresarial</w:t>
      </w:r>
      <w:r>
        <w:rPr>
          <w:spacing w:val="10"/>
        </w:rPr>
        <w:t xml:space="preserve"> </w:t>
      </w:r>
      <w:r>
        <w:t>de</w:t>
      </w:r>
      <w:r>
        <w:rPr>
          <w:spacing w:val="13"/>
        </w:rPr>
        <w:t xml:space="preserve"> </w:t>
      </w:r>
      <w:r>
        <w:t>las</w:t>
      </w:r>
      <w:r>
        <w:rPr>
          <w:spacing w:val="13"/>
        </w:rPr>
        <w:t xml:space="preserve"> </w:t>
      </w:r>
      <w:r>
        <w:t>principales</w:t>
      </w:r>
      <w:r>
        <w:rPr>
          <w:spacing w:val="13"/>
        </w:rPr>
        <w:t xml:space="preserve"> </w:t>
      </w:r>
      <w:r>
        <w:t>ciudades</w:t>
      </w:r>
      <w:r>
        <w:rPr>
          <w:spacing w:val="13"/>
        </w:rPr>
        <w:t xml:space="preserve"> </w:t>
      </w:r>
      <w:r>
        <w:t>y</w:t>
      </w:r>
      <w:r>
        <w:rPr>
          <w:spacing w:val="10"/>
        </w:rPr>
        <w:t xml:space="preserve"> </w:t>
      </w:r>
      <w:r>
        <w:t xml:space="preserve">departamentos del país, en donde se evidencia una participación significativa de estos segmentos </w:t>
      </w:r>
      <w:r>
        <w:lastRenderedPageBreak/>
        <w:t>empresariales en la</w:t>
      </w:r>
      <w:r>
        <w:rPr>
          <w:spacing w:val="1"/>
        </w:rPr>
        <w:t xml:space="preserve"> </w:t>
      </w:r>
      <w:r>
        <w:t>dinámica</w:t>
      </w:r>
      <w:r>
        <w:rPr>
          <w:spacing w:val="-1"/>
        </w:rPr>
        <w:t xml:space="preserve"> </w:t>
      </w:r>
      <w:r>
        <w:t>económica local.</w:t>
      </w:r>
    </w:p>
    <w:p w14:paraId="73246E98" w14:textId="77777777" w:rsidR="00950925" w:rsidRDefault="00950925" w:rsidP="00950925">
      <w:pPr>
        <w:pStyle w:val="TableParagraph"/>
        <w:tabs>
          <w:tab w:val="left" w:pos="2480"/>
        </w:tabs>
        <w:spacing w:before="185"/>
        <w:ind w:left="-1" w:right="14"/>
        <w:jc w:val="center"/>
        <w:rPr>
          <w:b/>
          <w:i/>
          <w:sz w:val="20"/>
        </w:rPr>
      </w:pPr>
      <w:r>
        <w:rPr>
          <w:b/>
          <w:i/>
          <w:sz w:val="20"/>
        </w:rPr>
        <w:t>Tamaño</w:t>
      </w:r>
      <w:r>
        <w:rPr>
          <w:b/>
          <w:i/>
          <w:spacing w:val="-3"/>
          <w:sz w:val="20"/>
        </w:rPr>
        <w:t xml:space="preserve"> </w:t>
      </w:r>
      <w:r>
        <w:rPr>
          <w:b/>
          <w:i/>
          <w:sz w:val="20"/>
        </w:rPr>
        <w:t>de la</w:t>
      </w:r>
      <w:r>
        <w:rPr>
          <w:b/>
          <w:i/>
          <w:spacing w:val="-5"/>
          <w:sz w:val="20"/>
        </w:rPr>
        <w:t xml:space="preserve"> </w:t>
      </w:r>
      <w:r>
        <w:rPr>
          <w:b/>
          <w:i/>
          <w:sz w:val="20"/>
        </w:rPr>
        <w:t>empresa</w:t>
      </w:r>
      <w:r>
        <w:rPr>
          <w:b/>
          <w:i/>
          <w:sz w:val="20"/>
        </w:rPr>
        <w:tab/>
        <w:t>Participación (%)</w:t>
      </w:r>
    </w:p>
    <w:p w14:paraId="57B3A452" w14:textId="77777777" w:rsidR="00950925" w:rsidRDefault="00950925" w:rsidP="00950925">
      <w:pPr>
        <w:pStyle w:val="TableParagraph"/>
        <w:tabs>
          <w:tab w:val="left" w:pos="2564"/>
        </w:tabs>
        <w:spacing w:before="2" w:line="229" w:lineRule="exact"/>
        <w:ind w:right="3857"/>
        <w:jc w:val="right"/>
        <w:rPr>
          <w:i/>
          <w:sz w:val="20"/>
        </w:rPr>
      </w:pPr>
      <w:r>
        <w:rPr>
          <w:i/>
          <w:sz w:val="20"/>
        </w:rPr>
        <w:t>Microempresa</w:t>
      </w:r>
      <w:r>
        <w:rPr>
          <w:i/>
          <w:sz w:val="20"/>
        </w:rPr>
        <w:tab/>
        <w:t>55,7%</w:t>
      </w:r>
    </w:p>
    <w:p w14:paraId="21B3B53C" w14:textId="77777777" w:rsidR="00950925" w:rsidRDefault="00950925" w:rsidP="00950925">
      <w:pPr>
        <w:pStyle w:val="TableParagraph"/>
        <w:tabs>
          <w:tab w:val="left" w:pos="2333"/>
        </w:tabs>
        <w:spacing w:line="229" w:lineRule="exact"/>
        <w:ind w:right="3857"/>
        <w:jc w:val="right"/>
        <w:rPr>
          <w:i/>
          <w:sz w:val="20"/>
        </w:rPr>
      </w:pPr>
      <w:r>
        <w:rPr>
          <w:i/>
          <w:sz w:val="20"/>
        </w:rPr>
        <w:t>Pequeña</w:t>
      </w:r>
      <w:r>
        <w:rPr>
          <w:i/>
          <w:sz w:val="20"/>
        </w:rPr>
        <w:tab/>
        <w:t>29,6%</w:t>
      </w:r>
    </w:p>
    <w:p w14:paraId="063C714D" w14:textId="77777777" w:rsidR="00950925" w:rsidRDefault="00950925" w:rsidP="00950925">
      <w:pPr>
        <w:pStyle w:val="TableParagraph"/>
        <w:tabs>
          <w:tab w:val="left" w:pos="2316"/>
        </w:tabs>
        <w:spacing w:before="2"/>
        <w:ind w:right="3857"/>
        <w:jc w:val="right"/>
        <w:rPr>
          <w:i/>
          <w:sz w:val="20"/>
        </w:rPr>
      </w:pPr>
      <w:r>
        <w:rPr>
          <w:i/>
          <w:sz w:val="20"/>
        </w:rPr>
        <w:t>Mediana</w:t>
      </w:r>
      <w:r>
        <w:rPr>
          <w:i/>
          <w:sz w:val="20"/>
        </w:rPr>
        <w:tab/>
        <w:t>14,7%</w:t>
      </w:r>
    </w:p>
    <w:p w14:paraId="57D35AC8" w14:textId="77777777" w:rsidR="00950925" w:rsidRDefault="00950925" w:rsidP="00950925">
      <w:pPr>
        <w:pStyle w:val="TableParagraph"/>
        <w:spacing w:before="179"/>
        <w:ind w:left="22" w:right="32"/>
        <w:jc w:val="both"/>
      </w:pPr>
      <w:r>
        <w:t>Este mismo comportamiento se observa en la muestra en las diferentes regiones donde la mayor cantidad de</w:t>
      </w:r>
      <w:r>
        <w:rPr>
          <w:spacing w:val="-59"/>
        </w:rPr>
        <w:t xml:space="preserve"> </w:t>
      </w:r>
      <w:r>
        <w:t>empresas</w:t>
      </w:r>
      <w:r>
        <w:rPr>
          <w:spacing w:val="-1"/>
        </w:rPr>
        <w:t xml:space="preserve"> </w:t>
      </w:r>
      <w:r>
        <w:t>se categoriza como</w:t>
      </w:r>
      <w:r>
        <w:rPr>
          <w:spacing w:val="-4"/>
        </w:rPr>
        <w:t xml:space="preserve"> </w:t>
      </w:r>
      <w:r>
        <w:t>microempresa.</w:t>
      </w:r>
    </w:p>
    <w:p w14:paraId="624E9341" w14:textId="77777777" w:rsidR="00950925" w:rsidRDefault="00950925" w:rsidP="00950925">
      <w:pPr>
        <w:pStyle w:val="TableParagraph"/>
        <w:spacing w:before="189"/>
        <w:ind w:left="467" w:right="487"/>
        <w:jc w:val="center"/>
        <w:rPr>
          <w:b/>
          <w:sz w:val="20"/>
        </w:rPr>
      </w:pPr>
      <w:r>
        <w:rPr>
          <w:b/>
          <w:sz w:val="20"/>
        </w:rPr>
        <w:t>Distribución</w:t>
      </w:r>
      <w:r>
        <w:rPr>
          <w:b/>
          <w:spacing w:val="-5"/>
          <w:sz w:val="20"/>
        </w:rPr>
        <w:t xml:space="preserve"> </w:t>
      </w:r>
      <w:r>
        <w:rPr>
          <w:b/>
          <w:sz w:val="20"/>
        </w:rPr>
        <w:t>de</w:t>
      </w:r>
      <w:r>
        <w:rPr>
          <w:b/>
          <w:spacing w:val="-1"/>
          <w:sz w:val="20"/>
        </w:rPr>
        <w:t xml:space="preserve"> </w:t>
      </w:r>
      <w:r>
        <w:rPr>
          <w:b/>
          <w:sz w:val="20"/>
        </w:rPr>
        <w:t>la</w:t>
      </w:r>
      <w:r>
        <w:rPr>
          <w:b/>
          <w:spacing w:val="-5"/>
          <w:sz w:val="20"/>
        </w:rPr>
        <w:t xml:space="preserve"> </w:t>
      </w:r>
      <w:r>
        <w:rPr>
          <w:b/>
          <w:sz w:val="20"/>
        </w:rPr>
        <w:t>muestra</w:t>
      </w:r>
      <w:r>
        <w:rPr>
          <w:b/>
          <w:spacing w:val="-1"/>
          <w:sz w:val="20"/>
        </w:rPr>
        <w:t xml:space="preserve"> </w:t>
      </w:r>
      <w:r>
        <w:rPr>
          <w:b/>
          <w:sz w:val="20"/>
        </w:rPr>
        <w:t>por</w:t>
      </w:r>
      <w:r>
        <w:rPr>
          <w:b/>
          <w:spacing w:val="-3"/>
          <w:sz w:val="20"/>
        </w:rPr>
        <w:t xml:space="preserve"> </w:t>
      </w:r>
      <w:r>
        <w:rPr>
          <w:b/>
          <w:sz w:val="20"/>
        </w:rPr>
        <w:t>región</w:t>
      </w:r>
      <w:r>
        <w:rPr>
          <w:b/>
          <w:spacing w:val="-4"/>
          <w:sz w:val="20"/>
        </w:rPr>
        <w:t xml:space="preserve"> </w:t>
      </w:r>
      <w:r>
        <w:rPr>
          <w:b/>
          <w:sz w:val="20"/>
        </w:rPr>
        <w:t>y</w:t>
      </w:r>
      <w:r>
        <w:rPr>
          <w:b/>
          <w:spacing w:val="-5"/>
          <w:sz w:val="20"/>
        </w:rPr>
        <w:t xml:space="preserve"> </w:t>
      </w:r>
      <w:r>
        <w:rPr>
          <w:b/>
          <w:sz w:val="20"/>
        </w:rPr>
        <w:t>tamaño de</w:t>
      </w:r>
      <w:r>
        <w:rPr>
          <w:b/>
          <w:spacing w:val="-1"/>
          <w:sz w:val="20"/>
        </w:rPr>
        <w:t xml:space="preserve"> </w:t>
      </w:r>
      <w:r>
        <w:rPr>
          <w:b/>
          <w:sz w:val="20"/>
        </w:rPr>
        <w:t>empresa</w:t>
      </w:r>
    </w:p>
    <w:p w14:paraId="7B741454" w14:textId="77777777" w:rsidR="00950925" w:rsidRDefault="00950925" w:rsidP="00950925">
      <w:pPr>
        <w:pStyle w:val="TableParagraph"/>
        <w:spacing w:before="1"/>
        <w:rPr>
          <w:sz w:val="14"/>
        </w:rPr>
      </w:pPr>
    </w:p>
    <w:p w14:paraId="2F3CD40D" w14:textId="77777777" w:rsidR="00950925" w:rsidRDefault="00950925" w:rsidP="00950925">
      <w:pPr>
        <w:pStyle w:val="TableParagraph"/>
        <w:ind w:left="1714"/>
        <w:rPr>
          <w:sz w:val="20"/>
        </w:rPr>
      </w:pPr>
      <w:r>
        <w:rPr>
          <w:noProof/>
          <w:sz w:val="20"/>
        </w:rPr>
        <w:drawing>
          <wp:inline distT="0" distB="0" distL="0" distR="0" wp14:anchorId="5EA56973" wp14:editId="0ACB4A34">
            <wp:extent cx="4626409" cy="2016442"/>
            <wp:effectExtent l="0" t="0" r="0" b="0"/>
            <wp:docPr id="51" name="image1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65.jpeg"/>
                    <pic:cNvPicPr/>
                  </pic:nvPicPr>
                  <pic:blipFill>
                    <a:blip r:embed="rId20" cstate="print"/>
                    <a:stretch>
                      <a:fillRect/>
                    </a:stretch>
                  </pic:blipFill>
                  <pic:spPr>
                    <a:xfrm>
                      <a:off x="0" y="0"/>
                      <a:ext cx="4626409" cy="2016442"/>
                    </a:xfrm>
                    <a:prstGeom prst="rect">
                      <a:avLst/>
                    </a:prstGeom>
                  </pic:spPr>
                </pic:pic>
              </a:graphicData>
            </a:graphic>
          </wp:inline>
        </w:drawing>
      </w:r>
    </w:p>
    <w:p w14:paraId="4B9FC22D" w14:textId="77777777" w:rsidR="00950925" w:rsidRDefault="00950925" w:rsidP="00950925">
      <w:pPr>
        <w:pStyle w:val="TableParagraph"/>
        <w:spacing w:before="62"/>
        <w:ind w:left="4139"/>
        <w:rPr>
          <w:sz w:val="16"/>
        </w:rPr>
      </w:pPr>
      <w:r>
        <w:rPr>
          <w:sz w:val="16"/>
        </w:rPr>
        <w:t>Fuente:</w:t>
      </w:r>
      <w:r>
        <w:rPr>
          <w:spacing w:val="-4"/>
          <w:sz w:val="16"/>
        </w:rPr>
        <w:t xml:space="preserve"> </w:t>
      </w:r>
      <w:r>
        <w:rPr>
          <w:sz w:val="16"/>
        </w:rPr>
        <w:t>Encuesta</w:t>
      </w:r>
      <w:r>
        <w:rPr>
          <w:spacing w:val="-3"/>
          <w:sz w:val="16"/>
        </w:rPr>
        <w:t xml:space="preserve"> </w:t>
      </w:r>
      <w:r>
        <w:rPr>
          <w:sz w:val="16"/>
        </w:rPr>
        <w:t>de</w:t>
      </w:r>
      <w:r>
        <w:rPr>
          <w:spacing w:val="-3"/>
          <w:sz w:val="16"/>
        </w:rPr>
        <w:t xml:space="preserve"> </w:t>
      </w:r>
      <w:r>
        <w:rPr>
          <w:sz w:val="16"/>
        </w:rPr>
        <w:t>Desempeño</w:t>
      </w:r>
      <w:r>
        <w:rPr>
          <w:spacing w:val="-3"/>
          <w:sz w:val="16"/>
        </w:rPr>
        <w:t xml:space="preserve"> </w:t>
      </w:r>
      <w:r>
        <w:rPr>
          <w:sz w:val="16"/>
        </w:rPr>
        <w:t>Empresarial,</w:t>
      </w:r>
      <w:r>
        <w:rPr>
          <w:spacing w:val="-3"/>
          <w:sz w:val="16"/>
        </w:rPr>
        <w:t xml:space="preserve"> </w:t>
      </w:r>
      <w:r>
        <w:rPr>
          <w:sz w:val="16"/>
        </w:rPr>
        <w:t>ACOPI, Mayo</w:t>
      </w:r>
      <w:r>
        <w:rPr>
          <w:spacing w:val="-1"/>
          <w:sz w:val="16"/>
        </w:rPr>
        <w:t xml:space="preserve"> </w:t>
      </w:r>
      <w:r>
        <w:rPr>
          <w:sz w:val="16"/>
        </w:rPr>
        <w:t>de</w:t>
      </w:r>
      <w:r>
        <w:rPr>
          <w:spacing w:val="-3"/>
          <w:sz w:val="16"/>
        </w:rPr>
        <w:t xml:space="preserve"> </w:t>
      </w:r>
      <w:r>
        <w:rPr>
          <w:sz w:val="16"/>
        </w:rPr>
        <w:t>2022</w:t>
      </w:r>
    </w:p>
    <w:p w14:paraId="4AE90ED1" w14:textId="77777777" w:rsidR="00950925" w:rsidRDefault="00950925" w:rsidP="00950925">
      <w:pPr>
        <w:pStyle w:val="TableParagraph"/>
        <w:spacing w:before="11"/>
        <w:rPr>
          <w:sz w:val="21"/>
        </w:rPr>
      </w:pPr>
    </w:p>
    <w:p w14:paraId="69EA32ED" w14:textId="77777777" w:rsidR="00950925" w:rsidRDefault="00950925" w:rsidP="00950925">
      <w:pPr>
        <w:pStyle w:val="TableParagraph"/>
        <w:tabs>
          <w:tab w:val="left" w:pos="1438"/>
        </w:tabs>
        <w:ind w:left="22"/>
        <w:jc w:val="both"/>
        <w:rPr>
          <w:b/>
        </w:rPr>
      </w:pPr>
      <w:r>
        <w:rPr>
          <w:b/>
        </w:rPr>
        <w:t>2.2.3.1.</w:t>
      </w:r>
      <w:r>
        <w:rPr>
          <w:b/>
        </w:rPr>
        <w:tab/>
        <w:t>Indicadores</w:t>
      </w:r>
      <w:r>
        <w:rPr>
          <w:b/>
          <w:spacing w:val="-7"/>
        </w:rPr>
        <w:t xml:space="preserve"> </w:t>
      </w:r>
      <w:r>
        <w:rPr>
          <w:b/>
        </w:rPr>
        <w:t>fundamentales</w:t>
      </w:r>
      <w:r>
        <w:rPr>
          <w:b/>
          <w:spacing w:val="-6"/>
        </w:rPr>
        <w:t xml:space="preserve"> </w:t>
      </w:r>
      <w:r>
        <w:rPr>
          <w:b/>
        </w:rPr>
        <w:t>MiPymes</w:t>
      </w:r>
    </w:p>
    <w:p w14:paraId="58B0A77B" w14:textId="77777777" w:rsidR="00950925" w:rsidRDefault="00950925" w:rsidP="00950925">
      <w:pPr>
        <w:pStyle w:val="TableParagraph"/>
        <w:spacing w:before="9"/>
        <w:rPr>
          <w:sz w:val="21"/>
        </w:rPr>
      </w:pPr>
    </w:p>
    <w:p w14:paraId="0C15FD6B" w14:textId="77777777" w:rsidR="00950925" w:rsidRDefault="00950925" w:rsidP="00950925">
      <w:pPr>
        <w:pStyle w:val="TableParagraph"/>
        <w:spacing w:before="1"/>
        <w:ind w:left="22"/>
        <w:jc w:val="both"/>
        <w:rPr>
          <w:b/>
        </w:rPr>
      </w:pPr>
      <w:r>
        <w:rPr>
          <w:b/>
        </w:rPr>
        <w:t>“…A)</w:t>
      </w:r>
      <w:r>
        <w:rPr>
          <w:b/>
          <w:spacing w:val="-7"/>
        </w:rPr>
        <w:t xml:space="preserve"> </w:t>
      </w:r>
      <w:r>
        <w:rPr>
          <w:b/>
        </w:rPr>
        <w:t>Nivel</w:t>
      </w:r>
      <w:r>
        <w:rPr>
          <w:b/>
          <w:spacing w:val="-2"/>
        </w:rPr>
        <w:t xml:space="preserve"> </w:t>
      </w:r>
      <w:r>
        <w:rPr>
          <w:b/>
        </w:rPr>
        <w:t>de</w:t>
      </w:r>
      <w:r>
        <w:rPr>
          <w:b/>
          <w:spacing w:val="-3"/>
        </w:rPr>
        <w:t xml:space="preserve"> </w:t>
      </w:r>
      <w:r>
        <w:rPr>
          <w:b/>
        </w:rPr>
        <w:t>producción</w:t>
      </w:r>
      <w:r>
        <w:rPr>
          <w:b/>
          <w:spacing w:val="-3"/>
        </w:rPr>
        <w:t xml:space="preserve"> </w:t>
      </w:r>
      <w:r>
        <w:rPr>
          <w:b/>
        </w:rPr>
        <w:t>de</w:t>
      </w:r>
      <w:r>
        <w:rPr>
          <w:b/>
          <w:spacing w:val="-3"/>
        </w:rPr>
        <w:t xml:space="preserve"> </w:t>
      </w:r>
      <w:r>
        <w:rPr>
          <w:b/>
        </w:rPr>
        <w:t>bienes</w:t>
      </w:r>
      <w:r>
        <w:rPr>
          <w:b/>
          <w:spacing w:val="-3"/>
        </w:rPr>
        <w:t xml:space="preserve"> </w:t>
      </w:r>
      <w:r>
        <w:rPr>
          <w:b/>
        </w:rPr>
        <w:t>y/o</w:t>
      </w:r>
      <w:r>
        <w:rPr>
          <w:b/>
          <w:spacing w:val="-4"/>
        </w:rPr>
        <w:t xml:space="preserve"> </w:t>
      </w:r>
      <w:r>
        <w:rPr>
          <w:b/>
        </w:rPr>
        <w:t>servicios</w:t>
      </w:r>
    </w:p>
    <w:p w14:paraId="42A79C48" w14:textId="77777777" w:rsidR="00950925" w:rsidRDefault="00950925" w:rsidP="00950925">
      <w:pPr>
        <w:pStyle w:val="TableParagraph"/>
        <w:spacing w:before="2"/>
      </w:pPr>
    </w:p>
    <w:p w14:paraId="332348A7" w14:textId="789CC7DB" w:rsidR="00950925" w:rsidRDefault="00950925" w:rsidP="00950925">
      <w:pPr>
        <w:pStyle w:val="TableParagraph"/>
        <w:ind w:left="22" w:right="32"/>
        <w:jc w:val="both"/>
      </w:pPr>
      <w:r>
        <w:t>En el último año, el esfuerzo del sector empresarial y el compromiso de la reactivación económica permitió</w:t>
      </w:r>
      <w:r>
        <w:rPr>
          <w:spacing w:val="1"/>
        </w:rPr>
        <w:t xml:space="preserve"> </w:t>
      </w:r>
      <w:r>
        <w:t>que, para el último trimestre de 2022, el 26,8% de los empresarios consultados manifestaran un aumento en</w:t>
      </w:r>
      <w:r>
        <w:rPr>
          <w:spacing w:val="1"/>
        </w:rPr>
        <w:t xml:space="preserve"> </w:t>
      </w:r>
      <w:r>
        <w:t>la percepción del nivel de producción de bienes y servicios. Esta cifra corresponde a un aumento en 8,1 p.p.</w:t>
      </w:r>
      <w:r>
        <w:rPr>
          <w:spacing w:val="1"/>
        </w:rPr>
        <w:t xml:space="preserve"> </w:t>
      </w:r>
      <w:r>
        <w:t>respecto</w:t>
      </w:r>
      <w:r>
        <w:rPr>
          <w:spacing w:val="-1"/>
        </w:rPr>
        <w:t xml:space="preserve"> </w:t>
      </w:r>
      <w:r>
        <w:t>del</w:t>
      </w:r>
      <w:r>
        <w:rPr>
          <w:spacing w:val="-6"/>
        </w:rPr>
        <w:t xml:space="preserve"> </w:t>
      </w:r>
      <w:r>
        <w:t>tercer</w:t>
      </w:r>
      <w:r>
        <w:rPr>
          <w:spacing w:val="-3"/>
        </w:rPr>
        <w:t xml:space="preserve"> </w:t>
      </w:r>
      <w:r>
        <w:t>trimestre de 2021.</w:t>
      </w:r>
    </w:p>
    <w:p w14:paraId="6BA707FB" w14:textId="77777777" w:rsidR="00950925" w:rsidRDefault="00950925" w:rsidP="00950925">
      <w:pPr>
        <w:pStyle w:val="TableParagraph"/>
        <w:spacing w:before="11"/>
        <w:rPr>
          <w:sz w:val="21"/>
        </w:rPr>
      </w:pPr>
    </w:p>
    <w:p w14:paraId="01EA15CF" w14:textId="77777777" w:rsidR="00950925" w:rsidRDefault="00950925" w:rsidP="00950925">
      <w:pPr>
        <w:pStyle w:val="TableParagraph"/>
        <w:ind w:left="22" w:right="35"/>
        <w:jc w:val="both"/>
      </w:pPr>
      <w:r>
        <w:t xml:space="preserve">Sin embargo, en esta misma encuesta se obtuvo que, el 39,4% de los empresarios </w:t>
      </w:r>
      <w:proofErr w:type="spellStart"/>
      <w:r>
        <w:t>MiPyme</w:t>
      </w:r>
      <w:proofErr w:type="spellEnd"/>
      <w:r>
        <w:t xml:space="preserve"> encuestados han</w:t>
      </w:r>
      <w:r>
        <w:rPr>
          <w:spacing w:val="-59"/>
        </w:rPr>
        <w:t xml:space="preserve"> </w:t>
      </w:r>
      <w:r>
        <w:t>señalado disminución en este indicador, cifra mayor en 3 p.p. con respecto al trimestre anterior (tercer).</w:t>
      </w:r>
      <w:r>
        <w:rPr>
          <w:spacing w:val="1"/>
        </w:rPr>
        <w:t xml:space="preserve"> </w:t>
      </w:r>
      <w:r>
        <w:t>Asimismo,</w:t>
      </w:r>
      <w:r>
        <w:rPr>
          <w:spacing w:val="-9"/>
        </w:rPr>
        <w:t xml:space="preserve"> </w:t>
      </w:r>
      <w:r>
        <w:t>el</w:t>
      </w:r>
      <w:r>
        <w:rPr>
          <w:spacing w:val="-12"/>
        </w:rPr>
        <w:t xml:space="preserve"> </w:t>
      </w:r>
      <w:r>
        <w:t>33.8%</w:t>
      </w:r>
      <w:r>
        <w:rPr>
          <w:spacing w:val="-7"/>
        </w:rPr>
        <w:t xml:space="preserve"> </w:t>
      </w:r>
      <w:r>
        <w:t>de</w:t>
      </w:r>
      <w:r>
        <w:rPr>
          <w:spacing w:val="-6"/>
        </w:rPr>
        <w:t xml:space="preserve"> </w:t>
      </w:r>
      <w:r>
        <w:t>los</w:t>
      </w:r>
      <w:r>
        <w:rPr>
          <w:spacing w:val="-6"/>
        </w:rPr>
        <w:t xml:space="preserve"> </w:t>
      </w:r>
      <w:r>
        <w:t>empresarios</w:t>
      </w:r>
      <w:r>
        <w:rPr>
          <w:spacing w:val="-7"/>
        </w:rPr>
        <w:t xml:space="preserve"> </w:t>
      </w:r>
      <w:r>
        <w:t>han</w:t>
      </w:r>
      <w:r>
        <w:rPr>
          <w:spacing w:val="-9"/>
        </w:rPr>
        <w:t xml:space="preserve"> </w:t>
      </w:r>
      <w:r>
        <w:t>mantenido</w:t>
      </w:r>
      <w:r>
        <w:rPr>
          <w:spacing w:val="-10"/>
        </w:rPr>
        <w:t xml:space="preserve"> </w:t>
      </w:r>
      <w:r>
        <w:t>su</w:t>
      </w:r>
      <w:r>
        <w:rPr>
          <w:spacing w:val="-6"/>
        </w:rPr>
        <w:t xml:space="preserve"> </w:t>
      </w:r>
      <w:r>
        <w:t>nivel</w:t>
      </w:r>
      <w:r>
        <w:rPr>
          <w:spacing w:val="-12"/>
        </w:rPr>
        <w:t xml:space="preserve"> </w:t>
      </w:r>
      <w:r>
        <w:t>de</w:t>
      </w:r>
      <w:r>
        <w:rPr>
          <w:spacing w:val="-6"/>
        </w:rPr>
        <w:t xml:space="preserve"> </w:t>
      </w:r>
      <w:r>
        <w:t>producción</w:t>
      </w:r>
      <w:r>
        <w:rPr>
          <w:spacing w:val="-6"/>
        </w:rPr>
        <w:t xml:space="preserve"> </w:t>
      </w:r>
      <w:r>
        <w:t>en</w:t>
      </w:r>
      <w:r>
        <w:rPr>
          <w:spacing w:val="-7"/>
        </w:rPr>
        <w:t xml:space="preserve"> </w:t>
      </w:r>
      <w:r>
        <w:t>el</w:t>
      </w:r>
      <w:r>
        <w:rPr>
          <w:spacing w:val="-11"/>
        </w:rPr>
        <w:t xml:space="preserve"> </w:t>
      </w:r>
      <w:r>
        <w:t>periodo</w:t>
      </w:r>
      <w:r>
        <w:rPr>
          <w:spacing w:val="-6"/>
        </w:rPr>
        <w:t xml:space="preserve"> </w:t>
      </w:r>
      <w:r>
        <w:t>de</w:t>
      </w:r>
      <w:r>
        <w:rPr>
          <w:spacing w:val="-10"/>
        </w:rPr>
        <w:t xml:space="preserve"> </w:t>
      </w:r>
      <w:r>
        <w:t>estudio,</w:t>
      </w:r>
      <w:r>
        <w:rPr>
          <w:spacing w:val="-9"/>
        </w:rPr>
        <w:t xml:space="preserve"> </w:t>
      </w:r>
      <w:r>
        <w:t>lo</w:t>
      </w:r>
      <w:r>
        <w:rPr>
          <w:spacing w:val="-6"/>
        </w:rPr>
        <w:t xml:space="preserve"> </w:t>
      </w:r>
      <w:r>
        <w:t>cual</w:t>
      </w:r>
      <w:r>
        <w:rPr>
          <w:spacing w:val="-59"/>
        </w:rPr>
        <w:t xml:space="preserve"> </w:t>
      </w:r>
      <w:r>
        <w:t>indica</w:t>
      </w:r>
      <w:r>
        <w:rPr>
          <w:spacing w:val="-1"/>
        </w:rPr>
        <w:t xml:space="preserve"> </w:t>
      </w:r>
      <w:r>
        <w:t>una</w:t>
      </w:r>
      <w:r>
        <w:rPr>
          <w:spacing w:val="-1"/>
        </w:rPr>
        <w:t xml:space="preserve"> </w:t>
      </w:r>
      <w:r>
        <w:t>disminución</w:t>
      </w:r>
      <w:r>
        <w:rPr>
          <w:spacing w:val="-1"/>
        </w:rPr>
        <w:t xml:space="preserve"> </w:t>
      </w:r>
      <w:r>
        <w:t>de</w:t>
      </w:r>
      <w:r>
        <w:rPr>
          <w:spacing w:val="-1"/>
        </w:rPr>
        <w:t xml:space="preserve"> </w:t>
      </w:r>
      <w:r>
        <w:t>11.1</w:t>
      </w:r>
      <w:r>
        <w:rPr>
          <w:spacing w:val="-1"/>
        </w:rPr>
        <w:t xml:space="preserve"> </w:t>
      </w:r>
      <w:r>
        <w:t>p.p. respecto</w:t>
      </w:r>
      <w:r>
        <w:rPr>
          <w:spacing w:val="-1"/>
        </w:rPr>
        <w:t xml:space="preserve"> </w:t>
      </w:r>
      <w:r>
        <w:t>al</w:t>
      </w:r>
      <w:r>
        <w:rPr>
          <w:spacing w:val="-7"/>
        </w:rPr>
        <w:t xml:space="preserve"> </w:t>
      </w:r>
      <w:r>
        <w:t>44.9%</w:t>
      </w:r>
      <w:r>
        <w:rPr>
          <w:spacing w:val="-2"/>
        </w:rPr>
        <w:t xml:space="preserve"> </w:t>
      </w:r>
      <w:r>
        <w:t>de</w:t>
      </w:r>
      <w:r>
        <w:rPr>
          <w:spacing w:val="-1"/>
        </w:rPr>
        <w:t xml:space="preserve"> </w:t>
      </w:r>
      <w:r>
        <w:t>empresarios</w:t>
      </w:r>
      <w:r>
        <w:rPr>
          <w:spacing w:val="-1"/>
        </w:rPr>
        <w:t xml:space="preserve"> </w:t>
      </w:r>
      <w:r>
        <w:t>en el</w:t>
      </w:r>
      <w:r>
        <w:rPr>
          <w:spacing w:val="-7"/>
        </w:rPr>
        <w:t xml:space="preserve"> </w:t>
      </w:r>
      <w:r>
        <w:t>tercer</w:t>
      </w:r>
      <w:r>
        <w:rPr>
          <w:spacing w:val="-4"/>
        </w:rPr>
        <w:t xml:space="preserve"> </w:t>
      </w:r>
      <w:r>
        <w:t>trimestre</w:t>
      </w:r>
      <w:r>
        <w:rPr>
          <w:spacing w:val="-1"/>
        </w:rPr>
        <w:t xml:space="preserve"> </w:t>
      </w:r>
      <w:r>
        <w:t>de</w:t>
      </w:r>
      <w:r>
        <w:rPr>
          <w:spacing w:val="-1"/>
        </w:rPr>
        <w:t xml:space="preserve"> </w:t>
      </w:r>
      <w:r>
        <w:t>2021.</w:t>
      </w:r>
    </w:p>
    <w:p w14:paraId="0C534FCA" w14:textId="77777777" w:rsidR="00950925" w:rsidRDefault="00950925" w:rsidP="00950925">
      <w:pPr>
        <w:pStyle w:val="TableParagraph"/>
        <w:spacing w:before="10"/>
        <w:rPr>
          <w:sz w:val="21"/>
        </w:rPr>
      </w:pPr>
    </w:p>
    <w:p w14:paraId="7328A497" w14:textId="77777777" w:rsidR="00950925" w:rsidRDefault="00950925" w:rsidP="00950925">
      <w:pPr>
        <w:pStyle w:val="TableParagraph"/>
        <w:ind w:left="22" w:right="36"/>
        <w:jc w:val="both"/>
      </w:pPr>
      <w:r>
        <w:t>Lo anterior muestra que, si bien es cierto, hay empresas que han incrementado su nivel de producción en el</w:t>
      </w:r>
      <w:r>
        <w:rPr>
          <w:spacing w:val="1"/>
        </w:rPr>
        <w:t xml:space="preserve"> </w:t>
      </w:r>
      <w:r>
        <w:t>periodo</w:t>
      </w:r>
      <w:r>
        <w:rPr>
          <w:spacing w:val="-7"/>
        </w:rPr>
        <w:t xml:space="preserve"> </w:t>
      </w:r>
      <w:r>
        <w:t>de</w:t>
      </w:r>
      <w:r>
        <w:rPr>
          <w:spacing w:val="-11"/>
        </w:rPr>
        <w:t xml:space="preserve"> </w:t>
      </w:r>
      <w:r>
        <w:t>estudio,</w:t>
      </w:r>
      <w:r>
        <w:rPr>
          <w:spacing w:val="-10"/>
        </w:rPr>
        <w:t xml:space="preserve"> </w:t>
      </w:r>
      <w:r>
        <w:t>sigue</w:t>
      </w:r>
      <w:r>
        <w:rPr>
          <w:spacing w:val="-7"/>
        </w:rPr>
        <w:t xml:space="preserve"> </w:t>
      </w:r>
      <w:r>
        <w:t>existiendo</w:t>
      </w:r>
      <w:r>
        <w:rPr>
          <w:spacing w:val="-7"/>
        </w:rPr>
        <w:t xml:space="preserve"> </w:t>
      </w:r>
      <w:r>
        <w:t>un</w:t>
      </w:r>
      <w:r>
        <w:rPr>
          <w:spacing w:val="-10"/>
        </w:rPr>
        <w:t xml:space="preserve"> </w:t>
      </w:r>
      <w:r>
        <w:t>gran</w:t>
      </w:r>
      <w:r>
        <w:rPr>
          <w:spacing w:val="-7"/>
        </w:rPr>
        <w:t xml:space="preserve"> </w:t>
      </w:r>
      <w:r>
        <w:t>porcentaje</w:t>
      </w:r>
      <w:r>
        <w:rPr>
          <w:spacing w:val="-7"/>
        </w:rPr>
        <w:t xml:space="preserve"> </w:t>
      </w:r>
      <w:r>
        <w:t>de</w:t>
      </w:r>
      <w:r>
        <w:rPr>
          <w:spacing w:val="-7"/>
        </w:rPr>
        <w:t xml:space="preserve"> </w:t>
      </w:r>
      <w:r>
        <w:t>empresas</w:t>
      </w:r>
      <w:r>
        <w:rPr>
          <w:spacing w:val="-11"/>
        </w:rPr>
        <w:t xml:space="preserve"> </w:t>
      </w:r>
      <w:r>
        <w:t>que</w:t>
      </w:r>
      <w:r>
        <w:rPr>
          <w:spacing w:val="-7"/>
        </w:rPr>
        <w:t xml:space="preserve"> </w:t>
      </w:r>
      <w:r>
        <w:t>han</w:t>
      </w:r>
      <w:r>
        <w:rPr>
          <w:spacing w:val="-6"/>
        </w:rPr>
        <w:t xml:space="preserve"> </w:t>
      </w:r>
      <w:r>
        <w:t>experimentado</w:t>
      </w:r>
      <w:r>
        <w:rPr>
          <w:spacing w:val="-11"/>
        </w:rPr>
        <w:t xml:space="preserve"> </w:t>
      </w:r>
      <w:r>
        <w:t>una</w:t>
      </w:r>
      <w:r>
        <w:rPr>
          <w:spacing w:val="-7"/>
        </w:rPr>
        <w:t xml:space="preserve"> </w:t>
      </w:r>
      <w:r>
        <w:t>disminución</w:t>
      </w:r>
      <w:r>
        <w:rPr>
          <w:spacing w:val="-59"/>
        </w:rPr>
        <w:t xml:space="preserve"> </w:t>
      </w:r>
      <w:r>
        <w:t>en</w:t>
      </w:r>
      <w:r>
        <w:rPr>
          <w:spacing w:val="-1"/>
        </w:rPr>
        <w:t xml:space="preserve"> </w:t>
      </w:r>
      <w:r>
        <w:t>este indicador.</w:t>
      </w:r>
    </w:p>
    <w:p w14:paraId="793F2C21" w14:textId="77777777" w:rsidR="00950925" w:rsidRDefault="00950925" w:rsidP="00950925">
      <w:pPr>
        <w:pStyle w:val="TableParagraph"/>
        <w:spacing w:before="1"/>
      </w:pPr>
    </w:p>
    <w:p w14:paraId="078CE5A7" w14:textId="3350F128" w:rsidR="00950925" w:rsidRDefault="00950925" w:rsidP="00950925">
      <w:pPr>
        <w:pStyle w:val="TableParagraph"/>
        <w:ind w:left="22" w:right="33"/>
        <w:jc w:val="both"/>
      </w:pPr>
      <w:r>
        <w:t>Al</w:t>
      </w:r>
      <w:r>
        <w:rPr>
          <w:spacing w:val="-12"/>
        </w:rPr>
        <w:t xml:space="preserve"> </w:t>
      </w:r>
      <w:r>
        <w:t>realizar</w:t>
      </w:r>
      <w:r>
        <w:rPr>
          <w:spacing w:val="-9"/>
        </w:rPr>
        <w:t xml:space="preserve"> </w:t>
      </w:r>
      <w:r>
        <w:t>un</w:t>
      </w:r>
      <w:r>
        <w:rPr>
          <w:spacing w:val="-7"/>
        </w:rPr>
        <w:t xml:space="preserve"> </w:t>
      </w:r>
      <w:r>
        <w:t>comparativo</w:t>
      </w:r>
      <w:r>
        <w:rPr>
          <w:spacing w:val="-9"/>
        </w:rPr>
        <w:t xml:space="preserve"> </w:t>
      </w:r>
      <w:r>
        <w:t>histórico</w:t>
      </w:r>
      <w:r>
        <w:rPr>
          <w:spacing w:val="-7"/>
        </w:rPr>
        <w:t xml:space="preserve"> </w:t>
      </w:r>
      <w:r>
        <w:t>de</w:t>
      </w:r>
      <w:r>
        <w:rPr>
          <w:spacing w:val="-10"/>
        </w:rPr>
        <w:t xml:space="preserve"> </w:t>
      </w:r>
      <w:r>
        <w:t>este</w:t>
      </w:r>
      <w:r>
        <w:rPr>
          <w:spacing w:val="-6"/>
        </w:rPr>
        <w:t xml:space="preserve"> </w:t>
      </w:r>
      <w:r>
        <w:t>indicador,</w:t>
      </w:r>
      <w:r>
        <w:rPr>
          <w:spacing w:val="-9"/>
        </w:rPr>
        <w:t xml:space="preserve"> </w:t>
      </w:r>
      <w:r>
        <w:t>se</w:t>
      </w:r>
      <w:r>
        <w:rPr>
          <w:spacing w:val="-6"/>
        </w:rPr>
        <w:t xml:space="preserve"> </w:t>
      </w:r>
      <w:r>
        <w:t>observa</w:t>
      </w:r>
      <w:r>
        <w:rPr>
          <w:spacing w:val="-10"/>
        </w:rPr>
        <w:t xml:space="preserve"> </w:t>
      </w:r>
      <w:r>
        <w:t>que,</w:t>
      </w:r>
      <w:r>
        <w:rPr>
          <w:spacing w:val="-9"/>
        </w:rPr>
        <w:t xml:space="preserve"> </w:t>
      </w:r>
      <w:r>
        <w:t>en</w:t>
      </w:r>
      <w:r>
        <w:rPr>
          <w:spacing w:val="-10"/>
        </w:rPr>
        <w:t xml:space="preserve"> </w:t>
      </w:r>
      <w:r>
        <w:t>el</w:t>
      </w:r>
      <w:r>
        <w:rPr>
          <w:spacing w:val="-12"/>
        </w:rPr>
        <w:t xml:space="preserve"> </w:t>
      </w:r>
      <w:r>
        <w:t>cuarto</w:t>
      </w:r>
      <w:r>
        <w:rPr>
          <w:spacing w:val="-6"/>
        </w:rPr>
        <w:t xml:space="preserve"> </w:t>
      </w:r>
      <w:r>
        <w:t>trimestre</w:t>
      </w:r>
      <w:r>
        <w:rPr>
          <w:spacing w:val="-6"/>
        </w:rPr>
        <w:t xml:space="preserve"> </w:t>
      </w:r>
      <w:r>
        <w:t>de</w:t>
      </w:r>
      <w:r>
        <w:rPr>
          <w:spacing w:val="-10"/>
        </w:rPr>
        <w:t xml:space="preserve"> </w:t>
      </w:r>
      <w:r>
        <w:t>2019,</w:t>
      </w:r>
      <w:r>
        <w:rPr>
          <w:spacing w:val="-9"/>
        </w:rPr>
        <w:t xml:space="preserve"> </w:t>
      </w:r>
      <w:r>
        <w:t>es</w:t>
      </w:r>
      <w:r>
        <w:rPr>
          <w:spacing w:val="-6"/>
        </w:rPr>
        <w:t xml:space="preserve"> </w:t>
      </w:r>
      <w:r>
        <w:t>decir,</w:t>
      </w:r>
      <w:r>
        <w:rPr>
          <w:spacing w:val="1"/>
        </w:rPr>
        <w:t xml:space="preserve"> </w:t>
      </w:r>
      <w:r>
        <w:t xml:space="preserve">en el último año antes de pandemia, el 16% de empresarios </w:t>
      </w:r>
      <w:proofErr w:type="spellStart"/>
      <w:r>
        <w:t>MiPyme</w:t>
      </w:r>
      <w:proofErr w:type="spellEnd"/>
      <w:r>
        <w:t xml:space="preserve"> afirmaron percibir una disminución de</w:t>
      </w:r>
      <w:r>
        <w:rPr>
          <w:spacing w:val="1"/>
        </w:rPr>
        <w:t xml:space="preserve"> </w:t>
      </w:r>
      <w:r>
        <w:t>este</w:t>
      </w:r>
      <w:r>
        <w:rPr>
          <w:spacing w:val="-1"/>
        </w:rPr>
        <w:t xml:space="preserve"> </w:t>
      </w:r>
      <w:r>
        <w:t>indicador,</w:t>
      </w:r>
      <w:r>
        <w:rPr>
          <w:spacing w:val="-4"/>
        </w:rPr>
        <w:t xml:space="preserve"> </w:t>
      </w:r>
      <w:r>
        <w:t>cifra</w:t>
      </w:r>
      <w:r>
        <w:rPr>
          <w:spacing w:val="-1"/>
        </w:rPr>
        <w:t xml:space="preserve"> </w:t>
      </w:r>
      <w:r>
        <w:t>que</w:t>
      </w:r>
      <w:r>
        <w:rPr>
          <w:spacing w:val="-1"/>
        </w:rPr>
        <w:t xml:space="preserve"> </w:t>
      </w:r>
      <w:r>
        <w:t>se incrementó</w:t>
      </w:r>
      <w:r>
        <w:rPr>
          <w:spacing w:val="-1"/>
        </w:rPr>
        <w:t xml:space="preserve"> </w:t>
      </w:r>
      <w:r>
        <w:t>en</w:t>
      </w:r>
      <w:r>
        <w:rPr>
          <w:spacing w:val="-5"/>
        </w:rPr>
        <w:t xml:space="preserve"> </w:t>
      </w:r>
      <w:r>
        <w:t>26</w:t>
      </w:r>
      <w:r>
        <w:rPr>
          <w:spacing w:val="-1"/>
        </w:rPr>
        <w:t xml:space="preserve"> </w:t>
      </w:r>
      <w:r>
        <w:t>p.p.,</w:t>
      </w:r>
      <w:r>
        <w:rPr>
          <w:spacing w:val="-3"/>
        </w:rPr>
        <w:t xml:space="preserve"> </w:t>
      </w:r>
      <w:r>
        <w:t>llegando</w:t>
      </w:r>
      <w:r>
        <w:rPr>
          <w:spacing w:val="-1"/>
        </w:rPr>
        <w:t xml:space="preserve"> </w:t>
      </w:r>
      <w:r>
        <w:t>a</w:t>
      </w:r>
      <w:r>
        <w:rPr>
          <w:spacing w:val="-1"/>
        </w:rPr>
        <w:t xml:space="preserve"> </w:t>
      </w:r>
      <w:r>
        <w:t>42%</w:t>
      </w:r>
      <w:r>
        <w:rPr>
          <w:spacing w:val="-2"/>
        </w:rPr>
        <w:t xml:space="preserve"> </w:t>
      </w:r>
      <w:r>
        <w:t>en el</w:t>
      </w:r>
      <w:r>
        <w:rPr>
          <w:spacing w:val="-7"/>
        </w:rPr>
        <w:t xml:space="preserve"> </w:t>
      </w:r>
      <w:r>
        <w:t>último</w:t>
      </w:r>
      <w:r>
        <w:rPr>
          <w:spacing w:val="-1"/>
        </w:rPr>
        <w:t xml:space="preserve"> </w:t>
      </w:r>
      <w:r>
        <w:t>trimestre</w:t>
      </w:r>
      <w:r>
        <w:rPr>
          <w:spacing w:val="-1"/>
        </w:rPr>
        <w:t xml:space="preserve"> </w:t>
      </w:r>
      <w:r>
        <w:t>de 2021.</w:t>
      </w:r>
    </w:p>
    <w:p w14:paraId="4352EE4A" w14:textId="77777777" w:rsidR="00950925" w:rsidRDefault="00950925" w:rsidP="00950925">
      <w:pPr>
        <w:pStyle w:val="TableParagraph"/>
      </w:pPr>
    </w:p>
    <w:p w14:paraId="5F8C76AE" w14:textId="77777777" w:rsidR="00950925" w:rsidRDefault="00950925" w:rsidP="00950925">
      <w:pPr>
        <w:pStyle w:val="TableParagraph"/>
        <w:ind w:left="22" w:right="49"/>
        <w:jc w:val="both"/>
      </w:pPr>
      <w:r>
        <w:rPr>
          <w:spacing w:val="-1"/>
        </w:rPr>
        <w:t>Por</w:t>
      </w:r>
      <w:r>
        <w:rPr>
          <w:spacing w:val="-12"/>
        </w:rPr>
        <w:t xml:space="preserve"> </w:t>
      </w:r>
      <w:r>
        <w:rPr>
          <w:spacing w:val="-1"/>
        </w:rPr>
        <w:t>lo</w:t>
      </w:r>
      <w:r>
        <w:rPr>
          <w:spacing w:val="-8"/>
        </w:rPr>
        <w:t xml:space="preserve"> </w:t>
      </w:r>
      <w:r>
        <w:rPr>
          <w:spacing w:val="-1"/>
        </w:rPr>
        <w:t>tanto,</w:t>
      </w:r>
      <w:r>
        <w:rPr>
          <w:spacing w:val="-11"/>
        </w:rPr>
        <w:t xml:space="preserve"> </w:t>
      </w:r>
      <w:r>
        <w:rPr>
          <w:spacing w:val="-1"/>
        </w:rPr>
        <w:t>es</w:t>
      </w:r>
      <w:r>
        <w:rPr>
          <w:spacing w:val="-8"/>
        </w:rPr>
        <w:t xml:space="preserve"> </w:t>
      </w:r>
      <w:r>
        <w:rPr>
          <w:spacing w:val="-1"/>
        </w:rPr>
        <w:t>preocupante</w:t>
      </w:r>
      <w:r>
        <w:rPr>
          <w:spacing w:val="-9"/>
        </w:rPr>
        <w:t xml:space="preserve"> </w:t>
      </w:r>
      <w:r>
        <w:rPr>
          <w:spacing w:val="-1"/>
        </w:rPr>
        <w:t>que,</w:t>
      </w:r>
      <w:r>
        <w:rPr>
          <w:spacing w:val="-11"/>
        </w:rPr>
        <w:t xml:space="preserve"> </w:t>
      </w:r>
      <w:r>
        <w:t>después</w:t>
      </w:r>
      <w:r>
        <w:rPr>
          <w:spacing w:val="-8"/>
        </w:rPr>
        <w:t xml:space="preserve"> </w:t>
      </w:r>
      <w:r>
        <w:t>de</w:t>
      </w:r>
      <w:r>
        <w:rPr>
          <w:spacing w:val="-8"/>
        </w:rPr>
        <w:t xml:space="preserve"> </w:t>
      </w:r>
      <w:r>
        <w:t>un</w:t>
      </w:r>
      <w:r>
        <w:rPr>
          <w:spacing w:val="-9"/>
        </w:rPr>
        <w:t xml:space="preserve"> </w:t>
      </w:r>
      <w:r>
        <w:t>año</w:t>
      </w:r>
      <w:r>
        <w:rPr>
          <w:spacing w:val="-8"/>
        </w:rPr>
        <w:t xml:space="preserve"> </w:t>
      </w:r>
      <w:r>
        <w:t>de</w:t>
      </w:r>
      <w:r>
        <w:rPr>
          <w:spacing w:val="-8"/>
        </w:rPr>
        <w:t xml:space="preserve"> </w:t>
      </w:r>
      <w:r>
        <w:t>reactivación</w:t>
      </w:r>
      <w:r>
        <w:rPr>
          <w:spacing w:val="-8"/>
        </w:rPr>
        <w:t xml:space="preserve"> </w:t>
      </w:r>
      <w:r>
        <w:t>económica,</w:t>
      </w:r>
      <w:r>
        <w:rPr>
          <w:spacing w:val="-12"/>
        </w:rPr>
        <w:t xml:space="preserve"> </w:t>
      </w:r>
      <w:r>
        <w:t>el</w:t>
      </w:r>
      <w:r>
        <w:rPr>
          <w:spacing w:val="-15"/>
        </w:rPr>
        <w:t xml:space="preserve"> </w:t>
      </w:r>
      <w:r>
        <w:t>porcentaje</w:t>
      </w:r>
      <w:r>
        <w:rPr>
          <w:spacing w:val="-8"/>
        </w:rPr>
        <w:t xml:space="preserve"> </w:t>
      </w:r>
      <w:r>
        <w:t>de</w:t>
      </w:r>
      <w:r>
        <w:rPr>
          <w:spacing w:val="-8"/>
        </w:rPr>
        <w:t xml:space="preserve"> </w:t>
      </w:r>
      <w:r>
        <w:t>empresarios</w:t>
      </w:r>
      <w:r>
        <w:rPr>
          <w:spacing w:val="-59"/>
        </w:rPr>
        <w:t xml:space="preserve"> </w:t>
      </w:r>
      <w:r>
        <w:t>que</w:t>
      </w:r>
      <w:r>
        <w:rPr>
          <w:spacing w:val="-1"/>
        </w:rPr>
        <w:t xml:space="preserve"> </w:t>
      </w:r>
      <w:r>
        <w:t>perciben una</w:t>
      </w:r>
      <w:r>
        <w:rPr>
          <w:spacing w:val="-1"/>
        </w:rPr>
        <w:t xml:space="preserve"> </w:t>
      </w:r>
      <w:r>
        <w:t>disminución de</w:t>
      </w:r>
      <w:r>
        <w:rPr>
          <w:spacing w:val="-1"/>
        </w:rPr>
        <w:t xml:space="preserve"> </w:t>
      </w:r>
      <w:r>
        <w:t>producción siga</w:t>
      </w:r>
      <w:r>
        <w:rPr>
          <w:spacing w:val="-1"/>
        </w:rPr>
        <w:t xml:space="preserve"> </w:t>
      </w:r>
      <w:r>
        <w:t>siendo significativo…”.</w:t>
      </w:r>
    </w:p>
    <w:p w14:paraId="2AB1DD56" w14:textId="77777777" w:rsidR="00950925" w:rsidRDefault="00950925" w:rsidP="00950925">
      <w:pPr>
        <w:pStyle w:val="TableParagraph"/>
        <w:spacing w:before="1"/>
      </w:pPr>
    </w:p>
    <w:p w14:paraId="0484E3D8" w14:textId="77777777" w:rsidR="00950925" w:rsidRDefault="00950925" w:rsidP="00950925">
      <w:pPr>
        <w:pStyle w:val="TableParagraph"/>
        <w:ind w:left="22"/>
        <w:jc w:val="both"/>
        <w:rPr>
          <w:b/>
        </w:rPr>
      </w:pPr>
      <w:r>
        <w:rPr>
          <w:b/>
        </w:rPr>
        <w:t>“…B)</w:t>
      </w:r>
      <w:r>
        <w:rPr>
          <w:b/>
          <w:spacing w:val="-5"/>
        </w:rPr>
        <w:t xml:space="preserve"> </w:t>
      </w:r>
      <w:r>
        <w:rPr>
          <w:b/>
        </w:rPr>
        <w:t>Volumen</w:t>
      </w:r>
      <w:r>
        <w:rPr>
          <w:b/>
          <w:spacing w:val="-1"/>
        </w:rPr>
        <w:t xml:space="preserve"> </w:t>
      </w:r>
      <w:r>
        <w:rPr>
          <w:b/>
        </w:rPr>
        <w:t>de</w:t>
      </w:r>
      <w:r>
        <w:rPr>
          <w:b/>
          <w:spacing w:val="-2"/>
        </w:rPr>
        <w:t xml:space="preserve"> </w:t>
      </w:r>
      <w:r>
        <w:rPr>
          <w:b/>
        </w:rPr>
        <w:t>ventas</w:t>
      </w:r>
    </w:p>
    <w:p w14:paraId="79258066" w14:textId="77777777" w:rsidR="00950925" w:rsidRDefault="00950925" w:rsidP="00950925">
      <w:pPr>
        <w:pStyle w:val="TableParagraph"/>
        <w:spacing w:before="10"/>
        <w:rPr>
          <w:sz w:val="21"/>
        </w:rPr>
      </w:pPr>
    </w:p>
    <w:p w14:paraId="2EBBCC55" w14:textId="1686B5D2" w:rsidR="00950925" w:rsidRDefault="00950925" w:rsidP="00950925">
      <w:pPr>
        <w:pStyle w:val="TableParagraph"/>
        <w:spacing w:line="242" w:lineRule="auto"/>
        <w:ind w:left="22" w:right="29"/>
        <w:jc w:val="both"/>
      </w:pPr>
      <w:r>
        <w:t>Para</w:t>
      </w:r>
      <w:r>
        <w:rPr>
          <w:spacing w:val="1"/>
        </w:rPr>
        <w:t xml:space="preserve"> </w:t>
      </w:r>
      <w:r>
        <w:t>el caso de</w:t>
      </w:r>
      <w:r>
        <w:rPr>
          <w:spacing w:val="1"/>
        </w:rPr>
        <w:t xml:space="preserve"> </w:t>
      </w:r>
      <w:r>
        <w:t>las</w:t>
      </w:r>
      <w:r>
        <w:rPr>
          <w:spacing w:val="1"/>
        </w:rPr>
        <w:t xml:space="preserve"> </w:t>
      </w:r>
      <w:r>
        <w:t>ventas,</w:t>
      </w:r>
      <w:r>
        <w:rPr>
          <w:spacing w:val="1"/>
        </w:rPr>
        <w:t xml:space="preserve"> </w:t>
      </w:r>
      <w:r>
        <w:t>(…),</w:t>
      </w:r>
      <w:r>
        <w:rPr>
          <w:spacing w:val="1"/>
        </w:rPr>
        <w:t xml:space="preserve"> </w:t>
      </w:r>
      <w:r>
        <w:t>el porcentaje</w:t>
      </w:r>
      <w:r>
        <w:rPr>
          <w:spacing w:val="1"/>
        </w:rPr>
        <w:t xml:space="preserve"> </w:t>
      </w:r>
      <w:r>
        <w:t>de</w:t>
      </w:r>
      <w:r>
        <w:rPr>
          <w:spacing w:val="1"/>
        </w:rPr>
        <w:t xml:space="preserve"> </w:t>
      </w:r>
      <w:r>
        <w:t>empresarios</w:t>
      </w:r>
      <w:r>
        <w:rPr>
          <w:spacing w:val="1"/>
        </w:rPr>
        <w:t xml:space="preserve"> </w:t>
      </w:r>
      <w:proofErr w:type="spellStart"/>
      <w:r>
        <w:t>MiPyme</w:t>
      </w:r>
      <w:proofErr w:type="spellEnd"/>
      <w:r>
        <w:rPr>
          <w:spacing w:val="1"/>
        </w:rPr>
        <w:t xml:space="preserve"> </w:t>
      </w:r>
      <w:r>
        <w:t>que</w:t>
      </w:r>
      <w:r>
        <w:rPr>
          <w:spacing w:val="1"/>
        </w:rPr>
        <w:t xml:space="preserve"> </w:t>
      </w:r>
      <w:r>
        <w:t>señalaron</w:t>
      </w:r>
      <w:r>
        <w:rPr>
          <w:spacing w:val="1"/>
        </w:rPr>
        <w:t xml:space="preserve"> </w:t>
      </w:r>
      <w:r>
        <w:t>presentar</w:t>
      </w:r>
      <w:r>
        <w:rPr>
          <w:spacing w:val="1"/>
        </w:rPr>
        <w:t xml:space="preserve"> </w:t>
      </w:r>
      <w:r>
        <w:t>una</w:t>
      </w:r>
      <w:r>
        <w:rPr>
          <w:spacing w:val="1"/>
        </w:rPr>
        <w:t xml:space="preserve"> </w:t>
      </w:r>
      <w:r>
        <w:rPr>
          <w:spacing w:val="-1"/>
        </w:rPr>
        <w:t>disminución</w:t>
      </w:r>
      <w:r>
        <w:rPr>
          <w:spacing w:val="-16"/>
        </w:rPr>
        <w:t xml:space="preserve"> </w:t>
      </w:r>
      <w:r>
        <w:rPr>
          <w:spacing w:val="-1"/>
        </w:rPr>
        <w:t>en</w:t>
      </w:r>
      <w:r>
        <w:rPr>
          <w:spacing w:val="-16"/>
        </w:rPr>
        <w:t xml:space="preserve"> </w:t>
      </w:r>
      <w:r>
        <w:rPr>
          <w:spacing w:val="-1"/>
        </w:rPr>
        <w:t>el</w:t>
      </w:r>
      <w:r>
        <w:rPr>
          <w:spacing w:val="-22"/>
        </w:rPr>
        <w:t xml:space="preserve"> </w:t>
      </w:r>
      <w:r>
        <w:rPr>
          <w:spacing w:val="-1"/>
        </w:rPr>
        <w:t>cuarto</w:t>
      </w:r>
      <w:r>
        <w:rPr>
          <w:spacing w:val="-16"/>
        </w:rPr>
        <w:t xml:space="preserve"> </w:t>
      </w:r>
      <w:r>
        <w:t>trimestre</w:t>
      </w:r>
      <w:r>
        <w:rPr>
          <w:spacing w:val="-16"/>
        </w:rPr>
        <w:t xml:space="preserve"> </w:t>
      </w:r>
      <w:r>
        <w:t>de</w:t>
      </w:r>
      <w:r>
        <w:rPr>
          <w:spacing w:val="-16"/>
        </w:rPr>
        <w:t xml:space="preserve"> </w:t>
      </w:r>
      <w:r>
        <w:t>2022,</w:t>
      </w:r>
      <w:r>
        <w:rPr>
          <w:spacing w:val="-19"/>
        </w:rPr>
        <w:t xml:space="preserve"> </w:t>
      </w:r>
      <w:r>
        <w:t>fue</w:t>
      </w:r>
      <w:r>
        <w:rPr>
          <w:spacing w:val="-16"/>
        </w:rPr>
        <w:t xml:space="preserve"> </w:t>
      </w:r>
      <w:r>
        <w:t>mayor</w:t>
      </w:r>
      <w:r>
        <w:rPr>
          <w:spacing w:val="-19"/>
        </w:rPr>
        <w:t xml:space="preserve"> </w:t>
      </w:r>
      <w:r>
        <w:t>respecto</w:t>
      </w:r>
      <w:r>
        <w:rPr>
          <w:spacing w:val="-16"/>
        </w:rPr>
        <w:t xml:space="preserve"> </w:t>
      </w:r>
      <w:r>
        <w:t>de</w:t>
      </w:r>
      <w:r>
        <w:rPr>
          <w:spacing w:val="-16"/>
        </w:rPr>
        <w:t xml:space="preserve"> </w:t>
      </w:r>
      <w:r>
        <w:t>los</w:t>
      </w:r>
      <w:r>
        <w:rPr>
          <w:spacing w:val="-16"/>
        </w:rPr>
        <w:t xml:space="preserve"> </w:t>
      </w:r>
      <w:r>
        <w:t>que</w:t>
      </w:r>
      <w:r>
        <w:rPr>
          <w:spacing w:val="-16"/>
        </w:rPr>
        <w:t xml:space="preserve"> </w:t>
      </w:r>
      <w:r>
        <w:t>indicaron</w:t>
      </w:r>
      <w:r>
        <w:rPr>
          <w:spacing w:val="-16"/>
        </w:rPr>
        <w:t xml:space="preserve"> </w:t>
      </w:r>
      <w:r>
        <w:t>tener</w:t>
      </w:r>
      <w:r>
        <w:rPr>
          <w:spacing w:val="-19"/>
        </w:rPr>
        <w:t xml:space="preserve"> </w:t>
      </w:r>
      <w:r>
        <w:t>aumentos</w:t>
      </w:r>
      <w:r>
        <w:rPr>
          <w:spacing w:val="-16"/>
        </w:rPr>
        <w:t xml:space="preserve"> </w:t>
      </w:r>
      <w:r>
        <w:t>o</w:t>
      </w:r>
      <w:r>
        <w:rPr>
          <w:spacing w:val="-2"/>
        </w:rPr>
        <w:t xml:space="preserve"> </w:t>
      </w:r>
      <w:r>
        <w:t>mantener</w:t>
      </w:r>
      <w:r>
        <w:rPr>
          <w:spacing w:val="-58"/>
        </w:rPr>
        <w:t xml:space="preserve"> </w:t>
      </w:r>
      <w:r>
        <w:t>el</w:t>
      </w:r>
      <w:r>
        <w:rPr>
          <w:spacing w:val="-7"/>
        </w:rPr>
        <w:t xml:space="preserve"> </w:t>
      </w:r>
      <w:r>
        <w:t>volumen de</w:t>
      </w:r>
      <w:r>
        <w:rPr>
          <w:spacing w:val="-4"/>
        </w:rPr>
        <w:t xml:space="preserve"> </w:t>
      </w:r>
      <w:r>
        <w:t>ventas de su</w:t>
      </w:r>
      <w:r>
        <w:rPr>
          <w:spacing w:val="-4"/>
        </w:rPr>
        <w:t xml:space="preserve"> </w:t>
      </w:r>
      <w:r>
        <w:t>organización.</w:t>
      </w:r>
    </w:p>
    <w:p w14:paraId="759A9558" w14:textId="77777777" w:rsidR="00950925" w:rsidRDefault="00950925" w:rsidP="00950925">
      <w:pPr>
        <w:pStyle w:val="TableParagraph"/>
        <w:spacing w:before="4"/>
        <w:rPr>
          <w:sz w:val="21"/>
        </w:rPr>
      </w:pPr>
    </w:p>
    <w:p w14:paraId="1FA0682D" w14:textId="7215D553" w:rsidR="00950925" w:rsidRDefault="00950925" w:rsidP="00950925">
      <w:pPr>
        <w:pStyle w:val="TableParagraph"/>
        <w:ind w:left="22" w:right="31"/>
        <w:jc w:val="both"/>
      </w:pPr>
      <w:r>
        <w:t xml:space="preserve">Este indicador en el periodo estudiado para los empresarios que manifestaron tener una </w:t>
      </w:r>
      <w:r>
        <w:lastRenderedPageBreak/>
        <w:t>disminución fue del</w:t>
      </w:r>
      <w:r>
        <w:rPr>
          <w:spacing w:val="1"/>
        </w:rPr>
        <w:t xml:space="preserve"> </w:t>
      </w:r>
      <w:r>
        <w:t>40.1%, cifra que para el tercer trimestre de 2022 fue de 39.7%. Asimismo, el porcentaje de empresarios que</w:t>
      </w:r>
      <w:r>
        <w:rPr>
          <w:spacing w:val="1"/>
        </w:rPr>
        <w:t xml:space="preserve"> </w:t>
      </w:r>
      <w:r>
        <w:t>manifestó</w:t>
      </w:r>
      <w:r>
        <w:rPr>
          <w:spacing w:val="2"/>
        </w:rPr>
        <w:t xml:space="preserve"> </w:t>
      </w:r>
      <w:r>
        <w:t>un</w:t>
      </w:r>
      <w:r>
        <w:rPr>
          <w:spacing w:val="2"/>
        </w:rPr>
        <w:t xml:space="preserve"> </w:t>
      </w:r>
      <w:r>
        <w:t>aumento</w:t>
      </w:r>
      <w:r>
        <w:rPr>
          <w:spacing w:val="3"/>
        </w:rPr>
        <w:t xml:space="preserve"> </w:t>
      </w:r>
      <w:r>
        <w:t>en</w:t>
      </w:r>
      <w:r>
        <w:rPr>
          <w:spacing w:val="2"/>
        </w:rPr>
        <w:t xml:space="preserve"> </w:t>
      </w:r>
      <w:r>
        <w:t>el</w:t>
      </w:r>
      <w:r>
        <w:rPr>
          <w:spacing w:val="-7"/>
        </w:rPr>
        <w:t xml:space="preserve"> </w:t>
      </w:r>
      <w:r>
        <w:t>volumen</w:t>
      </w:r>
      <w:r>
        <w:rPr>
          <w:spacing w:val="-2"/>
        </w:rPr>
        <w:t xml:space="preserve"> </w:t>
      </w:r>
      <w:r>
        <w:t>de</w:t>
      </w:r>
      <w:r>
        <w:rPr>
          <w:spacing w:val="-5"/>
        </w:rPr>
        <w:t xml:space="preserve"> </w:t>
      </w:r>
      <w:r>
        <w:t>ventas</w:t>
      </w:r>
      <w:r>
        <w:rPr>
          <w:spacing w:val="-1"/>
        </w:rPr>
        <w:t xml:space="preserve"> </w:t>
      </w:r>
      <w:r>
        <w:t>para</w:t>
      </w:r>
      <w:r>
        <w:rPr>
          <w:spacing w:val="-2"/>
        </w:rPr>
        <w:t xml:space="preserve"> </w:t>
      </w:r>
      <w:r>
        <w:t>el</w:t>
      </w:r>
      <w:r>
        <w:rPr>
          <w:spacing w:val="-4"/>
        </w:rPr>
        <w:t xml:space="preserve"> </w:t>
      </w:r>
      <w:r>
        <w:t>último</w:t>
      </w:r>
      <w:r>
        <w:rPr>
          <w:spacing w:val="2"/>
        </w:rPr>
        <w:t xml:space="preserve"> </w:t>
      </w:r>
      <w:r>
        <w:t>trimestre</w:t>
      </w:r>
      <w:r>
        <w:rPr>
          <w:spacing w:val="-1"/>
        </w:rPr>
        <w:t xml:space="preserve"> </w:t>
      </w:r>
      <w:r>
        <w:t>de</w:t>
      </w:r>
      <w:r>
        <w:rPr>
          <w:spacing w:val="-2"/>
        </w:rPr>
        <w:t xml:space="preserve"> </w:t>
      </w:r>
      <w:r>
        <w:t>2021</w:t>
      </w:r>
      <w:r>
        <w:rPr>
          <w:spacing w:val="3"/>
        </w:rPr>
        <w:t xml:space="preserve"> </w:t>
      </w:r>
      <w:r>
        <w:t>fue</w:t>
      </w:r>
      <w:r>
        <w:rPr>
          <w:spacing w:val="2"/>
        </w:rPr>
        <w:t xml:space="preserve"> </w:t>
      </w:r>
      <w:r>
        <w:t>de</w:t>
      </w:r>
      <w:r>
        <w:rPr>
          <w:spacing w:val="-2"/>
        </w:rPr>
        <w:t xml:space="preserve"> </w:t>
      </w:r>
      <w:r>
        <w:t>31.5%, cifra</w:t>
      </w:r>
      <w:r>
        <w:rPr>
          <w:spacing w:val="2"/>
        </w:rPr>
        <w:t xml:space="preserve"> </w:t>
      </w:r>
      <w:r>
        <w:t>mayor</w:t>
      </w:r>
      <w:r>
        <w:rPr>
          <w:spacing w:val="-4"/>
        </w:rPr>
        <w:t xml:space="preserve"> </w:t>
      </w:r>
      <w:r>
        <w:t>en 7.9</w:t>
      </w:r>
      <w:r>
        <w:rPr>
          <w:spacing w:val="-3"/>
        </w:rPr>
        <w:t xml:space="preserve"> </w:t>
      </w:r>
      <w:r>
        <w:t>p.p.</w:t>
      </w:r>
      <w:r>
        <w:rPr>
          <w:spacing w:val="-5"/>
        </w:rPr>
        <w:t xml:space="preserve"> </w:t>
      </w:r>
      <w:r>
        <w:t>respecto</w:t>
      </w:r>
      <w:r>
        <w:rPr>
          <w:spacing w:val="-2"/>
        </w:rPr>
        <w:t xml:space="preserve"> </w:t>
      </w:r>
      <w:r>
        <w:t>del</w:t>
      </w:r>
      <w:r>
        <w:rPr>
          <w:spacing w:val="-8"/>
        </w:rPr>
        <w:t xml:space="preserve"> </w:t>
      </w:r>
      <w:r>
        <w:t>trimestre</w:t>
      </w:r>
      <w:r>
        <w:rPr>
          <w:spacing w:val="-2"/>
        </w:rPr>
        <w:t xml:space="preserve"> </w:t>
      </w:r>
      <w:r>
        <w:t>anterior,</w:t>
      </w:r>
      <w:r>
        <w:rPr>
          <w:spacing w:val="-5"/>
        </w:rPr>
        <w:t xml:space="preserve"> </w:t>
      </w:r>
      <w:r>
        <w:t>donde</w:t>
      </w:r>
      <w:r>
        <w:rPr>
          <w:spacing w:val="-2"/>
        </w:rPr>
        <w:t xml:space="preserve"> </w:t>
      </w:r>
      <w:r>
        <w:t>se</w:t>
      </w:r>
      <w:r>
        <w:rPr>
          <w:spacing w:val="-2"/>
        </w:rPr>
        <w:t xml:space="preserve"> </w:t>
      </w:r>
      <w:r>
        <w:t>encontraba</w:t>
      </w:r>
      <w:r>
        <w:rPr>
          <w:spacing w:val="-6"/>
        </w:rPr>
        <w:t xml:space="preserve"> </w:t>
      </w:r>
      <w:r>
        <w:t>en</w:t>
      </w:r>
      <w:r>
        <w:rPr>
          <w:spacing w:val="-2"/>
        </w:rPr>
        <w:t xml:space="preserve"> </w:t>
      </w:r>
      <w:r>
        <w:t>31.5%.</w:t>
      </w:r>
    </w:p>
    <w:p w14:paraId="7917CB32" w14:textId="0F188CC0" w:rsidR="00950925" w:rsidRDefault="00950925" w:rsidP="00950925">
      <w:pPr>
        <w:pStyle w:val="TableParagraph"/>
        <w:jc w:val="both"/>
      </w:pPr>
    </w:p>
    <w:p w14:paraId="0E820676" w14:textId="77777777" w:rsidR="00950925" w:rsidRDefault="00950925" w:rsidP="00950925">
      <w:pPr>
        <w:pStyle w:val="TableParagraph"/>
        <w:spacing w:before="57"/>
        <w:ind w:left="22" w:right="37"/>
        <w:jc w:val="both"/>
      </w:pPr>
      <w:r>
        <w:t xml:space="preserve">A su vez, el 28.5% de los empresarios </w:t>
      </w:r>
      <w:proofErr w:type="spellStart"/>
      <w:r>
        <w:t>MiPyme</w:t>
      </w:r>
      <w:proofErr w:type="spellEnd"/>
      <w:r>
        <w:t xml:space="preserve"> manifestó mantener el mismo volumen de ventas para el</w:t>
      </w:r>
      <w:r>
        <w:rPr>
          <w:spacing w:val="1"/>
        </w:rPr>
        <w:t xml:space="preserve"> </w:t>
      </w:r>
      <w:r>
        <w:t>trimestre</w:t>
      </w:r>
      <w:r>
        <w:rPr>
          <w:spacing w:val="-1"/>
        </w:rPr>
        <w:t xml:space="preserve"> </w:t>
      </w:r>
      <w:r>
        <w:t>de</w:t>
      </w:r>
      <w:r>
        <w:rPr>
          <w:spacing w:val="-1"/>
        </w:rPr>
        <w:t xml:space="preserve"> </w:t>
      </w:r>
      <w:r>
        <w:t>estudio,</w:t>
      </w:r>
      <w:r>
        <w:rPr>
          <w:spacing w:val="-3"/>
        </w:rPr>
        <w:t xml:space="preserve"> </w:t>
      </w:r>
      <w:r>
        <w:t>cifra</w:t>
      </w:r>
      <w:r>
        <w:rPr>
          <w:spacing w:val="-1"/>
        </w:rPr>
        <w:t xml:space="preserve"> </w:t>
      </w:r>
      <w:r>
        <w:t>que,</w:t>
      </w:r>
      <w:r>
        <w:rPr>
          <w:spacing w:val="-4"/>
        </w:rPr>
        <w:t xml:space="preserve"> </w:t>
      </w:r>
      <w:r>
        <w:t>disminuyó en</w:t>
      </w:r>
      <w:r>
        <w:rPr>
          <w:spacing w:val="-1"/>
        </w:rPr>
        <w:t xml:space="preserve"> </w:t>
      </w:r>
      <w:r>
        <w:t>8.2 p.p.</w:t>
      </w:r>
      <w:r>
        <w:rPr>
          <w:spacing w:val="-4"/>
        </w:rPr>
        <w:t xml:space="preserve"> </w:t>
      </w:r>
      <w:r>
        <w:t>con</w:t>
      </w:r>
      <w:r>
        <w:rPr>
          <w:spacing w:val="-1"/>
        </w:rPr>
        <w:t xml:space="preserve"> </w:t>
      </w:r>
      <w:r>
        <w:t>respecto al</w:t>
      </w:r>
      <w:r>
        <w:rPr>
          <w:spacing w:val="-7"/>
        </w:rPr>
        <w:t xml:space="preserve"> </w:t>
      </w:r>
      <w:r>
        <w:t>tercer</w:t>
      </w:r>
      <w:r>
        <w:rPr>
          <w:spacing w:val="-4"/>
        </w:rPr>
        <w:t xml:space="preserve"> </w:t>
      </w:r>
      <w:r>
        <w:t>trimestre de</w:t>
      </w:r>
      <w:r>
        <w:rPr>
          <w:spacing w:val="-1"/>
        </w:rPr>
        <w:t xml:space="preserve"> </w:t>
      </w:r>
      <w:r>
        <w:t>2021.</w:t>
      </w:r>
    </w:p>
    <w:p w14:paraId="2D3E99B6" w14:textId="77777777" w:rsidR="00950925" w:rsidRDefault="00950925" w:rsidP="00950925">
      <w:pPr>
        <w:pStyle w:val="TableParagraph"/>
      </w:pPr>
    </w:p>
    <w:p w14:paraId="559BA179" w14:textId="77777777" w:rsidR="00950925" w:rsidRDefault="00950925" w:rsidP="00950925">
      <w:pPr>
        <w:pStyle w:val="TableParagraph"/>
        <w:spacing w:before="1"/>
        <w:ind w:left="22" w:right="46"/>
        <w:jc w:val="both"/>
      </w:pPr>
      <w:r>
        <w:t>Este indicador ha presentado variaciones significativas, donde, solo el 13% de los empresarios manifestaban</w:t>
      </w:r>
      <w:r>
        <w:rPr>
          <w:spacing w:val="-59"/>
        </w:rPr>
        <w:t xml:space="preserve"> </w:t>
      </w:r>
      <w:r>
        <w:t>tener disminución en este indicador, cifra que, aumentó en 26.7 p.p. en el porcentaje de ventas para el cierre</w:t>
      </w:r>
      <w:r>
        <w:rPr>
          <w:spacing w:val="1"/>
        </w:rPr>
        <w:t xml:space="preserve"> </w:t>
      </w:r>
      <w:r>
        <w:t>de 2019, por lo cual, pese a la recuperación, sigue persistiendo un deterioro en el comportamiento de este</w:t>
      </w:r>
      <w:r>
        <w:rPr>
          <w:spacing w:val="1"/>
        </w:rPr>
        <w:t xml:space="preserve"> </w:t>
      </w:r>
      <w:r>
        <w:t>indicador…”</w:t>
      </w:r>
    </w:p>
    <w:p w14:paraId="4E8E8E4D" w14:textId="77777777" w:rsidR="00950925" w:rsidRDefault="00950925" w:rsidP="00950925">
      <w:pPr>
        <w:pStyle w:val="TableParagraph"/>
        <w:spacing w:before="10"/>
        <w:rPr>
          <w:sz w:val="21"/>
        </w:rPr>
      </w:pPr>
    </w:p>
    <w:p w14:paraId="4DF5F6AA" w14:textId="77777777" w:rsidR="00950925" w:rsidRDefault="00950925" w:rsidP="00950925">
      <w:pPr>
        <w:pStyle w:val="TableParagraph"/>
        <w:spacing w:before="1"/>
        <w:ind w:left="22"/>
        <w:rPr>
          <w:b/>
        </w:rPr>
      </w:pPr>
      <w:r>
        <w:rPr>
          <w:b/>
        </w:rPr>
        <w:t>“…C)</w:t>
      </w:r>
      <w:r>
        <w:rPr>
          <w:b/>
          <w:spacing w:val="-6"/>
        </w:rPr>
        <w:t xml:space="preserve"> </w:t>
      </w:r>
      <w:r>
        <w:rPr>
          <w:b/>
        </w:rPr>
        <w:t>Nivel</w:t>
      </w:r>
      <w:r>
        <w:rPr>
          <w:b/>
          <w:spacing w:val="-3"/>
        </w:rPr>
        <w:t xml:space="preserve"> </w:t>
      </w:r>
      <w:r>
        <w:rPr>
          <w:b/>
        </w:rPr>
        <w:t>de</w:t>
      </w:r>
      <w:r>
        <w:rPr>
          <w:b/>
          <w:spacing w:val="-3"/>
        </w:rPr>
        <w:t xml:space="preserve"> </w:t>
      </w:r>
      <w:r>
        <w:rPr>
          <w:b/>
        </w:rPr>
        <w:t>inversión</w:t>
      </w:r>
      <w:r>
        <w:rPr>
          <w:b/>
          <w:spacing w:val="-3"/>
        </w:rPr>
        <w:t xml:space="preserve"> </w:t>
      </w:r>
      <w:r>
        <w:rPr>
          <w:b/>
        </w:rPr>
        <w:t>realizada</w:t>
      </w:r>
    </w:p>
    <w:p w14:paraId="7004B7AA" w14:textId="77777777" w:rsidR="00950925" w:rsidRDefault="00950925" w:rsidP="00950925">
      <w:pPr>
        <w:pStyle w:val="TableParagraph"/>
        <w:spacing w:before="1"/>
      </w:pPr>
    </w:p>
    <w:p w14:paraId="0006E1C8" w14:textId="77777777" w:rsidR="00950925" w:rsidRDefault="00950925" w:rsidP="00950925">
      <w:pPr>
        <w:pStyle w:val="TableParagraph"/>
        <w:spacing w:before="1"/>
        <w:ind w:left="22" w:right="38"/>
        <w:jc w:val="both"/>
      </w:pPr>
      <w:r>
        <w:t>En</w:t>
      </w:r>
      <w:r>
        <w:rPr>
          <w:spacing w:val="-6"/>
        </w:rPr>
        <w:t xml:space="preserve"> </w:t>
      </w:r>
      <w:r>
        <w:t>esta</w:t>
      </w:r>
      <w:r>
        <w:rPr>
          <w:spacing w:val="-6"/>
        </w:rPr>
        <w:t xml:space="preserve"> </w:t>
      </w:r>
      <w:r>
        <w:t>encuesta</w:t>
      </w:r>
      <w:r>
        <w:rPr>
          <w:spacing w:val="-6"/>
        </w:rPr>
        <w:t xml:space="preserve"> </w:t>
      </w:r>
      <w:r>
        <w:t>se</w:t>
      </w:r>
      <w:r>
        <w:rPr>
          <w:spacing w:val="-6"/>
        </w:rPr>
        <w:t xml:space="preserve"> </w:t>
      </w:r>
      <w:r>
        <w:t>permite</w:t>
      </w:r>
      <w:r>
        <w:rPr>
          <w:spacing w:val="-6"/>
        </w:rPr>
        <w:t xml:space="preserve"> </w:t>
      </w:r>
      <w:r>
        <w:t>indagar</w:t>
      </w:r>
      <w:r>
        <w:rPr>
          <w:spacing w:val="-9"/>
        </w:rPr>
        <w:t xml:space="preserve"> </w:t>
      </w:r>
      <w:r>
        <w:t>sobre</w:t>
      </w:r>
      <w:r>
        <w:rPr>
          <w:spacing w:val="-6"/>
        </w:rPr>
        <w:t xml:space="preserve"> </w:t>
      </w:r>
      <w:r>
        <w:t>el</w:t>
      </w:r>
      <w:r>
        <w:rPr>
          <w:spacing w:val="-11"/>
        </w:rPr>
        <w:t xml:space="preserve"> </w:t>
      </w:r>
      <w:r>
        <w:t>nivel</w:t>
      </w:r>
      <w:r>
        <w:rPr>
          <w:spacing w:val="-12"/>
        </w:rPr>
        <w:t xml:space="preserve"> </w:t>
      </w:r>
      <w:r>
        <w:t>de</w:t>
      </w:r>
      <w:r>
        <w:rPr>
          <w:spacing w:val="-6"/>
        </w:rPr>
        <w:t xml:space="preserve"> </w:t>
      </w:r>
      <w:r>
        <w:t>inversión</w:t>
      </w:r>
      <w:r>
        <w:rPr>
          <w:spacing w:val="-6"/>
        </w:rPr>
        <w:t xml:space="preserve"> </w:t>
      </w:r>
      <w:r>
        <w:t>realizada</w:t>
      </w:r>
      <w:r>
        <w:rPr>
          <w:spacing w:val="-6"/>
        </w:rPr>
        <w:t xml:space="preserve"> </w:t>
      </w:r>
      <w:r>
        <w:t>por</w:t>
      </w:r>
      <w:r>
        <w:rPr>
          <w:spacing w:val="-8"/>
        </w:rPr>
        <w:t xml:space="preserve"> </w:t>
      </w:r>
      <w:r>
        <w:t>las</w:t>
      </w:r>
      <w:r>
        <w:rPr>
          <w:spacing w:val="-6"/>
        </w:rPr>
        <w:t xml:space="preserve"> </w:t>
      </w:r>
      <w:r>
        <w:t>empresas</w:t>
      </w:r>
      <w:r>
        <w:rPr>
          <w:spacing w:val="-6"/>
        </w:rPr>
        <w:t xml:space="preserve"> </w:t>
      </w:r>
      <w:proofErr w:type="spellStart"/>
      <w:r>
        <w:t>MiPyme</w:t>
      </w:r>
      <w:proofErr w:type="spellEnd"/>
      <w:r>
        <w:t>,</w:t>
      </w:r>
      <w:r>
        <w:rPr>
          <w:spacing w:val="-9"/>
        </w:rPr>
        <w:t xml:space="preserve"> </w:t>
      </w:r>
      <w:r>
        <w:t>indicador</w:t>
      </w:r>
      <w:r>
        <w:rPr>
          <w:spacing w:val="-59"/>
        </w:rPr>
        <w:t xml:space="preserve"> </w:t>
      </w:r>
      <w:r>
        <w:t>que, para este periodo de estudio arrojó que, un 43% de MiPymes presentaron disminuciones en los niveles</w:t>
      </w:r>
      <w:r>
        <w:rPr>
          <w:spacing w:val="1"/>
        </w:rPr>
        <w:t xml:space="preserve"> </w:t>
      </w:r>
      <w:r>
        <w:t>de</w:t>
      </w:r>
      <w:r>
        <w:rPr>
          <w:spacing w:val="-1"/>
        </w:rPr>
        <w:t xml:space="preserve"> </w:t>
      </w:r>
      <w:r>
        <w:t>inversión realizados en su empresa.</w:t>
      </w:r>
    </w:p>
    <w:p w14:paraId="23107439" w14:textId="77777777" w:rsidR="00950925" w:rsidRDefault="00950925" w:rsidP="00950925">
      <w:pPr>
        <w:pStyle w:val="TableParagraph"/>
      </w:pPr>
    </w:p>
    <w:p w14:paraId="49477BE2" w14:textId="2EFF420E" w:rsidR="00950925" w:rsidRDefault="00950925" w:rsidP="00950925">
      <w:pPr>
        <w:pStyle w:val="TableParagraph"/>
        <w:ind w:left="22" w:right="41"/>
        <w:jc w:val="both"/>
      </w:pPr>
      <w:r>
        <w:t>En contraste con el trimestre anterior, se aumentó la compleja situación que reporta este indicador, debido a</w:t>
      </w:r>
      <w:r>
        <w:rPr>
          <w:spacing w:val="1"/>
        </w:rPr>
        <w:t xml:space="preserve"> </w:t>
      </w:r>
      <w:r>
        <w:t>que,</w:t>
      </w:r>
      <w:r>
        <w:rPr>
          <w:spacing w:val="-7"/>
        </w:rPr>
        <w:t xml:space="preserve"> </w:t>
      </w:r>
      <w:r>
        <w:t>se</w:t>
      </w:r>
      <w:r>
        <w:rPr>
          <w:spacing w:val="-4"/>
        </w:rPr>
        <w:t xml:space="preserve"> </w:t>
      </w:r>
      <w:r>
        <w:t>evidencia</w:t>
      </w:r>
      <w:r>
        <w:rPr>
          <w:spacing w:val="-4"/>
        </w:rPr>
        <w:t xml:space="preserve"> </w:t>
      </w:r>
      <w:r>
        <w:t>un</w:t>
      </w:r>
      <w:r>
        <w:rPr>
          <w:spacing w:val="-4"/>
        </w:rPr>
        <w:t xml:space="preserve"> </w:t>
      </w:r>
      <w:r>
        <w:t>aumento</w:t>
      </w:r>
      <w:r>
        <w:rPr>
          <w:spacing w:val="-4"/>
        </w:rPr>
        <w:t xml:space="preserve"> </w:t>
      </w:r>
      <w:r>
        <w:t>de</w:t>
      </w:r>
      <w:r>
        <w:rPr>
          <w:spacing w:val="-4"/>
        </w:rPr>
        <w:t xml:space="preserve"> </w:t>
      </w:r>
      <w:r>
        <w:t>3.7</w:t>
      </w:r>
      <w:r>
        <w:rPr>
          <w:spacing w:val="-4"/>
        </w:rPr>
        <w:t xml:space="preserve"> </w:t>
      </w:r>
      <w:r>
        <w:t>p.p.</w:t>
      </w:r>
      <w:r>
        <w:rPr>
          <w:spacing w:val="-7"/>
        </w:rPr>
        <w:t xml:space="preserve"> </w:t>
      </w:r>
      <w:r>
        <w:t>al</w:t>
      </w:r>
      <w:r>
        <w:rPr>
          <w:spacing w:val="-10"/>
        </w:rPr>
        <w:t xml:space="preserve"> </w:t>
      </w:r>
      <w:r>
        <w:t>pasar</w:t>
      </w:r>
      <w:r>
        <w:rPr>
          <w:spacing w:val="-7"/>
        </w:rPr>
        <w:t xml:space="preserve"> </w:t>
      </w:r>
      <w:r>
        <w:t>de</w:t>
      </w:r>
      <w:r>
        <w:rPr>
          <w:spacing w:val="-4"/>
        </w:rPr>
        <w:t xml:space="preserve"> </w:t>
      </w:r>
      <w:r>
        <w:t>un</w:t>
      </w:r>
      <w:r>
        <w:rPr>
          <w:spacing w:val="-4"/>
        </w:rPr>
        <w:t xml:space="preserve"> </w:t>
      </w:r>
      <w:r>
        <w:t>39,3%</w:t>
      </w:r>
      <w:r>
        <w:rPr>
          <w:spacing w:val="-5"/>
        </w:rPr>
        <w:t xml:space="preserve"> </w:t>
      </w:r>
      <w:r>
        <w:t>en</w:t>
      </w:r>
      <w:r>
        <w:rPr>
          <w:spacing w:val="-4"/>
        </w:rPr>
        <w:t xml:space="preserve"> </w:t>
      </w:r>
      <w:r>
        <w:t>el</w:t>
      </w:r>
      <w:r>
        <w:rPr>
          <w:spacing w:val="-10"/>
        </w:rPr>
        <w:t xml:space="preserve"> </w:t>
      </w:r>
      <w:r>
        <w:t>tercer</w:t>
      </w:r>
      <w:r>
        <w:rPr>
          <w:spacing w:val="-3"/>
        </w:rPr>
        <w:t xml:space="preserve"> </w:t>
      </w:r>
      <w:r>
        <w:t>trimestre</w:t>
      </w:r>
      <w:r>
        <w:rPr>
          <w:spacing w:val="-4"/>
        </w:rPr>
        <w:t xml:space="preserve"> </w:t>
      </w:r>
      <w:r>
        <w:t>de</w:t>
      </w:r>
      <w:r>
        <w:rPr>
          <w:spacing w:val="-4"/>
        </w:rPr>
        <w:t xml:space="preserve"> </w:t>
      </w:r>
      <w:r>
        <w:t>2021</w:t>
      </w:r>
      <w:r>
        <w:rPr>
          <w:spacing w:val="-4"/>
        </w:rPr>
        <w:t xml:space="preserve"> </w:t>
      </w:r>
      <w:r>
        <w:t>a</w:t>
      </w:r>
      <w:r>
        <w:rPr>
          <w:spacing w:val="-4"/>
        </w:rPr>
        <w:t xml:space="preserve"> </w:t>
      </w:r>
      <w:r>
        <w:t>un</w:t>
      </w:r>
      <w:r>
        <w:rPr>
          <w:spacing w:val="-4"/>
        </w:rPr>
        <w:t xml:space="preserve"> </w:t>
      </w:r>
      <w:r>
        <w:t>43%</w:t>
      </w:r>
      <w:r>
        <w:rPr>
          <w:spacing w:val="-5"/>
        </w:rPr>
        <w:t xml:space="preserve"> </w:t>
      </w:r>
      <w:r>
        <w:t>de</w:t>
      </w:r>
      <w:r>
        <w:rPr>
          <w:spacing w:val="-4"/>
        </w:rPr>
        <w:t xml:space="preserve"> </w:t>
      </w:r>
      <w:r>
        <w:t>los</w:t>
      </w:r>
      <w:r>
        <w:rPr>
          <w:spacing w:val="-58"/>
        </w:rPr>
        <w:t xml:space="preserve"> </w:t>
      </w:r>
      <w:r>
        <w:t>empresarios</w:t>
      </w:r>
      <w:r>
        <w:rPr>
          <w:spacing w:val="-7"/>
        </w:rPr>
        <w:t xml:space="preserve"> </w:t>
      </w:r>
      <w:r>
        <w:t>que</w:t>
      </w:r>
      <w:r>
        <w:rPr>
          <w:spacing w:val="-6"/>
        </w:rPr>
        <w:t xml:space="preserve"> </w:t>
      </w:r>
      <w:r>
        <w:t>indicaron</w:t>
      </w:r>
      <w:r>
        <w:rPr>
          <w:spacing w:val="-6"/>
        </w:rPr>
        <w:t xml:space="preserve"> </w:t>
      </w:r>
      <w:r>
        <w:t>haber</w:t>
      </w:r>
      <w:r>
        <w:rPr>
          <w:spacing w:val="-9"/>
        </w:rPr>
        <w:t xml:space="preserve"> </w:t>
      </w:r>
      <w:r>
        <w:t>disminuido</w:t>
      </w:r>
      <w:r>
        <w:rPr>
          <w:spacing w:val="-6"/>
        </w:rPr>
        <w:t xml:space="preserve"> </w:t>
      </w:r>
      <w:r>
        <w:t>su</w:t>
      </w:r>
      <w:r>
        <w:rPr>
          <w:spacing w:val="-6"/>
        </w:rPr>
        <w:t xml:space="preserve"> </w:t>
      </w:r>
      <w:r>
        <w:t>nivel</w:t>
      </w:r>
      <w:r>
        <w:rPr>
          <w:spacing w:val="-12"/>
        </w:rPr>
        <w:t xml:space="preserve"> </w:t>
      </w:r>
      <w:r>
        <w:t>de</w:t>
      </w:r>
      <w:r>
        <w:rPr>
          <w:spacing w:val="-6"/>
        </w:rPr>
        <w:t xml:space="preserve"> </w:t>
      </w:r>
      <w:r>
        <w:t>inversión</w:t>
      </w:r>
      <w:r>
        <w:rPr>
          <w:spacing w:val="-6"/>
        </w:rPr>
        <w:t xml:space="preserve"> </w:t>
      </w:r>
      <w:r>
        <w:t>para</w:t>
      </w:r>
      <w:r>
        <w:rPr>
          <w:spacing w:val="-10"/>
        </w:rPr>
        <w:t xml:space="preserve"> </w:t>
      </w:r>
      <w:r>
        <w:t>el</w:t>
      </w:r>
      <w:r>
        <w:rPr>
          <w:spacing w:val="-12"/>
        </w:rPr>
        <w:t xml:space="preserve"> </w:t>
      </w:r>
      <w:r>
        <w:t>cuarto</w:t>
      </w:r>
      <w:r>
        <w:rPr>
          <w:spacing w:val="-6"/>
        </w:rPr>
        <w:t xml:space="preserve"> </w:t>
      </w:r>
      <w:r>
        <w:t>trimestre</w:t>
      </w:r>
      <w:r>
        <w:rPr>
          <w:spacing w:val="-6"/>
        </w:rPr>
        <w:t xml:space="preserve"> </w:t>
      </w:r>
      <w:r>
        <w:t>de</w:t>
      </w:r>
      <w:r>
        <w:rPr>
          <w:spacing w:val="-7"/>
        </w:rPr>
        <w:t xml:space="preserve"> </w:t>
      </w:r>
      <w:r>
        <w:t>2022.</w:t>
      </w:r>
      <w:r>
        <w:rPr>
          <w:spacing w:val="-9"/>
        </w:rPr>
        <w:t xml:space="preserve"> </w:t>
      </w:r>
      <w:r>
        <w:t>Esto</w:t>
      </w:r>
      <w:r>
        <w:rPr>
          <w:spacing w:val="-6"/>
        </w:rPr>
        <w:t xml:space="preserve"> </w:t>
      </w:r>
      <w:r>
        <w:t>indica</w:t>
      </w:r>
      <w:r>
        <w:rPr>
          <w:spacing w:val="-58"/>
        </w:rPr>
        <w:t xml:space="preserve"> </w:t>
      </w:r>
      <w:r>
        <w:t>que,</w:t>
      </w:r>
      <w:r>
        <w:rPr>
          <w:spacing w:val="-5"/>
        </w:rPr>
        <w:t xml:space="preserve"> </w:t>
      </w:r>
      <w:r>
        <w:t>cierta</w:t>
      </w:r>
      <w:r>
        <w:rPr>
          <w:spacing w:val="-1"/>
        </w:rPr>
        <w:t xml:space="preserve"> </w:t>
      </w:r>
      <w:r>
        <w:t>cantidad</w:t>
      </w:r>
      <w:r>
        <w:rPr>
          <w:spacing w:val="-1"/>
        </w:rPr>
        <w:t xml:space="preserve"> </w:t>
      </w:r>
      <w:r>
        <w:t>de</w:t>
      </w:r>
      <w:r>
        <w:rPr>
          <w:spacing w:val="-2"/>
        </w:rPr>
        <w:t xml:space="preserve"> </w:t>
      </w:r>
      <w:r>
        <w:t>empresarios</w:t>
      </w:r>
      <w:r>
        <w:rPr>
          <w:spacing w:val="-1"/>
        </w:rPr>
        <w:t xml:space="preserve"> </w:t>
      </w:r>
      <w:proofErr w:type="spellStart"/>
      <w:r>
        <w:t>MiPyme</w:t>
      </w:r>
      <w:proofErr w:type="spellEnd"/>
      <w:r>
        <w:rPr>
          <w:spacing w:val="-1"/>
        </w:rPr>
        <w:t xml:space="preserve"> </w:t>
      </w:r>
      <w:r>
        <w:t>han</w:t>
      </w:r>
      <w:r>
        <w:rPr>
          <w:spacing w:val="-2"/>
        </w:rPr>
        <w:t xml:space="preserve"> </w:t>
      </w:r>
      <w:r>
        <w:t>seguido</w:t>
      </w:r>
      <w:r>
        <w:rPr>
          <w:spacing w:val="-1"/>
        </w:rPr>
        <w:t xml:space="preserve"> </w:t>
      </w:r>
      <w:r>
        <w:t>disminuyendo</w:t>
      </w:r>
      <w:r>
        <w:rPr>
          <w:spacing w:val="-1"/>
        </w:rPr>
        <w:t xml:space="preserve"> </w:t>
      </w:r>
      <w:r>
        <w:t>sus</w:t>
      </w:r>
      <w:r>
        <w:rPr>
          <w:spacing w:val="-1"/>
        </w:rPr>
        <w:t xml:space="preserve"> </w:t>
      </w:r>
      <w:r>
        <w:t>niveles</w:t>
      </w:r>
      <w:r>
        <w:rPr>
          <w:spacing w:val="-2"/>
        </w:rPr>
        <w:t xml:space="preserve"> </w:t>
      </w:r>
      <w:r>
        <w:t>de</w:t>
      </w:r>
      <w:r>
        <w:rPr>
          <w:spacing w:val="-1"/>
        </w:rPr>
        <w:t xml:space="preserve"> </w:t>
      </w:r>
      <w:r>
        <w:t>inversión.</w:t>
      </w:r>
    </w:p>
    <w:p w14:paraId="56687806" w14:textId="3C1FDAC4" w:rsidR="00950925" w:rsidRDefault="00950925" w:rsidP="00950925">
      <w:pPr>
        <w:pStyle w:val="TableParagraph"/>
        <w:ind w:left="22" w:right="35"/>
        <w:jc w:val="both"/>
      </w:pPr>
      <w:r>
        <w:rPr>
          <w:spacing w:val="-1"/>
        </w:rPr>
        <w:t>Sin</w:t>
      </w:r>
      <w:r>
        <w:rPr>
          <w:spacing w:val="-8"/>
        </w:rPr>
        <w:t xml:space="preserve"> </w:t>
      </w:r>
      <w:r>
        <w:rPr>
          <w:spacing w:val="-1"/>
        </w:rPr>
        <w:t>embargo,</w:t>
      </w:r>
      <w:r>
        <w:rPr>
          <w:spacing w:val="-11"/>
        </w:rPr>
        <w:t xml:space="preserve"> </w:t>
      </w:r>
      <w:r>
        <w:rPr>
          <w:spacing w:val="-1"/>
        </w:rPr>
        <w:t>al</w:t>
      </w:r>
      <w:r>
        <w:rPr>
          <w:spacing w:val="-14"/>
        </w:rPr>
        <w:t xml:space="preserve"> </w:t>
      </w:r>
      <w:r>
        <w:rPr>
          <w:spacing w:val="-1"/>
        </w:rPr>
        <w:t>hacer</w:t>
      </w:r>
      <w:r>
        <w:rPr>
          <w:spacing w:val="-11"/>
        </w:rPr>
        <w:t xml:space="preserve"> </w:t>
      </w:r>
      <w:r>
        <w:rPr>
          <w:spacing w:val="-1"/>
        </w:rPr>
        <w:t>un</w:t>
      </w:r>
      <w:r>
        <w:rPr>
          <w:spacing w:val="-8"/>
        </w:rPr>
        <w:t xml:space="preserve"> </w:t>
      </w:r>
      <w:r>
        <w:rPr>
          <w:spacing w:val="-1"/>
        </w:rPr>
        <w:t>análisis</w:t>
      </w:r>
      <w:r>
        <w:rPr>
          <w:spacing w:val="-7"/>
        </w:rPr>
        <w:t xml:space="preserve"> </w:t>
      </w:r>
      <w:r>
        <w:t>comparativo</w:t>
      </w:r>
      <w:r>
        <w:rPr>
          <w:spacing w:val="-8"/>
        </w:rPr>
        <w:t xml:space="preserve"> </w:t>
      </w:r>
      <w:r>
        <w:t>con</w:t>
      </w:r>
      <w:r>
        <w:rPr>
          <w:spacing w:val="-8"/>
        </w:rPr>
        <w:t xml:space="preserve"> </w:t>
      </w:r>
      <w:r>
        <w:t>el</w:t>
      </w:r>
      <w:r>
        <w:rPr>
          <w:spacing w:val="-14"/>
        </w:rPr>
        <w:t xml:space="preserve"> </w:t>
      </w:r>
      <w:r>
        <w:t>último</w:t>
      </w:r>
      <w:r>
        <w:rPr>
          <w:spacing w:val="-8"/>
        </w:rPr>
        <w:t xml:space="preserve"> </w:t>
      </w:r>
      <w:r>
        <w:t>trimestre</w:t>
      </w:r>
      <w:r>
        <w:rPr>
          <w:spacing w:val="-8"/>
        </w:rPr>
        <w:t xml:space="preserve"> </w:t>
      </w:r>
      <w:r>
        <w:t>de</w:t>
      </w:r>
      <w:r>
        <w:rPr>
          <w:spacing w:val="-7"/>
        </w:rPr>
        <w:t xml:space="preserve"> </w:t>
      </w:r>
      <w:r>
        <w:t>2021,</w:t>
      </w:r>
      <w:r>
        <w:rPr>
          <w:spacing w:val="-11"/>
        </w:rPr>
        <w:t xml:space="preserve"> </w:t>
      </w:r>
      <w:r>
        <w:t>solo</w:t>
      </w:r>
      <w:r>
        <w:rPr>
          <w:spacing w:val="-3"/>
        </w:rPr>
        <w:t xml:space="preserve"> </w:t>
      </w:r>
      <w:r>
        <w:t>el</w:t>
      </w:r>
      <w:r>
        <w:rPr>
          <w:spacing w:val="-15"/>
        </w:rPr>
        <w:t xml:space="preserve"> </w:t>
      </w:r>
      <w:r>
        <w:t>7,9%</w:t>
      </w:r>
      <w:r>
        <w:rPr>
          <w:spacing w:val="-9"/>
        </w:rPr>
        <w:t xml:space="preserve"> </w:t>
      </w:r>
      <w:r>
        <w:t>de</w:t>
      </w:r>
      <w:r>
        <w:rPr>
          <w:spacing w:val="-3"/>
        </w:rPr>
        <w:t xml:space="preserve"> </w:t>
      </w:r>
      <w:r>
        <w:t>los</w:t>
      </w:r>
      <w:r>
        <w:rPr>
          <w:spacing w:val="5"/>
        </w:rPr>
        <w:t xml:space="preserve"> </w:t>
      </w:r>
      <w:r>
        <w:t>empresarios</w:t>
      </w:r>
      <w:r>
        <w:rPr>
          <w:spacing w:val="-59"/>
        </w:rPr>
        <w:t xml:space="preserve"> </w:t>
      </w:r>
      <w:proofErr w:type="spellStart"/>
      <w:r>
        <w:t>MiPyme</w:t>
      </w:r>
      <w:proofErr w:type="spellEnd"/>
      <w:r>
        <w:t xml:space="preserve"> manifestaban haber tenido aumentos en sus niveles de inversiones, cifra que se ha incrementado a</w:t>
      </w:r>
      <w:r>
        <w:rPr>
          <w:spacing w:val="1"/>
        </w:rPr>
        <w:t xml:space="preserve"> </w:t>
      </w:r>
      <w:r>
        <w:t>un</w:t>
      </w:r>
      <w:r>
        <w:rPr>
          <w:spacing w:val="-1"/>
        </w:rPr>
        <w:t xml:space="preserve"> </w:t>
      </w:r>
      <w:r>
        <w:t>13,2%</w:t>
      </w:r>
      <w:r>
        <w:rPr>
          <w:spacing w:val="-1"/>
        </w:rPr>
        <w:t xml:space="preserve"> </w:t>
      </w:r>
      <w:r>
        <w:t>(5.3 p.p.</w:t>
      </w:r>
      <w:r>
        <w:rPr>
          <w:spacing w:val="-3"/>
        </w:rPr>
        <w:t xml:space="preserve"> </w:t>
      </w:r>
      <w:r>
        <w:t>más)…”</w:t>
      </w:r>
    </w:p>
    <w:p w14:paraId="00D15FBE" w14:textId="77777777" w:rsidR="00950925" w:rsidRDefault="00950925" w:rsidP="00950925">
      <w:pPr>
        <w:pStyle w:val="TableParagraph"/>
      </w:pPr>
    </w:p>
    <w:p w14:paraId="7B529C2A" w14:textId="77777777" w:rsidR="00950925" w:rsidRDefault="00950925" w:rsidP="00950925">
      <w:pPr>
        <w:pStyle w:val="TableParagraph"/>
        <w:spacing w:before="1"/>
        <w:ind w:left="22"/>
        <w:rPr>
          <w:b/>
        </w:rPr>
      </w:pPr>
      <w:r>
        <w:rPr>
          <w:b/>
        </w:rPr>
        <w:t>“…D)</w:t>
      </w:r>
      <w:r>
        <w:rPr>
          <w:b/>
          <w:spacing w:val="-6"/>
        </w:rPr>
        <w:t xml:space="preserve"> </w:t>
      </w:r>
      <w:r>
        <w:rPr>
          <w:b/>
        </w:rPr>
        <w:t>Rentabilidad</w:t>
      </w:r>
    </w:p>
    <w:p w14:paraId="2B3DF48A" w14:textId="77777777" w:rsidR="00950925" w:rsidRDefault="00950925" w:rsidP="00950925">
      <w:pPr>
        <w:pStyle w:val="TableParagraph"/>
        <w:spacing w:before="9"/>
        <w:rPr>
          <w:sz w:val="21"/>
        </w:rPr>
      </w:pPr>
    </w:p>
    <w:p w14:paraId="02DB2C20" w14:textId="1D0BB3F4" w:rsidR="00950925" w:rsidRDefault="00950925" w:rsidP="00950925">
      <w:pPr>
        <w:pStyle w:val="TableParagraph"/>
        <w:ind w:left="22" w:right="39"/>
        <w:jc w:val="both"/>
      </w:pPr>
      <w:r>
        <w:rPr>
          <w:spacing w:val="-1"/>
        </w:rPr>
        <w:t>En</w:t>
      </w:r>
      <w:r>
        <w:rPr>
          <w:spacing w:val="-9"/>
        </w:rPr>
        <w:t xml:space="preserve"> </w:t>
      </w:r>
      <w:r>
        <w:rPr>
          <w:spacing w:val="-1"/>
        </w:rPr>
        <w:t>este</w:t>
      </w:r>
      <w:r>
        <w:rPr>
          <w:spacing w:val="-12"/>
        </w:rPr>
        <w:t xml:space="preserve"> </w:t>
      </w:r>
      <w:r>
        <w:rPr>
          <w:spacing w:val="-1"/>
        </w:rPr>
        <w:t>apartado,</w:t>
      </w:r>
      <w:r>
        <w:rPr>
          <w:spacing w:val="-11"/>
        </w:rPr>
        <w:t xml:space="preserve"> </w:t>
      </w:r>
      <w:r>
        <w:rPr>
          <w:spacing w:val="-1"/>
        </w:rPr>
        <w:t>se</w:t>
      </w:r>
      <w:r>
        <w:rPr>
          <w:spacing w:val="-12"/>
        </w:rPr>
        <w:t xml:space="preserve"> </w:t>
      </w:r>
      <w:r>
        <w:rPr>
          <w:spacing w:val="-1"/>
        </w:rPr>
        <w:t>consultó</w:t>
      </w:r>
      <w:r>
        <w:rPr>
          <w:spacing w:val="-9"/>
        </w:rPr>
        <w:t xml:space="preserve"> </w:t>
      </w:r>
      <w:r>
        <w:rPr>
          <w:spacing w:val="-1"/>
        </w:rPr>
        <w:t>a</w:t>
      </w:r>
      <w:r>
        <w:rPr>
          <w:spacing w:val="-8"/>
        </w:rPr>
        <w:t xml:space="preserve"> </w:t>
      </w:r>
      <w:r>
        <w:rPr>
          <w:spacing w:val="-1"/>
        </w:rPr>
        <w:t>los</w:t>
      </w:r>
      <w:r>
        <w:rPr>
          <w:spacing w:val="-8"/>
        </w:rPr>
        <w:t xml:space="preserve"> </w:t>
      </w:r>
      <w:r>
        <w:rPr>
          <w:spacing w:val="-1"/>
        </w:rPr>
        <w:t>encuestados</w:t>
      </w:r>
      <w:r>
        <w:rPr>
          <w:spacing w:val="-8"/>
        </w:rPr>
        <w:t xml:space="preserve"> </w:t>
      </w:r>
      <w:r>
        <w:rPr>
          <w:spacing w:val="-1"/>
        </w:rPr>
        <w:t>que</w:t>
      </w:r>
      <w:r>
        <w:rPr>
          <w:spacing w:val="-9"/>
        </w:rPr>
        <w:t xml:space="preserve"> </w:t>
      </w:r>
      <w:r>
        <w:t>identificaran</w:t>
      </w:r>
      <w:r>
        <w:rPr>
          <w:spacing w:val="-8"/>
        </w:rPr>
        <w:t xml:space="preserve"> </w:t>
      </w:r>
      <w:r>
        <w:t>el</w:t>
      </w:r>
      <w:r>
        <w:rPr>
          <w:spacing w:val="-15"/>
        </w:rPr>
        <w:t xml:space="preserve"> </w:t>
      </w:r>
      <w:r>
        <w:t>comportamiento</w:t>
      </w:r>
      <w:r>
        <w:rPr>
          <w:spacing w:val="-8"/>
        </w:rPr>
        <w:t xml:space="preserve"> </w:t>
      </w:r>
      <w:r>
        <w:t>respecto</w:t>
      </w:r>
      <w:r>
        <w:rPr>
          <w:spacing w:val="3"/>
        </w:rPr>
        <w:t xml:space="preserve"> </w:t>
      </w:r>
      <w:r>
        <w:t>a</w:t>
      </w:r>
      <w:r>
        <w:rPr>
          <w:spacing w:val="-8"/>
        </w:rPr>
        <w:t xml:space="preserve"> </w:t>
      </w:r>
      <w:r>
        <w:t>la</w:t>
      </w:r>
      <w:r>
        <w:rPr>
          <w:spacing w:val="-8"/>
        </w:rPr>
        <w:t xml:space="preserve"> </w:t>
      </w:r>
      <w:r>
        <w:t>rentabilidad</w:t>
      </w:r>
      <w:r>
        <w:rPr>
          <w:spacing w:val="-59"/>
        </w:rPr>
        <w:t xml:space="preserve"> </w:t>
      </w:r>
      <w:r>
        <w:t>de sus operaciones. Con esta medición, se obtuvo que, para el cuarto trimestre de 2022, el 47,7% de los</w:t>
      </w:r>
      <w:r>
        <w:rPr>
          <w:spacing w:val="1"/>
        </w:rPr>
        <w:t xml:space="preserve"> </w:t>
      </w:r>
      <w:r>
        <w:t>empresarios</w:t>
      </w:r>
      <w:r>
        <w:rPr>
          <w:spacing w:val="-6"/>
        </w:rPr>
        <w:t xml:space="preserve"> </w:t>
      </w:r>
      <w:r>
        <w:t>disminuyeron</w:t>
      </w:r>
      <w:r>
        <w:rPr>
          <w:spacing w:val="-6"/>
        </w:rPr>
        <w:t xml:space="preserve"> </w:t>
      </w:r>
      <w:r>
        <w:t>sus</w:t>
      </w:r>
      <w:r>
        <w:rPr>
          <w:spacing w:val="-5"/>
        </w:rPr>
        <w:t xml:space="preserve"> </w:t>
      </w:r>
      <w:r>
        <w:t>niveles</w:t>
      </w:r>
      <w:r>
        <w:rPr>
          <w:spacing w:val="-6"/>
        </w:rPr>
        <w:t xml:space="preserve"> </w:t>
      </w:r>
      <w:r>
        <w:t>de</w:t>
      </w:r>
      <w:r>
        <w:rPr>
          <w:spacing w:val="-5"/>
        </w:rPr>
        <w:t xml:space="preserve"> </w:t>
      </w:r>
      <w:r>
        <w:t>rentabilidad,</w:t>
      </w:r>
      <w:r>
        <w:rPr>
          <w:spacing w:val="-9"/>
        </w:rPr>
        <w:t xml:space="preserve"> </w:t>
      </w:r>
      <w:r>
        <w:t>mientras</w:t>
      </w:r>
      <w:r>
        <w:rPr>
          <w:spacing w:val="-5"/>
        </w:rPr>
        <w:t xml:space="preserve"> </w:t>
      </w:r>
      <w:r>
        <w:t>que,</w:t>
      </w:r>
      <w:r>
        <w:rPr>
          <w:spacing w:val="-9"/>
        </w:rPr>
        <w:t xml:space="preserve"> </w:t>
      </w:r>
      <w:r>
        <w:t>el</w:t>
      </w:r>
      <w:r>
        <w:rPr>
          <w:spacing w:val="-7"/>
        </w:rPr>
        <w:t xml:space="preserve"> </w:t>
      </w:r>
      <w:r>
        <w:t>37,7%</w:t>
      </w:r>
      <w:r>
        <w:rPr>
          <w:spacing w:val="-7"/>
        </w:rPr>
        <w:t xml:space="preserve"> </w:t>
      </w:r>
      <w:r>
        <w:t>manifestó</w:t>
      </w:r>
      <w:r>
        <w:rPr>
          <w:spacing w:val="-5"/>
        </w:rPr>
        <w:t xml:space="preserve"> </w:t>
      </w:r>
      <w:r>
        <w:t>que</w:t>
      </w:r>
      <w:r>
        <w:rPr>
          <w:spacing w:val="-6"/>
        </w:rPr>
        <w:t xml:space="preserve"> </w:t>
      </w:r>
      <w:r>
        <w:t>esta</w:t>
      </w:r>
      <w:r>
        <w:rPr>
          <w:spacing w:val="-5"/>
        </w:rPr>
        <w:t xml:space="preserve"> </w:t>
      </w:r>
      <w:r>
        <w:t>se</w:t>
      </w:r>
      <w:r>
        <w:rPr>
          <w:spacing w:val="-6"/>
        </w:rPr>
        <w:t xml:space="preserve"> </w:t>
      </w:r>
      <w:r>
        <w:t>mantuvo</w:t>
      </w:r>
      <w:r>
        <w:rPr>
          <w:spacing w:val="-59"/>
        </w:rPr>
        <w:t xml:space="preserve"> </w:t>
      </w:r>
      <w:r>
        <w:t>y</w:t>
      </w:r>
      <w:r>
        <w:rPr>
          <w:spacing w:val="-5"/>
        </w:rPr>
        <w:t xml:space="preserve"> </w:t>
      </w:r>
      <w:r>
        <w:t>solo el</w:t>
      </w:r>
      <w:r>
        <w:rPr>
          <w:spacing w:val="-6"/>
        </w:rPr>
        <w:t xml:space="preserve"> </w:t>
      </w:r>
      <w:r>
        <w:t>14,6%</w:t>
      </w:r>
      <w:r>
        <w:rPr>
          <w:spacing w:val="-1"/>
        </w:rPr>
        <w:t xml:space="preserve"> </w:t>
      </w:r>
      <w:r>
        <w:t>indicó haber</w:t>
      </w:r>
      <w:r>
        <w:rPr>
          <w:spacing w:val="-3"/>
        </w:rPr>
        <w:t xml:space="preserve"> </w:t>
      </w:r>
      <w:r>
        <w:t>aumentado este indicador.</w:t>
      </w:r>
    </w:p>
    <w:p w14:paraId="2D3880DF" w14:textId="77777777" w:rsidR="00950925" w:rsidRDefault="00950925" w:rsidP="00950925">
      <w:pPr>
        <w:pStyle w:val="TableParagraph"/>
        <w:spacing w:before="11"/>
        <w:rPr>
          <w:sz w:val="21"/>
        </w:rPr>
      </w:pPr>
    </w:p>
    <w:p w14:paraId="6BB4BC29" w14:textId="4E9B7F13" w:rsidR="00950925" w:rsidRDefault="00950925" w:rsidP="00950925">
      <w:pPr>
        <w:pStyle w:val="TableParagraph"/>
        <w:ind w:left="22" w:right="40"/>
        <w:jc w:val="both"/>
      </w:pPr>
      <w:r>
        <w:t>Para conocer el impacto de este indicador, se realiza una comparación con el trimestre inmediatamente</w:t>
      </w:r>
      <w:r>
        <w:rPr>
          <w:spacing w:val="1"/>
        </w:rPr>
        <w:t xml:space="preserve"> </w:t>
      </w:r>
      <w:r>
        <w:t>anterior, donde se identificó que, la rentabilidad en las operaciones presentó una mayor percepción de</w:t>
      </w:r>
      <w:r>
        <w:rPr>
          <w:spacing w:val="1"/>
        </w:rPr>
        <w:t xml:space="preserve"> </w:t>
      </w:r>
      <w:r>
        <w:t>disminución, tal que, un 43,3% de gerentes de micro, pequeñas y medianas empresas establecieron haber</w:t>
      </w:r>
      <w:r>
        <w:rPr>
          <w:spacing w:val="1"/>
        </w:rPr>
        <w:t xml:space="preserve"> </w:t>
      </w:r>
      <w:r>
        <w:t>tenido disminuciones en este indicador en el tercer trimestre de 2022, cifra</w:t>
      </w:r>
      <w:r>
        <w:rPr>
          <w:spacing w:val="1"/>
        </w:rPr>
        <w:t xml:space="preserve"> </w:t>
      </w:r>
      <w:r>
        <w:t>que aumentó en 4.4 p.p.,</w:t>
      </w:r>
      <w:r>
        <w:rPr>
          <w:spacing w:val="1"/>
        </w:rPr>
        <w:t xml:space="preserve"> </w:t>
      </w:r>
      <w:r>
        <w:t>posicionándose</w:t>
      </w:r>
      <w:r>
        <w:rPr>
          <w:spacing w:val="-1"/>
        </w:rPr>
        <w:t xml:space="preserve"> </w:t>
      </w:r>
      <w:r>
        <w:t>en 47,7%</w:t>
      </w:r>
      <w:r>
        <w:rPr>
          <w:spacing w:val="-1"/>
        </w:rPr>
        <w:t xml:space="preserve"> </w:t>
      </w:r>
      <w:r>
        <w:t>en el</w:t>
      </w:r>
      <w:r>
        <w:rPr>
          <w:spacing w:val="-6"/>
        </w:rPr>
        <w:t xml:space="preserve"> </w:t>
      </w:r>
      <w:r>
        <w:t>periodo</w:t>
      </w:r>
      <w:r>
        <w:rPr>
          <w:spacing w:val="-1"/>
        </w:rPr>
        <w:t xml:space="preserve"> </w:t>
      </w:r>
      <w:r>
        <w:t>de estudio.</w:t>
      </w:r>
    </w:p>
    <w:p w14:paraId="3BDC53A7" w14:textId="5F15ED18" w:rsidR="00950925" w:rsidRDefault="00950925" w:rsidP="00950925">
      <w:pPr>
        <w:pStyle w:val="TableParagraph"/>
        <w:jc w:val="both"/>
      </w:pPr>
    </w:p>
    <w:p w14:paraId="0F70B982" w14:textId="20DBDE6F" w:rsidR="00950925" w:rsidRDefault="00950925" w:rsidP="00950925">
      <w:pPr>
        <w:pStyle w:val="TableParagraph"/>
        <w:spacing w:before="1"/>
        <w:ind w:left="22" w:right="35"/>
        <w:jc w:val="both"/>
      </w:pPr>
      <w:r>
        <w:t>En relación a este indicador, es preocupante que sea el mayor representante de empresarios que indicaron</w:t>
      </w:r>
      <w:r>
        <w:rPr>
          <w:spacing w:val="1"/>
        </w:rPr>
        <w:t xml:space="preserve"> </w:t>
      </w:r>
      <w:r>
        <w:t>tener disminuciones en los indicadores fundamentales de desempeño empresarial en el cuarto trimestre de</w:t>
      </w:r>
      <w:r>
        <w:rPr>
          <w:spacing w:val="1"/>
        </w:rPr>
        <w:t xml:space="preserve"> </w:t>
      </w:r>
      <w:r>
        <w:t>2022,</w:t>
      </w:r>
      <w:r>
        <w:rPr>
          <w:spacing w:val="-9"/>
        </w:rPr>
        <w:t xml:space="preserve"> </w:t>
      </w:r>
      <w:r>
        <w:t>pues,</w:t>
      </w:r>
      <w:r>
        <w:rPr>
          <w:spacing w:val="-9"/>
        </w:rPr>
        <w:t xml:space="preserve"> </w:t>
      </w:r>
      <w:r>
        <w:t>esta</w:t>
      </w:r>
      <w:r>
        <w:rPr>
          <w:spacing w:val="-5"/>
        </w:rPr>
        <w:t xml:space="preserve"> </w:t>
      </w:r>
      <w:r>
        <w:t>permite</w:t>
      </w:r>
      <w:r>
        <w:rPr>
          <w:spacing w:val="-6"/>
        </w:rPr>
        <w:t xml:space="preserve"> </w:t>
      </w:r>
      <w:r>
        <w:t>tener</w:t>
      </w:r>
      <w:r>
        <w:rPr>
          <w:spacing w:val="-9"/>
        </w:rPr>
        <w:t xml:space="preserve"> </w:t>
      </w:r>
      <w:r>
        <w:t>una</w:t>
      </w:r>
      <w:r>
        <w:rPr>
          <w:spacing w:val="-5"/>
        </w:rPr>
        <w:t xml:space="preserve"> </w:t>
      </w:r>
      <w:r>
        <w:t>perspectiva</w:t>
      </w:r>
      <w:r>
        <w:rPr>
          <w:spacing w:val="-6"/>
        </w:rPr>
        <w:t xml:space="preserve"> </w:t>
      </w:r>
      <w:r>
        <w:t>de</w:t>
      </w:r>
      <w:r>
        <w:rPr>
          <w:spacing w:val="-6"/>
        </w:rPr>
        <w:t xml:space="preserve"> </w:t>
      </w:r>
      <w:r>
        <w:t>lo</w:t>
      </w:r>
      <w:r>
        <w:rPr>
          <w:spacing w:val="-5"/>
        </w:rPr>
        <w:t xml:space="preserve"> </w:t>
      </w:r>
      <w:r>
        <w:t>productivo</w:t>
      </w:r>
      <w:r>
        <w:rPr>
          <w:spacing w:val="-6"/>
        </w:rPr>
        <w:t xml:space="preserve"> </w:t>
      </w:r>
      <w:r>
        <w:t>en</w:t>
      </w:r>
      <w:r>
        <w:rPr>
          <w:spacing w:val="-6"/>
        </w:rPr>
        <w:t xml:space="preserve"> </w:t>
      </w:r>
      <w:r>
        <w:t>termino</w:t>
      </w:r>
      <w:r>
        <w:rPr>
          <w:spacing w:val="-5"/>
        </w:rPr>
        <w:t xml:space="preserve"> </w:t>
      </w:r>
      <w:r>
        <w:t>de</w:t>
      </w:r>
      <w:r>
        <w:rPr>
          <w:spacing w:val="-6"/>
        </w:rPr>
        <w:t xml:space="preserve"> </w:t>
      </w:r>
      <w:r>
        <w:t>beneficios</w:t>
      </w:r>
      <w:r>
        <w:rPr>
          <w:spacing w:val="-6"/>
        </w:rPr>
        <w:t xml:space="preserve"> </w:t>
      </w:r>
      <w:r>
        <w:t>que</w:t>
      </w:r>
      <w:r>
        <w:rPr>
          <w:spacing w:val="-6"/>
        </w:rPr>
        <w:t xml:space="preserve"> </w:t>
      </w:r>
      <w:r>
        <w:t>están</w:t>
      </w:r>
      <w:r>
        <w:rPr>
          <w:spacing w:val="-5"/>
        </w:rPr>
        <w:t xml:space="preserve"> </w:t>
      </w:r>
      <w:r>
        <w:t>siendo</w:t>
      </w:r>
      <w:r>
        <w:rPr>
          <w:spacing w:val="-6"/>
        </w:rPr>
        <w:t xml:space="preserve"> </w:t>
      </w:r>
      <w:r>
        <w:t>los</w:t>
      </w:r>
      <w:r>
        <w:rPr>
          <w:spacing w:val="-59"/>
        </w:rPr>
        <w:t xml:space="preserve"> </w:t>
      </w:r>
      <w:r>
        <w:t>empresarios</w:t>
      </w:r>
      <w:r>
        <w:rPr>
          <w:spacing w:val="-1"/>
        </w:rPr>
        <w:t xml:space="preserve"> </w:t>
      </w:r>
      <w:r>
        <w:t>para poder</w:t>
      </w:r>
      <w:r>
        <w:rPr>
          <w:spacing w:val="-3"/>
        </w:rPr>
        <w:t xml:space="preserve"> </w:t>
      </w:r>
      <w:r>
        <w:t>crecer</w:t>
      </w:r>
      <w:r>
        <w:rPr>
          <w:spacing w:val="-3"/>
        </w:rPr>
        <w:t xml:space="preserve"> </w:t>
      </w:r>
      <w:r>
        <w:t>o</w:t>
      </w:r>
      <w:r>
        <w:rPr>
          <w:spacing w:val="-1"/>
        </w:rPr>
        <w:t xml:space="preserve"> </w:t>
      </w:r>
      <w:r>
        <w:t>sostener</w:t>
      </w:r>
      <w:r>
        <w:rPr>
          <w:spacing w:val="-3"/>
        </w:rPr>
        <w:t xml:space="preserve"> </w:t>
      </w:r>
      <w:r>
        <w:t>su organización…”</w:t>
      </w:r>
    </w:p>
    <w:p w14:paraId="728969C5" w14:textId="77777777" w:rsidR="00950925" w:rsidRDefault="00950925" w:rsidP="00950925">
      <w:pPr>
        <w:pStyle w:val="TableParagraph"/>
        <w:spacing w:before="10"/>
        <w:rPr>
          <w:sz w:val="21"/>
        </w:rPr>
      </w:pPr>
    </w:p>
    <w:p w14:paraId="1CAB9797" w14:textId="77777777" w:rsidR="00950925" w:rsidRDefault="00950925" w:rsidP="00950925">
      <w:pPr>
        <w:pStyle w:val="TableParagraph"/>
        <w:ind w:left="22"/>
        <w:rPr>
          <w:b/>
        </w:rPr>
      </w:pPr>
      <w:r>
        <w:rPr>
          <w:b/>
        </w:rPr>
        <w:t>“…E)</w:t>
      </w:r>
      <w:r>
        <w:rPr>
          <w:b/>
          <w:spacing w:val="-3"/>
        </w:rPr>
        <w:t xml:space="preserve"> </w:t>
      </w:r>
      <w:r>
        <w:rPr>
          <w:b/>
        </w:rPr>
        <w:t>Cuota</w:t>
      </w:r>
      <w:r>
        <w:rPr>
          <w:b/>
          <w:spacing w:val="-4"/>
        </w:rPr>
        <w:t xml:space="preserve"> </w:t>
      </w:r>
      <w:r>
        <w:rPr>
          <w:b/>
        </w:rPr>
        <w:t>de mercado</w:t>
      </w:r>
    </w:p>
    <w:p w14:paraId="7DE33A6B" w14:textId="77777777" w:rsidR="00950925" w:rsidRDefault="00950925" w:rsidP="00950925">
      <w:pPr>
        <w:pStyle w:val="TableParagraph"/>
        <w:spacing w:before="10"/>
        <w:rPr>
          <w:sz w:val="21"/>
        </w:rPr>
      </w:pPr>
    </w:p>
    <w:p w14:paraId="11450E6A" w14:textId="77777777" w:rsidR="00950925" w:rsidRDefault="00950925" w:rsidP="00950925">
      <w:pPr>
        <w:pStyle w:val="TableParagraph"/>
        <w:ind w:left="22" w:right="42"/>
        <w:jc w:val="both"/>
      </w:pPr>
      <w:r>
        <w:t>La cuota de mercado, es un indicador importante en el posicionamiento de los bienes o servicios en cuanto a</w:t>
      </w:r>
      <w:r>
        <w:rPr>
          <w:spacing w:val="-59"/>
        </w:rPr>
        <w:t xml:space="preserve"> </w:t>
      </w:r>
      <w:r>
        <w:t>las ventas que una empresa ha tenido. En este sentido, el 36.4% de los empresarios aseguran que este</w:t>
      </w:r>
      <w:r>
        <w:rPr>
          <w:spacing w:val="1"/>
        </w:rPr>
        <w:t xml:space="preserve"> </w:t>
      </w:r>
      <w:r>
        <w:t>indicador</w:t>
      </w:r>
      <w:r>
        <w:rPr>
          <w:spacing w:val="-8"/>
        </w:rPr>
        <w:t xml:space="preserve"> </w:t>
      </w:r>
      <w:r>
        <w:t>para</w:t>
      </w:r>
      <w:r>
        <w:rPr>
          <w:spacing w:val="-9"/>
        </w:rPr>
        <w:t xml:space="preserve"> </w:t>
      </w:r>
      <w:r>
        <w:t>el</w:t>
      </w:r>
      <w:r>
        <w:rPr>
          <w:spacing w:val="-10"/>
        </w:rPr>
        <w:t xml:space="preserve"> </w:t>
      </w:r>
      <w:r>
        <w:t>cuarto</w:t>
      </w:r>
      <w:r>
        <w:rPr>
          <w:spacing w:val="-5"/>
        </w:rPr>
        <w:t xml:space="preserve"> </w:t>
      </w:r>
      <w:r>
        <w:t>trimestre</w:t>
      </w:r>
      <w:r>
        <w:rPr>
          <w:spacing w:val="-5"/>
        </w:rPr>
        <w:t xml:space="preserve"> </w:t>
      </w:r>
      <w:r>
        <w:t>disminuyó,</w:t>
      </w:r>
      <w:r>
        <w:rPr>
          <w:spacing w:val="-7"/>
        </w:rPr>
        <w:t xml:space="preserve"> </w:t>
      </w:r>
      <w:r>
        <w:t>para</w:t>
      </w:r>
      <w:r>
        <w:rPr>
          <w:spacing w:val="-5"/>
        </w:rPr>
        <w:t xml:space="preserve"> </w:t>
      </w:r>
      <w:r>
        <w:t>el</w:t>
      </w:r>
      <w:r>
        <w:rPr>
          <w:spacing w:val="-11"/>
        </w:rPr>
        <w:t xml:space="preserve"> </w:t>
      </w:r>
      <w:r>
        <w:t>43,7%</w:t>
      </w:r>
      <w:r>
        <w:rPr>
          <w:spacing w:val="-6"/>
        </w:rPr>
        <w:t xml:space="preserve"> </w:t>
      </w:r>
      <w:r>
        <w:t>se</w:t>
      </w:r>
      <w:r>
        <w:rPr>
          <w:spacing w:val="-8"/>
        </w:rPr>
        <w:t xml:space="preserve"> </w:t>
      </w:r>
      <w:r>
        <w:t>mantuvo</w:t>
      </w:r>
      <w:r>
        <w:rPr>
          <w:spacing w:val="-5"/>
        </w:rPr>
        <w:t xml:space="preserve"> </w:t>
      </w:r>
      <w:r>
        <w:t>y</w:t>
      </w:r>
      <w:r>
        <w:rPr>
          <w:spacing w:val="-8"/>
        </w:rPr>
        <w:t xml:space="preserve"> </w:t>
      </w:r>
      <w:r>
        <w:t>el</w:t>
      </w:r>
      <w:r>
        <w:rPr>
          <w:spacing w:val="-10"/>
        </w:rPr>
        <w:t xml:space="preserve"> </w:t>
      </w:r>
      <w:r>
        <w:t>19.9%</w:t>
      </w:r>
      <w:r>
        <w:rPr>
          <w:spacing w:val="-6"/>
        </w:rPr>
        <w:t xml:space="preserve"> </w:t>
      </w:r>
      <w:r>
        <w:t>indicó</w:t>
      </w:r>
      <w:r>
        <w:rPr>
          <w:spacing w:val="-5"/>
        </w:rPr>
        <w:t xml:space="preserve"> </w:t>
      </w:r>
      <w:r>
        <w:t>que</w:t>
      </w:r>
      <w:r>
        <w:rPr>
          <w:spacing w:val="-4"/>
        </w:rPr>
        <w:t xml:space="preserve"> </w:t>
      </w:r>
      <w:r>
        <w:t>[SIC]</w:t>
      </w:r>
      <w:r>
        <w:rPr>
          <w:spacing w:val="-8"/>
        </w:rPr>
        <w:t xml:space="preserve"> </w:t>
      </w:r>
      <w:r>
        <w:t>disminuyó.</w:t>
      </w:r>
    </w:p>
    <w:p w14:paraId="2146AF95" w14:textId="77777777" w:rsidR="00950925" w:rsidRDefault="00950925" w:rsidP="00950925">
      <w:pPr>
        <w:pStyle w:val="TableParagraph"/>
      </w:pPr>
    </w:p>
    <w:p w14:paraId="2FCAAE03" w14:textId="12FB4200" w:rsidR="00950925" w:rsidRDefault="00950925" w:rsidP="00950925">
      <w:pPr>
        <w:pStyle w:val="TableParagraph"/>
        <w:spacing w:line="242" w:lineRule="auto"/>
        <w:ind w:left="22" w:right="40"/>
        <w:jc w:val="both"/>
      </w:pPr>
      <w:r>
        <w:t>Al analizar esos resultados con el trimestre anterior (tercer trimestre de 2022), donde el 34,1% señaló una</w:t>
      </w:r>
      <w:r>
        <w:rPr>
          <w:spacing w:val="1"/>
        </w:rPr>
        <w:t xml:space="preserve"> </w:t>
      </w:r>
      <w:r>
        <w:t>disminución,</w:t>
      </w:r>
      <w:r>
        <w:rPr>
          <w:spacing w:val="-4"/>
        </w:rPr>
        <w:t xml:space="preserve"> </w:t>
      </w:r>
      <w:r>
        <w:t>para el</w:t>
      </w:r>
      <w:r>
        <w:rPr>
          <w:spacing w:val="-6"/>
        </w:rPr>
        <w:t xml:space="preserve"> </w:t>
      </w:r>
      <w:r>
        <w:t>48,5%</w:t>
      </w:r>
      <w:r>
        <w:rPr>
          <w:spacing w:val="-1"/>
        </w:rPr>
        <w:t xml:space="preserve"> </w:t>
      </w:r>
      <w:r>
        <w:t>se</w:t>
      </w:r>
      <w:r>
        <w:rPr>
          <w:spacing w:val="-4"/>
        </w:rPr>
        <w:t xml:space="preserve"> </w:t>
      </w:r>
      <w:r>
        <w:t>mantuvo y</w:t>
      </w:r>
      <w:r>
        <w:rPr>
          <w:spacing w:val="-4"/>
        </w:rPr>
        <w:t xml:space="preserve"> </w:t>
      </w:r>
      <w:r>
        <w:t>el</w:t>
      </w:r>
      <w:r>
        <w:rPr>
          <w:spacing w:val="-6"/>
        </w:rPr>
        <w:t xml:space="preserve"> </w:t>
      </w:r>
      <w:r>
        <w:t>17,4%</w:t>
      </w:r>
      <w:r>
        <w:rPr>
          <w:spacing w:val="-1"/>
        </w:rPr>
        <w:t xml:space="preserve"> </w:t>
      </w:r>
      <w:r>
        <w:t>aseveró un aumento.</w:t>
      </w:r>
    </w:p>
    <w:p w14:paraId="0D827C7D" w14:textId="77777777" w:rsidR="00950925" w:rsidRDefault="00950925" w:rsidP="00950925">
      <w:pPr>
        <w:pStyle w:val="TableParagraph"/>
        <w:spacing w:before="8"/>
        <w:rPr>
          <w:sz w:val="21"/>
        </w:rPr>
      </w:pPr>
    </w:p>
    <w:p w14:paraId="61EE8141" w14:textId="74ED62E5" w:rsidR="00950925" w:rsidRDefault="00950925" w:rsidP="00950925">
      <w:pPr>
        <w:pStyle w:val="TableParagraph"/>
        <w:ind w:left="22" w:right="47"/>
        <w:jc w:val="both"/>
      </w:pPr>
      <w:r>
        <w:t>Estas</w:t>
      </w:r>
      <w:r>
        <w:rPr>
          <w:spacing w:val="-7"/>
        </w:rPr>
        <w:t xml:space="preserve"> </w:t>
      </w:r>
      <w:r>
        <w:t>cifras</w:t>
      </w:r>
      <w:r>
        <w:rPr>
          <w:spacing w:val="-2"/>
        </w:rPr>
        <w:t xml:space="preserve"> </w:t>
      </w:r>
      <w:r>
        <w:t>nos</w:t>
      </w:r>
      <w:r>
        <w:rPr>
          <w:spacing w:val="-3"/>
        </w:rPr>
        <w:t xml:space="preserve"> </w:t>
      </w:r>
      <w:r>
        <w:t>indican</w:t>
      </w:r>
      <w:r>
        <w:rPr>
          <w:spacing w:val="-3"/>
        </w:rPr>
        <w:t xml:space="preserve"> </w:t>
      </w:r>
      <w:r>
        <w:t>que,</w:t>
      </w:r>
      <w:r>
        <w:rPr>
          <w:spacing w:val="-5"/>
        </w:rPr>
        <w:t xml:space="preserve"> </w:t>
      </w:r>
      <w:r>
        <w:t>este</w:t>
      </w:r>
      <w:r>
        <w:rPr>
          <w:spacing w:val="-3"/>
        </w:rPr>
        <w:t xml:space="preserve"> </w:t>
      </w:r>
      <w:r>
        <w:t>indicador</w:t>
      </w:r>
      <w:r>
        <w:rPr>
          <w:spacing w:val="-5"/>
        </w:rPr>
        <w:t xml:space="preserve"> </w:t>
      </w:r>
      <w:r>
        <w:t>ha</w:t>
      </w:r>
      <w:r>
        <w:rPr>
          <w:spacing w:val="-3"/>
        </w:rPr>
        <w:t xml:space="preserve"> </w:t>
      </w:r>
      <w:r>
        <w:t>presentado</w:t>
      </w:r>
      <w:r>
        <w:rPr>
          <w:spacing w:val="-2"/>
        </w:rPr>
        <w:t xml:space="preserve"> </w:t>
      </w:r>
      <w:r>
        <w:t>leves</w:t>
      </w:r>
      <w:r>
        <w:rPr>
          <w:spacing w:val="-7"/>
        </w:rPr>
        <w:t xml:space="preserve"> </w:t>
      </w:r>
      <w:r>
        <w:t>variaciones</w:t>
      </w:r>
      <w:r>
        <w:rPr>
          <w:spacing w:val="-2"/>
        </w:rPr>
        <w:t xml:space="preserve"> </w:t>
      </w:r>
      <w:r>
        <w:t>respecto</w:t>
      </w:r>
      <w:r>
        <w:rPr>
          <w:spacing w:val="-3"/>
        </w:rPr>
        <w:t xml:space="preserve"> </w:t>
      </w:r>
      <w:r>
        <w:t>a</w:t>
      </w:r>
      <w:r>
        <w:rPr>
          <w:spacing w:val="-3"/>
        </w:rPr>
        <w:t xml:space="preserve"> </w:t>
      </w:r>
      <w:r>
        <w:t>su</w:t>
      </w:r>
      <w:r>
        <w:rPr>
          <w:spacing w:val="-2"/>
        </w:rPr>
        <w:t xml:space="preserve"> </w:t>
      </w:r>
      <w:r>
        <w:t>cartera</w:t>
      </w:r>
      <w:r>
        <w:rPr>
          <w:spacing w:val="-3"/>
        </w:rPr>
        <w:t xml:space="preserve"> </w:t>
      </w:r>
      <w:r>
        <w:t>de</w:t>
      </w:r>
      <w:r>
        <w:rPr>
          <w:spacing w:val="-2"/>
        </w:rPr>
        <w:t xml:space="preserve"> </w:t>
      </w:r>
      <w:r>
        <w:t>clientes</w:t>
      </w:r>
      <w:r>
        <w:rPr>
          <w:spacing w:val="-59"/>
        </w:rPr>
        <w:t xml:space="preserve"> </w:t>
      </w:r>
      <w:r>
        <w:t>a lo</w:t>
      </w:r>
      <w:r>
        <w:rPr>
          <w:spacing w:val="3"/>
        </w:rPr>
        <w:t xml:space="preserve"> </w:t>
      </w:r>
      <w:r>
        <w:t>largo del</w:t>
      </w:r>
      <w:r>
        <w:rPr>
          <w:spacing w:val="-6"/>
        </w:rPr>
        <w:t xml:space="preserve"> </w:t>
      </w:r>
      <w:r>
        <w:t>último semestre del</w:t>
      </w:r>
      <w:r>
        <w:rPr>
          <w:spacing w:val="-6"/>
        </w:rPr>
        <w:t xml:space="preserve"> </w:t>
      </w:r>
      <w:r>
        <w:t>2022…”</w:t>
      </w:r>
    </w:p>
    <w:p w14:paraId="15E17D26" w14:textId="77777777" w:rsidR="00950925" w:rsidRDefault="00950925" w:rsidP="00950925">
      <w:pPr>
        <w:pStyle w:val="TableParagraph"/>
        <w:spacing w:before="1"/>
      </w:pPr>
    </w:p>
    <w:p w14:paraId="068AC8D1" w14:textId="77777777" w:rsidR="00950925" w:rsidRDefault="00950925" w:rsidP="00950925">
      <w:pPr>
        <w:pStyle w:val="TableParagraph"/>
        <w:spacing w:before="1"/>
        <w:ind w:left="22"/>
        <w:rPr>
          <w:b/>
        </w:rPr>
      </w:pPr>
      <w:r>
        <w:rPr>
          <w:b/>
        </w:rPr>
        <w:t>“…F)</w:t>
      </w:r>
      <w:r>
        <w:rPr>
          <w:b/>
          <w:spacing w:val="-5"/>
        </w:rPr>
        <w:t xml:space="preserve"> </w:t>
      </w:r>
      <w:r>
        <w:rPr>
          <w:b/>
        </w:rPr>
        <w:t>Financiación</w:t>
      </w:r>
    </w:p>
    <w:p w14:paraId="15469B46" w14:textId="77777777" w:rsidR="00950925" w:rsidRDefault="00950925" w:rsidP="00950925">
      <w:pPr>
        <w:pStyle w:val="TableParagraph"/>
        <w:spacing w:before="9"/>
        <w:rPr>
          <w:sz w:val="21"/>
        </w:rPr>
      </w:pPr>
    </w:p>
    <w:p w14:paraId="64C4F5D0" w14:textId="69DCC48C" w:rsidR="00950925" w:rsidRDefault="00950925" w:rsidP="00950925">
      <w:pPr>
        <w:pStyle w:val="TableParagraph"/>
        <w:jc w:val="both"/>
      </w:pPr>
      <w:r>
        <w:t>Las fuentes de financiación juegan un papel importante para las inversiones realizadas durante el periodo de</w:t>
      </w:r>
      <w:r>
        <w:rPr>
          <w:spacing w:val="1"/>
        </w:rPr>
        <w:t xml:space="preserve"> </w:t>
      </w:r>
      <w:r>
        <w:t xml:space="preserve">estudio. Se les consultó a los empresarios </w:t>
      </w:r>
      <w:proofErr w:type="spellStart"/>
      <w:r>
        <w:t>MiPyme</w:t>
      </w:r>
      <w:proofErr w:type="spellEnd"/>
      <w:r>
        <w:t xml:space="preserve"> sobre el grado de importancia de diferentes fuentes</w:t>
      </w:r>
      <w:r>
        <w:rPr>
          <w:spacing w:val="1"/>
        </w:rPr>
        <w:t xml:space="preserve"> </w:t>
      </w:r>
      <w:r>
        <w:t>financieras, pudiendo obtener que, los recursos propios son importantes para el 62,2% de empresarios</w:t>
      </w:r>
      <w:r>
        <w:rPr>
          <w:spacing w:val="1"/>
        </w:rPr>
        <w:t xml:space="preserve"> </w:t>
      </w:r>
      <w:proofErr w:type="spellStart"/>
      <w:r>
        <w:t>MiPyme</w:t>
      </w:r>
      <w:proofErr w:type="spellEnd"/>
      <w:r>
        <w:t>.</w:t>
      </w:r>
    </w:p>
    <w:p w14:paraId="556D1EA7" w14:textId="563DC6CE" w:rsidR="00950925" w:rsidRDefault="00950925" w:rsidP="00950925">
      <w:pPr>
        <w:pStyle w:val="TableParagraph"/>
        <w:jc w:val="both"/>
      </w:pPr>
    </w:p>
    <w:p w14:paraId="759C0F26" w14:textId="46AEEAC3" w:rsidR="00950925" w:rsidRDefault="00950925" w:rsidP="00950925">
      <w:pPr>
        <w:pStyle w:val="TableParagraph"/>
        <w:tabs>
          <w:tab w:val="left" w:pos="817"/>
          <w:tab w:val="left" w:pos="2028"/>
          <w:tab w:val="left" w:pos="2503"/>
          <w:tab w:val="left" w:pos="3219"/>
        </w:tabs>
        <w:spacing w:line="252" w:lineRule="exact"/>
        <w:ind w:left="22"/>
        <w:rPr>
          <w:b/>
        </w:rPr>
      </w:pPr>
      <w:r>
        <w:rPr>
          <w:b/>
        </w:rPr>
        <w:t>“…G)</w:t>
      </w:r>
      <w:r>
        <w:rPr>
          <w:b/>
        </w:rPr>
        <w:tab/>
        <w:t>Indicador</w:t>
      </w:r>
      <w:r>
        <w:rPr>
          <w:b/>
        </w:rPr>
        <w:tab/>
        <w:t>de</w:t>
      </w:r>
      <w:r>
        <w:rPr>
          <w:b/>
        </w:rPr>
        <w:tab/>
        <w:t>nivel</w:t>
      </w:r>
      <w:r>
        <w:rPr>
          <w:b/>
        </w:rPr>
        <w:tab/>
        <w:t>de liquidez</w:t>
      </w:r>
    </w:p>
    <w:p w14:paraId="6F58B2B5" w14:textId="77777777" w:rsidR="00950925" w:rsidRDefault="00950925" w:rsidP="00950925">
      <w:pPr>
        <w:pStyle w:val="TableParagraph"/>
        <w:spacing w:before="4" w:line="252" w:lineRule="exact"/>
        <w:ind w:left="22"/>
        <w:jc w:val="both"/>
        <w:rPr>
          <w:sz w:val="16"/>
        </w:rPr>
      </w:pPr>
    </w:p>
    <w:p w14:paraId="2088A8AA" w14:textId="506A6F17" w:rsidR="00950925" w:rsidRDefault="00950925" w:rsidP="00950925">
      <w:pPr>
        <w:pStyle w:val="TableParagraph"/>
        <w:spacing w:before="4" w:line="252" w:lineRule="exact"/>
        <w:ind w:left="22"/>
        <w:jc w:val="both"/>
      </w:pPr>
      <w:r>
        <w:t>Durante</w:t>
      </w:r>
      <w:r>
        <w:rPr>
          <w:spacing w:val="63"/>
        </w:rPr>
        <w:t xml:space="preserve"> </w:t>
      </w:r>
      <w:r>
        <w:t>el</w:t>
      </w:r>
      <w:r>
        <w:rPr>
          <w:spacing w:val="116"/>
        </w:rPr>
        <w:t xml:space="preserve"> </w:t>
      </w:r>
      <w:r>
        <w:t xml:space="preserve">cuarto  </w:t>
      </w:r>
      <w:r>
        <w:rPr>
          <w:spacing w:val="1"/>
        </w:rPr>
        <w:t xml:space="preserve"> </w:t>
      </w:r>
      <w:r>
        <w:t>trimestre   del 2022, el 44,4% de los empresarios MiPymes encuestados respecto al nivel de liquidez, manifestaron que</w:t>
      </w:r>
      <w:r>
        <w:rPr>
          <w:spacing w:val="1"/>
        </w:rPr>
        <w:t xml:space="preserve"> </w:t>
      </w:r>
      <w:r>
        <w:t>destinan</w:t>
      </w:r>
      <w:r>
        <w:rPr>
          <w:spacing w:val="-10"/>
        </w:rPr>
        <w:t xml:space="preserve"> </w:t>
      </w:r>
      <w:r>
        <w:t>entre</w:t>
      </w:r>
      <w:r>
        <w:rPr>
          <w:spacing w:val="-5"/>
        </w:rPr>
        <w:t xml:space="preserve"> </w:t>
      </w:r>
      <w:r>
        <w:t>el</w:t>
      </w:r>
      <w:r>
        <w:rPr>
          <w:spacing w:val="-12"/>
        </w:rPr>
        <w:t xml:space="preserve"> </w:t>
      </w:r>
      <w:r>
        <w:t>31%</w:t>
      </w:r>
      <w:r>
        <w:rPr>
          <w:spacing w:val="-6"/>
        </w:rPr>
        <w:t xml:space="preserve"> </w:t>
      </w:r>
      <w:r>
        <w:t>y</w:t>
      </w:r>
      <w:r>
        <w:rPr>
          <w:spacing w:val="-9"/>
        </w:rPr>
        <w:t xml:space="preserve"> </w:t>
      </w:r>
      <w:r>
        <w:t>60%</w:t>
      </w:r>
      <w:r>
        <w:rPr>
          <w:spacing w:val="-6"/>
        </w:rPr>
        <w:t xml:space="preserve"> </w:t>
      </w:r>
      <w:r>
        <w:t>de</w:t>
      </w:r>
      <w:r>
        <w:rPr>
          <w:spacing w:val="-9"/>
        </w:rPr>
        <w:t xml:space="preserve"> </w:t>
      </w:r>
      <w:r>
        <w:t>sus</w:t>
      </w:r>
      <w:r>
        <w:rPr>
          <w:spacing w:val="-6"/>
        </w:rPr>
        <w:t xml:space="preserve"> </w:t>
      </w:r>
      <w:r>
        <w:t>ingresos</w:t>
      </w:r>
      <w:r>
        <w:rPr>
          <w:spacing w:val="-9"/>
        </w:rPr>
        <w:t xml:space="preserve"> </w:t>
      </w:r>
      <w:r>
        <w:t>al</w:t>
      </w:r>
      <w:r>
        <w:rPr>
          <w:spacing w:val="-12"/>
        </w:rPr>
        <w:t xml:space="preserve"> </w:t>
      </w:r>
      <w:r>
        <w:t>pago</w:t>
      </w:r>
      <w:r>
        <w:rPr>
          <w:spacing w:val="-9"/>
        </w:rPr>
        <w:t xml:space="preserve"> </w:t>
      </w:r>
      <w:r>
        <w:t>de</w:t>
      </w:r>
      <w:r>
        <w:rPr>
          <w:spacing w:val="-9"/>
        </w:rPr>
        <w:t xml:space="preserve"> </w:t>
      </w:r>
      <w:r>
        <w:t>deuda.</w:t>
      </w:r>
      <w:r>
        <w:rPr>
          <w:spacing w:val="-9"/>
        </w:rPr>
        <w:t xml:space="preserve"> </w:t>
      </w:r>
      <w:r>
        <w:t>Mientras</w:t>
      </w:r>
      <w:r>
        <w:rPr>
          <w:spacing w:val="-5"/>
        </w:rPr>
        <w:t xml:space="preserve"> </w:t>
      </w:r>
      <w:r>
        <w:t>que,</w:t>
      </w:r>
      <w:r>
        <w:rPr>
          <w:spacing w:val="-9"/>
        </w:rPr>
        <w:t xml:space="preserve"> </w:t>
      </w:r>
      <w:r>
        <w:t>solo</w:t>
      </w:r>
      <w:r>
        <w:rPr>
          <w:spacing w:val="-9"/>
        </w:rPr>
        <w:t xml:space="preserve"> </w:t>
      </w:r>
      <w:r>
        <w:t>el</w:t>
      </w:r>
      <w:r>
        <w:rPr>
          <w:spacing w:val="-11"/>
        </w:rPr>
        <w:t xml:space="preserve"> </w:t>
      </w:r>
      <w:r>
        <w:t>5,9%</w:t>
      </w:r>
      <w:r>
        <w:rPr>
          <w:spacing w:val="-7"/>
        </w:rPr>
        <w:t xml:space="preserve"> </w:t>
      </w:r>
      <w:r>
        <w:t>de</w:t>
      </w:r>
      <w:r>
        <w:rPr>
          <w:spacing w:val="-5"/>
        </w:rPr>
        <w:t xml:space="preserve"> </w:t>
      </w:r>
      <w:r>
        <w:t>los</w:t>
      </w:r>
      <w:r>
        <w:rPr>
          <w:spacing w:val="-6"/>
        </w:rPr>
        <w:t xml:space="preserve"> </w:t>
      </w:r>
      <w:r>
        <w:t>empresarios</w:t>
      </w:r>
      <w:r>
        <w:rPr>
          <w:spacing w:val="1"/>
        </w:rPr>
        <w:t xml:space="preserve"> </w:t>
      </w:r>
      <w:proofErr w:type="spellStart"/>
      <w:r>
        <w:rPr>
          <w:spacing w:val="-1"/>
        </w:rPr>
        <w:t>MiPyme</w:t>
      </w:r>
      <w:proofErr w:type="spellEnd"/>
      <w:r>
        <w:rPr>
          <w:spacing w:val="-9"/>
        </w:rPr>
        <w:t xml:space="preserve"> </w:t>
      </w:r>
      <w:r>
        <w:rPr>
          <w:spacing w:val="-1"/>
        </w:rPr>
        <w:t>consultados</w:t>
      </w:r>
      <w:r>
        <w:rPr>
          <w:spacing w:val="-12"/>
        </w:rPr>
        <w:t xml:space="preserve"> </w:t>
      </w:r>
      <w:r>
        <w:rPr>
          <w:spacing w:val="-1"/>
        </w:rPr>
        <w:t>manifestaron</w:t>
      </w:r>
      <w:r>
        <w:rPr>
          <w:spacing w:val="-12"/>
        </w:rPr>
        <w:t xml:space="preserve"> </w:t>
      </w:r>
      <w:r>
        <w:rPr>
          <w:spacing w:val="-1"/>
        </w:rPr>
        <w:t>que</w:t>
      </w:r>
      <w:r>
        <w:rPr>
          <w:spacing w:val="-12"/>
        </w:rPr>
        <w:t xml:space="preserve"> </w:t>
      </w:r>
      <w:r>
        <w:rPr>
          <w:spacing w:val="-1"/>
        </w:rPr>
        <w:t>ningún</w:t>
      </w:r>
      <w:r>
        <w:rPr>
          <w:spacing w:val="-8"/>
        </w:rPr>
        <w:t xml:space="preserve"> </w:t>
      </w:r>
      <w:r>
        <w:t>porcentaje</w:t>
      </w:r>
      <w:r>
        <w:rPr>
          <w:spacing w:val="-8"/>
        </w:rPr>
        <w:t xml:space="preserve"> </w:t>
      </w:r>
      <w:r>
        <w:t>de</w:t>
      </w:r>
      <w:r>
        <w:rPr>
          <w:spacing w:val="-8"/>
        </w:rPr>
        <w:t xml:space="preserve"> </w:t>
      </w:r>
      <w:r>
        <w:t>sus</w:t>
      </w:r>
      <w:r>
        <w:rPr>
          <w:spacing w:val="-12"/>
        </w:rPr>
        <w:t xml:space="preserve"> </w:t>
      </w:r>
      <w:r>
        <w:t>ingresos</w:t>
      </w:r>
      <w:r>
        <w:rPr>
          <w:spacing w:val="-9"/>
        </w:rPr>
        <w:t xml:space="preserve"> </w:t>
      </w:r>
      <w:r>
        <w:t>se</w:t>
      </w:r>
      <w:r>
        <w:rPr>
          <w:spacing w:val="-8"/>
        </w:rPr>
        <w:t xml:space="preserve"> </w:t>
      </w:r>
      <w:r>
        <w:t>destinaba</w:t>
      </w:r>
      <w:r>
        <w:rPr>
          <w:spacing w:val="-12"/>
        </w:rPr>
        <w:t xml:space="preserve"> </w:t>
      </w:r>
      <w:r>
        <w:t>al</w:t>
      </w:r>
      <w:r>
        <w:rPr>
          <w:spacing w:val="-15"/>
        </w:rPr>
        <w:t xml:space="preserve"> </w:t>
      </w:r>
      <w:r>
        <w:t>pago</w:t>
      </w:r>
      <w:r>
        <w:rPr>
          <w:spacing w:val="-12"/>
        </w:rPr>
        <w:t xml:space="preserve"> </w:t>
      </w:r>
      <w:r>
        <w:t>de</w:t>
      </w:r>
      <w:r>
        <w:rPr>
          <w:spacing w:val="5"/>
        </w:rPr>
        <w:t xml:space="preserve"> </w:t>
      </w:r>
      <w:r>
        <w:t>la</w:t>
      </w:r>
      <w:r>
        <w:rPr>
          <w:spacing w:val="-12"/>
        </w:rPr>
        <w:t xml:space="preserve"> </w:t>
      </w:r>
      <w:r>
        <w:t>misma…”</w:t>
      </w:r>
    </w:p>
    <w:p w14:paraId="1B00BA62" w14:textId="498FECDC" w:rsidR="00950925" w:rsidRDefault="00950925" w:rsidP="00950925">
      <w:pPr>
        <w:pStyle w:val="TableParagraph"/>
        <w:jc w:val="both"/>
      </w:pPr>
    </w:p>
    <w:p w14:paraId="61F12267" w14:textId="77777777" w:rsidR="00950925" w:rsidRDefault="00950925" w:rsidP="00950925">
      <w:pPr>
        <w:pStyle w:val="TableParagraph"/>
        <w:ind w:left="22"/>
        <w:rPr>
          <w:b/>
        </w:rPr>
      </w:pPr>
      <w:r>
        <w:rPr>
          <w:b/>
        </w:rPr>
        <w:t>“…H)</w:t>
      </w:r>
      <w:r>
        <w:rPr>
          <w:b/>
          <w:spacing w:val="-6"/>
        </w:rPr>
        <w:t xml:space="preserve"> </w:t>
      </w:r>
      <w:r>
        <w:rPr>
          <w:b/>
        </w:rPr>
        <w:t>Métodos</w:t>
      </w:r>
      <w:r>
        <w:rPr>
          <w:b/>
          <w:spacing w:val="-2"/>
        </w:rPr>
        <w:t xml:space="preserve"> </w:t>
      </w:r>
      <w:r>
        <w:rPr>
          <w:b/>
        </w:rPr>
        <w:t>de</w:t>
      </w:r>
      <w:r>
        <w:rPr>
          <w:b/>
          <w:spacing w:val="-3"/>
        </w:rPr>
        <w:t xml:space="preserve"> </w:t>
      </w:r>
      <w:r>
        <w:rPr>
          <w:b/>
        </w:rPr>
        <w:t>contratación</w:t>
      </w:r>
      <w:r>
        <w:rPr>
          <w:b/>
          <w:spacing w:val="-2"/>
        </w:rPr>
        <w:t xml:space="preserve"> </w:t>
      </w:r>
      <w:r>
        <w:rPr>
          <w:b/>
        </w:rPr>
        <w:t>pública</w:t>
      </w:r>
    </w:p>
    <w:p w14:paraId="7AC1B5FC" w14:textId="77777777" w:rsidR="00950925" w:rsidRDefault="00950925" w:rsidP="00950925">
      <w:pPr>
        <w:pStyle w:val="TableParagraph"/>
        <w:spacing w:before="9"/>
        <w:rPr>
          <w:sz w:val="21"/>
        </w:rPr>
      </w:pPr>
    </w:p>
    <w:p w14:paraId="746F8C50" w14:textId="5B2D77AF" w:rsidR="00950925" w:rsidRDefault="00950925" w:rsidP="00950925">
      <w:pPr>
        <w:pStyle w:val="TableParagraph"/>
        <w:spacing w:line="242" w:lineRule="auto"/>
        <w:ind w:left="22" w:right="31"/>
        <w:jc w:val="both"/>
      </w:pPr>
      <w:r>
        <w:t>De</w:t>
      </w:r>
      <w:r>
        <w:rPr>
          <w:spacing w:val="-11"/>
        </w:rPr>
        <w:t xml:space="preserve"> </w:t>
      </w:r>
      <w:r>
        <w:t>acuerdo</w:t>
      </w:r>
      <w:r>
        <w:rPr>
          <w:spacing w:val="-11"/>
        </w:rPr>
        <w:t xml:space="preserve"> </w:t>
      </w:r>
      <w:r>
        <w:t>con</w:t>
      </w:r>
      <w:r>
        <w:rPr>
          <w:spacing w:val="-11"/>
        </w:rPr>
        <w:t xml:space="preserve"> </w:t>
      </w:r>
      <w:r>
        <w:t>los</w:t>
      </w:r>
      <w:r>
        <w:rPr>
          <w:spacing w:val="-10"/>
        </w:rPr>
        <w:t xml:space="preserve"> </w:t>
      </w:r>
      <w:r>
        <w:t>empresarios</w:t>
      </w:r>
      <w:r>
        <w:rPr>
          <w:spacing w:val="-11"/>
        </w:rPr>
        <w:t xml:space="preserve"> </w:t>
      </w:r>
      <w:proofErr w:type="spellStart"/>
      <w:r>
        <w:t>MiPyme</w:t>
      </w:r>
      <w:proofErr w:type="spellEnd"/>
      <w:r>
        <w:rPr>
          <w:spacing w:val="-6"/>
        </w:rPr>
        <w:t xml:space="preserve"> </w:t>
      </w:r>
      <w:r>
        <w:t>encuestados,</w:t>
      </w:r>
      <w:r>
        <w:rPr>
          <w:spacing w:val="-13"/>
        </w:rPr>
        <w:t xml:space="preserve"> </w:t>
      </w:r>
      <w:r>
        <w:t>los</w:t>
      </w:r>
      <w:r>
        <w:rPr>
          <w:spacing w:val="-11"/>
        </w:rPr>
        <w:t xml:space="preserve"> </w:t>
      </w:r>
      <w:r>
        <w:t>métodos</w:t>
      </w:r>
      <w:r>
        <w:rPr>
          <w:spacing w:val="-11"/>
        </w:rPr>
        <w:t xml:space="preserve"> </w:t>
      </w:r>
      <w:r>
        <w:t>de</w:t>
      </w:r>
      <w:r>
        <w:rPr>
          <w:spacing w:val="-10"/>
        </w:rPr>
        <w:t xml:space="preserve"> </w:t>
      </w:r>
      <w:r>
        <w:t>contratación</w:t>
      </w:r>
      <w:r>
        <w:rPr>
          <w:spacing w:val="-11"/>
        </w:rPr>
        <w:t xml:space="preserve"> </w:t>
      </w:r>
      <w:r>
        <w:t>pública</w:t>
      </w:r>
      <w:r>
        <w:rPr>
          <w:spacing w:val="-11"/>
        </w:rPr>
        <w:t xml:space="preserve"> </w:t>
      </w:r>
      <w:r>
        <w:t>más</w:t>
      </w:r>
      <w:r>
        <w:rPr>
          <w:spacing w:val="-10"/>
        </w:rPr>
        <w:t xml:space="preserve"> </w:t>
      </w:r>
      <w:r>
        <w:t>utilizados</w:t>
      </w:r>
      <w:r>
        <w:rPr>
          <w:spacing w:val="-11"/>
        </w:rPr>
        <w:t xml:space="preserve"> </w:t>
      </w:r>
      <w:r>
        <w:t>por</w:t>
      </w:r>
      <w:r>
        <w:rPr>
          <w:spacing w:val="-59"/>
        </w:rPr>
        <w:t xml:space="preserve"> </w:t>
      </w:r>
      <w:r>
        <w:t>el segmento se centran en procesos de mínima cuantía (31,71%), y licitación (25,61%), como principales</w:t>
      </w:r>
      <w:r>
        <w:rPr>
          <w:spacing w:val="1"/>
        </w:rPr>
        <w:t xml:space="preserve"> </w:t>
      </w:r>
      <w:r>
        <w:t>mecanismos.</w:t>
      </w:r>
    </w:p>
    <w:p w14:paraId="7A5548B7" w14:textId="34D39402" w:rsidR="00950925" w:rsidRDefault="00950925" w:rsidP="00950925">
      <w:pPr>
        <w:pStyle w:val="TableParagraph"/>
        <w:spacing w:line="242" w:lineRule="auto"/>
        <w:ind w:left="22" w:right="31"/>
        <w:jc w:val="both"/>
      </w:pPr>
    </w:p>
    <w:p w14:paraId="260B5378" w14:textId="52F441E6" w:rsidR="00950925" w:rsidRDefault="00950925" w:rsidP="00950925">
      <w:pPr>
        <w:pStyle w:val="TableParagraph"/>
        <w:spacing w:before="57"/>
        <w:ind w:left="22" w:right="35"/>
        <w:jc w:val="both"/>
        <w:rPr>
          <w:b/>
          <w:i/>
        </w:rPr>
      </w:pPr>
      <w:r>
        <w:t>“…Luego de observar los resultados estadísticos generados por la Encuesta de Desempeño Empresarial</w:t>
      </w:r>
      <w:r>
        <w:rPr>
          <w:spacing w:val="1"/>
        </w:rPr>
        <w:t xml:space="preserve"> </w:t>
      </w:r>
      <w:r>
        <w:t xml:space="preserve">realizada por el Observatorio </w:t>
      </w:r>
      <w:proofErr w:type="spellStart"/>
      <w:r>
        <w:t>MiPyme</w:t>
      </w:r>
      <w:proofErr w:type="spellEnd"/>
      <w:r>
        <w:t xml:space="preserve"> de La Asociación Colombiana de las Micro, Pequeñas y Medianas</w:t>
      </w:r>
      <w:r>
        <w:rPr>
          <w:spacing w:val="1"/>
        </w:rPr>
        <w:t xml:space="preserve"> </w:t>
      </w:r>
      <w:r>
        <w:t xml:space="preserve">Empresas – ACOPI, se concluye que: </w:t>
      </w:r>
      <w:r>
        <w:rPr>
          <w:b/>
          <w:i/>
        </w:rPr>
        <w:t>en promedio, entre el 40% y 45% de los empresarios manifestaron</w:t>
      </w:r>
      <w:r>
        <w:rPr>
          <w:b/>
          <w:i/>
          <w:spacing w:val="-59"/>
        </w:rPr>
        <w:t xml:space="preserve"> </w:t>
      </w:r>
      <w:r>
        <w:rPr>
          <w:b/>
          <w:i/>
        </w:rPr>
        <w:t>presentar</w:t>
      </w:r>
      <w:r>
        <w:rPr>
          <w:b/>
          <w:i/>
          <w:spacing w:val="-10"/>
        </w:rPr>
        <w:t xml:space="preserve"> </w:t>
      </w:r>
      <w:r>
        <w:rPr>
          <w:b/>
          <w:i/>
        </w:rPr>
        <w:t>disminuciones</w:t>
      </w:r>
      <w:r>
        <w:rPr>
          <w:b/>
          <w:i/>
          <w:spacing w:val="-11"/>
        </w:rPr>
        <w:t xml:space="preserve"> </w:t>
      </w:r>
      <w:r>
        <w:rPr>
          <w:b/>
          <w:i/>
        </w:rPr>
        <w:t>en</w:t>
      </w:r>
      <w:r>
        <w:rPr>
          <w:b/>
          <w:i/>
          <w:spacing w:val="-11"/>
        </w:rPr>
        <w:t xml:space="preserve"> </w:t>
      </w:r>
      <w:r>
        <w:rPr>
          <w:b/>
          <w:i/>
        </w:rPr>
        <w:t>sus</w:t>
      </w:r>
      <w:r>
        <w:rPr>
          <w:b/>
          <w:i/>
          <w:spacing w:val="-7"/>
        </w:rPr>
        <w:t xml:space="preserve"> </w:t>
      </w:r>
      <w:r>
        <w:rPr>
          <w:b/>
          <w:i/>
        </w:rPr>
        <w:t>indicadores</w:t>
      </w:r>
      <w:r>
        <w:rPr>
          <w:b/>
          <w:i/>
          <w:spacing w:val="-11"/>
        </w:rPr>
        <w:t xml:space="preserve"> </w:t>
      </w:r>
      <w:r>
        <w:rPr>
          <w:b/>
          <w:i/>
        </w:rPr>
        <w:t>durante</w:t>
      </w:r>
      <w:r>
        <w:rPr>
          <w:b/>
          <w:i/>
          <w:spacing w:val="-7"/>
        </w:rPr>
        <w:t xml:space="preserve"> </w:t>
      </w:r>
      <w:r>
        <w:rPr>
          <w:b/>
          <w:i/>
        </w:rPr>
        <w:t>el</w:t>
      </w:r>
      <w:r>
        <w:rPr>
          <w:b/>
          <w:i/>
          <w:spacing w:val="-14"/>
        </w:rPr>
        <w:t xml:space="preserve"> </w:t>
      </w:r>
      <w:r>
        <w:rPr>
          <w:b/>
          <w:i/>
        </w:rPr>
        <w:t>cuarto</w:t>
      </w:r>
      <w:r>
        <w:rPr>
          <w:b/>
          <w:i/>
          <w:spacing w:val="-7"/>
        </w:rPr>
        <w:t xml:space="preserve"> </w:t>
      </w:r>
      <w:r>
        <w:rPr>
          <w:b/>
          <w:i/>
        </w:rPr>
        <w:t>trimestre</w:t>
      </w:r>
      <w:r>
        <w:rPr>
          <w:b/>
          <w:i/>
          <w:spacing w:val="-7"/>
        </w:rPr>
        <w:t xml:space="preserve"> </w:t>
      </w:r>
      <w:r>
        <w:rPr>
          <w:b/>
          <w:i/>
        </w:rPr>
        <w:t>de</w:t>
      </w:r>
      <w:r>
        <w:rPr>
          <w:b/>
          <w:i/>
          <w:spacing w:val="-7"/>
        </w:rPr>
        <w:t xml:space="preserve"> </w:t>
      </w:r>
      <w:r>
        <w:rPr>
          <w:b/>
          <w:i/>
        </w:rPr>
        <w:t>2022,</w:t>
      </w:r>
      <w:r>
        <w:rPr>
          <w:b/>
          <w:i/>
          <w:spacing w:val="-10"/>
        </w:rPr>
        <w:t xml:space="preserve"> </w:t>
      </w:r>
      <w:r>
        <w:rPr>
          <w:b/>
          <w:i/>
        </w:rPr>
        <w:t>mientras</w:t>
      </w:r>
      <w:r>
        <w:rPr>
          <w:b/>
          <w:i/>
          <w:spacing w:val="-11"/>
        </w:rPr>
        <w:t xml:space="preserve"> </w:t>
      </w:r>
      <w:r>
        <w:rPr>
          <w:b/>
          <w:i/>
        </w:rPr>
        <w:t>que,</w:t>
      </w:r>
      <w:r>
        <w:rPr>
          <w:b/>
          <w:i/>
          <w:spacing w:val="-10"/>
        </w:rPr>
        <w:t xml:space="preserve"> </w:t>
      </w:r>
      <w:r>
        <w:rPr>
          <w:b/>
          <w:i/>
        </w:rPr>
        <w:t>entre</w:t>
      </w:r>
      <w:r>
        <w:rPr>
          <w:b/>
          <w:i/>
          <w:spacing w:val="-7"/>
        </w:rPr>
        <w:t xml:space="preserve"> </w:t>
      </w:r>
      <w:r>
        <w:rPr>
          <w:b/>
          <w:i/>
        </w:rPr>
        <w:t>el</w:t>
      </w:r>
      <w:r>
        <w:rPr>
          <w:b/>
          <w:i/>
          <w:spacing w:val="-59"/>
        </w:rPr>
        <w:t xml:space="preserve"> </w:t>
      </w:r>
      <w:r>
        <w:rPr>
          <w:b/>
          <w:i/>
        </w:rPr>
        <w:t>18%</w:t>
      </w:r>
      <w:r>
        <w:rPr>
          <w:b/>
          <w:i/>
          <w:spacing w:val="-9"/>
        </w:rPr>
        <w:t xml:space="preserve"> </w:t>
      </w:r>
      <w:r>
        <w:rPr>
          <w:b/>
          <w:i/>
        </w:rPr>
        <w:t>a 20%</w:t>
      </w:r>
      <w:r>
        <w:rPr>
          <w:b/>
          <w:i/>
          <w:spacing w:val="-5"/>
        </w:rPr>
        <w:t xml:space="preserve"> </w:t>
      </w:r>
      <w:r>
        <w:rPr>
          <w:b/>
          <w:i/>
        </w:rPr>
        <w:t>percibieron aumentos…”</w:t>
      </w:r>
    </w:p>
    <w:p w14:paraId="33E1F090" w14:textId="77777777" w:rsidR="00950925" w:rsidRDefault="00950925" w:rsidP="00950925">
      <w:pPr>
        <w:pStyle w:val="TableParagraph"/>
        <w:spacing w:line="242" w:lineRule="auto"/>
        <w:ind w:left="22" w:right="31"/>
        <w:jc w:val="both"/>
      </w:pPr>
    </w:p>
    <w:p w14:paraId="317EA0F2" w14:textId="77777777" w:rsidR="00950925" w:rsidRDefault="00950925" w:rsidP="00950925">
      <w:pPr>
        <w:pStyle w:val="TableParagraph"/>
        <w:jc w:val="both"/>
      </w:pPr>
    </w:p>
    <w:p w14:paraId="48F133DE" w14:textId="35C63015" w:rsidR="00950925" w:rsidRDefault="00950925" w:rsidP="00950925">
      <w:pPr>
        <w:pStyle w:val="TableParagraph"/>
        <w:tabs>
          <w:tab w:val="left" w:pos="1438"/>
        </w:tabs>
        <w:ind w:left="22"/>
        <w:rPr>
          <w:b/>
        </w:rPr>
      </w:pPr>
      <w:r>
        <w:rPr>
          <w:b/>
        </w:rPr>
        <w:t>2.2.3.2.</w:t>
      </w:r>
      <w:r>
        <w:rPr>
          <w:b/>
        </w:rPr>
        <w:tab/>
        <w:t>Expectativas</w:t>
      </w:r>
      <w:r>
        <w:rPr>
          <w:b/>
          <w:spacing w:val="-2"/>
        </w:rPr>
        <w:t xml:space="preserve"> </w:t>
      </w:r>
      <w:r>
        <w:rPr>
          <w:b/>
        </w:rPr>
        <w:t>para</w:t>
      </w:r>
      <w:r>
        <w:rPr>
          <w:b/>
          <w:spacing w:val="-1"/>
        </w:rPr>
        <w:t xml:space="preserve"> </w:t>
      </w:r>
      <w:r>
        <w:rPr>
          <w:b/>
        </w:rPr>
        <w:t>el</w:t>
      </w:r>
      <w:r>
        <w:rPr>
          <w:b/>
          <w:spacing w:val="-5"/>
        </w:rPr>
        <w:t xml:space="preserve"> </w:t>
      </w:r>
      <w:r>
        <w:rPr>
          <w:b/>
        </w:rPr>
        <w:t>2023</w:t>
      </w:r>
    </w:p>
    <w:p w14:paraId="14C59CCC" w14:textId="77777777" w:rsidR="00950925" w:rsidRDefault="00950925" w:rsidP="00950925">
      <w:pPr>
        <w:pStyle w:val="TableParagraph"/>
        <w:jc w:val="both"/>
      </w:pPr>
    </w:p>
    <w:p w14:paraId="3E9ACF99" w14:textId="77777777" w:rsidR="003F79D9" w:rsidRDefault="003F79D9" w:rsidP="003F79D9">
      <w:pPr>
        <w:pStyle w:val="TableParagraph"/>
        <w:jc w:val="both"/>
      </w:pPr>
      <w:r>
        <w:t>En su informe anual Balance Preliminar de las Economías de América Latina y el Caribe, la CEPAL proyecta que el crecimiento regional del próximo año será una tercera parte de la tasa esperada para 2022.</w:t>
      </w:r>
    </w:p>
    <w:p w14:paraId="541AE7FD" w14:textId="77777777" w:rsidR="003F79D9" w:rsidRDefault="003F79D9" w:rsidP="003F79D9">
      <w:pPr>
        <w:pStyle w:val="TableParagraph"/>
        <w:jc w:val="both"/>
      </w:pPr>
      <w:r>
        <w:t>En un contexto de incertidumbres externas y restricciones internas, los países de América Latina y el Caribe crecerán un 3,7% en 2022, poco más de la mitad de la tasa del 6,7% registrada en 2021. Se estima que en 2023 se profundice la desaceleración del crecimiento económico y se alcance una tasa del 1,3%.</w:t>
      </w:r>
    </w:p>
    <w:p w14:paraId="2742B2B9" w14:textId="77777777" w:rsidR="003F79D9" w:rsidRDefault="003F79D9" w:rsidP="003F79D9">
      <w:pPr>
        <w:pStyle w:val="TableParagraph"/>
        <w:jc w:val="both"/>
      </w:pPr>
      <w:r>
        <w:t>De acuerdo con el Balance Preliminar de las Economías de América Latina y el Caribe 2022, dado a conocer  por el Secretario Ejecutivo de la Comisión Económica para América Latina y el Caribe (CEPAL), José Manuel Salazar-</w:t>
      </w:r>
      <w:proofErr w:type="spellStart"/>
      <w:r>
        <w:t>Xirinachs</w:t>
      </w:r>
      <w:proofErr w:type="spellEnd"/>
      <w:r>
        <w:t>, las respuestas de política monetaria adoptadas a nivel mundial en 2022, en un contexto de aumento en la inflación global, han provocado incrementos en la volatilidad financiera y en los niveles de aversión al riesgo y, por tanto, han inducido menores flujos de capital hacia economías emergentes, incluyendo las economías de la región. Pero la reducción que se espera en la inflación global para el 2023 tenderá a moderar los incrementos de las tasas de política monetaria de los principales bancos centrales, añade el organismo.</w:t>
      </w:r>
    </w:p>
    <w:p w14:paraId="44CF2691" w14:textId="77777777" w:rsidR="003F79D9" w:rsidRDefault="003F79D9" w:rsidP="003F79D9">
      <w:pPr>
        <w:pStyle w:val="TableParagraph"/>
        <w:jc w:val="both"/>
      </w:pPr>
      <w:r>
        <w:t>Según el documento, luego del dinamismo mostrado en el primer semestre de 2022, la actividad económica de la región se ha desacelerado, reflejando, por una parte, el agotamiento del efecto rebote en la recuperación de 2021 y, por otra, los efectos de las políticas monetarias restrictivas, mayores limitaciones del gasto fiscal, menores niveles de consumo e inversión y el deterioro del contexto externo.</w:t>
      </w:r>
    </w:p>
    <w:p w14:paraId="5A076DD4" w14:textId="77777777" w:rsidR="003F79D9" w:rsidRDefault="003F79D9" w:rsidP="003F79D9">
      <w:pPr>
        <w:pStyle w:val="TableParagraph"/>
        <w:jc w:val="both"/>
      </w:pPr>
      <w:r>
        <w:t>El informe destaca que el proceso de recuperación de los mercados laborales que se ha experimentado en el primer semestre de 2022 no ha permitido eliminar las tradicionales brechas entre hombres y mujeres que exhiben indicadores como la tasa de participación laboral y la tasa de desocupación. Durante el 2022, se han observado tanto un aumento de la informalidad y como una caída en los salarios reales.</w:t>
      </w:r>
    </w:p>
    <w:p w14:paraId="6A0D4018" w14:textId="77777777" w:rsidR="003F79D9" w:rsidRDefault="003F79D9" w:rsidP="003F79D9">
      <w:pPr>
        <w:pStyle w:val="TableParagraph"/>
        <w:jc w:val="both"/>
      </w:pPr>
      <w:r>
        <w:t xml:space="preserve">En al ámbito fiscal, si bien se observa una reducción del déficit primario, los niveles de endeudamiento continúan siendo altos, por lo que cabe esperar que el espacio fiscal siga condicionando la trayectoria del gasto público. El riesgo de aumento de las tasas de interés, de depreciaciones de las monedas y el mayor riesgo soberano dificultarían el financiamiento </w:t>
      </w:r>
      <w:r>
        <w:lastRenderedPageBreak/>
        <w:t>de las operaciones de los gobiernos en 2023.</w:t>
      </w:r>
    </w:p>
    <w:p w14:paraId="1960D002" w14:textId="77777777" w:rsidR="003F79D9" w:rsidRDefault="003F79D9" w:rsidP="003F79D9">
      <w:pPr>
        <w:pStyle w:val="TableParagraph"/>
        <w:jc w:val="both"/>
      </w:pPr>
      <w:r>
        <w:t>Un elemento que destaca el informe es que los cambios registrados en la trayectoria de la inflación regional en el segundo semestre de 2022, aunados a la desaceleración de la actividad económica que se espera se prolongue para el próximo año, reducirán las presiones de las autoridades monetarias de América Latina y el Caribe para continuar aumentando las tasas de política monetaria.</w:t>
      </w:r>
    </w:p>
    <w:p w14:paraId="321896CC" w14:textId="77777777" w:rsidR="003F79D9" w:rsidRDefault="003F79D9" w:rsidP="003F79D9">
      <w:pPr>
        <w:pStyle w:val="TableParagraph"/>
        <w:jc w:val="both"/>
      </w:pPr>
      <w:r>
        <w:t>La CEPAL señala que la coyuntura impone desafíos al manejo macroeconómico. En materia fiscal hay que evitar ajustes prematuros del gasto y ampliar el espacio fiscal a través de la reducción de la evasión y elusión, revisión de los gastos tributarios, reformas que aumenten la recaudación y progresividad de la estructura tributaria, y el apoyo multilateral a través de la movilización de la liquidez global. Además, es necesario avanzar en mejoras en la eficiencia y eficacia del gasto público para potenciar la política fiscal.</w:t>
      </w:r>
    </w:p>
    <w:p w14:paraId="745DE12E" w14:textId="77777777" w:rsidR="003F79D9" w:rsidRDefault="003F79D9" w:rsidP="003F79D9">
      <w:pPr>
        <w:pStyle w:val="TableParagraph"/>
        <w:jc w:val="both"/>
      </w:pPr>
      <w:r>
        <w:t xml:space="preserve">En lo monetario-financiero es importante diversificar la caja de herramientas para enfrentar la coyuntura, y junto con la tasa de política monetaria deben usarse instrumentos </w:t>
      </w:r>
      <w:proofErr w:type="spellStart"/>
      <w:r>
        <w:t>macroprudenciales</w:t>
      </w:r>
      <w:proofErr w:type="spellEnd"/>
      <w:r>
        <w:t xml:space="preserve"> y de regulación que ayuden a manejar la demanda agregada minimizando los efectos sobre el crecimiento y la inversión.</w:t>
      </w:r>
    </w:p>
    <w:p w14:paraId="7DBA75AB" w14:textId="46358C26" w:rsidR="00950925" w:rsidRDefault="003F79D9" w:rsidP="003F79D9">
      <w:pPr>
        <w:pStyle w:val="TableParagraph"/>
        <w:jc w:val="both"/>
      </w:pPr>
      <w:r>
        <w:t>Finalmente, el Balance Preliminar 2022 plantea que es  fundamental dinamizar la inversión y la productividad para atender las demandas sociales, la creación de empleo decente y reducir la informalidad, la desigualdad, la pobreza, y avanzar en la adaptación y mitigación del cambio climático. Para ello son que son necesarias políticas públicas  innovadoras en lo productivo, financiero, comercial, social y en la economía del cuidado, para evitar una nueva década perdida como la observada durante el período 2014-2023</w:t>
      </w:r>
      <w:r>
        <w:rPr>
          <w:rStyle w:val="Refdenotaalpie"/>
        </w:rPr>
        <w:footnoteReference w:id="4"/>
      </w:r>
      <w:r>
        <w:t>.</w:t>
      </w:r>
    </w:p>
    <w:p w14:paraId="0F4E58E3" w14:textId="4BB4B017" w:rsidR="003F79D9" w:rsidRDefault="003F79D9" w:rsidP="003F79D9">
      <w:pPr>
        <w:pStyle w:val="TableParagraph"/>
        <w:jc w:val="both"/>
      </w:pPr>
    </w:p>
    <w:p w14:paraId="5D3EE3E8" w14:textId="77777777" w:rsidR="003F79D9" w:rsidRDefault="003F79D9" w:rsidP="003F79D9">
      <w:pPr>
        <w:pStyle w:val="TableParagraph"/>
        <w:jc w:val="both"/>
      </w:pPr>
      <w:r>
        <w:t>Según la edición más reciente del informe Perspectivas económicas mundiales del Banco Mundial, el crecimiento mundial se está desacelerando marcadamente debido a la elevada inflación, el aumento de las tasas de interés, la reducción de las inversiones y las perturbaciones causadas por la invasión de Rusia a Ucrania.</w:t>
      </w:r>
    </w:p>
    <w:p w14:paraId="50BA2142" w14:textId="77777777" w:rsidR="003F79D9" w:rsidRDefault="003F79D9" w:rsidP="003F79D9">
      <w:pPr>
        <w:pStyle w:val="TableParagraph"/>
        <w:jc w:val="both"/>
      </w:pPr>
    </w:p>
    <w:p w14:paraId="0F9AC2FC" w14:textId="77777777" w:rsidR="003F79D9" w:rsidRDefault="003F79D9" w:rsidP="003F79D9">
      <w:pPr>
        <w:pStyle w:val="TableParagraph"/>
        <w:jc w:val="both"/>
      </w:pPr>
      <w:r>
        <w:t>Dada la frágil situación económica, cualquier nuevo acontecimiento adverso —como una inflación más alta que la prevista, aumentos abruptos de las tasas de interés para contenerla, el resurgimiento de la pandemia de COVID</w:t>
      </w:r>
      <w:r>
        <w:rPr>
          <w:rFonts w:ascii="Cambria Math" w:hAnsi="Cambria Math" w:cs="Cambria Math"/>
        </w:rPr>
        <w:t>‑</w:t>
      </w:r>
      <w:r>
        <w:t>19 o la intensificación de las tensiones geopolíticas— podría empujar a la economía mundial a la recesión. Sería la primera vez en más de 80 años que se producen dos recesiones mundiales en la misma década.</w:t>
      </w:r>
    </w:p>
    <w:p w14:paraId="3F370780" w14:textId="77777777" w:rsidR="003F79D9" w:rsidRDefault="003F79D9" w:rsidP="003F79D9">
      <w:pPr>
        <w:pStyle w:val="TableParagraph"/>
        <w:jc w:val="both"/>
      </w:pPr>
    </w:p>
    <w:p w14:paraId="3D279E0E" w14:textId="77777777" w:rsidR="003F79D9" w:rsidRDefault="003F79D9" w:rsidP="003F79D9">
      <w:pPr>
        <w:pStyle w:val="TableParagraph"/>
        <w:jc w:val="both"/>
      </w:pPr>
      <w:r>
        <w:t>Se prevé que la economía mundial crecerá un 1,7 % en 2023 y un 2,7 % en 2024. La fuerte desaceleración del crecimiento será generalizada: los pronósticos se corregirán a la baja para el 95 % de las economías avanzadas y para casi el 70 % de los mercados emergentes y las economías en desarrollo (MEED).</w:t>
      </w:r>
    </w:p>
    <w:p w14:paraId="33E74FC9" w14:textId="77777777" w:rsidR="003F79D9" w:rsidRDefault="003F79D9" w:rsidP="003F79D9">
      <w:pPr>
        <w:pStyle w:val="TableParagraph"/>
        <w:jc w:val="both"/>
      </w:pPr>
    </w:p>
    <w:p w14:paraId="4BEC9D8C" w14:textId="77777777" w:rsidR="003F79D9" w:rsidRDefault="003F79D9" w:rsidP="003F79D9">
      <w:pPr>
        <w:pStyle w:val="TableParagraph"/>
        <w:jc w:val="both"/>
      </w:pPr>
      <w:r>
        <w:t>Durante los próximos dos años, el ingreso per cápita de los MEED se ubicará, en promedio, en el 2,8 %, un punto porcentual inferior al promedio registrado en el período 2010-19. En África subsahariana —que representa alrededor del 60 % de las personas del mundo que se encuentran en la pobreza extrema—, se espera que el crecimiento del ingreso per cápita entre 2023 y 2024 sea, en promedio, de apenas el 1,2 %, una tasa que podría hacer que los niveles de pobreza aumenten, en lugar de disminuir.</w:t>
      </w:r>
    </w:p>
    <w:p w14:paraId="4F64E14B" w14:textId="77777777" w:rsidR="003F79D9" w:rsidRDefault="003F79D9" w:rsidP="003F79D9">
      <w:pPr>
        <w:pStyle w:val="TableParagraph"/>
        <w:jc w:val="both"/>
      </w:pPr>
    </w:p>
    <w:p w14:paraId="6C23E77D" w14:textId="77777777" w:rsidR="003F79D9" w:rsidRDefault="003F79D9" w:rsidP="003F79D9">
      <w:pPr>
        <w:pStyle w:val="TableParagraph"/>
        <w:jc w:val="both"/>
      </w:pPr>
      <w:r>
        <w:t xml:space="preserve">“La crisis que enfrenta el desarrollo se está intensificando a medida que las perspectivas de crecimiento mundial se deterioran”, declaró David </w:t>
      </w:r>
      <w:proofErr w:type="spellStart"/>
      <w:r>
        <w:t>Malpass</w:t>
      </w:r>
      <w:proofErr w:type="spellEnd"/>
      <w:r>
        <w:t>, presidente del Grupo Banco Mundial. “Los países emergentes y en desarrollo se enfrentan a un período de varios años de crecimiento lento impulsado por una pesada carga de la deuda y escasas inversiones; al mismo tiempo, el capital mundial es absorbido por las economías avanzadas que enfrentan niveles de deuda pública extremadamente altos y tasas de interés crecientes. El bajo nivel de crecimiento y de inversión empresarial agravará los retrocesos en materia de educación, salud, pobreza e infraestructura, que ya son devastadores, así como las crecientes demandas derivadas del cambio climático”.</w:t>
      </w:r>
    </w:p>
    <w:p w14:paraId="3874A02B" w14:textId="77777777" w:rsidR="003F79D9" w:rsidRDefault="003F79D9" w:rsidP="003F79D9">
      <w:pPr>
        <w:pStyle w:val="TableParagraph"/>
        <w:jc w:val="both"/>
      </w:pPr>
    </w:p>
    <w:p w14:paraId="6D3171E7" w14:textId="77777777" w:rsidR="003F79D9" w:rsidRDefault="003F79D9" w:rsidP="003F79D9">
      <w:pPr>
        <w:pStyle w:val="TableParagraph"/>
        <w:jc w:val="both"/>
      </w:pPr>
      <w:r>
        <w:t xml:space="preserve">Se prevé que el crecimiento de las economías avanzadas se desacelerará del 2,5 % en 2022 al 0,5 % en 2023. En las últimas dos décadas, las desaceleraciones de esta magnitud han sido la antesala de una recesión mundial. En Estados Unidos, el crecimiento caerá al </w:t>
      </w:r>
      <w:r>
        <w:lastRenderedPageBreak/>
        <w:t>0,5 % en 2023, 1,9 puntos porcentuales por debajo de los pronósticos anteriores y el desempeño más deficiente fuera de las recesiones oficiales desde 1970. En 2023, se espera la zona del euro no registre crecimiento, lo que representa una revisión a la baja de 1,9 puntos porcentuales. China crecerá un 4,3 %, es decir, 0,9 puntos porcentuales por debajo de los pronósticos anteriores.</w:t>
      </w:r>
    </w:p>
    <w:p w14:paraId="1CEB946B" w14:textId="77777777" w:rsidR="003F79D9" w:rsidRDefault="003F79D9" w:rsidP="003F79D9">
      <w:pPr>
        <w:pStyle w:val="TableParagraph"/>
        <w:jc w:val="both"/>
      </w:pPr>
    </w:p>
    <w:p w14:paraId="14A99D1F" w14:textId="77777777" w:rsidR="003F79D9" w:rsidRDefault="003F79D9" w:rsidP="003F79D9">
      <w:pPr>
        <w:pStyle w:val="TableParagraph"/>
        <w:jc w:val="both"/>
      </w:pPr>
      <w:r>
        <w:t>Excluyendo a China, se prevé que el crecimiento de los MEED se desacelerará del 3,8 % en 2022 al 2,7 % en 2023, lo que refleja una demanda externa considerablemente menor, agravada por la elevada inflación, la depreciación monetaria, condiciones de financiamiento más restrictivas y otros factores adversos internos.</w:t>
      </w:r>
    </w:p>
    <w:p w14:paraId="49FD7658" w14:textId="77777777" w:rsidR="003F79D9" w:rsidRDefault="003F79D9" w:rsidP="003F79D9">
      <w:pPr>
        <w:pStyle w:val="TableParagraph"/>
        <w:jc w:val="both"/>
      </w:pPr>
    </w:p>
    <w:p w14:paraId="1BB1DDC5" w14:textId="77777777" w:rsidR="003F79D9" w:rsidRDefault="003F79D9" w:rsidP="003F79D9">
      <w:pPr>
        <w:pStyle w:val="TableParagraph"/>
        <w:jc w:val="both"/>
      </w:pPr>
      <w:r>
        <w:t>Para fines de 2024, los niveles del producto interno bruto (PIB) en las economías emergentes y en desarrollo serán aproximadamente un 6 % inferiores a los niveles previstos antes de la pandemia. Si bien se prevé que la inflación mundial se modere, se mantendrá por encima de los niveles prepandemia.</w:t>
      </w:r>
    </w:p>
    <w:p w14:paraId="11959334" w14:textId="77777777" w:rsidR="003F79D9" w:rsidRDefault="003F79D9" w:rsidP="003F79D9">
      <w:pPr>
        <w:pStyle w:val="TableParagraph"/>
        <w:jc w:val="both"/>
      </w:pPr>
    </w:p>
    <w:p w14:paraId="323CF40E" w14:textId="77777777" w:rsidR="003F79D9" w:rsidRDefault="003F79D9" w:rsidP="003F79D9">
      <w:pPr>
        <w:pStyle w:val="TableParagraph"/>
        <w:jc w:val="both"/>
      </w:pPr>
      <w:r>
        <w:t>En el informe se presenta la primera evaluación integral de las perspectivas a mediano plazo para el crecimiento de la inversión en los MEED. Durante el período 2022-24, es probable que la inversión bruta en estas economías crezca alrededor de un 3,5 % en promedio, es decir, menos de la mitad de la tasa que prevaleció en las dos décadas anteriores. El informe ofrece a los encargados de la formulación de políticas una lista de opciones para acelerar el crecimiento de la inversión.</w:t>
      </w:r>
    </w:p>
    <w:p w14:paraId="676B7F78" w14:textId="77777777" w:rsidR="003F79D9" w:rsidRDefault="003F79D9" w:rsidP="003F79D9">
      <w:pPr>
        <w:pStyle w:val="TableParagraph"/>
        <w:jc w:val="both"/>
      </w:pPr>
    </w:p>
    <w:p w14:paraId="22061C40" w14:textId="77777777" w:rsidR="003F79D9" w:rsidRDefault="003F79D9" w:rsidP="003F79D9">
      <w:pPr>
        <w:pStyle w:val="TableParagraph"/>
        <w:jc w:val="both"/>
      </w:pPr>
      <w:r>
        <w:t xml:space="preserve">“La falta de inversiones genera gran preocupación porque está asociada con bajos niveles de productividad y de actividad comercial, y empeora las perspectivas económicas generales. Sin un crecimiento sólido y sostenido de las inversiones, es sencillamente imposible avanzar de manera significativa en la consecución de objetivos climáticos y de desarrollo más amplios”, manifestó </w:t>
      </w:r>
      <w:proofErr w:type="spellStart"/>
      <w:r>
        <w:t>Ayhan</w:t>
      </w:r>
      <w:proofErr w:type="spellEnd"/>
      <w:r>
        <w:t xml:space="preserve"> </w:t>
      </w:r>
      <w:proofErr w:type="spellStart"/>
      <w:r>
        <w:t>Kose</w:t>
      </w:r>
      <w:proofErr w:type="spellEnd"/>
      <w:r>
        <w:t>, director del Grupo de Perspectivas del Banco Mundial. “Las políticas nacionales para impulsar el crecimiento de la inversión deben adaptarse a las circunstancias de cada país, pero siempre comienzan con la creación de marcos de política fiscal y monetaria sólidos y la introducción de reformas integrales destinadas a mejorar el clima para la inversión”.</w:t>
      </w:r>
    </w:p>
    <w:p w14:paraId="5F768E2D" w14:textId="77777777" w:rsidR="003F79D9" w:rsidRDefault="003F79D9" w:rsidP="003F79D9">
      <w:pPr>
        <w:pStyle w:val="TableParagraph"/>
        <w:jc w:val="both"/>
      </w:pPr>
    </w:p>
    <w:p w14:paraId="623946C3" w14:textId="77777777" w:rsidR="003F79D9" w:rsidRDefault="003F79D9" w:rsidP="003F79D9">
      <w:pPr>
        <w:pStyle w:val="TableParagraph"/>
        <w:jc w:val="both"/>
      </w:pPr>
      <w:r>
        <w:t>El informe también arroja luz sobre la difícil situación en la que se encuentran 37 pequeños Estados, es decir, países con una población de 1,5 millones de personas o menos. Estos Estados sufrieron una recesión más profunda como consecuencia de la COVID-19 y experimentaron un repunte mucho más débil que otras economías, en parte debido a las prolongadas perturbaciones que afectaron al turismo. En 2020, la producción económica de los Estados pequeños se redujo más del 11 %, lo que representa una disminución siete veces mayor que la observada en otras economías emergentes y en desarrollo. En el informe se concluye que los Estados pequeños a menudo experimentan pérdidas relacionadas con desastres que representan, en promedio, el 5 % del PIB al año, lo que genera graves obstáculos al desarrollo económico.</w:t>
      </w:r>
    </w:p>
    <w:p w14:paraId="4A5C8EB1" w14:textId="77777777" w:rsidR="003F79D9" w:rsidRDefault="003F79D9" w:rsidP="003F79D9">
      <w:pPr>
        <w:pStyle w:val="TableParagraph"/>
        <w:jc w:val="both"/>
      </w:pPr>
    </w:p>
    <w:p w14:paraId="6DD441F6" w14:textId="103690C5" w:rsidR="003F79D9" w:rsidRDefault="003F79D9" w:rsidP="003F79D9">
      <w:pPr>
        <w:pStyle w:val="TableParagraph"/>
        <w:jc w:val="both"/>
      </w:pPr>
      <w:r>
        <w:t>Los responsables de formular políticas en dichos países pueden mejorar las perspectivas de crecimiento a largo plazo fortaleciendo la resiliencia al cambio climático, promoviendo una diversificación económica eficaz y mejorando la eficiencia de los Gobiernos. En el informe se exhorta a la comunidad mundial a apoyar a los pequeños Estados manteniendo el flujo de asistencia oficial para respaldar la adaptación al cambio climático y ayudar a restablecer la sostenibilidad de la deuda</w:t>
      </w:r>
      <w:r>
        <w:rPr>
          <w:rStyle w:val="Refdenotaalpie"/>
        </w:rPr>
        <w:footnoteReference w:id="5"/>
      </w:r>
      <w:r>
        <w:t>.</w:t>
      </w:r>
    </w:p>
    <w:p w14:paraId="185C83CD" w14:textId="303905B9" w:rsidR="003F79D9" w:rsidRDefault="003F79D9" w:rsidP="003F79D9">
      <w:pPr>
        <w:pStyle w:val="TableParagraph"/>
        <w:jc w:val="both"/>
      </w:pPr>
    </w:p>
    <w:p w14:paraId="2C26F331" w14:textId="3AE37050" w:rsidR="003F79D9" w:rsidRDefault="003F79D9" w:rsidP="003F79D9">
      <w:pPr>
        <w:pStyle w:val="TableParagraph"/>
        <w:jc w:val="both"/>
      </w:pPr>
      <w:r w:rsidRPr="003F79D9">
        <w:t>De acuerdo con las previsiones del Banco Mundial, Colombia habría cerrado el año 2022 con un incremento del 8% en su PIB, que luego se desaceleraría al 1,3% para este año en curso.</w:t>
      </w:r>
      <w:r>
        <w:t xml:space="preserve"> Esta es una revisión del -1,9 puntos versus la perspectiva para este año publicada en junio del 2022. No obstante, para 2024, el PIB del país se recuperaría al 2,8%, de acuerdo a estas estimaciones.</w:t>
      </w:r>
    </w:p>
    <w:p w14:paraId="6D4C648E" w14:textId="77777777" w:rsidR="003F79D9" w:rsidRDefault="003F79D9" w:rsidP="003F79D9">
      <w:pPr>
        <w:pStyle w:val="TableParagraph"/>
        <w:jc w:val="both"/>
      </w:pPr>
    </w:p>
    <w:p w14:paraId="62398034" w14:textId="060D3A81" w:rsidR="003F79D9" w:rsidRDefault="003F79D9" w:rsidP="003F79D9">
      <w:pPr>
        <w:pStyle w:val="TableParagraph"/>
        <w:jc w:val="both"/>
      </w:pPr>
      <w:r>
        <w:t xml:space="preserve">Estas previsiones del Banco Mundial están vinculadas una elevada inflación, tasas de interés más altas, reducción de la inversión e interrupciones causadas por la invasión rusa de Ucrania, advirtió este martes el Banco Mundial de acuerdo con su último informe de </w:t>
      </w:r>
      <w:r>
        <w:lastRenderedPageBreak/>
        <w:t>perspectivas económicas globales. Debido a estas frágiles condiciones, cualquier nuevo desarrollo inesperado, como una inflación más alta, mayores aumentos en la tasa de interés o las crecientes tensiones geopolíticas, podrían empujar a la economía mundial a la recesión.</w:t>
      </w:r>
    </w:p>
    <w:p w14:paraId="0B0C959C" w14:textId="77777777" w:rsidR="003F79D9" w:rsidRDefault="003F79D9" w:rsidP="003F79D9">
      <w:pPr>
        <w:pStyle w:val="TableParagraph"/>
        <w:jc w:val="both"/>
      </w:pPr>
    </w:p>
    <w:p w14:paraId="2E27E744" w14:textId="7EF3A65D" w:rsidR="003F79D9" w:rsidRDefault="003F79D9" w:rsidP="003F79D9">
      <w:pPr>
        <w:pStyle w:val="TableParagraph"/>
        <w:jc w:val="both"/>
      </w:pPr>
      <w:r>
        <w:t xml:space="preserve">Esto marcaría la primera vez en más de 80 años que dos recesiones globales han ocurrido dentro de la misma década. Se prevé que la economía mundial crezca un 1,7% en 2023 y un 2,7% en 2024. Se espera que la fuerte desaceleración del crecimiento sea generalizada, con pronósticos revisados a la baja en 2023 para el 95% de las economías avanzadas y casi el 70% de las economías de mercados emergentes y en desarrollo. </w:t>
      </w:r>
    </w:p>
    <w:p w14:paraId="4BDFEFFF" w14:textId="77777777" w:rsidR="003F79D9" w:rsidRDefault="003F79D9" w:rsidP="003F79D9">
      <w:pPr>
        <w:pStyle w:val="TableParagraph"/>
        <w:jc w:val="both"/>
      </w:pPr>
    </w:p>
    <w:p w14:paraId="169D512B" w14:textId="726CAE52" w:rsidR="003F79D9" w:rsidRDefault="003F79D9" w:rsidP="003F79D9">
      <w:pPr>
        <w:pStyle w:val="TableParagraph"/>
        <w:jc w:val="both"/>
      </w:pPr>
      <w:r>
        <w:t>De acuerdo con la entidad, estas condiciones marcarían a las economías de los mercados emergentes y en desarrollo, las cuales se proyecta que frenarían su crecimiento del 3,8% en 2022 al 2,7% en 2023, lo que refleja “una demanda externa significativamente más débil agravada por la alta inflación, la depreciación de la moneda, las condiciones de financiamiento más restrictivas y otros vientos en contra internos</w:t>
      </w:r>
      <w:r>
        <w:rPr>
          <w:rStyle w:val="Refdenotaalpie"/>
        </w:rPr>
        <w:footnoteReference w:id="6"/>
      </w:r>
      <w:r>
        <w:t>”.</w:t>
      </w:r>
    </w:p>
    <w:p w14:paraId="4E686325" w14:textId="15B056E3" w:rsidR="008163BB" w:rsidRDefault="008163BB" w:rsidP="003F79D9">
      <w:pPr>
        <w:pStyle w:val="TableParagraph"/>
        <w:jc w:val="both"/>
      </w:pPr>
    </w:p>
    <w:p w14:paraId="4F586147" w14:textId="77777777" w:rsidR="008163BB" w:rsidRPr="001F130D" w:rsidRDefault="008163BB" w:rsidP="008163BB">
      <w:pPr>
        <w:pStyle w:val="Sinespaciado"/>
        <w:jc w:val="both"/>
        <w:rPr>
          <w:rFonts w:ascii="Arial" w:hAnsi="Arial" w:cs="Arial"/>
          <w:lang w:val="es-ES"/>
        </w:rPr>
      </w:pPr>
      <w:r w:rsidRPr="001F130D">
        <w:rPr>
          <w:rFonts w:ascii="Arial" w:hAnsi="Arial" w:cs="Arial"/>
          <w:b/>
          <w:bCs/>
          <w:lang w:val="es-ES"/>
        </w:rPr>
        <w:t>La variación anual del Salario Mínimo:</w:t>
      </w:r>
      <w:r w:rsidRPr="001F130D">
        <w:rPr>
          <w:rFonts w:ascii="Arial" w:hAnsi="Arial" w:cs="Arial"/>
          <w:lang w:val="es-ES"/>
        </w:rPr>
        <w:t xml:space="preserve"> Al finalizar cada año, se realiza en Colombia la discusión sobre el incremento del salario mínimo negociación en la cual intervienen líderes de sindicatos de trabajadores, representantes de los gremios de la producción y gobierno. </w:t>
      </w:r>
    </w:p>
    <w:p w14:paraId="0C98BA69" w14:textId="77777777" w:rsidR="008163BB" w:rsidRPr="001F130D" w:rsidRDefault="008163BB" w:rsidP="008163BB">
      <w:pPr>
        <w:pStyle w:val="Sinespaciado"/>
        <w:jc w:val="both"/>
        <w:rPr>
          <w:rFonts w:ascii="Arial" w:hAnsi="Arial" w:cs="Arial"/>
          <w:lang w:val="es-ES"/>
        </w:rPr>
      </w:pPr>
    </w:p>
    <w:p w14:paraId="5A340AE9" w14:textId="77777777" w:rsidR="008163BB" w:rsidRPr="001F130D" w:rsidRDefault="008163BB" w:rsidP="008163BB">
      <w:pPr>
        <w:pStyle w:val="Sinespaciado"/>
        <w:jc w:val="both"/>
        <w:rPr>
          <w:rFonts w:ascii="Arial" w:hAnsi="Arial" w:cs="Arial"/>
          <w:lang w:val="es-ES"/>
        </w:rPr>
      </w:pPr>
      <w:r w:rsidRPr="001F130D">
        <w:rPr>
          <w:rFonts w:ascii="Arial" w:hAnsi="Arial" w:cs="Arial"/>
          <w:lang w:val="es-ES"/>
        </w:rPr>
        <w:t>A continuación, se presentan los incrementos del SMLMV a través de los años en Colombia:</w:t>
      </w:r>
    </w:p>
    <w:p w14:paraId="19937266" w14:textId="587FA753" w:rsidR="008163BB" w:rsidRPr="001F130D" w:rsidRDefault="008163BB" w:rsidP="008163BB">
      <w:pPr>
        <w:pStyle w:val="Sinespaciado"/>
        <w:jc w:val="center"/>
        <w:rPr>
          <w:rFonts w:ascii="Arial" w:hAnsi="Arial" w:cs="Arial"/>
          <w:lang w:val="es-ES"/>
        </w:rPr>
      </w:pPr>
      <w:r w:rsidRPr="008163BB">
        <w:rPr>
          <w:rFonts w:ascii="Arial" w:hAnsi="Arial" w:cs="Arial"/>
          <w:noProof/>
          <w:lang w:val="es-ES"/>
        </w:rPr>
        <w:drawing>
          <wp:inline distT="0" distB="0" distL="0" distR="0" wp14:anchorId="34430062" wp14:editId="0E382F4B">
            <wp:extent cx="2775098" cy="3897066"/>
            <wp:effectExtent l="0" t="0" r="635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85675" cy="3911919"/>
                    </a:xfrm>
                    <a:prstGeom prst="rect">
                      <a:avLst/>
                    </a:prstGeom>
                  </pic:spPr>
                </pic:pic>
              </a:graphicData>
            </a:graphic>
          </wp:inline>
        </w:drawing>
      </w:r>
    </w:p>
    <w:p w14:paraId="170B1979" w14:textId="77777777" w:rsidR="008163BB" w:rsidRDefault="008163BB" w:rsidP="008163BB">
      <w:pPr>
        <w:pStyle w:val="Sinespaciado"/>
        <w:jc w:val="both"/>
        <w:rPr>
          <w:rFonts w:ascii="Arial" w:hAnsi="Arial" w:cs="Arial"/>
          <w:b/>
          <w:bCs/>
          <w:lang w:val="es-ES"/>
        </w:rPr>
      </w:pPr>
    </w:p>
    <w:p w14:paraId="48988028" w14:textId="10F80CAE" w:rsidR="008163BB" w:rsidRPr="001F130D" w:rsidRDefault="008163BB" w:rsidP="008163BB">
      <w:pPr>
        <w:pStyle w:val="Sinespaciado"/>
        <w:jc w:val="both"/>
        <w:rPr>
          <w:rFonts w:ascii="Arial" w:hAnsi="Arial" w:cs="Arial"/>
          <w:lang w:val="es-ES"/>
        </w:rPr>
      </w:pPr>
      <w:r w:rsidRPr="001F130D">
        <w:rPr>
          <w:rFonts w:ascii="Arial" w:hAnsi="Arial" w:cs="Arial"/>
          <w:b/>
          <w:bCs/>
          <w:lang w:val="es-ES"/>
        </w:rPr>
        <w:t>La Tasa de Cambio:</w:t>
      </w:r>
      <w:r w:rsidRPr="001F130D">
        <w:rPr>
          <w:rFonts w:ascii="Arial" w:hAnsi="Arial" w:cs="Arial"/>
          <w:lang w:val="es-ES"/>
        </w:rPr>
        <w:t xml:space="preserve"> mide la cantidad de pesos que se deben pagar por una unidad de moneda extranjera. En Colombia se toma como base el dólar porque es la divisa más utilizada para transacciones con el exterior. La tasa de cambio sube y baja dependiendo de la oferta y la demanda.</w:t>
      </w:r>
    </w:p>
    <w:p w14:paraId="1D7954DA" w14:textId="4A81C90B" w:rsidR="008163BB" w:rsidRPr="001F130D" w:rsidRDefault="008163BB" w:rsidP="008163BB">
      <w:pPr>
        <w:pStyle w:val="Sinespaciado"/>
        <w:jc w:val="both"/>
        <w:rPr>
          <w:rFonts w:ascii="Arial" w:hAnsi="Arial" w:cs="Arial"/>
          <w:lang w:val="es-ES"/>
        </w:rPr>
      </w:pPr>
      <w:r>
        <w:rPr>
          <w:rFonts w:ascii="Arial" w:hAnsi="Arial" w:cs="Arial"/>
          <w:noProof/>
          <w:lang w:val="es-ES"/>
        </w:rPr>
        <w:lastRenderedPageBreak/>
        <w:drawing>
          <wp:inline distT="0" distB="0" distL="0" distR="0" wp14:anchorId="700A916C" wp14:editId="58FACC97">
            <wp:extent cx="5615432" cy="3084343"/>
            <wp:effectExtent l="0" t="0" r="0" b="1905"/>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pic:nvPicPr>
                  <pic:blipFill rotWithShape="1">
                    <a:blip r:embed="rId22" cstate="print">
                      <a:extLst>
                        <a:ext uri="{28A0092B-C50C-407E-A947-70E740481C1C}">
                          <a14:useLocalDpi xmlns:a14="http://schemas.microsoft.com/office/drawing/2010/main" val="0"/>
                        </a:ext>
                      </a:extLst>
                    </a:blip>
                    <a:srcRect t="12118"/>
                    <a:stretch/>
                  </pic:blipFill>
                  <pic:spPr bwMode="auto">
                    <a:xfrm>
                      <a:off x="0" y="0"/>
                      <a:ext cx="5616000" cy="3084655"/>
                    </a:xfrm>
                    <a:prstGeom prst="rect">
                      <a:avLst/>
                    </a:prstGeom>
                    <a:ln>
                      <a:noFill/>
                    </a:ln>
                    <a:extLst>
                      <a:ext uri="{53640926-AAD7-44D8-BBD7-CCE9431645EC}">
                        <a14:shadowObscured xmlns:a14="http://schemas.microsoft.com/office/drawing/2010/main"/>
                      </a:ext>
                    </a:extLst>
                  </pic:spPr>
                </pic:pic>
              </a:graphicData>
            </a:graphic>
          </wp:inline>
        </w:drawing>
      </w:r>
    </w:p>
    <w:p w14:paraId="3A68CEF1" w14:textId="77777777" w:rsidR="003F79D9" w:rsidRDefault="003F79D9" w:rsidP="003F79D9">
      <w:pPr>
        <w:pStyle w:val="TableParagraph"/>
        <w:jc w:val="both"/>
      </w:pPr>
    </w:p>
    <w:p w14:paraId="2EAC44EB" w14:textId="21DCB0D5" w:rsidR="003F79D9" w:rsidRDefault="003F79D9" w:rsidP="003F79D9">
      <w:pPr>
        <w:pStyle w:val="TableParagraph"/>
        <w:jc w:val="both"/>
      </w:pPr>
    </w:p>
    <w:p w14:paraId="0D7CA048" w14:textId="78E57969" w:rsidR="00FE4557" w:rsidRDefault="00FE4557">
      <w:pPr>
        <w:pStyle w:val="TableParagraph"/>
        <w:numPr>
          <w:ilvl w:val="2"/>
          <w:numId w:val="9"/>
        </w:numPr>
        <w:tabs>
          <w:tab w:val="left" w:pos="743"/>
        </w:tabs>
        <w:spacing w:before="1"/>
        <w:ind w:right="44"/>
        <w:rPr>
          <w:b/>
        </w:rPr>
      </w:pPr>
      <w:r>
        <w:rPr>
          <w:b/>
        </w:rPr>
        <w:t>FOMENTO</w:t>
      </w:r>
      <w:r>
        <w:rPr>
          <w:b/>
          <w:spacing w:val="1"/>
        </w:rPr>
        <w:t xml:space="preserve"> </w:t>
      </w:r>
      <w:r>
        <w:rPr>
          <w:b/>
        </w:rPr>
        <w:t>EJECUCIÓN</w:t>
      </w:r>
      <w:r>
        <w:rPr>
          <w:b/>
          <w:spacing w:val="1"/>
        </w:rPr>
        <w:t xml:space="preserve"> </w:t>
      </w:r>
      <w:r>
        <w:rPr>
          <w:b/>
        </w:rPr>
        <w:t>CONTRACTUAL</w:t>
      </w:r>
      <w:r>
        <w:rPr>
          <w:b/>
          <w:spacing w:val="1"/>
        </w:rPr>
        <w:t xml:space="preserve"> </w:t>
      </w:r>
      <w:r>
        <w:rPr>
          <w:b/>
        </w:rPr>
        <w:t>ARTÍCULO</w:t>
      </w:r>
      <w:r>
        <w:rPr>
          <w:b/>
          <w:spacing w:val="1"/>
        </w:rPr>
        <w:t xml:space="preserve"> </w:t>
      </w:r>
      <w:r>
        <w:rPr>
          <w:b/>
        </w:rPr>
        <w:t>2.2.1.2.4.2.16.</w:t>
      </w:r>
      <w:r>
        <w:rPr>
          <w:b/>
          <w:spacing w:val="1"/>
        </w:rPr>
        <w:t xml:space="preserve"> </w:t>
      </w:r>
      <w:r>
        <w:rPr>
          <w:b/>
        </w:rPr>
        <w:t>DECRETO</w:t>
      </w:r>
      <w:r>
        <w:rPr>
          <w:b/>
          <w:spacing w:val="1"/>
        </w:rPr>
        <w:t xml:space="preserve"> </w:t>
      </w:r>
      <w:r>
        <w:rPr>
          <w:b/>
        </w:rPr>
        <w:t>1082</w:t>
      </w:r>
      <w:r>
        <w:rPr>
          <w:b/>
          <w:spacing w:val="1"/>
        </w:rPr>
        <w:t xml:space="preserve"> </w:t>
      </w:r>
      <w:r>
        <w:rPr>
          <w:b/>
        </w:rPr>
        <w:t>DE</w:t>
      </w:r>
      <w:r>
        <w:rPr>
          <w:b/>
          <w:spacing w:val="1"/>
        </w:rPr>
        <w:t xml:space="preserve"> </w:t>
      </w:r>
      <w:r>
        <w:rPr>
          <w:b/>
        </w:rPr>
        <w:t>2015</w:t>
      </w:r>
      <w:r w:rsidR="000B0465">
        <w:rPr>
          <w:b/>
        </w:rPr>
        <w:t xml:space="preserve"> </w:t>
      </w:r>
      <w:r>
        <w:rPr>
          <w:b/>
          <w:spacing w:val="-59"/>
        </w:rPr>
        <w:t xml:space="preserve"> </w:t>
      </w:r>
      <w:r>
        <w:rPr>
          <w:b/>
        </w:rPr>
        <w:t>ADICIONADO</w:t>
      </w:r>
      <w:r>
        <w:rPr>
          <w:b/>
          <w:spacing w:val="-2"/>
        </w:rPr>
        <w:t xml:space="preserve"> </w:t>
      </w:r>
      <w:r>
        <w:rPr>
          <w:b/>
        </w:rPr>
        <w:t>POR</w:t>
      </w:r>
      <w:r>
        <w:rPr>
          <w:b/>
          <w:spacing w:val="-1"/>
        </w:rPr>
        <w:t xml:space="preserve"> </w:t>
      </w:r>
      <w:r>
        <w:rPr>
          <w:b/>
        </w:rPr>
        <w:t>EL DECRETO</w:t>
      </w:r>
      <w:r>
        <w:rPr>
          <w:b/>
          <w:spacing w:val="-1"/>
        </w:rPr>
        <w:t xml:space="preserve"> </w:t>
      </w:r>
      <w:r>
        <w:rPr>
          <w:b/>
        </w:rPr>
        <w:t>1860 DE 2021.</w:t>
      </w:r>
    </w:p>
    <w:p w14:paraId="2A789D78" w14:textId="646DB372" w:rsidR="003F79D9" w:rsidRDefault="003F79D9" w:rsidP="003F79D9">
      <w:pPr>
        <w:pStyle w:val="TableParagraph"/>
        <w:jc w:val="both"/>
      </w:pPr>
    </w:p>
    <w:p w14:paraId="4F3C794C" w14:textId="77777777" w:rsidR="00FE4557" w:rsidRDefault="00FE4557">
      <w:pPr>
        <w:pStyle w:val="TableParagraph"/>
        <w:numPr>
          <w:ilvl w:val="3"/>
          <w:numId w:val="9"/>
        </w:numPr>
        <w:tabs>
          <w:tab w:val="left" w:pos="1438"/>
          <w:tab w:val="left" w:pos="1439"/>
        </w:tabs>
        <w:spacing w:before="1"/>
        <w:ind w:hanging="1417"/>
        <w:rPr>
          <w:b/>
        </w:rPr>
      </w:pPr>
      <w:r>
        <w:rPr>
          <w:b/>
        </w:rPr>
        <w:t>Población</w:t>
      </w:r>
      <w:r>
        <w:rPr>
          <w:b/>
          <w:spacing w:val="-4"/>
        </w:rPr>
        <w:t xml:space="preserve"> </w:t>
      </w:r>
      <w:r>
        <w:rPr>
          <w:b/>
        </w:rPr>
        <w:t>en</w:t>
      </w:r>
      <w:r>
        <w:rPr>
          <w:b/>
          <w:spacing w:val="-3"/>
        </w:rPr>
        <w:t xml:space="preserve"> </w:t>
      </w:r>
      <w:r>
        <w:rPr>
          <w:b/>
        </w:rPr>
        <w:t>pobreza</w:t>
      </w:r>
      <w:r>
        <w:rPr>
          <w:b/>
          <w:spacing w:val="-3"/>
        </w:rPr>
        <w:t xml:space="preserve"> </w:t>
      </w:r>
      <w:r>
        <w:rPr>
          <w:b/>
        </w:rPr>
        <w:t>extrema:</w:t>
      </w:r>
    </w:p>
    <w:p w14:paraId="5F8A145F" w14:textId="5D889272" w:rsidR="00FE4557" w:rsidRDefault="00FE4557" w:rsidP="003F79D9">
      <w:pPr>
        <w:pStyle w:val="TableParagraph"/>
        <w:jc w:val="both"/>
      </w:pPr>
    </w:p>
    <w:p w14:paraId="1BC7DE02" w14:textId="3C49C560" w:rsidR="00FE4557" w:rsidRDefault="00FE4557" w:rsidP="00FE4557">
      <w:pPr>
        <w:pStyle w:val="TableParagraph"/>
        <w:ind w:left="22" w:right="32"/>
        <w:jc w:val="both"/>
      </w:pPr>
      <w:r>
        <w:t xml:space="preserve">De acuerdo a última información del DANE (actualizada al 26 de </w:t>
      </w:r>
      <w:r w:rsidR="00B43F42">
        <w:t>octubre</w:t>
      </w:r>
      <w:r>
        <w:t xml:space="preserve"> de 2022), con corte al año 2021, en el</w:t>
      </w:r>
      <w:r>
        <w:rPr>
          <w:spacing w:val="1"/>
        </w:rPr>
        <w:t xml:space="preserve"> </w:t>
      </w:r>
      <w:r>
        <w:t>total</w:t>
      </w:r>
      <w:r>
        <w:rPr>
          <w:spacing w:val="-7"/>
        </w:rPr>
        <w:t xml:space="preserve"> </w:t>
      </w:r>
      <w:r>
        <w:t>nacional</w:t>
      </w:r>
      <w:r>
        <w:rPr>
          <w:spacing w:val="-3"/>
        </w:rPr>
        <w:t xml:space="preserve"> </w:t>
      </w:r>
      <w:r>
        <w:t>la pobreza</w:t>
      </w:r>
      <w:r>
        <w:rPr>
          <w:spacing w:val="-1"/>
        </w:rPr>
        <w:t xml:space="preserve"> </w:t>
      </w:r>
      <w:r>
        <w:t>monetaria fue</w:t>
      </w:r>
      <w:r>
        <w:rPr>
          <w:spacing w:val="-1"/>
        </w:rPr>
        <w:t xml:space="preserve"> </w:t>
      </w:r>
      <w:r>
        <w:t>39,3%</w:t>
      </w:r>
      <w:r>
        <w:rPr>
          <w:spacing w:val="-1"/>
        </w:rPr>
        <w:t xml:space="preserve"> </w:t>
      </w:r>
      <w:r>
        <w:t>y la</w:t>
      </w:r>
      <w:r>
        <w:rPr>
          <w:spacing w:val="-1"/>
        </w:rPr>
        <w:t xml:space="preserve"> </w:t>
      </w:r>
      <w:r>
        <w:t>pobreza</w:t>
      </w:r>
      <w:r>
        <w:rPr>
          <w:spacing w:val="-4"/>
        </w:rPr>
        <w:t xml:space="preserve"> </w:t>
      </w:r>
      <w:r>
        <w:t>monetaria extrema</w:t>
      </w:r>
      <w:r>
        <w:rPr>
          <w:spacing w:val="-1"/>
        </w:rPr>
        <w:t xml:space="preserve"> </w:t>
      </w:r>
      <w:r>
        <w:t>fue</w:t>
      </w:r>
      <w:r>
        <w:rPr>
          <w:spacing w:val="-4"/>
        </w:rPr>
        <w:t xml:space="preserve"> </w:t>
      </w:r>
      <w:r>
        <w:t>12,2%</w:t>
      </w:r>
      <w:r>
        <w:rPr>
          <w:rFonts w:ascii="Calibri" w:hAnsi="Calibri"/>
          <w:vertAlign w:val="superscript"/>
        </w:rPr>
        <w:t>13</w:t>
      </w:r>
      <w:r>
        <w:t>.</w:t>
      </w:r>
    </w:p>
    <w:p w14:paraId="5D9CAD8B" w14:textId="77777777" w:rsidR="00FE4557" w:rsidRDefault="00FE4557" w:rsidP="00FE4557">
      <w:pPr>
        <w:pStyle w:val="TableParagraph"/>
        <w:spacing w:before="1" w:after="1"/>
      </w:pPr>
    </w:p>
    <w:p w14:paraId="5EBA9DE3" w14:textId="77777777" w:rsidR="00FE4557" w:rsidRDefault="00FE4557" w:rsidP="00FE4557">
      <w:pPr>
        <w:pStyle w:val="TableParagraph"/>
        <w:ind w:left="2202"/>
        <w:rPr>
          <w:sz w:val="20"/>
        </w:rPr>
      </w:pPr>
      <w:r>
        <w:rPr>
          <w:noProof/>
          <w:sz w:val="20"/>
        </w:rPr>
        <w:drawing>
          <wp:inline distT="0" distB="0" distL="0" distR="0" wp14:anchorId="73ED9FF9" wp14:editId="7E1F1275">
            <wp:extent cx="3945173" cy="1800891"/>
            <wp:effectExtent l="0" t="0" r="0" b="0"/>
            <wp:docPr id="59" name="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70.png"/>
                    <pic:cNvPicPr/>
                  </pic:nvPicPr>
                  <pic:blipFill>
                    <a:blip r:embed="rId23" cstate="print"/>
                    <a:stretch>
                      <a:fillRect/>
                    </a:stretch>
                  </pic:blipFill>
                  <pic:spPr>
                    <a:xfrm>
                      <a:off x="0" y="0"/>
                      <a:ext cx="3945173" cy="1800891"/>
                    </a:xfrm>
                    <a:prstGeom prst="rect">
                      <a:avLst/>
                    </a:prstGeom>
                  </pic:spPr>
                </pic:pic>
              </a:graphicData>
            </a:graphic>
          </wp:inline>
        </w:drawing>
      </w:r>
    </w:p>
    <w:p w14:paraId="3847F8FD" w14:textId="77777777" w:rsidR="00FE4557" w:rsidRDefault="00FE4557" w:rsidP="00FE4557">
      <w:pPr>
        <w:pStyle w:val="TableParagraph"/>
        <w:ind w:right="2216"/>
        <w:jc w:val="right"/>
        <w:rPr>
          <w:sz w:val="16"/>
        </w:rPr>
      </w:pPr>
      <w:r>
        <w:rPr>
          <w:sz w:val="16"/>
        </w:rPr>
        <w:t>Fuente:</w:t>
      </w:r>
      <w:r>
        <w:rPr>
          <w:spacing w:val="-3"/>
          <w:sz w:val="16"/>
        </w:rPr>
        <w:t xml:space="preserve"> </w:t>
      </w:r>
      <w:r>
        <w:rPr>
          <w:sz w:val="16"/>
        </w:rPr>
        <w:t>DANE</w:t>
      </w:r>
    </w:p>
    <w:p w14:paraId="3C27CE7D" w14:textId="77777777" w:rsidR="00FE4557" w:rsidRDefault="00FE4557" w:rsidP="00FE4557">
      <w:pPr>
        <w:pStyle w:val="TableParagraph"/>
        <w:spacing w:before="9"/>
        <w:rPr>
          <w:sz w:val="21"/>
        </w:rPr>
      </w:pPr>
    </w:p>
    <w:p w14:paraId="5B670F6E" w14:textId="24861994" w:rsidR="00FE4557" w:rsidRDefault="00FE4557" w:rsidP="00FE4557">
      <w:pPr>
        <w:pStyle w:val="TableParagraph"/>
        <w:jc w:val="both"/>
      </w:pPr>
      <w:r>
        <w:t>De</w:t>
      </w:r>
      <w:r>
        <w:rPr>
          <w:spacing w:val="-3"/>
        </w:rPr>
        <w:t xml:space="preserve"> </w:t>
      </w:r>
      <w:r>
        <w:t>acuerdo</w:t>
      </w:r>
      <w:r>
        <w:rPr>
          <w:spacing w:val="-2"/>
        </w:rPr>
        <w:t xml:space="preserve"> </w:t>
      </w:r>
      <w:r>
        <w:t>a</w:t>
      </w:r>
      <w:r>
        <w:rPr>
          <w:spacing w:val="-2"/>
        </w:rPr>
        <w:t xml:space="preserve"> </w:t>
      </w:r>
      <w:r>
        <w:t>lo</w:t>
      </w:r>
      <w:r>
        <w:rPr>
          <w:spacing w:val="-2"/>
        </w:rPr>
        <w:t xml:space="preserve"> </w:t>
      </w:r>
      <w:r>
        <w:t>señalado</w:t>
      </w:r>
      <w:r>
        <w:rPr>
          <w:spacing w:val="-6"/>
        </w:rPr>
        <w:t xml:space="preserve"> </w:t>
      </w:r>
      <w:r>
        <w:t>por</w:t>
      </w:r>
      <w:r>
        <w:rPr>
          <w:spacing w:val="-5"/>
        </w:rPr>
        <w:t xml:space="preserve"> </w:t>
      </w:r>
      <w:r>
        <w:t>el</w:t>
      </w:r>
      <w:r>
        <w:rPr>
          <w:spacing w:val="-7"/>
        </w:rPr>
        <w:t xml:space="preserve"> </w:t>
      </w:r>
      <w:r>
        <w:t>Comité</w:t>
      </w:r>
      <w:r>
        <w:rPr>
          <w:spacing w:val="1"/>
        </w:rPr>
        <w:t xml:space="preserve"> </w:t>
      </w:r>
      <w:r>
        <w:t>de</w:t>
      </w:r>
      <w:r>
        <w:rPr>
          <w:spacing w:val="-2"/>
        </w:rPr>
        <w:t xml:space="preserve"> </w:t>
      </w:r>
      <w:r>
        <w:t>Expertos</w:t>
      </w:r>
      <w:r>
        <w:rPr>
          <w:spacing w:val="-6"/>
        </w:rPr>
        <w:t xml:space="preserve"> </w:t>
      </w:r>
      <w:r>
        <w:t>que</w:t>
      </w:r>
      <w:r>
        <w:rPr>
          <w:spacing w:val="-2"/>
        </w:rPr>
        <w:t xml:space="preserve"> </w:t>
      </w:r>
      <w:r>
        <w:t>acompañó</w:t>
      </w:r>
      <w:r>
        <w:rPr>
          <w:spacing w:val="-2"/>
        </w:rPr>
        <w:t xml:space="preserve"> </w:t>
      </w:r>
      <w:r>
        <w:t>el</w:t>
      </w:r>
      <w:r>
        <w:rPr>
          <w:spacing w:val="-8"/>
        </w:rPr>
        <w:t xml:space="preserve"> </w:t>
      </w:r>
      <w:r>
        <w:t>proceso</w:t>
      </w:r>
      <w:r>
        <w:rPr>
          <w:spacing w:val="-6"/>
        </w:rPr>
        <w:t xml:space="preserve"> </w:t>
      </w:r>
      <w:r>
        <w:t>de</w:t>
      </w:r>
      <w:r>
        <w:rPr>
          <w:spacing w:val="-5"/>
        </w:rPr>
        <w:t xml:space="preserve"> </w:t>
      </w:r>
      <w:r>
        <w:t>publicación</w:t>
      </w:r>
      <w:r>
        <w:rPr>
          <w:spacing w:val="-3"/>
        </w:rPr>
        <w:t xml:space="preserve"> </w:t>
      </w:r>
      <w:r>
        <w:t>de</w:t>
      </w:r>
      <w:r>
        <w:rPr>
          <w:spacing w:val="-2"/>
        </w:rPr>
        <w:t xml:space="preserve"> </w:t>
      </w:r>
      <w:r>
        <w:t>las</w:t>
      </w:r>
      <w:r>
        <w:rPr>
          <w:spacing w:val="-2"/>
        </w:rPr>
        <w:t xml:space="preserve"> </w:t>
      </w:r>
      <w:r>
        <w:t>cifras</w:t>
      </w:r>
      <w:r>
        <w:rPr>
          <w:spacing w:val="-2"/>
        </w:rPr>
        <w:t xml:space="preserve"> </w:t>
      </w:r>
      <w:r>
        <w:t>de</w:t>
      </w:r>
      <w:r>
        <w:rPr>
          <w:spacing w:val="-58"/>
        </w:rPr>
        <w:t xml:space="preserve"> </w:t>
      </w:r>
      <w:r>
        <w:t>pobreza monetaria, en el cálculo de las tasas de incidencia de pobreza, la medición del ingreso corriente está</w:t>
      </w:r>
      <w:r>
        <w:rPr>
          <w:spacing w:val="-59"/>
        </w:rPr>
        <w:t xml:space="preserve"> </w:t>
      </w:r>
      <w:r>
        <w:t>compuesta por el Ingreso Monetario de la Primera Actividad (IMPA) diferente a salarios y ganancias netas,</w:t>
      </w:r>
      <w:r>
        <w:rPr>
          <w:spacing w:val="1"/>
        </w:rPr>
        <w:t xml:space="preserve"> </w:t>
      </w:r>
      <w:r>
        <w:t>Ingresos de la Segunda Actividad (ISA), Ingresos en Especie (IE), Ingreso Monetario de Desocupados e</w:t>
      </w:r>
      <w:r>
        <w:rPr>
          <w:spacing w:val="1"/>
        </w:rPr>
        <w:t xml:space="preserve"> </w:t>
      </w:r>
      <w:r>
        <w:t>Inactivos (IMDI), Intereses y dividendos (IOF1), pensiones y jubilaciones (IOF2), pensión alimenticia y ayudas</w:t>
      </w:r>
      <w:r>
        <w:rPr>
          <w:spacing w:val="-59"/>
        </w:rPr>
        <w:t xml:space="preserve"> </w:t>
      </w:r>
      <w:r>
        <w:t>de</w:t>
      </w:r>
      <w:r>
        <w:rPr>
          <w:spacing w:val="-1"/>
        </w:rPr>
        <w:t xml:space="preserve"> </w:t>
      </w:r>
      <w:r>
        <w:t>hogares (IOF3H),</w:t>
      </w:r>
      <w:r>
        <w:rPr>
          <w:spacing w:val="-3"/>
        </w:rPr>
        <w:t xml:space="preserve"> </w:t>
      </w:r>
      <w:r>
        <w:t>ayudas institucionales</w:t>
      </w:r>
      <w:r>
        <w:rPr>
          <w:spacing w:val="-1"/>
        </w:rPr>
        <w:t xml:space="preserve"> </w:t>
      </w:r>
      <w:r>
        <w:t>(IOF3I)</w:t>
      </w:r>
      <w:r>
        <w:rPr>
          <w:spacing w:val="-3"/>
        </w:rPr>
        <w:t xml:space="preserve"> </w:t>
      </w:r>
      <w:r>
        <w:t>y</w:t>
      </w:r>
      <w:r>
        <w:rPr>
          <w:spacing w:val="-4"/>
        </w:rPr>
        <w:t xml:space="preserve"> </w:t>
      </w:r>
      <w:r>
        <w:t>arriendos.</w:t>
      </w:r>
    </w:p>
    <w:p w14:paraId="4790065A" w14:textId="7B507E63" w:rsidR="00FE4557" w:rsidRDefault="00FE4557" w:rsidP="00FE4557">
      <w:pPr>
        <w:pStyle w:val="TableParagraph"/>
        <w:jc w:val="both"/>
      </w:pPr>
    </w:p>
    <w:p w14:paraId="78A0EDD8" w14:textId="77777777" w:rsidR="00FE4557" w:rsidRDefault="00FE4557" w:rsidP="00FE4557">
      <w:pPr>
        <w:pStyle w:val="TableParagraph"/>
        <w:ind w:left="22" w:right="40"/>
        <w:jc w:val="both"/>
      </w:pPr>
      <w:r>
        <w:t>El</w:t>
      </w:r>
      <w:r>
        <w:rPr>
          <w:spacing w:val="-7"/>
        </w:rPr>
        <w:t xml:space="preserve"> </w:t>
      </w:r>
      <w:r>
        <w:t>Departamento</w:t>
      </w:r>
      <w:r>
        <w:rPr>
          <w:spacing w:val="-5"/>
        </w:rPr>
        <w:t xml:space="preserve"> </w:t>
      </w:r>
      <w:r>
        <w:t>Nacional</w:t>
      </w:r>
      <w:r>
        <w:rPr>
          <w:spacing w:val="-7"/>
        </w:rPr>
        <w:t xml:space="preserve"> </w:t>
      </w:r>
      <w:r>
        <w:t>de</w:t>
      </w:r>
      <w:r>
        <w:rPr>
          <w:spacing w:val="-1"/>
        </w:rPr>
        <w:t xml:space="preserve"> </w:t>
      </w:r>
      <w:r>
        <w:t>Planeación,</w:t>
      </w:r>
      <w:r>
        <w:rPr>
          <w:spacing w:val="-4"/>
        </w:rPr>
        <w:t xml:space="preserve"> </w:t>
      </w:r>
      <w:r>
        <w:t>que</w:t>
      </w:r>
      <w:r>
        <w:rPr>
          <w:spacing w:val="-1"/>
        </w:rPr>
        <w:t xml:space="preserve"> </w:t>
      </w:r>
      <w:r>
        <w:t>acompaña</w:t>
      </w:r>
      <w:r>
        <w:rPr>
          <w:spacing w:val="-2"/>
        </w:rPr>
        <w:t xml:space="preserve"> </w:t>
      </w:r>
      <w:r>
        <w:t>al</w:t>
      </w:r>
      <w:r>
        <w:rPr>
          <w:spacing w:val="-6"/>
        </w:rPr>
        <w:t xml:space="preserve"> </w:t>
      </w:r>
      <w:r>
        <w:t>DANE</w:t>
      </w:r>
      <w:r>
        <w:rPr>
          <w:spacing w:val="-5"/>
        </w:rPr>
        <w:t xml:space="preserve"> </w:t>
      </w:r>
      <w:r>
        <w:t>en</w:t>
      </w:r>
      <w:r>
        <w:rPr>
          <w:spacing w:val="-1"/>
        </w:rPr>
        <w:t xml:space="preserve"> </w:t>
      </w:r>
      <w:r>
        <w:t>el</w:t>
      </w:r>
      <w:r>
        <w:rPr>
          <w:spacing w:val="-7"/>
        </w:rPr>
        <w:t xml:space="preserve"> </w:t>
      </w:r>
      <w:r>
        <w:t>proceso</w:t>
      </w:r>
      <w:r>
        <w:rPr>
          <w:spacing w:val="-1"/>
        </w:rPr>
        <w:t xml:space="preserve"> </w:t>
      </w:r>
      <w:r>
        <w:t>de</w:t>
      </w:r>
      <w:r>
        <w:rPr>
          <w:spacing w:val="-2"/>
        </w:rPr>
        <w:t xml:space="preserve"> </w:t>
      </w:r>
      <w:r>
        <w:t>medición</w:t>
      </w:r>
      <w:r>
        <w:rPr>
          <w:spacing w:val="-1"/>
        </w:rPr>
        <w:t xml:space="preserve"> </w:t>
      </w:r>
      <w:r>
        <w:t>de</w:t>
      </w:r>
      <w:r>
        <w:rPr>
          <w:spacing w:val="-1"/>
        </w:rPr>
        <w:t xml:space="preserve"> </w:t>
      </w:r>
      <w:r>
        <w:t>la</w:t>
      </w:r>
      <w:r>
        <w:rPr>
          <w:spacing w:val="-1"/>
        </w:rPr>
        <w:t xml:space="preserve"> </w:t>
      </w:r>
      <w:r>
        <w:t>pobreza</w:t>
      </w:r>
      <w:r>
        <w:rPr>
          <w:spacing w:val="-1"/>
        </w:rPr>
        <w:t xml:space="preserve"> </w:t>
      </w:r>
      <w:r>
        <w:t>y</w:t>
      </w:r>
      <w:r>
        <w:rPr>
          <w:spacing w:val="-58"/>
        </w:rPr>
        <w:t xml:space="preserve"> </w:t>
      </w:r>
      <w:r>
        <w:t>pobreza extrema, proyectó que, en los 4 años de vigencia del Plan de Desarrollo Pacto por la Equidad, la</w:t>
      </w:r>
      <w:r>
        <w:rPr>
          <w:spacing w:val="1"/>
        </w:rPr>
        <w:t xml:space="preserve"> </w:t>
      </w:r>
      <w:r>
        <w:t>población en pobreza multidimensional disminuiría en 2.5 millones de personas (Del 17% al 11.9% en 2022),</w:t>
      </w:r>
      <w:r>
        <w:rPr>
          <w:spacing w:val="1"/>
        </w:rPr>
        <w:t xml:space="preserve"> </w:t>
      </w:r>
      <w:r>
        <w:t>dado</w:t>
      </w:r>
      <w:r>
        <w:rPr>
          <w:spacing w:val="-2"/>
        </w:rPr>
        <w:t xml:space="preserve"> </w:t>
      </w:r>
      <w:r>
        <w:t>a</w:t>
      </w:r>
      <w:r>
        <w:rPr>
          <w:spacing w:val="-1"/>
        </w:rPr>
        <w:t xml:space="preserve"> </w:t>
      </w:r>
      <w:r>
        <w:t>que</w:t>
      </w:r>
      <w:r>
        <w:rPr>
          <w:spacing w:val="-2"/>
        </w:rPr>
        <w:t xml:space="preserve"> </w:t>
      </w:r>
      <w:r>
        <w:t>el</w:t>
      </w:r>
      <w:r>
        <w:rPr>
          <w:spacing w:val="-7"/>
        </w:rPr>
        <w:t xml:space="preserve"> </w:t>
      </w:r>
      <w:r>
        <w:t>50%</w:t>
      </w:r>
      <w:r>
        <w:rPr>
          <w:spacing w:val="-3"/>
        </w:rPr>
        <w:t xml:space="preserve"> </w:t>
      </w:r>
      <w:r>
        <w:t>de</w:t>
      </w:r>
      <w:r>
        <w:rPr>
          <w:spacing w:val="-1"/>
        </w:rPr>
        <w:t xml:space="preserve"> </w:t>
      </w:r>
      <w:r>
        <w:t>los</w:t>
      </w:r>
      <w:r>
        <w:rPr>
          <w:spacing w:val="-2"/>
        </w:rPr>
        <w:t xml:space="preserve"> </w:t>
      </w:r>
      <w:r>
        <w:t>recursos</w:t>
      </w:r>
      <w:r>
        <w:rPr>
          <w:spacing w:val="-1"/>
        </w:rPr>
        <w:t xml:space="preserve"> </w:t>
      </w:r>
      <w:r>
        <w:t>en</w:t>
      </w:r>
      <w:r>
        <w:rPr>
          <w:spacing w:val="-2"/>
        </w:rPr>
        <w:t xml:space="preserve"> </w:t>
      </w:r>
      <w:r>
        <w:t>el</w:t>
      </w:r>
      <w:r>
        <w:rPr>
          <w:spacing w:val="-4"/>
        </w:rPr>
        <w:t xml:space="preserve"> </w:t>
      </w:r>
      <w:r>
        <w:t>Plan</w:t>
      </w:r>
      <w:r>
        <w:rPr>
          <w:spacing w:val="-2"/>
        </w:rPr>
        <w:t xml:space="preserve"> </w:t>
      </w:r>
      <w:r>
        <w:t>Plurianual</w:t>
      </w:r>
      <w:r>
        <w:rPr>
          <w:spacing w:val="-7"/>
        </w:rPr>
        <w:t xml:space="preserve"> </w:t>
      </w:r>
      <w:r>
        <w:t>de</w:t>
      </w:r>
      <w:r>
        <w:rPr>
          <w:spacing w:val="-1"/>
        </w:rPr>
        <w:t xml:space="preserve"> </w:t>
      </w:r>
      <w:r>
        <w:t>Inversiones</w:t>
      </w:r>
      <w:r>
        <w:rPr>
          <w:spacing w:val="-2"/>
        </w:rPr>
        <w:t xml:space="preserve"> </w:t>
      </w:r>
      <w:r>
        <w:t>estarían</w:t>
      </w:r>
      <w:r>
        <w:rPr>
          <w:spacing w:val="-1"/>
        </w:rPr>
        <w:t xml:space="preserve"> </w:t>
      </w:r>
      <w:r>
        <w:t>dirigidos</w:t>
      </w:r>
      <w:r>
        <w:rPr>
          <w:spacing w:val="-2"/>
        </w:rPr>
        <w:t xml:space="preserve"> </w:t>
      </w:r>
      <w:r>
        <w:t>a</w:t>
      </w:r>
      <w:r>
        <w:rPr>
          <w:spacing w:val="-1"/>
        </w:rPr>
        <w:t xml:space="preserve"> </w:t>
      </w:r>
      <w:r>
        <w:t>este</w:t>
      </w:r>
      <w:r>
        <w:rPr>
          <w:spacing w:val="-2"/>
        </w:rPr>
        <w:t xml:space="preserve"> </w:t>
      </w:r>
      <w:r>
        <w:t>propósito.</w:t>
      </w:r>
    </w:p>
    <w:p w14:paraId="50D179FE" w14:textId="77777777" w:rsidR="00FE4557" w:rsidRDefault="00FE4557" w:rsidP="00FE4557">
      <w:pPr>
        <w:pStyle w:val="TableParagraph"/>
        <w:spacing w:before="3"/>
      </w:pPr>
    </w:p>
    <w:p w14:paraId="0F41EF4D" w14:textId="77777777" w:rsidR="00FE4557" w:rsidRDefault="00FE4557" w:rsidP="00FE4557">
      <w:pPr>
        <w:pStyle w:val="TableParagraph"/>
        <w:spacing w:before="1"/>
        <w:ind w:left="265" w:right="487"/>
        <w:jc w:val="center"/>
        <w:rPr>
          <w:b/>
        </w:rPr>
      </w:pPr>
      <w:r>
        <w:rPr>
          <w:b/>
        </w:rPr>
        <w:t>Diferencia</w:t>
      </w:r>
      <w:r>
        <w:rPr>
          <w:b/>
          <w:spacing w:val="-4"/>
        </w:rPr>
        <w:t xml:space="preserve"> </w:t>
      </w:r>
      <w:r>
        <w:rPr>
          <w:b/>
        </w:rPr>
        <w:t>incidencias</w:t>
      </w:r>
      <w:r>
        <w:rPr>
          <w:b/>
          <w:spacing w:val="-4"/>
        </w:rPr>
        <w:t xml:space="preserve"> </w:t>
      </w:r>
      <w:r>
        <w:rPr>
          <w:b/>
        </w:rPr>
        <w:t>de</w:t>
      </w:r>
      <w:r>
        <w:rPr>
          <w:b/>
          <w:spacing w:val="-3"/>
        </w:rPr>
        <w:t xml:space="preserve"> </w:t>
      </w:r>
      <w:r>
        <w:rPr>
          <w:b/>
        </w:rPr>
        <w:t>pobreza</w:t>
      </w:r>
      <w:r>
        <w:rPr>
          <w:b/>
          <w:spacing w:val="-4"/>
        </w:rPr>
        <w:t xml:space="preserve"> </w:t>
      </w:r>
      <w:r>
        <w:rPr>
          <w:b/>
        </w:rPr>
        <w:t>monetaria.</w:t>
      </w:r>
      <w:r>
        <w:rPr>
          <w:b/>
          <w:spacing w:val="-6"/>
        </w:rPr>
        <w:t xml:space="preserve"> </w:t>
      </w:r>
      <w:r>
        <w:rPr>
          <w:b/>
        </w:rPr>
        <w:t>Departamentos.</w:t>
      </w:r>
      <w:r>
        <w:rPr>
          <w:b/>
          <w:spacing w:val="-6"/>
        </w:rPr>
        <w:t xml:space="preserve"> </w:t>
      </w:r>
      <w:r>
        <w:rPr>
          <w:b/>
        </w:rPr>
        <w:t>(2019</w:t>
      </w:r>
      <w:r>
        <w:rPr>
          <w:b/>
          <w:spacing w:val="4"/>
        </w:rPr>
        <w:t xml:space="preserve"> </w:t>
      </w:r>
      <w:r>
        <w:rPr>
          <w:b/>
        </w:rPr>
        <w:t>-2021)</w:t>
      </w:r>
    </w:p>
    <w:p w14:paraId="6F861145" w14:textId="77777777" w:rsidR="00FE4557" w:rsidRDefault="00FE4557" w:rsidP="00FE4557">
      <w:pPr>
        <w:pStyle w:val="TableParagraph"/>
        <w:ind w:left="131"/>
        <w:rPr>
          <w:sz w:val="20"/>
        </w:rPr>
      </w:pPr>
      <w:r>
        <w:rPr>
          <w:noProof/>
          <w:sz w:val="20"/>
        </w:rPr>
        <w:lastRenderedPageBreak/>
        <w:drawing>
          <wp:inline distT="0" distB="0" distL="0" distR="0" wp14:anchorId="7D8C2C8A" wp14:editId="3398E826">
            <wp:extent cx="5504562" cy="2381693"/>
            <wp:effectExtent l="0" t="0" r="0" b="6350"/>
            <wp:docPr id="63" name="image1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2.jpeg"/>
                    <pic:cNvPicPr/>
                  </pic:nvPicPr>
                  <pic:blipFill>
                    <a:blip r:embed="rId24" cstate="print"/>
                    <a:stretch>
                      <a:fillRect/>
                    </a:stretch>
                  </pic:blipFill>
                  <pic:spPr>
                    <a:xfrm>
                      <a:off x="0" y="0"/>
                      <a:ext cx="5536511" cy="2395517"/>
                    </a:xfrm>
                    <a:prstGeom prst="rect">
                      <a:avLst/>
                    </a:prstGeom>
                  </pic:spPr>
                </pic:pic>
              </a:graphicData>
            </a:graphic>
          </wp:inline>
        </w:drawing>
      </w:r>
    </w:p>
    <w:p w14:paraId="05517C08" w14:textId="77777777" w:rsidR="00FE4557" w:rsidRDefault="00FE4557" w:rsidP="00FE4557">
      <w:pPr>
        <w:pStyle w:val="TableParagraph"/>
        <w:spacing w:before="19"/>
        <w:ind w:right="358"/>
        <w:jc w:val="right"/>
        <w:rPr>
          <w:sz w:val="16"/>
        </w:rPr>
      </w:pPr>
      <w:r>
        <w:rPr>
          <w:sz w:val="16"/>
        </w:rPr>
        <w:t>Fuente:</w:t>
      </w:r>
      <w:r>
        <w:rPr>
          <w:spacing w:val="-2"/>
          <w:sz w:val="16"/>
        </w:rPr>
        <w:t xml:space="preserve"> </w:t>
      </w:r>
      <w:r>
        <w:rPr>
          <w:sz w:val="16"/>
        </w:rPr>
        <w:t>DANE</w:t>
      </w:r>
    </w:p>
    <w:p w14:paraId="220FEB0B" w14:textId="77777777" w:rsidR="00FE4557" w:rsidRDefault="00FE4557" w:rsidP="00FE4557">
      <w:pPr>
        <w:pStyle w:val="TableParagraph"/>
        <w:spacing w:before="6"/>
        <w:rPr>
          <w:sz w:val="21"/>
        </w:rPr>
      </w:pPr>
    </w:p>
    <w:p w14:paraId="57B8B7F2" w14:textId="77777777" w:rsidR="00FE4557" w:rsidRDefault="00FE4557">
      <w:pPr>
        <w:pStyle w:val="TableParagraph"/>
        <w:numPr>
          <w:ilvl w:val="3"/>
          <w:numId w:val="10"/>
        </w:numPr>
        <w:tabs>
          <w:tab w:val="left" w:pos="1438"/>
          <w:tab w:val="left" w:pos="1439"/>
        </w:tabs>
        <w:spacing w:before="1"/>
        <w:ind w:hanging="1417"/>
        <w:rPr>
          <w:b/>
        </w:rPr>
      </w:pPr>
      <w:r>
        <w:rPr>
          <w:b/>
        </w:rPr>
        <w:t>Desplazados</w:t>
      </w:r>
      <w:r>
        <w:rPr>
          <w:b/>
          <w:spacing w:val="-4"/>
        </w:rPr>
        <w:t xml:space="preserve"> </w:t>
      </w:r>
      <w:r>
        <w:rPr>
          <w:b/>
        </w:rPr>
        <w:t>por</w:t>
      </w:r>
      <w:r>
        <w:rPr>
          <w:b/>
          <w:spacing w:val="-6"/>
        </w:rPr>
        <w:t xml:space="preserve"> </w:t>
      </w:r>
      <w:r>
        <w:rPr>
          <w:b/>
        </w:rPr>
        <w:t>la</w:t>
      </w:r>
      <w:r>
        <w:rPr>
          <w:b/>
          <w:spacing w:val="-3"/>
        </w:rPr>
        <w:t xml:space="preserve"> </w:t>
      </w:r>
      <w:r>
        <w:rPr>
          <w:b/>
        </w:rPr>
        <w:t>violencia:</w:t>
      </w:r>
    </w:p>
    <w:p w14:paraId="6475AC88" w14:textId="77777777" w:rsidR="00FE4557" w:rsidRDefault="00FE4557" w:rsidP="00FE4557">
      <w:pPr>
        <w:pStyle w:val="TableParagraph"/>
        <w:spacing w:before="1"/>
      </w:pPr>
    </w:p>
    <w:p w14:paraId="1168D3A5" w14:textId="5CC88815" w:rsidR="00FE4557" w:rsidRDefault="00FE4557" w:rsidP="00FE4557">
      <w:pPr>
        <w:pStyle w:val="TableParagraph"/>
        <w:spacing w:before="1"/>
        <w:ind w:left="22" w:right="47"/>
        <w:jc w:val="both"/>
      </w:pPr>
      <w:r>
        <w:t>De acuerdo con el Sistema de Información sobre Derechos Humanos y Desplazamiento (SISDHES) de la</w:t>
      </w:r>
      <w:r>
        <w:rPr>
          <w:spacing w:val="1"/>
        </w:rPr>
        <w:t xml:space="preserve"> </w:t>
      </w:r>
      <w:r>
        <w:t>Consultoría</w:t>
      </w:r>
      <w:r>
        <w:rPr>
          <w:spacing w:val="-4"/>
        </w:rPr>
        <w:t xml:space="preserve"> </w:t>
      </w:r>
      <w:r>
        <w:t>para</w:t>
      </w:r>
      <w:r>
        <w:rPr>
          <w:spacing w:val="-3"/>
        </w:rPr>
        <w:t xml:space="preserve"> </w:t>
      </w:r>
      <w:r>
        <w:t>los</w:t>
      </w:r>
      <w:r>
        <w:rPr>
          <w:spacing w:val="-4"/>
        </w:rPr>
        <w:t xml:space="preserve"> </w:t>
      </w:r>
      <w:r>
        <w:t>derechos</w:t>
      </w:r>
      <w:r>
        <w:rPr>
          <w:spacing w:val="-3"/>
        </w:rPr>
        <w:t xml:space="preserve"> </w:t>
      </w:r>
      <w:r>
        <w:t>humanos</w:t>
      </w:r>
      <w:r>
        <w:rPr>
          <w:spacing w:val="-4"/>
        </w:rPr>
        <w:t xml:space="preserve"> </w:t>
      </w:r>
      <w:r>
        <w:t>y</w:t>
      </w:r>
      <w:r>
        <w:rPr>
          <w:spacing w:val="-10"/>
        </w:rPr>
        <w:t xml:space="preserve"> </w:t>
      </w:r>
      <w:r>
        <w:t>desplazamiento</w:t>
      </w:r>
      <w:r>
        <w:rPr>
          <w:spacing w:val="-3"/>
        </w:rPr>
        <w:t xml:space="preserve"> </w:t>
      </w:r>
      <w:r>
        <w:t>(CODHES),</w:t>
      </w:r>
      <w:r>
        <w:rPr>
          <w:spacing w:val="-7"/>
        </w:rPr>
        <w:t xml:space="preserve"> </w:t>
      </w:r>
      <w:r>
        <w:t>creado</w:t>
      </w:r>
      <w:r>
        <w:rPr>
          <w:spacing w:val="-3"/>
        </w:rPr>
        <w:t xml:space="preserve"> </w:t>
      </w:r>
      <w:r>
        <w:t>para</w:t>
      </w:r>
      <w:r>
        <w:rPr>
          <w:spacing w:val="-7"/>
        </w:rPr>
        <w:t xml:space="preserve"> </w:t>
      </w:r>
      <w:r>
        <w:t>monitorear</w:t>
      </w:r>
      <w:r>
        <w:rPr>
          <w:spacing w:val="-7"/>
        </w:rPr>
        <w:t xml:space="preserve"> </w:t>
      </w:r>
      <w:r>
        <w:t>la</w:t>
      </w:r>
      <w:r>
        <w:rPr>
          <w:spacing w:val="-3"/>
        </w:rPr>
        <w:t xml:space="preserve"> </w:t>
      </w:r>
      <w:r>
        <w:t>situación</w:t>
      </w:r>
      <w:r>
        <w:rPr>
          <w:spacing w:val="-4"/>
        </w:rPr>
        <w:t xml:space="preserve"> </w:t>
      </w:r>
      <w:r>
        <w:t>de</w:t>
      </w:r>
      <w:r>
        <w:rPr>
          <w:spacing w:val="-58"/>
        </w:rPr>
        <w:t xml:space="preserve"> </w:t>
      </w:r>
      <w:r>
        <w:t>desplazamiento forzado informó las</w:t>
      </w:r>
      <w:r>
        <w:rPr>
          <w:spacing w:val="1"/>
        </w:rPr>
        <w:t xml:space="preserve"> </w:t>
      </w:r>
      <w:r>
        <w:t>estadísticas</w:t>
      </w:r>
      <w:r>
        <w:rPr>
          <w:spacing w:val="1"/>
        </w:rPr>
        <w:t xml:space="preserve"> </w:t>
      </w:r>
      <w:r>
        <w:t>respecto a la situación de desplazamiento forzado en</w:t>
      </w:r>
      <w:r>
        <w:rPr>
          <w:spacing w:val="1"/>
        </w:rPr>
        <w:t xml:space="preserve"> </w:t>
      </w:r>
      <w:r>
        <w:t>Colombia,</w:t>
      </w:r>
      <w:r>
        <w:rPr>
          <w:spacing w:val="-4"/>
        </w:rPr>
        <w:t xml:space="preserve"> </w:t>
      </w:r>
      <w:r>
        <w:t>con los siguientes resultados:</w:t>
      </w:r>
    </w:p>
    <w:p w14:paraId="14197196" w14:textId="2F2746CF" w:rsidR="00FE4557" w:rsidRDefault="00FE4557" w:rsidP="00FE4557">
      <w:pPr>
        <w:pStyle w:val="TableParagraph"/>
        <w:spacing w:before="1"/>
        <w:ind w:left="22" w:right="47"/>
        <w:jc w:val="both"/>
      </w:pPr>
    </w:p>
    <w:p w14:paraId="4105EE73" w14:textId="5517D28D" w:rsidR="00FE4557" w:rsidRDefault="00FE4557">
      <w:pPr>
        <w:pStyle w:val="TableParagraph"/>
        <w:numPr>
          <w:ilvl w:val="4"/>
          <w:numId w:val="10"/>
        </w:numPr>
        <w:tabs>
          <w:tab w:val="left" w:pos="743"/>
        </w:tabs>
        <w:spacing w:before="1" w:line="237" w:lineRule="auto"/>
        <w:ind w:right="48"/>
        <w:jc w:val="both"/>
      </w:pPr>
      <w:r>
        <w:t>82.846 personas fueron desplazadas entre enero y noviembre de 202</w:t>
      </w:r>
      <w:r w:rsidR="00B43F42">
        <w:t>2</w:t>
      </w:r>
      <w:r>
        <w:t>. Esta cifra representa un</w:t>
      </w:r>
      <w:r>
        <w:rPr>
          <w:spacing w:val="1"/>
        </w:rPr>
        <w:t xml:space="preserve"> </w:t>
      </w:r>
      <w:r>
        <w:t>aumento del</w:t>
      </w:r>
      <w:r>
        <w:rPr>
          <w:spacing w:val="-6"/>
        </w:rPr>
        <w:t xml:space="preserve"> </w:t>
      </w:r>
      <w:r>
        <w:t>169%</w:t>
      </w:r>
      <w:r>
        <w:rPr>
          <w:spacing w:val="-1"/>
        </w:rPr>
        <w:t xml:space="preserve"> </w:t>
      </w:r>
      <w:r>
        <w:t>respecto al</w:t>
      </w:r>
      <w:r>
        <w:rPr>
          <w:spacing w:val="-6"/>
        </w:rPr>
        <w:t xml:space="preserve"> </w:t>
      </w:r>
      <w:r>
        <w:t>202</w:t>
      </w:r>
      <w:r w:rsidR="00B43F42">
        <w:t>1</w:t>
      </w:r>
      <w:r>
        <w:t>.</w:t>
      </w:r>
    </w:p>
    <w:p w14:paraId="1B9992E3" w14:textId="77777777" w:rsidR="00FE4557" w:rsidRDefault="00FE4557">
      <w:pPr>
        <w:pStyle w:val="TableParagraph"/>
        <w:numPr>
          <w:ilvl w:val="4"/>
          <w:numId w:val="10"/>
        </w:numPr>
        <w:tabs>
          <w:tab w:val="left" w:pos="743"/>
        </w:tabs>
        <w:spacing w:line="269" w:lineRule="exact"/>
        <w:ind w:hanging="361"/>
        <w:jc w:val="both"/>
      </w:pPr>
      <w:r>
        <w:t>Ocurrieron</w:t>
      </w:r>
      <w:r>
        <w:rPr>
          <w:spacing w:val="-4"/>
        </w:rPr>
        <w:t xml:space="preserve"> </w:t>
      </w:r>
      <w:r>
        <w:t>167</w:t>
      </w:r>
      <w:r>
        <w:rPr>
          <w:spacing w:val="-3"/>
        </w:rPr>
        <w:t xml:space="preserve"> </w:t>
      </w:r>
      <w:r>
        <w:t>eventos</w:t>
      </w:r>
      <w:r>
        <w:rPr>
          <w:spacing w:val="-4"/>
        </w:rPr>
        <w:t xml:space="preserve"> </w:t>
      </w:r>
      <w:r>
        <w:t>de</w:t>
      </w:r>
      <w:r>
        <w:rPr>
          <w:spacing w:val="-3"/>
        </w:rPr>
        <w:t xml:space="preserve"> </w:t>
      </w:r>
      <w:r>
        <w:t>desplazamientos</w:t>
      </w:r>
      <w:r>
        <w:rPr>
          <w:spacing w:val="-8"/>
        </w:rPr>
        <w:t xml:space="preserve"> </w:t>
      </w:r>
      <w:r>
        <w:t>masivos</w:t>
      </w:r>
      <w:r>
        <w:rPr>
          <w:spacing w:val="-3"/>
        </w:rPr>
        <w:t xml:space="preserve"> </w:t>
      </w:r>
      <w:r>
        <w:t>y</w:t>
      </w:r>
      <w:r>
        <w:rPr>
          <w:spacing w:val="-7"/>
        </w:rPr>
        <w:t xml:space="preserve"> </w:t>
      </w:r>
      <w:r>
        <w:t>múltiples.</w:t>
      </w:r>
    </w:p>
    <w:p w14:paraId="6DA4D186" w14:textId="2BE1860B" w:rsidR="00FE4557" w:rsidRDefault="00FE4557">
      <w:pPr>
        <w:pStyle w:val="TableParagraph"/>
        <w:numPr>
          <w:ilvl w:val="4"/>
          <w:numId w:val="10"/>
        </w:numPr>
        <w:tabs>
          <w:tab w:val="left" w:pos="743"/>
        </w:tabs>
        <w:spacing w:before="2" w:line="237" w:lineRule="auto"/>
        <w:ind w:right="42"/>
        <w:jc w:val="both"/>
      </w:pPr>
      <w:r>
        <w:t>Las</w:t>
      </w:r>
      <w:r>
        <w:rPr>
          <w:spacing w:val="-6"/>
        </w:rPr>
        <w:t xml:space="preserve"> </w:t>
      </w:r>
      <w:r>
        <w:t>mayores</w:t>
      </w:r>
      <w:r>
        <w:rPr>
          <w:spacing w:val="-6"/>
        </w:rPr>
        <w:t xml:space="preserve"> </w:t>
      </w:r>
      <w:r>
        <w:t>afectaciones</w:t>
      </w:r>
      <w:r>
        <w:rPr>
          <w:spacing w:val="-6"/>
        </w:rPr>
        <w:t xml:space="preserve"> </w:t>
      </w:r>
      <w:r>
        <w:t>se</w:t>
      </w:r>
      <w:r>
        <w:rPr>
          <w:spacing w:val="-2"/>
        </w:rPr>
        <w:t xml:space="preserve"> </w:t>
      </w:r>
      <w:r>
        <w:t>dan</w:t>
      </w:r>
      <w:r>
        <w:rPr>
          <w:spacing w:val="-6"/>
        </w:rPr>
        <w:t xml:space="preserve"> </w:t>
      </w:r>
      <w:r>
        <w:t>a</w:t>
      </w:r>
      <w:r>
        <w:rPr>
          <w:spacing w:val="-2"/>
        </w:rPr>
        <w:t xml:space="preserve"> </w:t>
      </w:r>
      <w:r>
        <w:t>personas</w:t>
      </w:r>
      <w:r>
        <w:rPr>
          <w:spacing w:val="-6"/>
        </w:rPr>
        <w:t xml:space="preserve"> </w:t>
      </w:r>
      <w:r>
        <w:t>de</w:t>
      </w:r>
      <w:r>
        <w:rPr>
          <w:spacing w:val="-2"/>
        </w:rPr>
        <w:t xml:space="preserve"> </w:t>
      </w:r>
      <w:r>
        <w:t>pueblos</w:t>
      </w:r>
      <w:r>
        <w:rPr>
          <w:spacing w:val="-3"/>
        </w:rPr>
        <w:t xml:space="preserve"> </w:t>
      </w:r>
      <w:r>
        <w:t>étnicos:</w:t>
      </w:r>
      <w:r>
        <w:rPr>
          <w:spacing w:val="-5"/>
        </w:rPr>
        <w:t xml:space="preserve"> </w:t>
      </w:r>
      <w:r>
        <w:t>7</w:t>
      </w:r>
      <w:r>
        <w:rPr>
          <w:spacing w:val="-2"/>
        </w:rPr>
        <w:t xml:space="preserve"> </w:t>
      </w:r>
      <w:r>
        <w:t>de</w:t>
      </w:r>
      <w:r>
        <w:rPr>
          <w:spacing w:val="-2"/>
        </w:rPr>
        <w:t xml:space="preserve"> </w:t>
      </w:r>
      <w:r>
        <w:t>cada</w:t>
      </w:r>
      <w:r>
        <w:rPr>
          <w:spacing w:val="-2"/>
        </w:rPr>
        <w:t xml:space="preserve"> </w:t>
      </w:r>
      <w:r>
        <w:t>10</w:t>
      </w:r>
      <w:r>
        <w:rPr>
          <w:spacing w:val="-2"/>
        </w:rPr>
        <w:t xml:space="preserve"> </w:t>
      </w:r>
      <w:r>
        <w:t>personas</w:t>
      </w:r>
      <w:r>
        <w:rPr>
          <w:spacing w:val="-6"/>
        </w:rPr>
        <w:t xml:space="preserve"> </w:t>
      </w:r>
      <w:r>
        <w:t>desplazadas</w:t>
      </w:r>
      <w:r>
        <w:rPr>
          <w:spacing w:val="-59"/>
        </w:rPr>
        <w:t xml:space="preserve"> </w:t>
      </w:r>
      <w:r>
        <w:t>en</w:t>
      </w:r>
      <w:r>
        <w:rPr>
          <w:spacing w:val="1"/>
        </w:rPr>
        <w:t xml:space="preserve"> </w:t>
      </w:r>
      <w:r>
        <w:t>2021,</w:t>
      </w:r>
      <w:r>
        <w:rPr>
          <w:spacing w:val="1"/>
        </w:rPr>
        <w:t xml:space="preserve"> </w:t>
      </w:r>
      <w:r>
        <w:t>tienen</w:t>
      </w:r>
      <w:r>
        <w:rPr>
          <w:spacing w:val="1"/>
        </w:rPr>
        <w:t xml:space="preserve"> </w:t>
      </w:r>
      <w:r>
        <w:t>pertenencia</w:t>
      </w:r>
      <w:r>
        <w:rPr>
          <w:spacing w:val="1"/>
        </w:rPr>
        <w:t xml:space="preserve"> </w:t>
      </w:r>
      <w:r>
        <w:t>étnica.</w:t>
      </w:r>
      <w:r>
        <w:rPr>
          <w:spacing w:val="1"/>
        </w:rPr>
        <w:t xml:space="preserve"> </w:t>
      </w:r>
      <w:r>
        <w:t>37.664</w:t>
      </w:r>
      <w:r>
        <w:rPr>
          <w:spacing w:val="1"/>
        </w:rPr>
        <w:t xml:space="preserve"> </w:t>
      </w:r>
      <w:r>
        <w:t>personas</w:t>
      </w:r>
      <w:r>
        <w:rPr>
          <w:spacing w:val="1"/>
        </w:rPr>
        <w:t xml:space="preserve"> </w:t>
      </w:r>
      <w:r>
        <w:t>afrodescendientes</w:t>
      </w:r>
      <w:r>
        <w:rPr>
          <w:spacing w:val="1"/>
        </w:rPr>
        <w:t xml:space="preserve"> </w:t>
      </w:r>
      <w:r>
        <w:t>fueron</w:t>
      </w:r>
      <w:r>
        <w:rPr>
          <w:spacing w:val="1"/>
        </w:rPr>
        <w:t xml:space="preserve"> </w:t>
      </w:r>
      <w:r>
        <w:t>desplazadas</w:t>
      </w:r>
      <w:r>
        <w:rPr>
          <w:spacing w:val="1"/>
        </w:rPr>
        <w:t xml:space="preserve"> </w:t>
      </w:r>
      <w:r>
        <w:t>forzosamente.</w:t>
      </w:r>
      <w:r>
        <w:rPr>
          <w:spacing w:val="-4"/>
        </w:rPr>
        <w:t xml:space="preserve"> </w:t>
      </w:r>
      <w:r>
        <w:t>18.979 indígenas</w:t>
      </w:r>
      <w:r>
        <w:rPr>
          <w:spacing w:val="-1"/>
        </w:rPr>
        <w:t xml:space="preserve"> </w:t>
      </w:r>
      <w:r>
        <w:t>fueron desplazados</w:t>
      </w:r>
      <w:r>
        <w:rPr>
          <w:spacing w:val="-1"/>
        </w:rPr>
        <w:t xml:space="preserve"> </w:t>
      </w:r>
      <w:r>
        <w:t>forzosamente.</w:t>
      </w:r>
    </w:p>
    <w:p w14:paraId="5A0D980B" w14:textId="75546862" w:rsidR="00FE4557" w:rsidRDefault="00FE4557">
      <w:pPr>
        <w:pStyle w:val="TableParagraph"/>
        <w:numPr>
          <w:ilvl w:val="4"/>
          <w:numId w:val="10"/>
        </w:numPr>
        <w:tabs>
          <w:tab w:val="left" w:pos="743"/>
        </w:tabs>
        <w:spacing w:before="2" w:line="237" w:lineRule="auto"/>
        <w:ind w:right="42"/>
        <w:jc w:val="both"/>
      </w:pPr>
      <w:r>
        <w:t>4 fueron los departamentos más afectados por el desplazamiento: Nariño, Antioquia, Chocó y Cauca</w:t>
      </w:r>
      <w:r w:rsidRPr="00FE4557">
        <w:rPr>
          <w:spacing w:val="1"/>
        </w:rPr>
        <w:t xml:space="preserve"> </w:t>
      </w:r>
      <w:r>
        <w:t>siendo</w:t>
      </w:r>
      <w:r w:rsidRPr="00FE4557">
        <w:rPr>
          <w:spacing w:val="-2"/>
        </w:rPr>
        <w:t xml:space="preserve"> </w:t>
      </w:r>
      <w:r>
        <w:t>la</w:t>
      </w:r>
      <w:r w:rsidRPr="00FE4557">
        <w:rPr>
          <w:spacing w:val="-1"/>
        </w:rPr>
        <w:t xml:space="preserve"> </w:t>
      </w:r>
      <w:r>
        <w:t>región</w:t>
      </w:r>
      <w:r w:rsidRPr="00FE4557">
        <w:rPr>
          <w:spacing w:val="-2"/>
        </w:rPr>
        <w:t xml:space="preserve"> </w:t>
      </w:r>
      <w:r>
        <w:t>del</w:t>
      </w:r>
      <w:r w:rsidRPr="00FE4557">
        <w:rPr>
          <w:spacing w:val="-7"/>
        </w:rPr>
        <w:t xml:space="preserve"> </w:t>
      </w:r>
      <w:r>
        <w:t>Pacífico</w:t>
      </w:r>
      <w:r w:rsidRPr="00FE4557">
        <w:rPr>
          <w:spacing w:val="-1"/>
        </w:rPr>
        <w:t xml:space="preserve"> </w:t>
      </w:r>
      <w:r>
        <w:t>la</w:t>
      </w:r>
      <w:r w:rsidRPr="00FE4557">
        <w:rPr>
          <w:spacing w:val="-2"/>
        </w:rPr>
        <w:t xml:space="preserve"> </w:t>
      </w:r>
      <w:r>
        <w:t>que</w:t>
      </w:r>
      <w:r w:rsidRPr="00FE4557">
        <w:rPr>
          <w:spacing w:val="-1"/>
        </w:rPr>
        <w:t xml:space="preserve"> </w:t>
      </w:r>
      <w:r>
        <w:t>tuvo</w:t>
      </w:r>
      <w:r w:rsidRPr="00FE4557">
        <w:rPr>
          <w:spacing w:val="-2"/>
        </w:rPr>
        <w:t xml:space="preserve"> </w:t>
      </w:r>
      <w:r>
        <w:t>un</w:t>
      </w:r>
      <w:r w:rsidRPr="00FE4557">
        <w:rPr>
          <w:spacing w:val="-1"/>
        </w:rPr>
        <w:t xml:space="preserve"> </w:t>
      </w:r>
      <w:r>
        <w:t>mayor</w:t>
      </w:r>
      <w:r w:rsidRPr="00FE4557">
        <w:rPr>
          <w:spacing w:val="-4"/>
        </w:rPr>
        <w:t xml:space="preserve"> </w:t>
      </w:r>
      <w:r>
        <w:t>número</w:t>
      </w:r>
      <w:r w:rsidRPr="00FE4557">
        <w:rPr>
          <w:spacing w:val="-2"/>
        </w:rPr>
        <w:t xml:space="preserve"> </w:t>
      </w:r>
      <w:r>
        <w:t>de</w:t>
      </w:r>
      <w:r w:rsidRPr="00FE4557">
        <w:rPr>
          <w:spacing w:val="-5"/>
        </w:rPr>
        <w:t xml:space="preserve"> </w:t>
      </w:r>
      <w:r>
        <w:t>víctimas</w:t>
      </w:r>
      <w:r w:rsidRPr="00FE4557">
        <w:rPr>
          <w:spacing w:val="-2"/>
        </w:rPr>
        <w:t xml:space="preserve"> </w:t>
      </w:r>
      <w:r>
        <w:t>de</w:t>
      </w:r>
      <w:r w:rsidRPr="00FE4557">
        <w:rPr>
          <w:spacing w:val="-1"/>
        </w:rPr>
        <w:t xml:space="preserve"> </w:t>
      </w:r>
      <w:r>
        <w:t>desplazamiento</w:t>
      </w:r>
      <w:r w:rsidRPr="00FE4557">
        <w:rPr>
          <w:spacing w:val="-1"/>
        </w:rPr>
        <w:t xml:space="preserve"> </w:t>
      </w:r>
      <w:r>
        <w:t>forzado.</w:t>
      </w:r>
    </w:p>
    <w:p w14:paraId="69345CCF" w14:textId="77777777" w:rsidR="00FE4557" w:rsidRDefault="00FE4557">
      <w:pPr>
        <w:pStyle w:val="TableParagraph"/>
        <w:numPr>
          <w:ilvl w:val="0"/>
          <w:numId w:val="11"/>
        </w:numPr>
        <w:tabs>
          <w:tab w:val="left" w:pos="743"/>
        </w:tabs>
        <w:spacing w:before="60" w:after="3" w:line="237" w:lineRule="auto"/>
        <w:ind w:right="45"/>
        <w:jc w:val="both"/>
      </w:pPr>
      <w:r>
        <w:t>2021 es el año con mayor número de desplazamientos masivos y múltiples ocurridos desde hace 5</w:t>
      </w:r>
      <w:r>
        <w:rPr>
          <w:spacing w:val="1"/>
        </w:rPr>
        <w:t xml:space="preserve"> </w:t>
      </w:r>
      <w:r>
        <w:t>años: 2017: 18.382 personas desplazadas. 2018: 52.601. 2019: 33.673. 2020: 35.864. 2021 (ene. a</w:t>
      </w:r>
      <w:r>
        <w:rPr>
          <w:spacing w:val="1"/>
        </w:rPr>
        <w:t xml:space="preserve"> </w:t>
      </w:r>
      <w:r>
        <w:t>nov.):</w:t>
      </w:r>
      <w:r>
        <w:rPr>
          <w:spacing w:val="-4"/>
        </w:rPr>
        <w:t xml:space="preserve"> </w:t>
      </w:r>
      <w:r>
        <w:t>82.846 personas</w:t>
      </w:r>
      <w:r>
        <w:rPr>
          <w:spacing w:val="-4"/>
        </w:rPr>
        <w:t xml:space="preserve"> </w:t>
      </w:r>
      <w:r>
        <w:t>desplazadas.</w:t>
      </w:r>
    </w:p>
    <w:p w14:paraId="18D9596D" w14:textId="77777777" w:rsidR="00FE4557" w:rsidRDefault="00FE4557" w:rsidP="000B0465">
      <w:pPr>
        <w:pStyle w:val="TableParagraph"/>
        <w:ind w:left="1117"/>
        <w:jc w:val="center"/>
        <w:rPr>
          <w:sz w:val="20"/>
        </w:rPr>
      </w:pPr>
      <w:r>
        <w:rPr>
          <w:noProof/>
          <w:sz w:val="20"/>
        </w:rPr>
        <w:drawing>
          <wp:inline distT="0" distB="0" distL="0" distR="0" wp14:anchorId="25CD1EB6" wp14:editId="36DD5683">
            <wp:extent cx="2666504" cy="2806996"/>
            <wp:effectExtent l="0" t="0" r="635" b="0"/>
            <wp:docPr id="65" name="image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73.png"/>
                    <pic:cNvPicPr/>
                  </pic:nvPicPr>
                  <pic:blipFill>
                    <a:blip r:embed="rId25" cstate="print"/>
                    <a:stretch>
                      <a:fillRect/>
                    </a:stretch>
                  </pic:blipFill>
                  <pic:spPr>
                    <a:xfrm>
                      <a:off x="0" y="0"/>
                      <a:ext cx="2693484" cy="2835397"/>
                    </a:xfrm>
                    <a:prstGeom prst="rect">
                      <a:avLst/>
                    </a:prstGeom>
                  </pic:spPr>
                </pic:pic>
              </a:graphicData>
            </a:graphic>
          </wp:inline>
        </w:drawing>
      </w:r>
    </w:p>
    <w:p w14:paraId="65487779" w14:textId="77777777" w:rsidR="00FE4557" w:rsidRDefault="00FE4557" w:rsidP="000B0465">
      <w:pPr>
        <w:pStyle w:val="TableParagraph"/>
        <w:spacing w:before="93"/>
        <w:ind w:right="1270"/>
        <w:rPr>
          <w:sz w:val="16"/>
        </w:rPr>
      </w:pPr>
      <w:r>
        <w:rPr>
          <w:sz w:val="16"/>
        </w:rPr>
        <w:t>Fuente:</w:t>
      </w:r>
      <w:r>
        <w:rPr>
          <w:spacing w:val="-2"/>
          <w:sz w:val="16"/>
        </w:rPr>
        <w:t xml:space="preserve"> </w:t>
      </w:r>
      <w:proofErr w:type="spellStart"/>
      <w:r>
        <w:rPr>
          <w:sz w:val="16"/>
        </w:rPr>
        <w:t>Codhes</w:t>
      </w:r>
      <w:proofErr w:type="spellEnd"/>
    </w:p>
    <w:p w14:paraId="281C44BC" w14:textId="77777777" w:rsidR="00FE4557" w:rsidRDefault="00FE4557" w:rsidP="00FE4557">
      <w:pPr>
        <w:pStyle w:val="TableParagraph"/>
        <w:spacing w:before="6"/>
        <w:rPr>
          <w:sz w:val="21"/>
        </w:rPr>
      </w:pPr>
    </w:p>
    <w:p w14:paraId="5F85A9BA" w14:textId="77777777" w:rsidR="00FE4557" w:rsidRDefault="00FE4557" w:rsidP="00FE4557">
      <w:pPr>
        <w:pStyle w:val="TableParagraph"/>
        <w:tabs>
          <w:tab w:val="left" w:pos="1438"/>
        </w:tabs>
        <w:spacing w:before="1"/>
        <w:ind w:left="22"/>
        <w:rPr>
          <w:b/>
        </w:rPr>
      </w:pPr>
      <w:r>
        <w:rPr>
          <w:b/>
        </w:rPr>
        <w:t>2.2.4.3.</w:t>
      </w:r>
      <w:r>
        <w:rPr>
          <w:b/>
        </w:rPr>
        <w:tab/>
        <w:t>Personas</w:t>
      </w:r>
      <w:r>
        <w:rPr>
          <w:b/>
          <w:spacing w:val="-3"/>
        </w:rPr>
        <w:t xml:space="preserve"> </w:t>
      </w:r>
      <w:r>
        <w:rPr>
          <w:b/>
        </w:rPr>
        <w:t>en</w:t>
      </w:r>
      <w:r>
        <w:rPr>
          <w:b/>
          <w:spacing w:val="-2"/>
        </w:rPr>
        <w:t xml:space="preserve"> </w:t>
      </w:r>
      <w:r>
        <w:rPr>
          <w:b/>
        </w:rPr>
        <w:t>proceso</w:t>
      </w:r>
      <w:r>
        <w:rPr>
          <w:b/>
          <w:spacing w:val="-2"/>
        </w:rPr>
        <w:t xml:space="preserve"> </w:t>
      </w:r>
      <w:r>
        <w:rPr>
          <w:b/>
        </w:rPr>
        <w:t>de</w:t>
      </w:r>
      <w:r>
        <w:rPr>
          <w:b/>
          <w:spacing w:val="-2"/>
        </w:rPr>
        <w:t xml:space="preserve"> </w:t>
      </w:r>
      <w:r>
        <w:rPr>
          <w:b/>
        </w:rPr>
        <w:t>reintegración</w:t>
      </w:r>
      <w:r>
        <w:rPr>
          <w:b/>
          <w:spacing w:val="-7"/>
        </w:rPr>
        <w:t xml:space="preserve"> </w:t>
      </w:r>
      <w:r>
        <w:rPr>
          <w:b/>
        </w:rPr>
        <w:t>o</w:t>
      </w:r>
      <w:r>
        <w:rPr>
          <w:b/>
          <w:spacing w:val="-2"/>
        </w:rPr>
        <w:t xml:space="preserve"> </w:t>
      </w:r>
      <w:r>
        <w:rPr>
          <w:b/>
        </w:rPr>
        <w:t>reincorporación:</w:t>
      </w:r>
    </w:p>
    <w:p w14:paraId="5F2C78F3" w14:textId="42356FF0" w:rsidR="00950925" w:rsidRDefault="00950925" w:rsidP="00950925">
      <w:pPr>
        <w:pStyle w:val="TableParagraph"/>
        <w:jc w:val="both"/>
      </w:pPr>
    </w:p>
    <w:p w14:paraId="1C06F328" w14:textId="1805B906" w:rsidR="00FE4557" w:rsidRDefault="00FE4557" w:rsidP="00FE4557">
      <w:pPr>
        <w:pStyle w:val="TableParagraph"/>
        <w:spacing w:before="1"/>
        <w:ind w:left="22" w:right="43"/>
        <w:jc w:val="both"/>
      </w:pPr>
      <w:r>
        <w:t>De acuerdo a información de la Agencia para la Reincorporación y Normalización (ARN) en su último informe</w:t>
      </w:r>
      <w:r>
        <w:rPr>
          <w:spacing w:val="-59"/>
        </w:rPr>
        <w:t xml:space="preserve"> </w:t>
      </w:r>
      <w:r>
        <w:t>con</w:t>
      </w:r>
      <w:r>
        <w:rPr>
          <w:spacing w:val="-5"/>
        </w:rPr>
        <w:t xml:space="preserve"> </w:t>
      </w:r>
      <w:r>
        <w:t>corte</w:t>
      </w:r>
      <w:r>
        <w:rPr>
          <w:spacing w:val="-5"/>
        </w:rPr>
        <w:t xml:space="preserve"> </w:t>
      </w:r>
      <w:r>
        <w:t>a</w:t>
      </w:r>
      <w:r w:rsidR="00B43F42">
        <w:rPr>
          <w:spacing w:val="-5"/>
        </w:rPr>
        <w:t xml:space="preserve"> </w:t>
      </w:r>
      <w:r w:rsidR="00B43F42">
        <w:t>octubre</w:t>
      </w:r>
      <w:r>
        <w:rPr>
          <w:spacing w:val="-5"/>
        </w:rPr>
        <w:t xml:space="preserve"> </w:t>
      </w:r>
      <w:r>
        <w:t>de</w:t>
      </w:r>
      <w:r>
        <w:rPr>
          <w:spacing w:val="-5"/>
        </w:rPr>
        <w:t xml:space="preserve"> </w:t>
      </w:r>
      <w:r>
        <w:t>2022,</w:t>
      </w:r>
      <w:r>
        <w:rPr>
          <w:spacing w:val="-8"/>
        </w:rPr>
        <w:t xml:space="preserve"> </w:t>
      </w:r>
      <w:r>
        <w:t>76.572</w:t>
      </w:r>
      <w:r>
        <w:rPr>
          <w:spacing w:val="-5"/>
        </w:rPr>
        <w:t xml:space="preserve"> </w:t>
      </w:r>
      <w:r>
        <w:t>personas</w:t>
      </w:r>
      <w:r>
        <w:rPr>
          <w:spacing w:val="-5"/>
        </w:rPr>
        <w:t xml:space="preserve"> </w:t>
      </w:r>
      <w:r>
        <w:t>han</w:t>
      </w:r>
      <w:r>
        <w:rPr>
          <w:spacing w:val="-5"/>
        </w:rPr>
        <w:t xml:space="preserve"> </w:t>
      </w:r>
      <w:r>
        <w:t>salido</w:t>
      </w:r>
      <w:r>
        <w:rPr>
          <w:spacing w:val="-5"/>
        </w:rPr>
        <w:t xml:space="preserve"> </w:t>
      </w:r>
      <w:r>
        <w:t>de</w:t>
      </w:r>
      <w:r>
        <w:rPr>
          <w:spacing w:val="-5"/>
        </w:rPr>
        <w:t xml:space="preserve"> </w:t>
      </w:r>
      <w:r>
        <w:t>grupos</w:t>
      </w:r>
      <w:r>
        <w:rPr>
          <w:spacing w:val="-5"/>
        </w:rPr>
        <w:t xml:space="preserve"> </w:t>
      </w:r>
      <w:r>
        <w:lastRenderedPageBreak/>
        <w:t>armados</w:t>
      </w:r>
      <w:r>
        <w:rPr>
          <w:spacing w:val="-5"/>
        </w:rPr>
        <w:t xml:space="preserve"> </w:t>
      </w:r>
      <w:r>
        <w:t>al</w:t>
      </w:r>
      <w:r>
        <w:rPr>
          <w:spacing w:val="-11"/>
        </w:rPr>
        <w:t xml:space="preserve"> </w:t>
      </w:r>
      <w:r>
        <w:t>margen</w:t>
      </w:r>
      <w:r>
        <w:rPr>
          <w:spacing w:val="-5"/>
        </w:rPr>
        <w:t xml:space="preserve"> </w:t>
      </w:r>
      <w:r>
        <w:t>de</w:t>
      </w:r>
      <w:r>
        <w:rPr>
          <w:spacing w:val="-5"/>
        </w:rPr>
        <w:t xml:space="preserve"> </w:t>
      </w:r>
      <w:r>
        <w:t>la</w:t>
      </w:r>
      <w:r>
        <w:rPr>
          <w:spacing w:val="-5"/>
        </w:rPr>
        <w:t xml:space="preserve"> </w:t>
      </w:r>
      <w:r>
        <w:t>Ley</w:t>
      </w:r>
      <w:r>
        <w:rPr>
          <w:spacing w:val="-8"/>
        </w:rPr>
        <w:t xml:space="preserve"> </w:t>
      </w:r>
      <w:r>
        <w:t>en</w:t>
      </w:r>
      <w:r>
        <w:rPr>
          <w:spacing w:val="-5"/>
        </w:rPr>
        <w:t xml:space="preserve"> </w:t>
      </w:r>
      <w:r>
        <w:t>Colombia,</w:t>
      </w:r>
      <w:r>
        <w:rPr>
          <w:spacing w:val="-58"/>
        </w:rPr>
        <w:t xml:space="preserve"> </w:t>
      </w:r>
      <w:r>
        <w:t>entre</w:t>
      </w:r>
      <w:r>
        <w:rPr>
          <w:spacing w:val="-1"/>
        </w:rPr>
        <w:t xml:space="preserve"> </w:t>
      </w:r>
      <w:r>
        <w:t>los años 2001 y</w:t>
      </w:r>
      <w:r>
        <w:rPr>
          <w:spacing w:val="-4"/>
        </w:rPr>
        <w:t xml:space="preserve"> </w:t>
      </w:r>
      <w:r>
        <w:t>2021</w:t>
      </w:r>
      <w:r>
        <w:rPr>
          <w:rFonts w:ascii="Calibri" w:hAnsi="Calibri"/>
          <w:vertAlign w:val="superscript"/>
        </w:rPr>
        <w:t>15</w:t>
      </w:r>
      <w:r>
        <w:t>.</w:t>
      </w:r>
    </w:p>
    <w:p w14:paraId="51AAF436" w14:textId="77777777" w:rsidR="00FE4557" w:rsidRDefault="00FE4557" w:rsidP="00FE4557">
      <w:pPr>
        <w:pStyle w:val="TableParagraph"/>
        <w:spacing w:before="9" w:after="1"/>
        <w:rPr>
          <w:sz w:val="21"/>
        </w:rPr>
      </w:pPr>
    </w:p>
    <w:p w14:paraId="26679BAD" w14:textId="77777777" w:rsidR="00FE4557" w:rsidRDefault="00FE4557" w:rsidP="00FE4557">
      <w:pPr>
        <w:pStyle w:val="TableParagraph"/>
        <w:ind w:left="23"/>
        <w:rPr>
          <w:sz w:val="20"/>
        </w:rPr>
      </w:pPr>
      <w:r>
        <w:rPr>
          <w:noProof/>
          <w:sz w:val="20"/>
        </w:rPr>
        <w:drawing>
          <wp:inline distT="0" distB="0" distL="0" distR="0" wp14:anchorId="40238FB7" wp14:editId="523A86FE">
            <wp:extent cx="6036547" cy="1514835"/>
            <wp:effectExtent l="0" t="0" r="0" b="0"/>
            <wp:docPr id="67" name="image1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74.jpeg"/>
                    <pic:cNvPicPr/>
                  </pic:nvPicPr>
                  <pic:blipFill>
                    <a:blip r:embed="rId26" cstate="print"/>
                    <a:stretch>
                      <a:fillRect/>
                    </a:stretch>
                  </pic:blipFill>
                  <pic:spPr>
                    <a:xfrm>
                      <a:off x="0" y="0"/>
                      <a:ext cx="6062942" cy="1521459"/>
                    </a:xfrm>
                    <a:prstGeom prst="rect">
                      <a:avLst/>
                    </a:prstGeom>
                  </pic:spPr>
                </pic:pic>
              </a:graphicData>
            </a:graphic>
          </wp:inline>
        </w:drawing>
      </w:r>
    </w:p>
    <w:p w14:paraId="6FCC1070" w14:textId="77777777" w:rsidR="00FE4557" w:rsidRDefault="00FE4557" w:rsidP="00FE4557">
      <w:pPr>
        <w:pStyle w:val="TableParagraph"/>
        <w:spacing w:before="3"/>
      </w:pPr>
    </w:p>
    <w:p w14:paraId="546CBECF" w14:textId="77777777" w:rsidR="00FE4557" w:rsidRDefault="00FE4557" w:rsidP="00FE4557">
      <w:pPr>
        <w:pStyle w:val="TableParagraph"/>
        <w:tabs>
          <w:tab w:val="left" w:pos="1438"/>
        </w:tabs>
        <w:ind w:left="22"/>
        <w:rPr>
          <w:b/>
        </w:rPr>
      </w:pPr>
      <w:r>
        <w:rPr>
          <w:b/>
        </w:rPr>
        <w:t>2.2.4.4.</w:t>
      </w:r>
      <w:r>
        <w:rPr>
          <w:b/>
        </w:rPr>
        <w:tab/>
        <w:t>Sujetos</w:t>
      </w:r>
      <w:r>
        <w:rPr>
          <w:b/>
          <w:spacing w:val="-5"/>
        </w:rPr>
        <w:t xml:space="preserve"> </w:t>
      </w:r>
      <w:r>
        <w:rPr>
          <w:b/>
        </w:rPr>
        <w:t>de</w:t>
      </w:r>
      <w:r>
        <w:rPr>
          <w:b/>
          <w:spacing w:val="-5"/>
        </w:rPr>
        <w:t xml:space="preserve"> </w:t>
      </w:r>
      <w:r>
        <w:rPr>
          <w:b/>
        </w:rPr>
        <w:t>especial</w:t>
      </w:r>
      <w:r>
        <w:rPr>
          <w:b/>
          <w:spacing w:val="-7"/>
        </w:rPr>
        <w:t xml:space="preserve"> </w:t>
      </w:r>
      <w:r>
        <w:rPr>
          <w:b/>
        </w:rPr>
        <w:t>protección</w:t>
      </w:r>
      <w:r>
        <w:rPr>
          <w:b/>
          <w:spacing w:val="-5"/>
        </w:rPr>
        <w:t xml:space="preserve"> </w:t>
      </w:r>
      <w:r>
        <w:rPr>
          <w:b/>
        </w:rPr>
        <w:t>constitucional:</w:t>
      </w:r>
    </w:p>
    <w:p w14:paraId="6AE0F140" w14:textId="77777777" w:rsidR="00FE4557" w:rsidRDefault="00FE4557" w:rsidP="00FE4557">
      <w:pPr>
        <w:pStyle w:val="TableParagraph"/>
        <w:spacing w:before="9"/>
        <w:rPr>
          <w:sz w:val="21"/>
        </w:rPr>
      </w:pPr>
    </w:p>
    <w:p w14:paraId="48CD4216" w14:textId="20A06606" w:rsidR="00FE4557" w:rsidRDefault="00FE4557" w:rsidP="00FE4557">
      <w:pPr>
        <w:pStyle w:val="TableParagraph"/>
        <w:jc w:val="both"/>
      </w:pPr>
      <w:r>
        <w:t>El Ministerio del Interior publica la cartilla “</w:t>
      </w:r>
      <w:r>
        <w:rPr>
          <w:i/>
        </w:rPr>
        <w:t>El enfoque diferencial y étnico en la política pública de víctimas del</w:t>
      </w:r>
      <w:r>
        <w:rPr>
          <w:i/>
          <w:spacing w:val="-59"/>
        </w:rPr>
        <w:t xml:space="preserve"> </w:t>
      </w:r>
      <w:r>
        <w:rPr>
          <w:i/>
        </w:rPr>
        <w:t>conflicto armado</w:t>
      </w:r>
      <w:r>
        <w:t>”, cuyo propósito es brindar elementos de análisis y reflexión que permitan a los actores</w:t>
      </w:r>
      <w:r>
        <w:rPr>
          <w:spacing w:val="1"/>
        </w:rPr>
        <w:t xml:space="preserve"> </w:t>
      </w:r>
      <w:r>
        <w:t>institucionales apropiarse y facilitar el cumplimiento de los postulados constitucionales y legales sobre el</w:t>
      </w:r>
      <w:r>
        <w:rPr>
          <w:spacing w:val="1"/>
        </w:rPr>
        <w:t xml:space="preserve"> </w:t>
      </w:r>
      <w:r>
        <w:t>enfoque</w:t>
      </w:r>
      <w:r>
        <w:rPr>
          <w:spacing w:val="-1"/>
        </w:rPr>
        <w:t xml:space="preserve"> </w:t>
      </w:r>
      <w:r>
        <w:t>diferencial,</w:t>
      </w:r>
      <w:r>
        <w:rPr>
          <w:spacing w:val="-3"/>
        </w:rPr>
        <w:t xml:space="preserve"> </w:t>
      </w:r>
      <w:r>
        <w:t>específicamente para</w:t>
      </w:r>
      <w:r>
        <w:rPr>
          <w:spacing w:val="-1"/>
        </w:rPr>
        <w:t xml:space="preserve"> </w:t>
      </w:r>
      <w:r>
        <w:t>las</w:t>
      </w:r>
      <w:r>
        <w:rPr>
          <w:spacing w:val="-4"/>
        </w:rPr>
        <w:t xml:space="preserve"> </w:t>
      </w:r>
      <w:r>
        <w:t>víctimas</w:t>
      </w:r>
      <w:r>
        <w:rPr>
          <w:spacing w:val="-4"/>
        </w:rPr>
        <w:t xml:space="preserve"> </w:t>
      </w:r>
      <w:r>
        <w:t>del</w:t>
      </w:r>
      <w:r>
        <w:rPr>
          <w:spacing w:val="-7"/>
        </w:rPr>
        <w:t xml:space="preserve"> </w:t>
      </w:r>
      <w:r>
        <w:t>conflicto armado.</w:t>
      </w:r>
    </w:p>
    <w:p w14:paraId="17EDBF7D" w14:textId="77777777" w:rsidR="00FE4557" w:rsidRDefault="00FE4557" w:rsidP="00FE4557">
      <w:pPr>
        <w:pStyle w:val="TableParagraph"/>
        <w:spacing w:before="56"/>
        <w:ind w:left="22" w:right="42"/>
        <w:jc w:val="both"/>
        <w:rPr>
          <w:rFonts w:ascii="Calibri" w:hAnsi="Calibri"/>
        </w:rPr>
      </w:pPr>
      <w:r>
        <w:t>El enfoque diferencial es un desarrollo progresivo del principio de igualdad y no discriminación. Aunque todas</w:t>
      </w:r>
      <w:r>
        <w:rPr>
          <w:spacing w:val="-59"/>
        </w:rPr>
        <w:t xml:space="preserve"> </w:t>
      </w:r>
      <w:r>
        <w:t>las personas son iguales ante ley, esta afecta de manera diferente a cada una, de acuerdo con su condición</w:t>
      </w:r>
      <w:r>
        <w:rPr>
          <w:spacing w:val="1"/>
        </w:rPr>
        <w:t xml:space="preserve"> </w:t>
      </w:r>
      <w:r>
        <w:t>de</w:t>
      </w:r>
      <w:r>
        <w:rPr>
          <w:spacing w:val="-1"/>
        </w:rPr>
        <w:t xml:space="preserve"> </w:t>
      </w:r>
      <w:r>
        <w:t>clase,</w:t>
      </w:r>
      <w:r>
        <w:rPr>
          <w:spacing w:val="-3"/>
        </w:rPr>
        <w:t xml:space="preserve"> </w:t>
      </w:r>
      <w:r>
        <w:t>género,</w:t>
      </w:r>
      <w:r>
        <w:rPr>
          <w:spacing w:val="-4"/>
        </w:rPr>
        <w:t xml:space="preserve"> </w:t>
      </w:r>
      <w:r>
        <w:t>grupo étnico,</w:t>
      </w:r>
      <w:r>
        <w:rPr>
          <w:spacing w:val="-3"/>
        </w:rPr>
        <w:t xml:space="preserve"> </w:t>
      </w:r>
      <w:r>
        <w:t>edad,</w:t>
      </w:r>
      <w:r>
        <w:rPr>
          <w:spacing w:val="-4"/>
        </w:rPr>
        <w:t xml:space="preserve"> </w:t>
      </w:r>
      <w:r>
        <w:t>salud física o</w:t>
      </w:r>
      <w:r>
        <w:rPr>
          <w:spacing w:val="-1"/>
        </w:rPr>
        <w:t xml:space="preserve"> </w:t>
      </w:r>
      <w:r>
        <w:t>mental</w:t>
      </w:r>
      <w:r>
        <w:rPr>
          <w:spacing w:val="-6"/>
        </w:rPr>
        <w:t xml:space="preserve"> </w:t>
      </w:r>
      <w:r>
        <w:t>y</w:t>
      </w:r>
      <w:r>
        <w:rPr>
          <w:spacing w:val="-4"/>
        </w:rPr>
        <w:t xml:space="preserve"> </w:t>
      </w:r>
      <w:r>
        <w:t>orientación</w:t>
      </w:r>
      <w:r>
        <w:rPr>
          <w:spacing w:val="-1"/>
        </w:rPr>
        <w:t xml:space="preserve"> </w:t>
      </w:r>
      <w:r>
        <w:t>sexual.</w:t>
      </w:r>
      <w:r>
        <w:rPr>
          <w:spacing w:val="11"/>
        </w:rPr>
        <w:t xml:space="preserve"> </w:t>
      </w:r>
      <w:r>
        <w:rPr>
          <w:rFonts w:ascii="Calibri" w:hAnsi="Calibri"/>
          <w:vertAlign w:val="superscript"/>
        </w:rPr>
        <w:t>16</w:t>
      </w:r>
    </w:p>
    <w:p w14:paraId="16D7E525" w14:textId="77777777" w:rsidR="00FE4557" w:rsidRDefault="00FE4557" w:rsidP="00FE4557">
      <w:pPr>
        <w:pStyle w:val="TableParagraph"/>
        <w:spacing w:before="1"/>
      </w:pPr>
    </w:p>
    <w:p w14:paraId="737E81E6" w14:textId="77777777" w:rsidR="00FE4557" w:rsidRDefault="00FE4557" w:rsidP="00FE4557">
      <w:pPr>
        <w:pStyle w:val="TableParagraph"/>
        <w:ind w:left="22" w:right="45"/>
        <w:jc w:val="both"/>
      </w:pPr>
      <w:r>
        <w:t>En la Constitución colombiana, se reconoce la diversidad étnica y cultural de la nación (artículo 7) con el</w:t>
      </w:r>
      <w:r>
        <w:rPr>
          <w:spacing w:val="1"/>
        </w:rPr>
        <w:t xml:space="preserve"> </w:t>
      </w:r>
      <w:r>
        <w:t>respaldo de preceptos adicionales que le dan amplitud y desarrollo a esta garantía, como lo señala la misma</w:t>
      </w:r>
      <w:r>
        <w:rPr>
          <w:spacing w:val="1"/>
        </w:rPr>
        <w:t xml:space="preserve"> </w:t>
      </w:r>
      <w:r>
        <w:t>Corte</w:t>
      </w:r>
      <w:r>
        <w:rPr>
          <w:spacing w:val="-1"/>
        </w:rPr>
        <w:t xml:space="preserve"> </w:t>
      </w:r>
      <w:r>
        <w:t>Constitucional</w:t>
      </w:r>
      <w:r>
        <w:rPr>
          <w:spacing w:val="-2"/>
        </w:rPr>
        <w:t xml:space="preserve"> </w:t>
      </w:r>
      <w:r>
        <w:t>en la Sentencia T-1105</w:t>
      </w:r>
      <w:r>
        <w:rPr>
          <w:spacing w:val="-1"/>
        </w:rPr>
        <w:t xml:space="preserve"> </w:t>
      </w:r>
      <w:r>
        <w:t>de 2008:</w:t>
      </w:r>
    </w:p>
    <w:p w14:paraId="574A3D01" w14:textId="77777777" w:rsidR="00FE4557" w:rsidRDefault="00FE4557" w:rsidP="00FE4557">
      <w:pPr>
        <w:pStyle w:val="TableParagraph"/>
      </w:pPr>
    </w:p>
    <w:p w14:paraId="5613314B" w14:textId="77777777" w:rsidR="00FE4557" w:rsidRDefault="00FE4557" w:rsidP="00FE4557">
      <w:pPr>
        <w:pStyle w:val="TableParagraph"/>
        <w:ind w:left="730" w:right="36"/>
        <w:jc w:val="both"/>
      </w:pPr>
      <w:r>
        <w:t>“</w:t>
      </w:r>
      <w:r>
        <w:rPr>
          <w:i/>
        </w:rPr>
        <w:t>(…) El artículo 8, cuyo tenor establece que el Estado protegerá la riqueza cultural de la nación; el</w:t>
      </w:r>
      <w:r>
        <w:rPr>
          <w:i/>
          <w:spacing w:val="1"/>
        </w:rPr>
        <w:t xml:space="preserve"> </w:t>
      </w:r>
      <w:r>
        <w:rPr>
          <w:i/>
        </w:rPr>
        <w:t>artículo</w:t>
      </w:r>
      <w:r>
        <w:rPr>
          <w:i/>
          <w:spacing w:val="-2"/>
        </w:rPr>
        <w:t xml:space="preserve"> </w:t>
      </w:r>
      <w:r>
        <w:rPr>
          <w:i/>
        </w:rPr>
        <w:t>9,</w:t>
      </w:r>
      <w:r>
        <w:rPr>
          <w:i/>
          <w:spacing w:val="-9"/>
        </w:rPr>
        <w:t xml:space="preserve"> </w:t>
      </w:r>
      <w:r>
        <w:rPr>
          <w:i/>
        </w:rPr>
        <w:t>por</w:t>
      </w:r>
      <w:r>
        <w:rPr>
          <w:i/>
          <w:spacing w:val="-9"/>
        </w:rPr>
        <w:t xml:space="preserve"> </w:t>
      </w:r>
      <w:r>
        <w:rPr>
          <w:i/>
        </w:rPr>
        <w:t>medio</w:t>
      </w:r>
      <w:r>
        <w:rPr>
          <w:i/>
          <w:spacing w:val="-2"/>
        </w:rPr>
        <w:t xml:space="preserve"> </w:t>
      </w:r>
      <w:r>
        <w:rPr>
          <w:i/>
        </w:rPr>
        <w:t>del</w:t>
      </w:r>
      <w:r>
        <w:rPr>
          <w:i/>
          <w:spacing w:val="-8"/>
        </w:rPr>
        <w:t xml:space="preserve"> </w:t>
      </w:r>
      <w:r>
        <w:rPr>
          <w:i/>
        </w:rPr>
        <w:t>cual</w:t>
      </w:r>
      <w:r>
        <w:rPr>
          <w:i/>
          <w:spacing w:val="-4"/>
        </w:rPr>
        <w:t xml:space="preserve"> </w:t>
      </w:r>
      <w:r>
        <w:rPr>
          <w:i/>
        </w:rPr>
        <w:t>se</w:t>
      </w:r>
      <w:r>
        <w:rPr>
          <w:i/>
          <w:spacing w:val="-6"/>
        </w:rPr>
        <w:t xml:space="preserve"> </w:t>
      </w:r>
      <w:r>
        <w:rPr>
          <w:i/>
        </w:rPr>
        <w:t>garantiza</w:t>
      </w:r>
      <w:r>
        <w:rPr>
          <w:i/>
          <w:spacing w:val="2"/>
        </w:rPr>
        <w:t xml:space="preserve"> </w:t>
      </w:r>
      <w:r>
        <w:rPr>
          <w:i/>
        </w:rPr>
        <w:t>el</w:t>
      </w:r>
      <w:r>
        <w:rPr>
          <w:i/>
          <w:spacing w:val="-4"/>
        </w:rPr>
        <w:t xml:space="preserve"> </w:t>
      </w:r>
      <w:r>
        <w:rPr>
          <w:i/>
        </w:rPr>
        <w:t>derecho</w:t>
      </w:r>
      <w:r>
        <w:rPr>
          <w:i/>
          <w:spacing w:val="-2"/>
        </w:rPr>
        <w:t xml:space="preserve"> </w:t>
      </w:r>
      <w:r>
        <w:rPr>
          <w:i/>
        </w:rPr>
        <w:t>a</w:t>
      </w:r>
      <w:r>
        <w:rPr>
          <w:i/>
          <w:spacing w:val="-6"/>
        </w:rPr>
        <w:t xml:space="preserve"> </w:t>
      </w:r>
      <w:r>
        <w:rPr>
          <w:i/>
        </w:rPr>
        <w:t>la</w:t>
      </w:r>
      <w:r>
        <w:rPr>
          <w:i/>
          <w:spacing w:val="-2"/>
        </w:rPr>
        <w:t xml:space="preserve"> </w:t>
      </w:r>
      <w:r>
        <w:rPr>
          <w:i/>
        </w:rPr>
        <w:t>autodeterminación</w:t>
      </w:r>
      <w:r>
        <w:rPr>
          <w:i/>
          <w:spacing w:val="-2"/>
        </w:rPr>
        <w:t xml:space="preserve"> </w:t>
      </w:r>
      <w:r>
        <w:rPr>
          <w:i/>
        </w:rPr>
        <w:t>de</w:t>
      </w:r>
      <w:r>
        <w:rPr>
          <w:i/>
          <w:spacing w:val="-2"/>
        </w:rPr>
        <w:t xml:space="preserve"> </w:t>
      </w:r>
      <w:r>
        <w:rPr>
          <w:i/>
        </w:rPr>
        <w:t>los</w:t>
      </w:r>
      <w:r>
        <w:rPr>
          <w:i/>
          <w:spacing w:val="-8"/>
        </w:rPr>
        <w:t xml:space="preserve"> </w:t>
      </w:r>
      <w:r>
        <w:rPr>
          <w:i/>
        </w:rPr>
        <w:t>pueblos;</w:t>
      </w:r>
      <w:r>
        <w:rPr>
          <w:i/>
          <w:spacing w:val="-9"/>
        </w:rPr>
        <w:t xml:space="preserve"> </w:t>
      </w:r>
      <w:r>
        <w:rPr>
          <w:i/>
        </w:rPr>
        <w:t>el</w:t>
      </w:r>
      <w:r>
        <w:rPr>
          <w:i/>
          <w:spacing w:val="-4"/>
        </w:rPr>
        <w:t xml:space="preserve"> </w:t>
      </w:r>
      <w:r>
        <w:rPr>
          <w:i/>
        </w:rPr>
        <w:t>artículo</w:t>
      </w:r>
      <w:r>
        <w:rPr>
          <w:i/>
          <w:spacing w:val="-59"/>
        </w:rPr>
        <w:t xml:space="preserve"> </w:t>
      </w:r>
      <w:r>
        <w:rPr>
          <w:i/>
        </w:rPr>
        <w:t>10, que prescribe que las lenguas y dialectos de las comunidades étnicas también serán lengua oficial</w:t>
      </w:r>
      <w:r>
        <w:rPr>
          <w:i/>
          <w:spacing w:val="-59"/>
        </w:rPr>
        <w:t xml:space="preserve"> </w:t>
      </w:r>
      <w:r>
        <w:rPr>
          <w:i/>
        </w:rPr>
        <w:t>en</w:t>
      </w:r>
      <w:r>
        <w:rPr>
          <w:i/>
          <w:spacing w:val="1"/>
        </w:rPr>
        <w:t xml:space="preserve"> </w:t>
      </w:r>
      <w:r>
        <w:rPr>
          <w:i/>
        </w:rPr>
        <w:t>su</w:t>
      </w:r>
      <w:r>
        <w:rPr>
          <w:i/>
          <w:spacing w:val="1"/>
        </w:rPr>
        <w:t xml:space="preserve"> </w:t>
      </w:r>
      <w:r>
        <w:rPr>
          <w:i/>
        </w:rPr>
        <w:t>territorio</w:t>
      </w:r>
      <w:r>
        <w:rPr>
          <w:i/>
          <w:spacing w:val="1"/>
        </w:rPr>
        <w:t xml:space="preserve"> </w:t>
      </w:r>
      <w:r>
        <w:rPr>
          <w:i/>
        </w:rPr>
        <w:t>y</w:t>
      </w:r>
      <w:r>
        <w:rPr>
          <w:i/>
          <w:spacing w:val="1"/>
        </w:rPr>
        <w:t xml:space="preserve"> </w:t>
      </w:r>
      <w:r>
        <w:rPr>
          <w:i/>
        </w:rPr>
        <w:t>establece</w:t>
      </w:r>
      <w:r>
        <w:rPr>
          <w:i/>
          <w:spacing w:val="1"/>
        </w:rPr>
        <w:t xml:space="preserve"> </w:t>
      </w:r>
      <w:r>
        <w:rPr>
          <w:i/>
        </w:rPr>
        <w:t>la</w:t>
      </w:r>
      <w:r>
        <w:rPr>
          <w:i/>
          <w:spacing w:val="1"/>
        </w:rPr>
        <w:t xml:space="preserve"> </w:t>
      </w:r>
      <w:r>
        <w:rPr>
          <w:i/>
        </w:rPr>
        <w:t>obligación</w:t>
      </w:r>
      <w:r>
        <w:rPr>
          <w:i/>
          <w:spacing w:val="1"/>
        </w:rPr>
        <w:t xml:space="preserve"> </w:t>
      </w:r>
      <w:r>
        <w:rPr>
          <w:i/>
        </w:rPr>
        <w:t>de</w:t>
      </w:r>
      <w:r>
        <w:rPr>
          <w:i/>
          <w:spacing w:val="1"/>
        </w:rPr>
        <w:t xml:space="preserve"> </w:t>
      </w:r>
      <w:r>
        <w:rPr>
          <w:i/>
        </w:rPr>
        <w:t>enseñanza</w:t>
      </w:r>
      <w:r>
        <w:rPr>
          <w:i/>
          <w:spacing w:val="1"/>
        </w:rPr>
        <w:t xml:space="preserve"> </w:t>
      </w:r>
      <w:r>
        <w:rPr>
          <w:i/>
        </w:rPr>
        <w:t>bilingüe</w:t>
      </w:r>
      <w:r>
        <w:rPr>
          <w:i/>
          <w:spacing w:val="1"/>
        </w:rPr>
        <w:t xml:space="preserve"> </w:t>
      </w:r>
      <w:r>
        <w:rPr>
          <w:i/>
        </w:rPr>
        <w:t>en</w:t>
      </w:r>
      <w:r>
        <w:rPr>
          <w:i/>
          <w:spacing w:val="1"/>
        </w:rPr>
        <w:t xml:space="preserve"> </w:t>
      </w:r>
      <w:r>
        <w:rPr>
          <w:i/>
        </w:rPr>
        <w:t>aquellas</w:t>
      </w:r>
      <w:r>
        <w:rPr>
          <w:i/>
          <w:spacing w:val="1"/>
        </w:rPr>
        <w:t xml:space="preserve"> </w:t>
      </w:r>
      <w:r>
        <w:rPr>
          <w:i/>
        </w:rPr>
        <w:t>comunidades</w:t>
      </w:r>
      <w:r>
        <w:rPr>
          <w:i/>
          <w:spacing w:val="1"/>
        </w:rPr>
        <w:t xml:space="preserve"> </w:t>
      </w:r>
      <w:r>
        <w:rPr>
          <w:i/>
        </w:rPr>
        <w:t>con</w:t>
      </w:r>
      <w:r>
        <w:rPr>
          <w:i/>
          <w:spacing w:val="1"/>
        </w:rPr>
        <w:t xml:space="preserve"> </w:t>
      </w:r>
      <w:r>
        <w:rPr>
          <w:i/>
        </w:rPr>
        <w:t>tradiciones lingüísticas propias; el artículo 63, en el cual se determina que las tierras comunales de</w:t>
      </w:r>
      <w:r>
        <w:rPr>
          <w:i/>
          <w:spacing w:val="1"/>
        </w:rPr>
        <w:t xml:space="preserve"> </w:t>
      </w:r>
      <w:r>
        <w:rPr>
          <w:i/>
        </w:rPr>
        <w:t>grupos étnicos, las tierras de resguardo, el patrimonio arqueológico de la nación (…) son inalienables,</w:t>
      </w:r>
      <w:r>
        <w:rPr>
          <w:i/>
          <w:spacing w:val="-59"/>
        </w:rPr>
        <w:t xml:space="preserve"> </w:t>
      </w:r>
      <w:r>
        <w:rPr>
          <w:i/>
        </w:rPr>
        <w:t>imprescriptibles e inembargables; el artículo 68, en el cual se dispone que quienes integran los grupos</w:t>
      </w:r>
      <w:r>
        <w:rPr>
          <w:i/>
          <w:spacing w:val="-59"/>
        </w:rPr>
        <w:t xml:space="preserve"> </w:t>
      </w:r>
      <w:r>
        <w:rPr>
          <w:i/>
        </w:rPr>
        <w:t>étnicos podrán ejercer su derecho a formarse con fundamento en cánones que respeten y desarrollen</w:t>
      </w:r>
      <w:r>
        <w:rPr>
          <w:i/>
          <w:spacing w:val="-59"/>
        </w:rPr>
        <w:t xml:space="preserve"> </w:t>
      </w:r>
      <w:r>
        <w:rPr>
          <w:i/>
        </w:rPr>
        <w:t>su diversidad cultural; el artículo 72, cuando se refiere al patrimonio cultural de la nación y determina</w:t>
      </w:r>
      <w:r>
        <w:rPr>
          <w:i/>
          <w:spacing w:val="1"/>
        </w:rPr>
        <w:t xml:space="preserve"> </w:t>
      </w:r>
      <w:r>
        <w:rPr>
          <w:i/>
        </w:rPr>
        <w:t>que dicho patrimonio está bajo protección del Estado y cuando se pronuncia, igualmente, sobre el</w:t>
      </w:r>
      <w:r>
        <w:rPr>
          <w:i/>
          <w:spacing w:val="1"/>
        </w:rPr>
        <w:t xml:space="preserve"> </w:t>
      </w:r>
      <w:r>
        <w:rPr>
          <w:i/>
        </w:rPr>
        <w:t>patrimonio</w:t>
      </w:r>
      <w:r>
        <w:rPr>
          <w:i/>
          <w:spacing w:val="-1"/>
        </w:rPr>
        <w:t xml:space="preserve"> </w:t>
      </w:r>
      <w:r>
        <w:rPr>
          <w:i/>
        </w:rPr>
        <w:t>arqueológico</w:t>
      </w:r>
      <w:r>
        <w:rPr>
          <w:i/>
          <w:spacing w:val="-1"/>
        </w:rPr>
        <w:t xml:space="preserve"> </w:t>
      </w:r>
      <w:r>
        <w:rPr>
          <w:i/>
        </w:rPr>
        <w:t>y</w:t>
      </w:r>
      <w:r>
        <w:rPr>
          <w:i/>
          <w:spacing w:val="-1"/>
        </w:rPr>
        <w:t xml:space="preserve"> </w:t>
      </w:r>
      <w:r>
        <w:rPr>
          <w:i/>
        </w:rPr>
        <w:t>otros</w:t>
      </w:r>
      <w:r>
        <w:rPr>
          <w:i/>
          <w:spacing w:val="-1"/>
        </w:rPr>
        <w:t xml:space="preserve"> </w:t>
      </w:r>
      <w:r>
        <w:rPr>
          <w:i/>
        </w:rPr>
        <w:t>bienes</w:t>
      </w:r>
      <w:r>
        <w:rPr>
          <w:i/>
          <w:spacing w:val="-1"/>
        </w:rPr>
        <w:t xml:space="preserve"> </w:t>
      </w:r>
      <w:r>
        <w:rPr>
          <w:i/>
        </w:rPr>
        <w:t>culturales</w:t>
      </w:r>
      <w:r>
        <w:rPr>
          <w:i/>
          <w:spacing w:val="-1"/>
        </w:rPr>
        <w:t xml:space="preserve"> </w:t>
      </w:r>
      <w:r>
        <w:rPr>
          <w:i/>
        </w:rPr>
        <w:t>que</w:t>
      </w:r>
      <w:r>
        <w:rPr>
          <w:i/>
          <w:spacing w:val="-1"/>
        </w:rPr>
        <w:t xml:space="preserve"> </w:t>
      </w:r>
      <w:r>
        <w:rPr>
          <w:i/>
        </w:rPr>
        <w:t>conforman</w:t>
      </w:r>
      <w:r>
        <w:rPr>
          <w:i/>
          <w:spacing w:val="-1"/>
        </w:rPr>
        <w:t xml:space="preserve"> </w:t>
      </w:r>
      <w:r>
        <w:rPr>
          <w:i/>
        </w:rPr>
        <w:t>la</w:t>
      </w:r>
      <w:r>
        <w:rPr>
          <w:i/>
          <w:spacing w:val="-1"/>
        </w:rPr>
        <w:t xml:space="preserve"> </w:t>
      </w:r>
      <w:r>
        <w:rPr>
          <w:i/>
        </w:rPr>
        <w:t>diversidad</w:t>
      </w:r>
      <w:r>
        <w:rPr>
          <w:i/>
          <w:spacing w:val="-1"/>
        </w:rPr>
        <w:t xml:space="preserve"> </w:t>
      </w:r>
      <w:r>
        <w:rPr>
          <w:i/>
        </w:rPr>
        <w:t>nacional</w:t>
      </w:r>
      <w:r>
        <w:t>”</w:t>
      </w:r>
    </w:p>
    <w:p w14:paraId="3956F399" w14:textId="77777777" w:rsidR="00FE4557" w:rsidRDefault="00FE4557" w:rsidP="00FE4557">
      <w:pPr>
        <w:pStyle w:val="TableParagraph"/>
        <w:spacing w:before="1"/>
      </w:pPr>
    </w:p>
    <w:p w14:paraId="57CBF6E4" w14:textId="0946C077" w:rsidR="00FE4557" w:rsidRDefault="00FE4557" w:rsidP="00FE4557">
      <w:pPr>
        <w:pStyle w:val="TableParagraph"/>
        <w:ind w:left="22" w:right="33"/>
        <w:jc w:val="both"/>
      </w:pPr>
      <w:r>
        <w:t>Atendiendo esto, el Estado debe promover las condiciones para que la igualdad sea real y efectiva y adoptar</w:t>
      </w:r>
      <w:r>
        <w:rPr>
          <w:spacing w:val="1"/>
        </w:rPr>
        <w:t xml:space="preserve"> </w:t>
      </w:r>
      <w:r>
        <w:t>medidas en favor de grupos que históricamente han sido discriminados, excluidos o marginados. El Estado</w:t>
      </w:r>
      <w:r>
        <w:rPr>
          <w:spacing w:val="1"/>
        </w:rPr>
        <w:t xml:space="preserve"> </w:t>
      </w:r>
      <w:r>
        <w:t>debe proteger especialmente a aquellas personas que por su condición económica, física o mental</w:t>
      </w:r>
      <w:r>
        <w:rPr>
          <w:spacing w:val="1"/>
        </w:rPr>
        <w:t xml:space="preserve"> </w:t>
      </w:r>
      <w:r>
        <w:t>se</w:t>
      </w:r>
      <w:r>
        <w:rPr>
          <w:spacing w:val="1"/>
        </w:rPr>
        <w:t xml:space="preserve"> </w:t>
      </w:r>
      <w:r>
        <w:t>encuentren en circunstancia de debilidad manifiesta, y sancionará los abusos o maltratos que contra ellas se</w:t>
      </w:r>
      <w:r>
        <w:rPr>
          <w:spacing w:val="1"/>
        </w:rPr>
        <w:t xml:space="preserve"> </w:t>
      </w:r>
      <w:r>
        <w:t>cometan.</w:t>
      </w:r>
    </w:p>
    <w:p w14:paraId="7A5238AB" w14:textId="3F54F51A" w:rsidR="00FE4557" w:rsidRDefault="00FE4557" w:rsidP="00FE4557">
      <w:pPr>
        <w:pStyle w:val="TableParagraph"/>
        <w:ind w:left="22" w:right="33"/>
        <w:jc w:val="both"/>
      </w:pPr>
    </w:p>
    <w:p w14:paraId="394BBF63" w14:textId="2E8F0893" w:rsidR="00FE4557" w:rsidRDefault="00FE4557" w:rsidP="00FE4557">
      <w:pPr>
        <w:pStyle w:val="TableParagraph"/>
        <w:ind w:left="22" w:right="33"/>
        <w:jc w:val="both"/>
      </w:pPr>
      <w:r>
        <w:t>Teniendo en cuenta los datos estadísticos registrados en precedencia, esta Entidad en aplicación a lo</w:t>
      </w:r>
      <w:r>
        <w:rPr>
          <w:spacing w:val="1"/>
        </w:rPr>
        <w:t xml:space="preserve"> </w:t>
      </w:r>
      <w:r>
        <w:t>dispuesto en el artículo 2.2.1.2.4.2.16 del Decreto 182 de 2015, adicionado por el Decreto 1860 de 2021,</w:t>
      </w:r>
      <w:r>
        <w:rPr>
          <w:spacing w:val="1"/>
        </w:rPr>
        <w:t xml:space="preserve"> </w:t>
      </w:r>
      <w:r>
        <w:t>considera pertinente, a través del proceso de contratación que surja del presente estudio, fomentar la</w:t>
      </w:r>
      <w:r>
        <w:rPr>
          <w:spacing w:val="1"/>
        </w:rPr>
        <w:t xml:space="preserve"> </w:t>
      </w:r>
      <w:r>
        <w:t>participación de la</w:t>
      </w:r>
      <w:r>
        <w:rPr>
          <w:spacing w:val="1"/>
        </w:rPr>
        <w:t xml:space="preserve"> </w:t>
      </w:r>
      <w:r>
        <w:t>población de que trata el referido artículo, en la ejecución del contrato, toda vez que el</w:t>
      </w:r>
      <w:r>
        <w:rPr>
          <w:spacing w:val="1"/>
        </w:rPr>
        <w:t xml:space="preserve"> </w:t>
      </w:r>
      <w:r>
        <w:t>objeto contractual permite que las empresas</w:t>
      </w:r>
      <w:r>
        <w:rPr>
          <w:spacing w:val="1"/>
        </w:rPr>
        <w:t xml:space="preserve"> </w:t>
      </w:r>
      <w:r>
        <w:t>que elaboran los elementos requeridos, como las que los</w:t>
      </w:r>
      <w:r>
        <w:rPr>
          <w:spacing w:val="1"/>
        </w:rPr>
        <w:t xml:space="preserve"> </w:t>
      </w:r>
      <w:r>
        <w:t>distribuyen, puedan tener dentro de su planta de personal contratados: población en pobreza extrema,</w:t>
      </w:r>
      <w:r>
        <w:rPr>
          <w:spacing w:val="1"/>
        </w:rPr>
        <w:t xml:space="preserve"> </w:t>
      </w:r>
      <w:r>
        <w:t>desplazados por la violencia, personas en proceso de reintegración o reincorporación y sujetos de especial</w:t>
      </w:r>
      <w:r>
        <w:rPr>
          <w:spacing w:val="1"/>
        </w:rPr>
        <w:t xml:space="preserve"> </w:t>
      </w:r>
      <w:r>
        <w:rPr>
          <w:spacing w:val="-1"/>
        </w:rPr>
        <w:t>protección</w:t>
      </w:r>
      <w:r>
        <w:rPr>
          <w:spacing w:val="-16"/>
        </w:rPr>
        <w:t xml:space="preserve"> </w:t>
      </w:r>
      <w:r>
        <w:rPr>
          <w:spacing w:val="-1"/>
        </w:rPr>
        <w:t>constitucional,</w:t>
      </w:r>
      <w:r>
        <w:rPr>
          <w:spacing w:val="-15"/>
        </w:rPr>
        <w:t xml:space="preserve"> </w:t>
      </w:r>
      <w:r>
        <w:t>con</w:t>
      </w:r>
      <w:r>
        <w:rPr>
          <w:spacing w:val="-15"/>
        </w:rPr>
        <w:t xml:space="preserve"> </w:t>
      </w:r>
      <w:r>
        <w:t>el</w:t>
      </w:r>
      <w:r>
        <w:rPr>
          <w:spacing w:val="-19"/>
        </w:rPr>
        <w:t xml:space="preserve"> </w:t>
      </w:r>
      <w:r>
        <w:t>fin</w:t>
      </w:r>
      <w:r>
        <w:rPr>
          <w:spacing w:val="-11"/>
        </w:rPr>
        <w:t xml:space="preserve"> </w:t>
      </w:r>
      <w:r>
        <w:t>de</w:t>
      </w:r>
      <w:r>
        <w:rPr>
          <w:spacing w:val="-15"/>
        </w:rPr>
        <w:t xml:space="preserve"> </w:t>
      </w:r>
      <w:r>
        <w:t>coadyuvar</w:t>
      </w:r>
      <w:r>
        <w:rPr>
          <w:spacing w:val="-19"/>
        </w:rPr>
        <w:t xml:space="preserve"> </w:t>
      </w:r>
      <w:r>
        <w:t>en</w:t>
      </w:r>
      <w:r>
        <w:rPr>
          <w:spacing w:val="-15"/>
        </w:rPr>
        <w:t xml:space="preserve"> </w:t>
      </w:r>
      <w:r>
        <w:t>el</w:t>
      </w:r>
      <w:r>
        <w:rPr>
          <w:spacing w:val="-22"/>
        </w:rPr>
        <w:t xml:space="preserve"> </w:t>
      </w:r>
      <w:r>
        <w:t>bienestar</w:t>
      </w:r>
      <w:r>
        <w:rPr>
          <w:spacing w:val="-19"/>
        </w:rPr>
        <w:t xml:space="preserve"> </w:t>
      </w:r>
      <w:r>
        <w:t>social</w:t>
      </w:r>
      <w:r>
        <w:rPr>
          <w:spacing w:val="-18"/>
        </w:rPr>
        <w:t xml:space="preserve"> </w:t>
      </w:r>
      <w:r>
        <w:t>y</w:t>
      </w:r>
      <w:r>
        <w:rPr>
          <w:spacing w:val="-16"/>
        </w:rPr>
        <w:t xml:space="preserve"> </w:t>
      </w:r>
      <w:r>
        <w:t>generación</w:t>
      </w:r>
      <w:r>
        <w:rPr>
          <w:spacing w:val="-12"/>
        </w:rPr>
        <w:t xml:space="preserve"> </w:t>
      </w:r>
      <w:r>
        <w:t>de</w:t>
      </w:r>
      <w:r>
        <w:rPr>
          <w:spacing w:val="-15"/>
        </w:rPr>
        <w:t xml:space="preserve"> </w:t>
      </w:r>
      <w:r>
        <w:t>equidad</w:t>
      </w:r>
      <w:r>
        <w:rPr>
          <w:spacing w:val="-16"/>
        </w:rPr>
        <w:t xml:space="preserve"> </w:t>
      </w:r>
      <w:r>
        <w:t>en</w:t>
      </w:r>
      <w:r>
        <w:rPr>
          <w:spacing w:val="-15"/>
        </w:rPr>
        <w:t xml:space="preserve"> </w:t>
      </w:r>
      <w:r>
        <w:t>la</w:t>
      </w:r>
      <w:r>
        <w:rPr>
          <w:spacing w:val="-16"/>
        </w:rPr>
        <w:t xml:space="preserve"> </w:t>
      </w:r>
      <w:r>
        <w:t>población</w:t>
      </w:r>
      <w:r>
        <w:rPr>
          <w:spacing w:val="1"/>
        </w:rPr>
        <w:t xml:space="preserve"> </w:t>
      </w:r>
      <w:r>
        <w:t>mencionada,</w:t>
      </w:r>
      <w:r>
        <w:rPr>
          <w:spacing w:val="-14"/>
        </w:rPr>
        <w:t xml:space="preserve"> </w:t>
      </w:r>
      <w:r>
        <w:t>que</w:t>
      </w:r>
      <w:r>
        <w:rPr>
          <w:spacing w:val="-10"/>
        </w:rPr>
        <w:t xml:space="preserve"> </w:t>
      </w:r>
      <w:r>
        <w:t>como</w:t>
      </w:r>
      <w:r>
        <w:rPr>
          <w:spacing w:val="-10"/>
        </w:rPr>
        <w:t xml:space="preserve"> </w:t>
      </w:r>
      <w:r>
        <w:t>se</w:t>
      </w:r>
      <w:r>
        <w:rPr>
          <w:spacing w:val="-10"/>
        </w:rPr>
        <w:t xml:space="preserve"> </w:t>
      </w:r>
      <w:r>
        <w:t>dijo</w:t>
      </w:r>
      <w:r>
        <w:rPr>
          <w:spacing w:val="-10"/>
        </w:rPr>
        <w:t xml:space="preserve"> </w:t>
      </w:r>
      <w:r>
        <w:t>en</w:t>
      </w:r>
      <w:r>
        <w:rPr>
          <w:spacing w:val="-15"/>
        </w:rPr>
        <w:t xml:space="preserve"> </w:t>
      </w:r>
      <w:r>
        <w:t>párrafo</w:t>
      </w:r>
      <w:r>
        <w:rPr>
          <w:spacing w:val="-14"/>
        </w:rPr>
        <w:t xml:space="preserve"> </w:t>
      </w:r>
      <w:r>
        <w:t>anterior,</w:t>
      </w:r>
      <w:r>
        <w:rPr>
          <w:spacing w:val="37"/>
        </w:rPr>
        <w:t xml:space="preserve"> </w:t>
      </w:r>
      <w:r>
        <w:t>históricamente</w:t>
      </w:r>
      <w:r>
        <w:rPr>
          <w:spacing w:val="-10"/>
        </w:rPr>
        <w:t xml:space="preserve"> </w:t>
      </w:r>
      <w:r>
        <w:t>ha</w:t>
      </w:r>
      <w:r>
        <w:rPr>
          <w:spacing w:val="-10"/>
        </w:rPr>
        <w:t xml:space="preserve"> </w:t>
      </w:r>
      <w:r>
        <w:t>sido</w:t>
      </w:r>
      <w:r>
        <w:rPr>
          <w:spacing w:val="-10"/>
        </w:rPr>
        <w:t xml:space="preserve"> </w:t>
      </w:r>
      <w:r>
        <w:t>discriminada,</w:t>
      </w:r>
      <w:r>
        <w:rPr>
          <w:spacing w:val="-13"/>
        </w:rPr>
        <w:t xml:space="preserve"> </w:t>
      </w:r>
      <w:r>
        <w:t>excluida</w:t>
      </w:r>
      <w:r>
        <w:rPr>
          <w:spacing w:val="-11"/>
        </w:rPr>
        <w:t xml:space="preserve"> </w:t>
      </w:r>
      <w:r>
        <w:t>o</w:t>
      </w:r>
      <w:r>
        <w:rPr>
          <w:spacing w:val="-10"/>
        </w:rPr>
        <w:t xml:space="preserve"> </w:t>
      </w:r>
      <w:r>
        <w:t>marginada.</w:t>
      </w:r>
      <w:r>
        <w:rPr>
          <w:spacing w:val="-59"/>
        </w:rPr>
        <w:t xml:space="preserve"> </w:t>
      </w:r>
      <w:r>
        <w:t>Así</w:t>
      </w:r>
      <w:r>
        <w:rPr>
          <w:spacing w:val="-9"/>
        </w:rPr>
        <w:t xml:space="preserve"> </w:t>
      </w:r>
      <w:r>
        <w:t>las</w:t>
      </w:r>
      <w:r>
        <w:rPr>
          <w:spacing w:val="-6"/>
        </w:rPr>
        <w:t xml:space="preserve"> </w:t>
      </w:r>
      <w:r>
        <w:t>cosas,</w:t>
      </w:r>
      <w:r>
        <w:rPr>
          <w:spacing w:val="-8"/>
        </w:rPr>
        <w:t xml:space="preserve"> </w:t>
      </w:r>
      <w:r>
        <w:t>esta</w:t>
      </w:r>
      <w:r>
        <w:rPr>
          <w:spacing w:val="-6"/>
        </w:rPr>
        <w:t xml:space="preserve"> </w:t>
      </w:r>
      <w:r>
        <w:t>Entidad,</w:t>
      </w:r>
      <w:r>
        <w:rPr>
          <w:spacing w:val="-9"/>
        </w:rPr>
        <w:t xml:space="preserve"> </w:t>
      </w:r>
      <w:r>
        <w:lastRenderedPageBreak/>
        <w:t>habrá</w:t>
      </w:r>
      <w:r>
        <w:rPr>
          <w:spacing w:val="-5"/>
        </w:rPr>
        <w:t xml:space="preserve"> </w:t>
      </w:r>
      <w:r>
        <w:t>de</w:t>
      </w:r>
      <w:r>
        <w:rPr>
          <w:spacing w:val="-6"/>
        </w:rPr>
        <w:t xml:space="preserve"> </w:t>
      </w:r>
      <w:r>
        <w:t>señalar</w:t>
      </w:r>
      <w:r>
        <w:rPr>
          <w:spacing w:val="-9"/>
        </w:rPr>
        <w:t xml:space="preserve"> </w:t>
      </w:r>
      <w:r>
        <w:t>en</w:t>
      </w:r>
      <w:r>
        <w:rPr>
          <w:spacing w:val="-5"/>
        </w:rPr>
        <w:t xml:space="preserve"> </w:t>
      </w:r>
      <w:r>
        <w:t>los</w:t>
      </w:r>
      <w:r>
        <w:rPr>
          <w:spacing w:val="-6"/>
        </w:rPr>
        <w:t xml:space="preserve"> </w:t>
      </w:r>
      <w:r>
        <w:t>estudios</w:t>
      </w:r>
      <w:r>
        <w:rPr>
          <w:spacing w:val="-6"/>
        </w:rPr>
        <w:t xml:space="preserve"> </w:t>
      </w:r>
      <w:r>
        <w:t>previos,</w:t>
      </w:r>
      <w:r>
        <w:rPr>
          <w:spacing w:val="-8"/>
        </w:rPr>
        <w:t xml:space="preserve"> </w:t>
      </w:r>
      <w:r>
        <w:t>la</w:t>
      </w:r>
      <w:r>
        <w:rPr>
          <w:spacing w:val="-6"/>
        </w:rPr>
        <w:t xml:space="preserve"> </w:t>
      </w:r>
      <w:r>
        <w:t>obligación</w:t>
      </w:r>
      <w:r>
        <w:rPr>
          <w:spacing w:val="-6"/>
        </w:rPr>
        <w:t xml:space="preserve"> </w:t>
      </w:r>
      <w:r>
        <w:t>que,</w:t>
      </w:r>
      <w:r>
        <w:rPr>
          <w:spacing w:val="-8"/>
        </w:rPr>
        <w:t xml:space="preserve"> </w:t>
      </w:r>
      <w:r>
        <w:t>en</w:t>
      </w:r>
      <w:r>
        <w:rPr>
          <w:spacing w:val="-6"/>
        </w:rPr>
        <w:t xml:space="preserve"> </w:t>
      </w:r>
      <w:r>
        <w:t>este</w:t>
      </w:r>
      <w:r>
        <w:rPr>
          <w:spacing w:val="-10"/>
        </w:rPr>
        <w:t xml:space="preserve"> </w:t>
      </w:r>
      <w:r>
        <w:t>sentido,</w:t>
      </w:r>
      <w:r>
        <w:rPr>
          <w:spacing w:val="-8"/>
        </w:rPr>
        <w:t xml:space="preserve"> </w:t>
      </w:r>
      <w:r>
        <w:t>ha</w:t>
      </w:r>
      <w:r>
        <w:rPr>
          <w:spacing w:val="-6"/>
        </w:rPr>
        <w:t xml:space="preserve"> </w:t>
      </w:r>
      <w:r>
        <w:t>de</w:t>
      </w:r>
      <w:r>
        <w:rPr>
          <w:spacing w:val="-59"/>
        </w:rPr>
        <w:t xml:space="preserve"> </w:t>
      </w:r>
      <w:r>
        <w:t>cumplir el</w:t>
      </w:r>
      <w:r>
        <w:rPr>
          <w:spacing w:val="-2"/>
        </w:rPr>
        <w:t xml:space="preserve"> </w:t>
      </w:r>
      <w:r>
        <w:t>contratista seleccionado.</w:t>
      </w:r>
    </w:p>
    <w:p w14:paraId="47C9B046" w14:textId="77777777" w:rsidR="00FE4557" w:rsidRPr="00950925" w:rsidRDefault="00FE4557" w:rsidP="00FE4557">
      <w:pPr>
        <w:pStyle w:val="TableParagraph"/>
        <w:jc w:val="both"/>
      </w:pPr>
    </w:p>
    <w:p w14:paraId="0A82E0D1" w14:textId="21B69415" w:rsidR="0098495B" w:rsidRDefault="000B0465" w:rsidP="00712166">
      <w:pPr>
        <w:pStyle w:val="NormalWeb"/>
        <w:spacing w:before="0" w:beforeAutospacing="0" w:after="0" w:afterAutospacing="0"/>
        <w:jc w:val="both"/>
        <w:rPr>
          <w:rFonts w:ascii="Arial" w:hAnsi="Arial"/>
          <w:b/>
          <w:sz w:val="22"/>
        </w:rPr>
      </w:pPr>
      <w:r>
        <w:rPr>
          <w:rFonts w:ascii="Arial" w:hAnsi="Arial"/>
          <w:b/>
          <w:sz w:val="22"/>
        </w:rPr>
        <w:t>2.2.4.5 E</w:t>
      </w:r>
      <w:r w:rsidRPr="000B0465">
        <w:rPr>
          <w:rFonts w:ascii="Arial" w:hAnsi="Arial"/>
          <w:b/>
          <w:sz w:val="22"/>
        </w:rPr>
        <w:t>mprendimientos y empresas de mujeres</w:t>
      </w:r>
      <w:r>
        <w:rPr>
          <w:rFonts w:ascii="Arial" w:hAnsi="Arial"/>
          <w:b/>
          <w:sz w:val="22"/>
        </w:rPr>
        <w:t>.</w:t>
      </w:r>
    </w:p>
    <w:p w14:paraId="1725509B" w14:textId="745BA1E6" w:rsidR="000B0465" w:rsidRDefault="000B0465" w:rsidP="00712166">
      <w:pPr>
        <w:pStyle w:val="NormalWeb"/>
        <w:spacing w:before="0" w:beforeAutospacing="0" w:after="0" w:afterAutospacing="0"/>
        <w:jc w:val="both"/>
        <w:rPr>
          <w:rFonts w:ascii="Arial" w:hAnsi="Arial"/>
          <w:b/>
          <w:sz w:val="22"/>
        </w:rPr>
      </w:pPr>
    </w:p>
    <w:p w14:paraId="10FB6807"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De acuerdo con el artículo 2.2.1.2.4.2.15 del Decreto 1082 de 2015, adicionado por el artículo 3 del Decreto 1860 de 2021, en los procesos de licitación pública, selección abreviada de menor cuantía y concurso de méritos, las Entidades incluirán condiciones habilitantes para incentivar los emprendimientos y empresas de mujeres con domicilio en el territorio nacional. Para acreditar la condición los emprendimientos y empresas de mujeres debe tener en cuenta lo establecido en el artículo 3, del Decreto 1860 de 2021, el cual adiciono el artículo 2.2.2.1.2.4.14 del Decreto 1082 de 2015 y el articulo 2.2.1.2.4.2.15, los cuales quedaron así:</w:t>
      </w:r>
    </w:p>
    <w:p w14:paraId="17D28A45"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030F359D"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w:t>
      </w:r>
      <w:r w:rsidRPr="000B0465">
        <w:rPr>
          <w:rFonts w:ascii="Arial" w:hAnsi="Arial" w:cs="Arial"/>
          <w:b/>
          <w:bCs/>
          <w:color w:val="000000"/>
          <w:sz w:val="22"/>
          <w:szCs w:val="22"/>
          <w:lang w:bidi="es-CO"/>
        </w:rPr>
        <w:t>ARTÍCULO 2.2.1.2.4.2.14</w:t>
      </w:r>
      <w:r w:rsidRPr="000B0465">
        <w:rPr>
          <w:rFonts w:ascii="Arial" w:hAnsi="Arial" w:cs="Arial"/>
          <w:color w:val="000000"/>
          <w:sz w:val="22"/>
          <w:szCs w:val="22"/>
          <w:lang w:bidi="es-CO"/>
        </w:rPr>
        <w:t xml:space="preserve">.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 </w:t>
      </w:r>
    </w:p>
    <w:p w14:paraId="79887284"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029E31CA"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09E8B1EE"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3EFEBCFF"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4DA562AF"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5CC7BF3F"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600AE66"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132F6915"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1CDEFF02"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31E9A1EE"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6AF5F5C2"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78E20C8F"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1308B82C"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508E2AF4"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7912AA9A"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5C27DF96"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b/>
          <w:bCs/>
          <w:color w:val="000000"/>
          <w:sz w:val="22"/>
          <w:szCs w:val="22"/>
          <w:lang w:bidi="es-CO"/>
        </w:rPr>
        <w:lastRenderedPageBreak/>
        <w:t>PARÁGRAFO.</w:t>
      </w:r>
      <w:r w:rsidRPr="000B0465">
        <w:rPr>
          <w:rFonts w:ascii="Arial" w:hAnsi="Arial" w:cs="Arial"/>
          <w:color w:val="000000"/>
          <w:sz w:val="22"/>
          <w:szCs w:val="22"/>
          <w:lang w:bidi="es-CO"/>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00B97143"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653ABCCD"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w:t>
      </w:r>
      <w:r w:rsidRPr="000B0465">
        <w:rPr>
          <w:rFonts w:ascii="Arial" w:hAnsi="Arial" w:cs="Arial"/>
          <w:b/>
          <w:bCs/>
          <w:color w:val="000000"/>
          <w:sz w:val="22"/>
          <w:szCs w:val="22"/>
          <w:lang w:bidi="es-CO"/>
        </w:rPr>
        <w:t>ARTÍCULO 2.2.1.2.4.2.15</w:t>
      </w:r>
      <w:r w:rsidRPr="000B0465">
        <w:rPr>
          <w:rFonts w:ascii="Arial" w:hAnsi="Arial" w:cs="Arial"/>
          <w:color w:val="000000"/>
          <w:sz w:val="22"/>
          <w:szCs w:val="22"/>
          <w:lang w:bidi="es-CO"/>
        </w:rPr>
        <w:t xml:space="preserve">. Criterios diferenciales para emprendimientos y empresas de mujeres en el sistema de compras públicas. En los procesos de licitación pública, selección abreviada de menor cuantía y concurso de méritos, así como en los procesos competitivos que adelanten las Entidades Estatales no sometidas al Estatuto General de Contratación de la Administración Pública, las Entidades incluirán condiciones habilitantes para incentivar los emprendimientos y empresas de mujeres con domicilio en el territorio nacional. Para el efecto, los Documentos del Proceso deberán incorporar requisitos habilitantes diferenciales relacionados con alguno o algunos de los siguientes aspectos: </w:t>
      </w:r>
    </w:p>
    <w:p w14:paraId="1969FDC9"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1239C9E2"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1. Tiempo de experiencia. </w:t>
      </w:r>
    </w:p>
    <w:p w14:paraId="4E02AFFA"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2. Número de contratos para la acreditación de la experiencia. </w:t>
      </w:r>
    </w:p>
    <w:p w14:paraId="5825F198"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3. Índices de capacidad financiera. </w:t>
      </w:r>
    </w:p>
    <w:p w14:paraId="42B24403"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4. Índices de capacidad organizacional. </w:t>
      </w:r>
    </w:p>
    <w:p w14:paraId="4BE8013A"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5. Valor de la garantía de seriedad de la oferta. </w:t>
      </w:r>
    </w:p>
    <w:p w14:paraId="1E83FB9E"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4858A54E"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Los requisitos mencionados deberán fijarse respetando las condiciones habilitantes requeridas para el cumplimiento adecuado del contrato, teniendo en cuenta el alcance de las obligaciones. En desarrollo de lo anterior, con la finalidad de beneficiar a las empresas y emprendimientos de mujeres, se establecerán condiciones más exigentes respecto a alguno o algunos de los criterios de participación antes enunciados frente a los demás proponentes que concurran al procedimiento de selección que no sean empresas o emprendimientos de mujeres. </w:t>
      </w:r>
    </w:p>
    <w:p w14:paraId="0BCA7110"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7060307A"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De manera que no se ponga en riesgo el cumplimiento adecuado del objeto contractual, con excepción de los procedimientos donde el menor precio ofrecido sea el único factor de evaluación,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 </w:t>
      </w:r>
    </w:p>
    <w:p w14:paraId="3530A4F8"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26358042"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 xml:space="preserve">Las Entidades incluirán estos requisitos diferenciales y puntajes adicionales de acuerdo con los resultados del análisis del sector, desde la perspectiva del estudio de la oferta de las obras, bienes o servicios que requiere, sin perjuicio de los compromisos adquiridos por Colombia en los Acuerdos Comerciales vigentes. </w:t>
      </w:r>
    </w:p>
    <w:p w14:paraId="6D86265C"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4E7A9513"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b/>
          <w:bCs/>
          <w:color w:val="000000"/>
          <w:sz w:val="22"/>
          <w:szCs w:val="22"/>
          <w:lang w:bidi="es-CO"/>
        </w:rPr>
        <w:t>PARÁGRAFO 1.</w:t>
      </w:r>
      <w:r w:rsidRPr="000B0465">
        <w:rPr>
          <w:rFonts w:ascii="Arial" w:hAnsi="Arial" w:cs="Arial"/>
          <w:color w:val="000000"/>
          <w:sz w:val="22"/>
          <w:szCs w:val="22"/>
          <w:lang w:bidi="es-CO"/>
        </w:rPr>
        <w:t xml:space="preserve"> Tratándose de proponentes plurales, los criterios diferenciales y los puntajes adicionales solo se aplicarán si por lo menos uno de los integrantes acredita que es emprendimiento y empresa de mujeres bajo los criterios dispuestos en el artículo 2.2.1.2.4.2.14 y que tiene una participación igual o superior al diez por ciento (10%) en el consorcio o la unión temporal. </w:t>
      </w:r>
    </w:p>
    <w:p w14:paraId="4FB5EB45"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110F8917"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b/>
          <w:bCs/>
          <w:color w:val="000000"/>
          <w:sz w:val="22"/>
          <w:szCs w:val="22"/>
          <w:lang w:bidi="es-CO"/>
        </w:rPr>
        <w:t>PARÁGRAFO 2.</w:t>
      </w:r>
      <w:r w:rsidRPr="000B0465">
        <w:rPr>
          <w:rFonts w:ascii="Arial" w:hAnsi="Arial" w:cs="Arial"/>
          <w:color w:val="000000"/>
          <w:sz w:val="22"/>
          <w:szCs w:val="22"/>
          <w:lang w:bidi="es-CO"/>
        </w:rPr>
        <w:t xml:space="preserve"> Los incentivos contractuales para las empresas y emprendimientos de mujeres no excluyen la aplicación de los criterios diferenciales para Mipyme en el sistema de compras públicas”.</w:t>
      </w:r>
    </w:p>
    <w:p w14:paraId="1C0AF4B9" w14:textId="77777777"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6B5B2DFA" w14:textId="7434826D" w:rsidR="000B0465" w:rsidRDefault="000B0465" w:rsidP="000B0465">
      <w:pPr>
        <w:tabs>
          <w:tab w:val="left" w:pos="7938"/>
          <w:tab w:val="left" w:pos="8080"/>
        </w:tabs>
        <w:ind w:right="51"/>
        <w:jc w:val="both"/>
        <w:rPr>
          <w:rFonts w:ascii="Arial" w:hAnsi="Arial" w:cs="Arial"/>
          <w:color w:val="000000"/>
          <w:sz w:val="22"/>
          <w:szCs w:val="22"/>
          <w:lang w:bidi="es-CO"/>
        </w:rPr>
      </w:pPr>
      <w:r w:rsidRPr="000B0465">
        <w:rPr>
          <w:rFonts w:ascii="Arial" w:hAnsi="Arial" w:cs="Arial"/>
          <w:color w:val="000000"/>
          <w:sz w:val="22"/>
          <w:szCs w:val="22"/>
          <w:lang w:bidi="es-CO"/>
        </w:rPr>
        <w:t>El proponente que cumpla con las condiciones establecidas en el artículo 3 del Decreto 1860 de 2021, que adicionó los artículos 2.2.1.2.4.2.14 y 2.2.1.2.4.2.15 del Decreto 1082 de 2015, como criterio diferencial por tener la condición de emprendimiento y empresa de mujeres, podrá acreditar la experiencia especifica requerida hasta con dos (2) contratos conforme a los términos establecidos en el mencionado requisito.</w:t>
      </w:r>
    </w:p>
    <w:p w14:paraId="29247CA2" w14:textId="77777777" w:rsidR="000B0465" w:rsidRDefault="000B0465" w:rsidP="000B0465">
      <w:pPr>
        <w:tabs>
          <w:tab w:val="left" w:pos="7938"/>
          <w:tab w:val="left" w:pos="8080"/>
        </w:tabs>
        <w:ind w:right="51"/>
        <w:jc w:val="both"/>
        <w:rPr>
          <w:rFonts w:ascii="Arial" w:hAnsi="Arial" w:cs="Arial"/>
          <w:color w:val="000000"/>
          <w:sz w:val="22"/>
          <w:szCs w:val="22"/>
          <w:lang w:bidi="es-CO"/>
        </w:rPr>
      </w:pPr>
    </w:p>
    <w:p w14:paraId="0B3D4E8D" w14:textId="571FB7CF" w:rsidR="000B0465" w:rsidRPr="000B0465" w:rsidRDefault="000B0465" w:rsidP="000B0465">
      <w:pPr>
        <w:tabs>
          <w:tab w:val="left" w:pos="7938"/>
          <w:tab w:val="left" w:pos="8080"/>
        </w:tabs>
        <w:ind w:right="51"/>
        <w:jc w:val="both"/>
        <w:rPr>
          <w:rFonts w:ascii="Arial" w:hAnsi="Arial" w:cs="Arial"/>
          <w:b/>
          <w:bCs/>
          <w:color w:val="000000"/>
          <w:sz w:val="22"/>
          <w:szCs w:val="22"/>
          <w:lang w:bidi="es-CO"/>
        </w:rPr>
      </w:pPr>
      <w:r w:rsidRPr="000B0465">
        <w:rPr>
          <w:rFonts w:ascii="Arial" w:hAnsi="Arial"/>
          <w:b/>
          <w:sz w:val="22"/>
        </w:rPr>
        <w:t xml:space="preserve">2.2.4.6 </w:t>
      </w:r>
      <w:r>
        <w:rPr>
          <w:rFonts w:ascii="Arial" w:hAnsi="Arial" w:cs="Arial"/>
          <w:b/>
          <w:bCs/>
          <w:color w:val="000000"/>
          <w:sz w:val="22"/>
          <w:szCs w:val="22"/>
          <w:lang w:bidi="es-CO"/>
        </w:rPr>
        <w:t>E</w:t>
      </w:r>
      <w:r w:rsidRPr="000B0465">
        <w:rPr>
          <w:rFonts w:ascii="Arial" w:hAnsi="Arial" w:cs="Arial"/>
          <w:b/>
          <w:bCs/>
          <w:color w:val="000000"/>
          <w:sz w:val="22"/>
          <w:szCs w:val="22"/>
          <w:lang w:bidi="es-CO"/>
        </w:rPr>
        <w:t xml:space="preserve">mpresas que cumplen la condición de MIPYME domiciliadas en </w:t>
      </w:r>
      <w:r>
        <w:rPr>
          <w:rFonts w:ascii="Arial" w:hAnsi="Arial" w:cs="Arial"/>
          <w:b/>
          <w:bCs/>
          <w:color w:val="000000"/>
          <w:sz w:val="22"/>
          <w:szCs w:val="22"/>
          <w:lang w:bidi="es-CO"/>
        </w:rPr>
        <w:t>C</w:t>
      </w:r>
      <w:r w:rsidRPr="000B0465">
        <w:rPr>
          <w:rFonts w:ascii="Arial" w:hAnsi="Arial" w:cs="Arial"/>
          <w:b/>
          <w:bCs/>
          <w:color w:val="000000"/>
          <w:sz w:val="22"/>
          <w:szCs w:val="22"/>
          <w:lang w:bidi="es-CO"/>
        </w:rPr>
        <w:t xml:space="preserve">olombia </w:t>
      </w:r>
    </w:p>
    <w:p w14:paraId="23ED330A" w14:textId="49FB25AE" w:rsidR="000B0465" w:rsidRPr="000B0465" w:rsidRDefault="000B0465" w:rsidP="000B0465">
      <w:pPr>
        <w:tabs>
          <w:tab w:val="left" w:pos="7938"/>
          <w:tab w:val="left" w:pos="8080"/>
        </w:tabs>
        <w:ind w:right="51"/>
        <w:jc w:val="both"/>
        <w:rPr>
          <w:rFonts w:ascii="Arial" w:hAnsi="Arial" w:cs="Arial"/>
          <w:color w:val="000000"/>
          <w:sz w:val="22"/>
          <w:szCs w:val="22"/>
          <w:lang w:bidi="es-CO"/>
        </w:rPr>
      </w:pPr>
    </w:p>
    <w:p w14:paraId="330952C1" w14:textId="77777777" w:rsidR="00213159" w:rsidRPr="00213159" w:rsidRDefault="00213159" w:rsidP="00213159">
      <w:pPr>
        <w:tabs>
          <w:tab w:val="left" w:pos="7938"/>
          <w:tab w:val="left" w:pos="8080"/>
        </w:tabs>
        <w:ind w:right="51"/>
        <w:jc w:val="both"/>
        <w:rPr>
          <w:rFonts w:ascii="Arial" w:hAnsi="Arial" w:cs="Arial"/>
          <w:color w:val="000000"/>
          <w:sz w:val="22"/>
          <w:szCs w:val="22"/>
          <w:lang w:bidi="es-CO"/>
        </w:rPr>
      </w:pPr>
      <w:r w:rsidRPr="00213159">
        <w:rPr>
          <w:rFonts w:ascii="Arial" w:hAnsi="Arial" w:cs="Arial"/>
          <w:color w:val="000000"/>
          <w:sz w:val="22"/>
          <w:szCs w:val="22"/>
          <w:lang w:bidi="es-CO"/>
        </w:rPr>
        <w:t xml:space="preserve">De acuerdo con el artículo 2.2.1.2.4.2.18. de Decreto 1082 de 2015, modificado por el artículo 3 del Decreto 1860 de 2021, como criterio diferencial para las empresas que cumplen la condición de Mipyme domiciliadas en Colombia, podrán acreditar la experiencia </w:t>
      </w:r>
      <w:r w:rsidRPr="00213159">
        <w:rPr>
          <w:rFonts w:ascii="Arial" w:hAnsi="Arial" w:cs="Arial"/>
          <w:color w:val="000000"/>
          <w:sz w:val="22"/>
          <w:szCs w:val="22"/>
          <w:lang w:bidi="es-CO"/>
        </w:rPr>
        <w:lastRenderedPageBreak/>
        <w:t>especifica requerida hasta con dos (2) contratos conforme a los términos establecidos en el mencionado requisito.</w:t>
      </w:r>
    </w:p>
    <w:p w14:paraId="07B874FB" w14:textId="77777777" w:rsidR="00213159" w:rsidRPr="00213159" w:rsidRDefault="00213159" w:rsidP="00213159">
      <w:pPr>
        <w:tabs>
          <w:tab w:val="left" w:pos="7938"/>
          <w:tab w:val="left" w:pos="8080"/>
        </w:tabs>
        <w:ind w:right="51"/>
        <w:jc w:val="both"/>
        <w:rPr>
          <w:rFonts w:ascii="Arial" w:hAnsi="Arial" w:cs="Arial"/>
          <w:color w:val="000000"/>
          <w:sz w:val="22"/>
          <w:szCs w:val="22"/>
          <w:lang w:bidi="es-CO"/>
        </w:rPr>
      </w:pPr>
    </w:p>
    <w:p w14:paraId="4A6C83DF" w14:textId="77777777" w:rsidR="00213159" w:rsidRPr="00213159" w:rsidRDefault="00213159" w:rsidP="00213159">
      <w:pPr>
        <w:tabs>
          <w:tab w:val="left" w:pos="7938"/>
          <w:tab w:val="left" w:pos="8080"/>
        </w:tabs>
        <w:ind w:right="51"/>
        <w:jc w:val="both"/>
        <w:rPr>
          <w:rFonts w:ascii="Arial" w:hAnsi="Arial" w:cs="Arial"/>
          <w:color w:val="000000"/>
          <w:sz w:val="22"/>
          <w:szCs w:val="22"/>
          <w:lang w:bidi="es-CO"/>
        </w:rPr>
      </w:pPr>
      <w:r w:rsidRPr="00213159">
        <w:rPr>
          <w:rFonts w:ascii="Arial" w:hAnsi="Arial" w:cs="Arial"/>
          <w:color w:val="000000"/>
          <w:sz w:val="22"/>
          <w:szCs w:val="22"/>
          <w:lang w:bidi="es-CO"/>
        </w:rPr>
        <w:t>Para dar cumplimiento al requisito anterior en el caso de proponentes plurales se debe atender lo establecido en el parágrafo 2, del artículo 2.2.1.2.4.2.18 del Decreto 1082 de 2015, adicionado por el artículo 3, el cual señala:</w:t>
      </w:r>
    </w:p>
    <w:p w14:paraId="400BCED0" w14:textId="77777777" w:rsidR="00213159" w:rsidRPr="00213159" w:rsidRDefault="00213159" w:rsidP="00213159">
      <w:pPr>
        <w:tabs>
          <w:tab w:val="left" w:pos="7938"/>
          <w:tab w:val="left" w:pos="8080"/>
        </w:tabs>
        <w:ind w:right="51"/>
        <w:jc w:val="both"/>
        <w:rPr>
          <w:rFonts w:ascii="Arial" w:hAnsi="Arial" w:cs="Arial"/>
          <w:color w:val="000000"/>
          <w:sz w:val="22"/>
          <w:szCs w:val="22"/>
          <w:lang w:bidi="es-CO"/>
        </w:rPr>
      </w:pPr>
    </w:p>
    <w:p w14:paraId="2009E25F" w14:textId="3F0CC364" w:rsidR="00213159" w:rsidRDefault="00213159" w:rsidP="00213159">
      <w:pPr>
        <w:tabs>
          <w:tab w:val="left" w:pos="7938"/>
          <w:tab w:val="left" w:pos="8080"/>
        </w:tabs>
        <w:ind w:right="51"/>
        <w:jc w:val="both"/>
        <w:rPr>
          <w:rFonts w:ascii="Arial" w:hAnsi="Arial" w:cs="Arial"/>
          <w:i/>
          <w:iCs/>
          <w:color w:val="000000"/>
          <w:sz w:val="22"/>
          <w:szCs w:val="22"/>
          <w:lang w:bidi="es-CO"/>
        </w:rPr>
      </w:pPr>
      <w:r w:rsidRPr="00213159">
        <w:rPr>
          <w:rFonts w:ascii="Arial" w:hAnsi="Arial" w:cs="Arial"/>
          <w:b/>
          <w:bCs/>
          <w:i/>
          <w:iCs/>
          <w:color w:val="000000"/>
          <w:sz w:val="22"/>
          <w:szCs w:val="22"/>
          <w:lang w:bidi="es-CO"/>
        </w:rPr>
        <w:t>“PARÁGRAFO 2.</w:t>
      </w:r>
      <w:r w:rsidRPr="00213159">
        <w:rPr>
          <w:rFonts w:ascii="Arial" w:hAnsi="Arial" w:cs="Arial"/>
          <w:i/>
          <w:iCs/>
          <w:color w:val="000000"/>
          <w:sz w:val="22"/>
          <w:szCs w:val="22"/>
          <w:lang w:bidi="es-CO"/>
        </w:rPr>
        <w:t xml:space="preserve"> Tratándose de proponentes plurales, los criterios diferenciales y los puntajes adicionales solo se aplicarán si por lo menos uno de los integrantes acredita la calidad de Mipyme y tiene una participación igual o superior al diez por ciento (10%) en el consorcio o la unión temporal”.</w:t>
      </w:r>
    </w:p>
    <w:p w14:paraId="67B0A0BA" w14:textId="7E12F1C2" w:rsidR="00213159" w:rsidRDefault="00213159" w:rsidP="00213159">
      <w:pPr>
        <w:tabs>
          <w:tab w:val="left" w:pos="7938"/>
          <w:tab w:val="left" w:pos="8080"/>
        </w:tabs>
        <w:ind w:right="51"/>
        <w:jc w:val="both"/>
        <w:rPr>
          <w:rFonts w:ascii="Arial" w:hAnsi="Arial" w:cs="Arial"/>
          <w:i/>
          <w:iCs/>
          <w:color w:val="000000"/>
          <w:sz w:val="22"/>
          <w:szCs w:val="22"/>
          <w:lang w:bidi="es-CO"/>
        </w:rPr>
      </w:pPr>
    </w:p>
    <w:p w14:paraId="37D198C9" w14:textId="11BFF039" w:rsidR="00213159" w:rsidRDefault="00213159" w:rsidP="00213159">
      <w:pPr>
        <w:tabs>
          <w:tab w:val="left" w:pos="7938"/>
          <w:tab w:val="left" w:pos="8080"/>
        </w:tabs>
        <w:ind w:right="51"/>
        <w:jc w:val="both"/>
        <w:rPr>
          <w:rFonts w:ascii="Arial" w:hAnsi="Arial" w:cs="Arial"/>
          <w:i/>
          <w:iCs/>
          <w:color w:val="000000"/>
          <w:sz w:val="22"/>
          <w:szCs w:val="22"/>
          <w:lang w:bidi="es-CO"/>
        </w:rPr>
      </w:pPr>
      <w:r>
        <w:rPr>
          <w:rFonts w:ascii="Arial" w:hAnsi="Arial" w:cs="Arial"/>
          <w:i/>
          <w:iCs/>
          <w:color w:val="000000"/>
          <w:sz w:val="22"/>
          <w:szCs w:val="22"/>
          <w:lang w:bidi="es-CO"/>
        </w:rPr>
        <w:t>Identificación de Mipymes en Norte de Santander</w:t>
      </w:r>
      <w:r w:rsidR="00D77F35">
        <w:rPr>
          <w:rFonts w:ascii="Arial" w:hAnsi="Arial" w:cs="Arial"/>
          <w:i/>
          <w:iCs/>
          <w:color w:val="000000"/>
          <w:sz w:val="22"/>
          <w:szCs w:val="22"/>
          <w:lang w:bidi="es-CO"/>
        </w:rPr>
        <w:t xml:space="preserve"> – Venta:</w:t>
      </w:r>
    </w:p>
    <w:p w14:paraId="4E2480B4" w14:textId="696A4B49" w:rsidR="00D77F35" w:rsidRDefault="00D77F35" w:rsidP="00213159">
      <w:pPr>
        <w:tabs>
          <w:tab w:val="left" w:pos="7938"/>
          <w:tab w:val="left" w:pos="8080"/>
        </w:tabs>
        <w:ind w:right="51"/>
        <w:jc w:val="both"/>
        <w:rPr>
          <w:rFonts w:ascii="Arial" w:hAnsi="Arial" w:cs="Arial"/>
          <w:i/>
          <w:iCs/>
          <w:color w:val="000000"/>
          <w:sz w:val="22"/>
          <w:szCs w:val="22"/>
          <w:lang w:bidi="es-CO"/>
        </w:rPr>
      </w:pPr>
    </w:p>
    <w:p w14:paraId="3385A7EB" w14:textId="2225988E" w:rsidR="000B0465" w:rsidRPr="00602405" w:rsidRDefault="00602405" w:rsidP="00602405">
      <w:pPr>
        <w:tabs>
          <w:tab w:val="left" w:pos="7938"/>
          <w:tab w:val="left" w:pos="8080"/>
        </w:tabs>
        <w:ind w:right="51"/>
        <w:jc w:val="center"/>
        <w:rPr>
          <w:rFonts w:ascii="Arial" w:hAnsi="Arial"/>
          <w:b/>
          <w:sz w:val="22"/>
        </w:rPr>
      </w:pPr>
      <w:r w:rsidRPr="00602405">
        <w:rPr>
          <w:noProof/>
          <w:lang w:bidi="es-CO"/>
        </w:rPr>
        <w:drawing>
          <wp:inline distT="0" distB="0" distL="0" distR="0" wp14:anchorId="45F459DE" wp14:editId="2D41D526">
            <wp:extent cx="5613400" cy="2658110"/>
            <wp:effectExtent l="0" t="0" r="2540" b="0"/>
            <wp:docPr id="875802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02046" name=""/>
                    <pic:cNvPicPr/>
                  </pic:nvPicPr>
                  <pic:blipFill>
                    <a:blip r:embed="rId27"/>
                    <a:stretch>
                      <a:fillRect/>
                    </a:stretch>
                  </pic:blipFill>
                  <pic:spPr>
                    <a:xfrm>
                      <a:off x="0" y="0"/>
                      <a:ext cx="5613400" cy="2658110"/>
                    </a:xfrm>
                    <a:prstGeom prst="rect">
                      <a:avLst/>
                    </a:prstGeom>
                  </pic:spPr>
                </pic:pic>
              </a:graphicData>
            </a:graphic>
          </wp:inline>
        </w:drawing>
      </w:r>
    </w:p>
    <w:p w14:paraId="562CC238" w14:textId="77777777" w:rsidR="000B0465" w:rsidRPr="001F130D" w:rsidRDefault="000B0465" w:rsidP="00712166">
      <w:pPr>
        <w:pStyle w:val="NormalWeb"/>
        <w:spacing w:before="0" w:beforeAutospacing="0" w:after="0" w:afterAutospacing="0"/>
        <w:jc w:val="both"/>
        <w:rPr>
          <w:rFonts w:ascii="Arial" w:hAnsi="Arial" w:cs="Arial"/>
          <w:sz w:val="22"/>
          <w:szCs w:val="22"/>
        </w:rPr>
      </w:pPr>
    </w:p>
    <w:p w14:paraId="7E96C1BD" w14:textId="22145801" w:rsidR="009F7F8E" w:rsidRPr="001F130D" w:rsidRDefault="00CC5667">
      <w:pPr>
        <w:pStyle w:val="Prrafodelista"/>
        <w:numPr>
          <w:ilvl w:val="0"/>
          <w:numId w:val="5"/>
        </w:numPr>
        <w:tabs>
          <w:tab w:val="left" w:pos="7938"/>
          <w:tab w:val="left" w:pos="8080"/>
        </w:tabs>
        <w:ind w:right="51"/>
        <w:jc w:val="both"/>
        <w:rPr>
          <w:rFonts w:ascii="Arial" w:hAnsi="Arial" w:cs="Arial"/>
          <w:b/>
          <w:bCs/>
          <w:sz w:val="22"/>
          <w:szCs w:val="22"/>
        </w:rPr>
      </w:pPr>
      <w:r>
        <w:rPr>
          <w:rFonts w:ascii="Arial" w:hAnsi="Arial" w:cs="Arial"/>
          <w:b/>
          <w:bCs/>
          <w:sz w:val="22"/>
          <w:szCs w:val="22"/>
        </w:rPr>
        <w:t>ANALISIS</w:t>
      </w:r>
      <w:r w:rsidR="009F7F8E" w:rsidRPr="001F130D">
        <w:rPr>
          <w:rFonts w:ascii="Arial" w:hAnsi="Arial" w:cs="Arial"/>
          <w:b/>
          <w:bCs/>
          <w:sz w:val="22"/>
          <w:szCs w:val="22"/>
        </w:rPr>
        <w:t xml:space="preserve"> DE LA DEMANDA.</w:t>
      </w:r>
    </w:p>
    <w:p w14:paraId="789365D2" w14:textId="77777777" w:rsidR="009F7F8E" w:rsidRPr="001F130D" w:rsidRDefault="009F7F8E" w:rsidP="009F7F8E">
      <w:pPr>
        <w:tabs>
          <w:tab w:val="left" w:pos="7938"/>
          <w:tab w:val="left" w:pos="8080"/>
        </w:tabs>
        <w:ind w:right="51"/>
        <w:jc w:val="both"/>
        <w:rPr>
          <w:rFonts w:ascii="Arial" w:hAnsi="Arial" w:cs="Arial"/>
          <w:b/>
          <w:bCs/>
          <w:sz w:val="22"/>
          <w:szCs w:val="22"/>
        </w:rPr>
      </w:pPr>
    </w:p>
    <w:p w14:paraId="68E6CCA9" w14:textId="77777777" w:rsidR="00250BF4" w:rsidRPr="001F130D" w:rsidRDefault="00250BF4" w:rsidP="00250BF4">
      <w:pPr>
        <w:tabs>
          <w:tab w:val="left" w:pos="7938"/>
          <w:tab w:val="left" w:pos="8080"/>
        </w:tabs>
        <w:ind w:right="51"/>
        <w:jc w:val="both"/>
        <w:rPr>
          <w:rFonts w:ascii="Arial" w:hAnsi="Arial" w:cs="Arial"/>
          <w:sz w:val="22"/>
          <w:szCs w:val="22"/>
        </w:rPr>
      </w:pPr>
      <w:r w:rsidRPr="001F130D">
        <w:rPr>
          <w:rFonts w:ascii="Arial" w:hAnsi="Arial" w:cs="Arial"/>
          <w:sz w:val="22"/>
          <w:szCs w:val="22"/>
        </w:rPr>
        <w:t>El propósito de este análisis es determinar el tipo de consumidor que existe para el sector</w:t>
      </w:r>
    </w:p>
    <w:p w14:paraId="6092B242" w14:textId="26772EF7" w:rsidR="00B84CFB" w:rsidRDefault="00250BF4" w:rsidP="00250BF4">
      <w:pPr>
        <w:tabs>
          <w:tab w:val="left" w:pos="7938"/>
          <w:tab w:val="left" w:pos="8080"/>
        </w:tabs>
        <w:ind w:right="51"/>
        <w:jc w:val="both"/>
        <w:rPr>
          <w:rFonts w:ascii="Arial" w:hAnsi="Arial" w:cs="Arial"/>
          <w:sz w:val="22"/>
          <w:szCs w:val="22"/>
        </w:rPr>
      </w:pPr>
      <w:r w:rsidRPr="001F130D">
        <w:rPr>
          <w:rFonts w:ascii="Arial" w:hAnsi="Arial" w:cs="Arial"/>
          <w:sz w:val="22"/>
          <w:szCs w:val="22"/>
        </w:rPr>
        <w:t xml:space="preserve">que nos ocupa; dicha información es consultada de la página de contratación estatal SECOP </w:t>
      </w:r>
      <w:r w:rsidR="00FA2EBB" w:rsidRPr="001F130D">
        <w:rPr>
          <w:rFonts w:ascii="Arial" w:hAnsi="Arial" w:cs="Arial"/>
          <w:sz w:val="22"/>
          <w:szCs w:val="22"/>
        </w:rPr>
        <w:t>II</w:t>
      </w:r>
      <w:r w:rsidRPr="001F130D">
        <w:rPr>
          <w:rFonts w:ascii="Arial" w:hAnsi="Arial" w:cs="Arial"/>
          <w:sz w:val="22"/>
          <w:szCs w:val="22"/>
        </w:rPr>
        <w:t xml:space="preserve">, en la cual se hallaron contrataciones similares efectuadas por </w:t>
      </w:r>
      <w:r w:rsidR="004F6DEF">
        <w:rPr>
          <w:rFonts w:ascii="Arial" w:hAnsi="Arial" w:cs="Arial"/>
          <w:sz w:val="22"/>
          <w:szCs w:val="22"/>
        </w:rPr>
        <w:t>otras</w:t>
      </w:r>
      <w:r w:rsidRPr="001F130D">
        <w:rPr>
          <w:rFonts w:ascii="Arial" w:hAnsi="Arial" w:cs="Arial"/>
          <w:sz w:val="22"/>
          <w:szCs w:val="22"/>
        </w:rPr>
        <w:t xml:space="preserve"> seccionales de la </w:t>
      </w:r>
      <w:r w:rsidR="004F6DEF">
        <w:rPr>
          <w:rFonts w:ascii="Arial" w:hAnsi="Arial" w:cs="Arial"/>
          <w:sz w:val="22"/>
          <w:szCs w:val="22"/>
        </w:rPr>
        <w:t>R</w:t>
      </w:r>
      <w:r w:rsidRPr="001F130D">
        <w:rPr>
          <w:rFonts w:ascii="Arial" w:hAnsi="Arial" w:cs="Arial"/>
          <w:sz w:val="22"/>
          <w:szCs w:val="22"/>
        </w:rPr>
        <w:t xml:space="preserve">ama </w:t>
      </w:r>
      <w:r w:rsidR="004F6DEF">
        <w:rPr>
          <w:rFonts w:ascii="Arial" w:hAnsi="Arial" w:cs="Arial"/>
          <w:sz w:val="22"/>
          <w:szCs w:val="22"/>
        </w:rPr>
        <w:t>J</w:t>
      </w:r>
      <w:r w:rsidRPr="001F130D">
        <w:rPr>
          <w:rFonts w:ascii="Arial" w:hAnsi="Arial" w:cs="Arial"/>
          <w:sz w:val="22"/>
          <w:szCs w:val="22"/>
        </w:rPr>
        <w:t>udicial.</w:t>
      </w:r>
    </w:p>
    <w:p w14:paraId="3D13656A" w14:textId="2304F013" w:rsidR="007E5748" w:rsidRDefault="007E5748" w:rsidP="007E5748">
      <w:pPr>
        <w:tabs>
          <w:tab w:val="left" w:pos="7938"/>
          <w:tab w:val="left" w:pos="8080"/>
        </w:tabs>
        <w:ind w:right="51"/>
        <w:jc w:val="center"/>
        <w:rPr>
          <w:rFonts w:ascii="Arial" w:hAnsi="Arial" w:cs="Arial"/>
          <w:sz w:val="22"/>
          <w:szCs w:val="22"/>
        </w:rPr>
      </w:pPr>
    </w:p>
    <w:p w14:paraId="0F7AC513" w14:textId="0ED99D5A" w:rsidR="007E5748" w:rsidRDefault="007E5748" w:rsidP="007E5748">
      <w:pPr>
        <w:tabs>
          <w:tab w:val="left" w:pos="7938"/>
          <w:tab w:val="left" w:pos="8080"/>
        </w:tabs>
        <w:ind w:right="51"/>
        <w:jc w:val="center"/>
        <w:rPr>
          <w:rFonts w:ascii="Arial" w:hAnsi="Arial" w:cs="Arial"/>
          <w:sz w:val="22"/>
          <w:szCs w:val="22"/>
        </w:rPr>
      </w:pPr>
    </w:p>
    <w:p w14:paraId="4AE6A561" w14:textId="6FD055E7" w:rsidR="00EB6756" w:rsidRDefault="00EB6756" w:rsidP="00F511CE">
      <w:pPr>
        <w:tabs>
          <w:tab w:val="left" w:pos="7938"/>
          <w:tab w:val="left" w:pos="8080"/>
        </w:tabs>
        <w:ind w:right="51"/>
        <w:jc w:val="both"/>
        <w:rPr>
          <w:rFonts w:ascii="Arial" w:hAnsi="Arial" w:cs="Arial"/>
          <w:sz w:val="18"/>
          <w:szCs w:val="18"/>
        </w:rPr>
      </w:pPr>
      <w:r>
        <w:rPr>
          <w:rFonts w:ascii="Arial" w:hAnsi="Arial" w:cs="Arial"/>
          <w:noProof/>
          <w:sz w:val="18"/>
          <w:szCs w:val="18"/>
        </w:rPr>
        <w:lastRenderedPageBreak/>
        <w:drawing>
          <wp:inline distT="0" distB="0" distL="0" distR="0" wp14:anchorId="02F5AFFE" wp14:editId="4EAF84A1">
            <wp:extent cx="5613400" cy="3508375"/>
            <wp:effectExtent l="0" t="0" r="0" b="0"/>
            <wp:docPr id="3038589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858909" name="Imagen 303858909"/>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32117" cy="3520073"/>
                    </a:xfrm>
                    <a:prstGeom prst="rect">
                      <a:avLst/>
                    </a:prstGeom>
                  </pic:spPr>
                </pic:pic>
              </a:graphicData>
            </a:graphic>
          </wp:inline>
        </w:drawing>
      </w:r>
      <w:r>
        <w:rPr>
          <w:rFonts w:ascii="Arial" w:hAnsi="Arial" w:cs="Arial"/>
          <w:noProof/>
          <w:sz w:val="18"/>
          <w:szCs w:val="18"/>
        </w:rPr>
        <w:drawing>
          <wp:inline distT="0" distB="0" distL="0" distR="0" wp14:anchorId="267C6174" wp14:editId="704CD5B5">
            <wp:extent cx="5613400" cy="3508375"/>
            <wp:effectExtent l="0" t="0" r="0" b="0"/>
            <wp:docPr id="17092879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87961" name="Imagen 170928796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613400" cy="3508375"/>
                    </a:xfrm>
                    <a:prstGeom prst="rect">
                      <a:avLst/>
                    </a:prstGeom>
                  </pic:spPr>
                </pic:pic>
              </a:graphicData>
            </a:graphic>
          </wp:inline>
        </w:drawing>
      </w:r>
    </w:p>
    <w:p w14:paraId="39EA6EEB" w14:textId="77777777" w:rsidR="00EB6756" w:rsidRDefault="00EB6756" w:rsidP="00F511CE">
      <w:pPr>
        <w:tabs>
          <w:tab w:val="left" w:pos="7938"/>
          <w:tab w:val="left" w:pos="8080"/>
        </w:tabs>
        <w:ind w:right="51"/>
        <w:jc w:val="both"/>
        <w:rPr>
          <w:rFonts w:ascii="Arial" w:hAnsi="Arial" w:cs="Arial"/>
          <w:sz w:val="18"/>
          <w:szCs w:val="18"/>
        </w:rPr>
      </w:pPr>
    </w:p>
    <w:p w14:paraId="14E46F8B" w14:textId="22CF46ED" w:rsidR="002D5293" w:rsidRPr="00F511CE" w:rsidRDefault="00F511CE" w:rsidP="00F511CE">
      <w:pPr>
        <w:tabs>
          <w:tab w:val="left" w:pos="7938"/>
          <w:tab w:val="left" w:pos="8080"/>
        </w:tabs>
        <w:ind w:right="51"/>
        <w:jc w:val="both"/>
        <w:rPr>
          <w:rFonts w:ascii="Arial" w:hAnsi="Arial" w:cs="Arial"/>
          <w:sz w:val="18"/>
          <w:szCs w:val="18"/>
        </w:rPr>
      </w:pPr>
      <w:r w:rsidRPr="00F511CE">
        <w:rPr>
          <w:rFonts w:ascii="Arial" w:hAnsi="Arial" w:cs="Arial"/>
          <w:sz w:val="18"/>
          <w:szCs w:val="18"/>
        </w:rPr>
        <w:t xml:space="preserve">FUENTE: </w:t>
      </w:r>
      <w:hyperlink r:id="rId30" w:history="1">
        <w:r w:rsidR="00EB6756" w:rsidRPr="00C33610">
          <w:rPr>
            <w:rStyle w:val="Hipervnculo"/>
            <w:rFonts w:ascii="Arial" w:hAnsi="Arial" w:cs="Arial"/>
            <w:sz w:val="18"/>
            <w:szCs w:val="18"/>
          </w:rPr>
          <w:t>https://app.powerbi.com/view?r=eyJrIjoiMGY4MWZmZmUtNGJlYy00YTBlLTgzYmYtZGE2NGRkZDA1YTJlIiwidCI6IjdiMDkwNDFlLTI0NTEtNDlkMC04Y2IxLTc5ZDVlM2Q4YzFiZSIsImMiOjR9&amp;pageName=ReportSection17ad17361e56dd6a009c</w:t>
        </w:r>
      </w:hyperlink>
      <w:r w:rsidR="00EB6756">
        <w:rPr>
          <w:rFonts w:ascii="Arial" w:hAnsi="Arial" w:cs="Arial"/>
          <w:sz w:val="18"/>
          <w:szCs w:val="18"/>
        </w:rPr>
        <w:t xml:space="preserve"> </w:t>
      </w:r>
    </w:p>
    <w:p w14:paraId="7A6DFE66" w14:textId="77777777" w:rsidR="00CC5667" w:rsidRPr="001F130D" w:rsidRDefault="00CC5667" w:rsidP="00944029">
      <w:pPr>
        <w:tabs>
          <w:tab w:val="left" w:pos="7938"/>
          <w:tab w:val="left" w:pos="8080"/>
        </w:tabs>
        <w:ind w:right="51"/>
        <w:jc w:val="both"/>
        <w:rPr>
          <w:rFonts w:ascii="Arial" w:hAnsi="Arial" w:cs="Arial"/>
          <w:sz w:val="22"/>
          <w:szCs w:val="22"/>
        </w:rPr>
      </w:pPr>
    </w:p>
    <w:p w14:paraId="6CB231AD" w14:textId="77777777" w:rsidR="006E5904" w:rsidRPr="001F130D" w:rsidRDefault="006E5904" w:rsidP="00720D2A">
      <w:pPr>
        <w:jc w:val="both"/>
        <w:rPr>
          <w:rFonts w:ascii="Arial" w:hAnsi="Arial" w:cs="Arial"/>
          <w:sz w:val="22"/>
          <w:szCs w:val="22"/>
        </w:rPr>
      </w:pPr>
    </w:p>
    <w:p w14:paraId="37CE72F0" w14:textId="38527DA3" w:rsidR="00720D2A" w:rsidRPr="001F130D" w:rsidRDefault="0012069A">
      <w:pPr>
        <w:pStyle w:val="Prrafodelista"/>
        <w:numPr>
          <w:ilvl w:val="0"/>
          <w:numId w:val="5"/>
        </w:numPr>
        <w:jc w:val="both"/>
        <w:rPr>
          <w:rFonts w:ascii="Arial" w:hAnsi="Arial" w:cs="Arial"/>
          <w:b/>
          <w:bCs/>
          <w:sz w:val="22"/>
          <w:szCs w:val="22"/>
        </w:rPr>
      </w:pPr>
      <w:r w:rsidRPr="001F130D">
        <w:rPr>
          <w:rFonts w:ascii="Arial" w:hAnsi="Arial" w:cs="Arial"/>
          <w:b/>
          <w:bCs/>
          <w:sz w:val="22"/>
          <w:szCs w:val="22"/>
        </w:rPr>
        <w:t>HISTÓRICO DE CONTRATACIÓN.</w:t>
      </w:r>
    </w:p>
    <w:p w14:paraId="4FAAA6FD" w14:textId="150686AB" w:rsidR="00A00780" w:rsidRPr="001F130D" w:rsidRDefault="00A00780" w:rsidP="00A00780">
      <w:pPr>
        <w:jc w:val="both"/>
        <w:rPr>
          <w:rFonts w:ascii="Arial" w:hAnsi="Arial" w:cs="Arial"/>
          <w:b/>
          <w:bCs/>
          <w:sz w:val="22"/>
          <w:szCs w:val="22"/>
        </w:rPr>
      </w:pPr>
    </w:p>
    <w:p w14:paraId="75269561" w14:textId="2B970180" w:rsidR="0039185F" w:rsidRDefault="005653D1" w:rsidP="005653D1">
      <w:pPr>
        <w:jc w:val="both"/>
        <w:rPr>
          <w:rFonts w:ascii="Arial" w:hAnsi="Arial" w:cs="Arial"/>
          <w:sz w:val="22"/>
          <w:szCs w:val="22"/>
        </w:rPr>
      </w:pPr>
      <w:r w:rsidRPr="001F130D">
        <w:rPr>
          <w:rFonts w:ascii="Arial" w:hAnsi="Arial" w:cs="Arial"/>
          <w:sz w:val="22"/>
          <w:szCs w:val="22"/>
        </w:rPr>
        <w:t>Con ocasión de la adquisición que se requiere realizar, la entidad efectúo consulta</w:t>
      </w:r>
      <w:r w:rsidR="00644F27" w:rsidRPr="001F130D">
        <w:rPr>
          <w:rFonts w:ascii="Arial" w:hAnsi="Arial" w:cs="Arial"/>
          <w:sz w:val="22"/>
          <w:szCs w:val="22"/>
        </w:rPr>
        <w:t xml:space="preserve"> en la plataforma </w:t>
      </w:r>
      <w:r w:rsidR="0039185F">
        <w:rPr>
          <w:rFonts w:ascii="Arial" w:hAnsi="Arial" w:cs="Arial"/>
          <w:sz w:val="22"/>
          <w:szCs w:val="22"/>
        </w:rPr>
        <w:t>TVEC</w:t>
      </w:r>
      <w:r w:rsidRPr="001F130D">
        <w:rPr>
          <w:rFonts w:ascii="Arial" w:hAnsi="Arial" w:cs="Arial"/>
          <w:sz w:val="22"/>
          <w:szCs w:val="22"/>
        </w:rPr>
        <w:t xml:space="preserve"> de los</w:t>
      </w:r>
      <w:r w:rsidR="00644F27" w:rsidRPr="001F130D">
        <w:rPr>
          <w:rFonts w:ascii="Arial" w:hAnsi="Arial" w:cs="Arial"/>
          <w:sz w:val="22"/>
          <w:szCs w:val="22"/>
        </w:rPr>
        <w:t xml:space="preserve"> </w:t>
      </w:r>
      <w:r w:rsidRPr="001F130D">
        <w:rPr>
          <w:rFonts w:ascii="Arial" w:hAnsi="Arial" w:cs="Arial"/>
          <w:sz w:val="22"/>
          <w:szCs w:val="22"/>
        </w:rPr>
        <w:t xml:space="preserve">procesos con objeto similar celebrados por la Seccional </w:t>
      </w:r>
      <w:r w:rsidR="0039185F">
        <w:rPr>
          <w:rFonts w:ascii="Arial" w:hAnsi="Arial" w:cs="Arial"/>
          <w:sz w:val="22"/>
          <w:szCs w:val="22"/>
        </w:rPr>
        <w:t>Cúcuta</w:t>
      </w:r>
      <w:r w:rsidR="00A72EE4" w:rsidRPr="001F130D">
        <w:rPr>
          <w:rFonts w:ascii="Arial" w:hAnsi="Arial" w:cs="Arial"/>
          <w:sz w:val="22"/>
          <w:szCs w:val="22"/>
        </w:rPr>
        <w:t xml:space="preserve"> donde se pudo evidenciar que se ejecut</w:t>
      </w:r>
      <w:r w:rsidR="003F6ACE">
        <w:rPr>
          <w:rFonts w:ascii="Arial" w:hAnsi="Arial" w:cs="Arial"/>
          <w:sz w:val="22"/>
          <w:szCs w:val="22"/>
        </w:rPr>
        <w:t>aron</w:t>
      </w:r>
      <w:r w:rsidR="00A72EE4" w:rsidRPr="001F130D">
        <w:rPr>
          <w:rFonts w:ascii="Arial" w:hAnsi="Arial" w:cs="Arial"/>
          <w:sz w:val="22"/>
          <w:szCs w:val="22"/>
        </w:rPr>
        <w:t xml:space="preserve"> </w:t>
      </w:r>
      <w:r w:rsidR="00EB6756">
        <w:rPr>
          <w:rFonts w:ascii="Arial" w:hAnsi="Arial" w:cs="Arial"/>
          <w:sz w:val="22"/>
          <w:szCs w:val="22"/>
        </w:rPr>
        <w:t>DOS</w:t>
      </w:r>
      <w:r w:rsidR="002046C3" w:rsidRPr="001F130D">
        <w:rPr>
          <w:rFonts w:ascii="Arial" w:hAnsi="Arial" w:cs="Arial"/>
          <w:sz w:val="22"/>
          <w:szCs w:val="22"/>
        </w:rPr>
        <w:t xml:space="preserve"> (</w:t>
      </w:r>
      <w:r w:rsidR="003F6ACE">
        <w:rPr>
          <w:rFonts w:ascii="Arial" w:hAnsi="Arial" w:cs="Arial"/>
          <w:sz w:val="22"/>
          <w:szCs w:val="22"/>
        </w:rPr>
        <w:t>3</w:t>
      </w:r>
      <w:r w:rsidR="002046C3" w:rsidRPr="001F130D">
        <w:rPr>
          <w:rFonts w:ascii="Arial" w:hAnsi="Arial" w:cs="Arial"/>
          <w:sz w:val="22"/>
          <w:szCs w:val="22"/>
        </w:rPr>
        <w:t>)</w:t>
      </w:r>
      <w:r w:rsidR="00A72EE4" w:rsidRPr="001F130D">
        <w:rPr>
          <w:rFonts w:ascii="Arial" w:hAnsi="Arial" w:cs="Arial"/>
          <w:sz w:val="22"/>
          <w:szCs w:val="22"/>
        </w:rPr>
        <w:t xml:space="preserve"> </w:t>
      </w:r>
      <w:proofErr w:type="spellStart"/>
      <w:r w:rsidR="0039185F">
        <w:rPr>
          <w:rFonts w:ascii="Arial" w:hAnsi="Arial" w:cs="Arial"/>
          <w:sz w:val="22"/>
          <w:szCs w:val="22"/>
        </w:rPr>
        <w:t>ordenes</w:t>
      </w:r>
      <w:proofErr w:type="spellEnd"/>
      <w:r w:rsidR="0039185F">
        <w:rPr>
          <w:rFonts w:ascii="Arial" w:hAnsi="Arial" w:cs="Arial"/>
          <w:sz w:val="22"/>
          <w:szCs w:val="22"/>
        </w:rPr>
        <w:t xml:space="preserve"> de compra</w:t>
      </w:r>
      <w:r w:rsidR="00792CB6">
        <w:rPr>
          <w:rFonts w:ascii="Arial" w:hAnsi="Arial" w:cs="Arial"/>
          <w:sz w:val="22"/>
          <w:szCs w:val="22"/>
        </w:rPr>
        <w:t xml:space="preserve">, </w:t>
      </w:r>
      <w:r w:rsidR="003F6ACE">
        <w:rPr>
          <w:rFonts w:ascii="Arial" w:hAnsi="Arial" w:cs="Arial"/>
          <w:sz w:val="22"/>
          <w:szCs w:val="22"/>
        </w:rPr>
        <w:t>los</w:t>
      </w:r>
      <w:r w:rsidR="0028008C">
        <w:rPr>
          <w:rFonts w:ascii="Arial" w:hAnsi="Arial" w:cs="Arial"/>
          <w:sz w:val="22"/>
          <w:szCs w:val="22"/>
        </w:rPr>
        <w:t xml:space="preserve"> cual</w:t>
      </w:r>
      <w:r w:rsidR="003F6ACE">
        <w:rPr>
          <w:rFonts w:ascii="Arial" w:hAnsi="Arial" w:cs="Arial"/>
          <w:sz w:val="22"/>
          <w:szCs w:val="22"/>
        </w:rPr>
        <w:t>es</w:t>
      </w:r>
      <w:r w:rsidR="0028008C">
        <w:rPr>
          <w:rFonts w:ascii="Arial" w:hAnsi="Arial" w:cs="Arial"/>
          <w:sz w:val="22"/>
          <w:szCs w:val="22"/>
        </w:rPr>
        <w:t xml:space="preserve"> </w:t>
      </w:r>
      <w:r w:rsidR="00A72EE4" w:rsidRPr="001F130D">
        <w:rPr>
          <w:rFonts w:ascii="Arial" w:hAnsi="Arial" w:cs="Arial"/>
          <w:sz w:val="22"/>
          <w:szCs w:val="22"/>
        </w:rPr>
        <w:t>se relaciona</w:t>
      </w:r>
      <w:r w:rsidR="003F6ACE">
        <w:rPr>
          <w:rFonts w:ascii="Arial" w:hAnsi="Arial" w:cs="Arial"/>
          <w:sz w:val="22"/>
          <w:szCs w:val="22"/>
        </w:rPr>
        <w:t>n</w:t>
      </w:r>
      <w:r w:rsidR="00A72EE4" w:rsidRPr="001F130D">
        <w:rPr>
          <w:rFonts w:ascii="Arial" w:hAnsi="Arial" w:cs="Arial"/>
          <w:sz w:val="22"/>
          <w:szCs w:val="22"/>
        </w:rPr>
        <w:t xml:space="preserve"> a continuación:</w:t>
      </w:r>
    </w:p>
    <w:p w14:paraId="14C83A61" w14:textId="2FB024E8" w:rsidR="0024147D" w:rsidRPr="001F130D" w:rsidRDefault="00EB6756" w:rsidP="00EB6756">
      <w:pPr>
        <w:jc w:val="center"/>
        <w:rPr>
          <w:rFonts w:ascii="Arial" w:hAnsi="Arial" w:cs="Arial"/>
          <w:sz w:val="22"/>
          <w:szCs w:val="22"/>
        </w:rPr>
      </w:pPr>
      <w:r>
        <w:rPr>
          <w:rFonts w:ascii="Arial" w:hAnsi="Arial" w:cs="Arial"/>
          <w:noProof/>
          <w:sz w:val="22"/>
          <w:szCs w:val="22"/>
        </w:rPr>
        <w:lastRenderedPageBreak/>
        <w:drawing>
          <wp:inline distT="0" distB="0" distL="0" distR="0" wp14:anchorId="183F1AF2" wp14:editId="328D42EA">
            <wp:extent cx="4524626" cy="2827891"/>
            <wp:effectExtent l="0" t="0" r="0" b="4445"/>
            <wp:docPr id="3203984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98480" name="Imagen 32039848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33868" cy="2833667"/>
                    </a:xfrm>
                    <a:prstGeom prst="rect">
                      <a:avLst/>
                    </a:prstGeom>
                  </pic:spPr>
                </pic:pic>
              </a:graphicData>
            </a:graphic>
          </wp:inline>
        </w:drawing>
      </w:r>
    </w:p>
    <w:p w14:paraId="3D3E5A93" w14:textId="77777777" w:rsidR="00A72EE4" w:rsidRPr="001F130D" w:rsidRDefault="00A72EE4" w:rsidP="005653D1">
      <w:pPr>
        <w:jc w:val="both"/>
        <w:rPr>
          <w:rFonts w:ascii="Arial" w:hAnsi="Arial" w:cs="Arial"/>
          <w:sz w:val="22"/>
          <w:szCs w:val="22"/>
          <w:highlight w:val="yellow"/>
        </w:rPr>
      </w:pPr>
    </w:p>
    <w:p w14:paraId="585C2DDE" w14:textId="71A97C30" w:rsidR="002046C3" w:rsidRPr="001F130D" w:rsidRDefault="0039185F" w:rsidP="008B0D17">
      <w:pPr>
        <w:rPr>
          <w:rFonts w:ascii="Arial" w:hAnsi="Arial" w:cs="Arial"/>
          <w:sz w:val="22"/>
          <w:szCs w:val="22"/>
          <w:highlight w:val="yellow"/>
        </w:rPr>
      </w:pPr>
      <w:r w:rsidRPr="001F130D">
        <w:rPr>
          <w:rFonts w:ascii="Arial" w:hAnsi="Arial" w:cs="Arial"/>
          <w:sz w:val="22"/>
          <w:szCs w:val="22"/>
        </w:rPr>
        <w:t>FUENTE:</w:t>
      </w:r>
      <w:r>
        <w:rPr>
          <w:rFonts w:ascii="Arial" w:hAnsi="Arial" w:cs="Arial"/>
          <w:sz w:val="22"/>
          <w:szCs w:val="22"/>
        </w:rPr>
        <w:t xml:space="preserve"> </w:t>
      </w:r>
      <w:hyperlink r:id="rId32" w:history="1">
        <w:r w:rsidRPr="00E905CB">
          <w:rPr>
            <w:rStyle w:val="Hipervnculo"/>
            <w:rFonts w:ascii="Arial" w:hAnsi="Arial" w:cs="Arial"/>
            <w:sz w:val="22"/>
            <w:szCs w:val="22"/>
          </w:rPr>
          <w:t>https://colombiacompra.coupahost.com/order_headers</w:t>
        </w:r>
      </w:hyperlink>
      <w:r>
        <w:rPr>
          <w:rFonts w:ascii="Arial" w:hAnsi="Arial" w:cs="Arial"/>
          <w:sz w:val="22"/>
          <w:szCs w:val="22"/>
        </w:rPr>
        <w:t xml:space="preserve"> </w:t>
      </w:r>
    </w:p>
    <w:p w14:paraId="5E17724E" w14:textId="26205922" w:rsidR="002046C3" w:rsidRDefault="002046C3" w:rsidP="008B0D17">
      <w:pPr>
        <w:rPr>
          <w:rFonts w:ascii="Arial" w:hAnsi="Arial" w:cs="Arial"/>
          <w:sz w:val="22"/>
          <w:szCs w:val="22"/>
          <w:highlight w:val="yellow"/>
        </w:rPr>
      </w:pPr>
    </w:p>
    <w:p w14:paraId="42082493" w14:textId="177FB1D8" w:rsidR="00CC5667" w:rsidRPr="00CC5667" w:rsidRDefault="00CC5667" w:rsidP="00CC5667">
      <w:pPr>
        <w:jc w:val="both"/>
        <w:rPr>
          <w:rFonts w:ascii="Arial" w:hAnsi="Arial" w:cs="Arial"/>
          <w:b/>
          <w:bCs/>
          <w:sz w:val="22"/>
          <w:szCs w:val="22"/>
        </w:rPr>
      </w:pPr>
      <w:r w:rsidRPr="00CC5667">
        <w:rPr>
          <w:rFonts w:ascii="Arial" w:hAnsi="Arial" w:cs="Arial"/>
          <w:b/>
          <w:bCs/>
          <w:sz w:val="22"/>
          <w:szCs w:val="22"/>
        </w:rPr>
        <w:t>Entidades Públicas que han requerido en compra en NORTE DE SANTANDER:</w:t>
      </w:r>
    </w:p>
    <w:p w14:paraId="2853D367" w14:textId="5E4E5ED2" w:rsidR="00CC5667" w:rsidRDefault="00CC5667" w:rsidP="008B0D17">
      <w:pPr>
        <w:rPr>
          <w:rFonts w:ascii="Arial" w:hAnsi="Arial" w:cs="Arial"/>
          <w:sz w:val="22"/>
          <w:szCs w:val="22"/>
          <w:highlight w:val="yellow"/>
        </w:rPr>
      </w:pPr>
    </w:p>
    <w:p w14:paraId="7F989233" w14:textId="7C761FE9" w:rsidR="00CC5667" w:rsidRDefault="00EB6756" w:rsidP="008B0D17">
      <w:pPr>
        <w:rPr>
          <w:rFonts w:ascii="Arial" w:hAnsi="Arial" w:cs="Arial"/>
          <w:sz w:val="22"/>
          <w:szCs w:val="22"/>
          <w:highlight w:val="yellow"/>
        </w:rPr>
      </w:pPr>
      <w:r>
        <w:rPr>
          <w:rFonts w:ascii="Arial" w:hAnsi="Arial" w:cs="Arial"/>
          <w:noProof/>
          <w:sz w:val="22"/>
          <w:szCs w:val="22"/>
        </w:rPr>
        <w:drawing>
          <wp:inline distT="0" distB="0" distL="0" distR="0" wp14:anchorId="5AB32454" wp14:editId="15106F5F">
            <wp:extent cx="5613400" cy="3508375"/>
            <wp:effectExtent l="0" t="0" r="0" b="0"/>
            <wp:docPr id="14783496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349628" name="Imagen 1478349628"/>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613400" cy="3508375"/>
                    </a:xfrm>
                    <a:prstGeom prst="rect">
                      <a:avLst/>
                    </a:prstGeom>
                  </pic:spPr>
                </pic:pic>
              </a:graphicData>
            </a:graphic>
          </wp:inline>
        </w:drawing>
      </w:r>
    </w:p>
    <w:p w14:paraId="1D4CEDDF" w14:textId="4B047EE5" w:rsidR="00CC5667" w:rsidRDefault="00CC5667" w:rsidP="008B0D17">
      <w:pPr>
        <w:rPr>
          <w:rFonts w:ascii="Arial" w:hAnsi="Arial" w:cs="Arial"/>
          <w:sz w:val="22"/>
          <w:szCs w:val="22"/>
          <w:highlight w:val="yellow"/>
        </w:rPr>
      </w:pPr>
    </w:p>
    <w:p w14:paraId="6919BC8D" w14:textId="58B1ECE9" w:rsidR="00750230" w:rsidRPr="00EB6756" w:rsidRDefault="00750230" w:rsidP="008B0D17">
      <w:pPr>
        <w:rPr>
          <w:rFonts w:ascii="Arial" w:hAnsi="Arial" w:cs="Arial"/>
          <w:sz w:val="22"/>
          <w:szCs w:val="22"/>
          <w:highlight w:val="yellow"/>
        </w:rPr>
      </w:pPr>
      <w:r w:rsidRPr="00EB6756">
        <w:rPr>
          <w:rFonts w:ascii="Arial" w:hAnsi="Arial" w:cs="Arial"/>
          <w:sz w:val="18"/>
          <w:szCs w:val="18"/>
        </w:rPr>
        <w:t xml:space="preserve">FUENTE: </w:t>
      </w:r>
      <w:r w:rsidR="00EB6756" w:rsidRPr="00EB6756">
        <w:rPr>
          <w:rFonts w:ascii="Arial" w:hAnsi="Arial" w:cs="Arial"/>
          <w:sz w:val="18"/>
          <w:szCs w:val="18"/>
        </w:rPr>
        <w:t>https://app.powerbi.com/view?r=eyJrIjoiMGY4MWZmZmUtNGJlYy00YTBlLTgzYmYtZGE2NGRkZDA1YTJlIiwidCI6IjdiMDkwNDFlLTI0NTEtNDlkMC04Y2IxLTc5ZDVlM2Q4YzFiZSIsImMiOjR9&amp;pageName=ReportSection17ad17361e56dd6a009c</w:t>
      </w:r>
    </w:p>
    <w:p w14:paraId="1A34ADE1" w14:textId="77777777" w:rsidR="00EB6756" w:rsidRDefault="00EB6756" w:rsidP="00750230">
      <w:pPr>
        <w:pStyle w:val="TableParagraph"/>
        <w:ind w:left="22" w:right="39"/>
        <w:jc w:val="both"/>
      </w:pPr>
    </w:p>
    <w:p w14:paraId="44BD6756" w14:textId="61BE8D18" w:rsidR="00750230" w:rsidRDefault="00750230" w:rsidP="00750230">
      <w:pPr>
        <w:pStyle w:val="TableParagraph"/>
        <w:ind w:left="22" w:right="39"/>
        <w:jc w:val="both"/>
      </w:pPr>
      <w:r>
        <w:t>En las gráficas anteriores se puede observar que, en el sector, encontramos un gran</w:t>
      </w:r>
      <w:r>
        <w:rPr>
          <w:spacing w:val="-59"/>
        </w:rPr>
        <w:t xml:space="preserve"> </w:t>
      </w:r>
      <w:r>
        <w:t>número de empresas que han realizado contratación a través del portal único de contratación Secop II y que</w:t>
      </w:r>
      <w:r>
        <w:rPr>
          <w:spacing w:val="1"/>
        </w:rPr>
        <w:t xml:space="preserve"> </w:t>
      </w:r>
      <w:r>
        <w:t>podrían</w:t>
      </w:r>
      <w:r>
        <w:rPr>
          <w:spacing w:val="-5"/>
        </w:rPr>
        <w:t xml:space="preserve"> </w:t>
      </w:r>
      <w:r>
        <w:t>participar</w:t>
      </w:r>
      <w:r>
        <w:rPr>
          <w:spacing w:val="-3"/>
        </w:rPr>
        <w:t xml:space="preserve"> </w:t>
      </w:r>
      <w:r>
        <w:t>en el</w:t>
      </w:r>
      <w:r>
        <w:rPr>
          <w:spacing w:val="-6"/>
        </w:rPr>
        <w:t xml:space="preserve"> </w:t>
      </w:r>
      <w:r>
        <w:t>presente proceso.</w:t>
      </w:r>
    </w:p>
    <w:p w14:paraId="5091FE75" w14:textId="230EA540" w:rsidR="00750230" w:rsidRDefault="00750230" w:rsidP="008B0D17">
      <w:pPr>
        <w:rPr>
          <w:rFonts w:ascii="Arial" w:hAnsi="Arial" w:cs="Arial"/>
          <w:sz w:val="22"/>
          <w:szCs w:val="22"/>
          <w:highlight w:val="yellow"/>
        </w:rPr>
      </w:pPr>
    </w:p>
    <w:p w14:paraId="21FA760C" w14:textId="77777777" w:rsidR="00877193" w:rsidRPr="001F130D" w:rsidRDefault="00877193" w:rsidP="008B0D17">
      <w:pPr>
        <w:rPr>
          <w:rFonts w:ascii="Arial" w:hAnsi="Arial" w:cs="Arial"/>
          <w:sz w:val="22"/>
          <w:szCs w:val="22"/>
          <w:highlight w:val="yellow"/>
        </w:rPr>
      </w:pPr>
    </w:p>
    <w:p w14:paraId="224ADD2B" w14:textId="2239D78D" w:rsidR="001309AB" w:rsidRPr="001F130D" w:rsidRDefault="001309AB">
      <w:pPr>
        <w:pStyle w:val="Prrafodelista"/>
        <w:numPr>
          <w:ilvl w:val="0"/>
          <w:numId w:val="5"/>
        </w:numPr>
        <w:rPr>
          <w:rFonts w:ascii="Arial" w:hAnsi="Arial" w:cs="Arial"/>
          <w:b/>
          <w:bCs/>
          <w:sz w:val="22"/>
          <w:szCs w:val="22"/>
        </w:rPr>
      </w:pPr>
      <w:r w:rsidRPr="001F130D">
        <w:rPr>
          <w:rFonts w:ascii="Arial" w:hAnsi="Arial" w:cs="Arial"/>
          <w:b/>
          <w:bCs/>
          <w:sz w:val="22"/>
          <w:szCs w:val="22"/>
        </w:rPr>
        <w:t>PERSPECTIVA LEGAL.</w:t>
      </w:r>
    </w:p>
    <w:p w14:paraId="200F12D8" w14:textId="1FA58993" w:rsidR="001309AB" w:rsidRPr="001F130D" w:rsidRDefault="001309AB" w:rsidP="001309AB">
      <w:pPr>
        <w:rPr>
          <w:rFonts w:ascii="Arial" w:hAnsi="Arial" w:cs="Arial"/>
          <w:b/>
          <w:bCs/>
          <w:sz w:val="22"/>
          <w:szCs w:val="22"/>
        </w:rPr>
      </w:pPr>
    </w:p>
    <w:p w14:paraId="6E106821" w14:textId="77777777" w:rsidR="00FE4557" w:rsidRDefault="00FE4557" w:rsidP="00FE4557">
      <w:pPr>
        <w:pStyle w:val="TableParagraph"/>
        <w:ind w:left="22" w:right="41"/>
        <w:jc w:val="both"/>
      </w:pPr>
      <w:r>
        <w:t>Para el presente proceso son aplicables los principios consagrados en la Constitución Política, el Estatuto</w:t>
      </w:r>
      <w:r>
        <w:rPr>
          <w:spacing w:val="1"/>
        </w:rPr>
        <w:t xml:space="preserve"> </w:t>
      </w:r>
      <w:r>
        <w:t>General de Contratación de la Administración Pública (Ley 80 de 1993) y sus decretos reglamentarios en</w:t>
      </w:r>
      <w:r>
        <w:rPr>
          <w:spacing w:val="1"/>
        </w:rPr>
        <w:t xml:space="preserve"> </w:t>
      </w:r>
      <w:r>
        <w:t>especial la Ley 1150 de 2007, Ley 1474 de 2011, Ley 816 de 2003, Decreto 791 de 2014, Decreto 019 de</w:t>
      </w:r>
      <w:r>
        <w:rPr>
          <w:spacing w:val="1"/>
        </w:rPr>
        <w:t xml:space="preserve"> </w:t>
      </w:r>
      <w:r>
        <w:t>2012, Decreto 1082 de 2015 y demás decretos reglamentarios y normas aplicables que regulen la materia, al</w:t>
      </w:r>
      <w:r>
        <w:rPr>
          <w:spacing w:val="-59"/>
        </w:rPr>
        <w:t xml:space="preserve"> </w:t>
      </w:r>
      <w:r>
        <w:t>igual</w:t>
      </w:r>
      <w:r>
        <w:rPr>
          <w:spacing w:val="-7"/>
        </w:rPr>
        <w:t xml:space="preserve"> </w:t>
      </w:r>
      <w:r>
        <w:t>que el</w:t>
      </w:r>
      <w:r>
        <w:rPr>
          <w:spacing w:val="-2"/>
        </w:rPr>
        <w:t xml:space="preserve"> </w:t>
      </w:r>
      <w:r>
        <w:t>Manual</w:t>
      </w:r>
      <w:r>
        <w:rPr>
          <w:spacing w:val="-6"/>
        </w:rPr>
        <w:t xml:space="preserve"> </w:t>
      </w:r>
      <w:r>
        <w:lastRenderedPageBreak/>
        <w:t>de contratación de la entidad.</w:t>
      </w:r>
    </w:p>
    <w:p w14:paraId="0677A1EB" w14:textId="77777777" w:rsidR="00FE4557" w:rsidRDefault="00FE4557" w:rsidP="00FE4557">
      <w:pPr>
        <w:pStyle w:val="TableParagraph"/>
        <w:spacing w:before="10"/>
        <w:rPr>
          <w:sz w:val="21"/>
        </w:rPr>
      </w:pPr>
    </w:p>
    <w:p w14:paraId="368B6573" w14:textId="77777777" w:rsidR="00FE4557" w:rsidRDefault="00FE4557" w:rsidP="00FE4557">
      <w:pPr>
        <w:pStyle w:val="TableParagraph"/>
        <w:spacing w:before="1"/>
        <w:ind w:left="22" w:right="45"/>
        <w:jc w:val="both"/>
      </w:pPr>
      <w:r>
        <w:rPr>
          <w:spacing w:val="-1"/>
        </w:rPr>
        <w:t>El</w:t>
      </w:r>
      <w:r>
        <w:rPr>
          <w:spacing w:val="-15"/>
        </w:rPr>
        <w:t xml:space="preserve"> </w:t>
      </w:r>
      <w:r>
        <w:rPr>
          <w:spacing w:val="-1"/>
        </w:rPr>
        <w:t>inciso</w:t>
      </w:r>
      <w:r>
        <w:rPr>
          <w:spacing w:val="-16"/>
        </w:rPr>
        <w:t xml:space="preserve"> </w:t>
      </w:r>
      <w:r>
        <w:rPr>
          <w:spacing w:val="-1"/>
        </w:rPr>
        <w:t>2</w:t>
      </w:r>
      <w:r>
        <w:rPr>
          <w:spacing w:val="-15"/>
        </w:rPr>
        <w:t xml:space="preserve"> </w:t>
      </w:r>
      <w:r>
        <w:rPr>
          <w:spacing w:val="-1"/>
        </w:rPr>
        <w:t>del</w:t>
      </w:r>
      <w:r>
        <w:rPr>
          <w:spacing w:val="-19"/>
        </w:rPr>
        <w:t xml:space="preserve"> </w:t>
      </w:r>
      <w:r>
        <w:rPr>
          <w:spacing w:val="-1"/>
        </w:rPr>
        <w:t>artículo</w:t>
      </w:r>
      <w:r>
        <w:rPr>
          <w:spacing w:val="-15"/>
        </w:rPr>
        <w:t xml:space="preserve"> </w:t>
      </w:r>
      <w:r>
        <w:rPr>
          <w:spacing w:val="-1"/>
        </w:rPr>
        <w:t>209</w:t>
      </w:r>
      <w:r>
        <w:rPr>
          <w:spacing w:val="-16"/>
        </w:rPr>
        <w:t xml:space="preserve"> </w:t>
      </w:r>
      <w:r>
        <w:rPr>
          <w:spacing w:val="-1"/>
        </w:rPr>
        <w:t>de</w:t>
      </w:r>
      <w:r>
        <w:rPr>
          <w:spacing w:val="-11"/>
        </w:rPr>
        <w:t xml:space="preserve"> </w:t>
      </w:r>
      <w:r>
        <w:rPr>
          <w:spacing w:val="-1"/>
        </w:rPr>
        <w:t>la</w:t>
      </w:r>
      <w:r>
        <w:rPr>
          <w:spacing w:val="-16"/>
        </w:rPr>
        <w:t xml:space="preserve"> </w:t>
      </w:r>
      <w:r>
        <w:rPr>
          <w:spacing w:val="-1"/>
        </w:rPr>
        <w:t>Constitución</w:t>
      </w:r>
      <w:r>
        <w:rPr>
          <w:spacing w:val="-16"/>
        </w:rPr>
        <w:t xml:space="preserve"> </w:t>
      </w:r>
      <w:r>
        <w:rPr>
          <w:spacing w:val="-1"/>
        </w:rPr>
        <w:t>Política</w:t>
      </w:r>
      <w:r>
        <w:rPr>
          <w:spacing w:val="-15"/>
        </w:rPr>
        <w:t xml:space="preserve"> </w:t>
      </w:r>
      <w:r>
        <w:t>Colombiana</w:t>
      </w:r>
      <w:r>
        <w:rPr>
          <w:spacing w:val="-16"/>
        </w:rPr>
        <w:t xml:space="preserve"> </w:t>
      </w:r>
      <w:r>
        <w:t>establece</w:t>
      </w:r>
      <w:r>
        <w:rPr>
          <w:spacing w:val="-15"/>
        </w:rPr>
        <w:t xml:space="preserve"> </w:t>
      </w:r>
      <w:r>
        <w:t>que</w:t>
      </w:r>
      <w:r>
        <w:rPr>
          <w:spacing w:val="-16"/>
        </w:rPr>
        <w:t xml:space="preserve"> </w:t>
      </w:r>
      <w:r>
        <w:t>las</w:t>
      </w:r>
      <w:r>
        <w:rPr>
          <w:spacing w:val="-11"/>
        </w:rPr>
        <w:t xml:space="preserve"> </w:t>
      </w:r>
      <w:r>
        <w:t>autoridades</w:t>
      </w:r>
      <w:r>
        <w:rPr>
          <w:spacing w:val="-16"/>
        </w:rPr>
        <w:t xml:space="preserve"> </w:t>
      </w:r>
      <w:r>
        <w:t>administrativas</w:t>
      </w:r>
      <w:r>
        <w:rPr>
          <w:spacing w:val="-59"/>
        </w:rPr>
        <w:t xml:space="preserve"> </w:t>
      </w:r>
      <w:r>
        <w:t>deben</w:t>
      </w:r>
      <w:r>
        <w:rPr>
          <w:spacing w:val="-1"/>
        </w:rPr>
        <w:t xml:space="preserve"> </w:t>
      </w:r>
      <w:r>
        <w:t>coordinar</w:t>
      </w:r>
      <w:r>
        <w:rPr>
          <w:spacing w:val="-3"/>
        </w:rPr>
        <w:t xml:space="preserve"> </w:t>
      </w:r>
      <w:r>
        <w:t>sus</w:t>
      </w:r>
      <w:r>
        <w:rPr>
          <w:spacing w:val="-1"/>
        </w:rPr>
        <w:t xml:space="preserve"> </w:t>
      </w:r>
      <w:r>
        <w:t>acciones para</w:t>
      </w:r>
      <w:r>
        <w:rPr>
          <w:spacing w:val="-1"/>
        </w:rPr>
        <w:t xml:space="preserve"> </w:t>
      </w:r>
      <w:r>
        <w:t>el</w:t>
      </w:r>
      <w:r>
        <w:rPr>
          <w:spacing w:val="-6"/>
        </w:rPr>
        <w:t xml:space="preserve"> </w:t>
      </w:r>
      <w:r>
        <w:t>adecuado cumplimiento</w:t>
      </w:r>
      <w:r>
        <w:rPr>
          <w:spacing w:val="-1"/>
        </w:rPr>
        <w:t xml:space="preserve"> </w:t>
      </w:r>
      <w:r>
        <w:t>de los</w:t>
      </w:r>
      <w:r>
        <w:rPr>
          <w:spacing w:val="-1"/>
        </w:rPr>
        <w:t xml:space="preserve"> </w:t>
      </w:r>
      <w:r>
        <w:t>fines del</w:t>
      </w:r>
      <w:r>
        <w:rPr>
          <w:spacing w:val="-7"/>
        </w:rPr>
        <w:t xml:space="preserve"> </w:t>
      </w:r>
      <w:r>
        <w:t>Estado.</w:t>
      </w:r>
    </w:p>
    <w:p w14:paraId="1CBFC5A5" w14:textId="77777777" w:rsidR="00FE4557" w:rsidRDefault="00FE4557" w:rsidP="00FE4557">
      <w:pPr>
        <w:pStyle w:val="TableParagraph"/>
      </w:pPr>
    </w:p>
    <w:p w14:paraId="040E0EC1" w14:textId="77777777" w:rsidR="00FE4557" w:rsidRDefault="00FE4557" w:rsidP="00FE4557">
      <w:pPr>
        <w:pStyle w:val="TableParagraph"/>
        <w:ind w:left="22" w:right="36"/>
        <w:jc w:val="both"/>
      </w:pPr>
      <w:r>
        <w:t>La presente contratación se adelantará mediante la modalidad de Selección Abreviada para la adquisición de</w:t>
      </w:r>
      <w:r>
        <w:rPr>
          <w:spacing w:val="-59"/>
        </w:rPr>
        <w:t xml:space="preserve"> </w:t>
      </w:r>
      <w:r>
        <w:t>Bienes y Servicios de Características Técnicas Uniformes por SUBASTA INVERSA, de conformidad con lo</w:t>
      </w:r>
      <w:r>
        <w:rPr>
          <w:spacing w:val="1"/>
        </w:rPr>
        <w:t xml:space="preserve"> </w:t>
      </w:r>
      <w:r>
        <w:t>establecido</w:t>
      </w:r>
      <w:r>
        <w:rPr>
          <w:spacing w:val="-8"/>
        </w:rPr>
        <w:t xml:space="preserve"> </w:t>
      </w:r>
      <w:r>
        <w:t>en</w:t>
      </w:r>
      <w:r>
        <w:rPr>
          <w:spacing w:val="-7"/>
        </w:rPr>
        <w:t xml:space="preserve"> </w:t>
      </w:r>
      <w:r>
        <w:t>el</w:t>
      </w:r>
      <w:r>
        <w:rPr>
          <w:spacing w:val="-5"/>
        </w:rPr>
        <w:t xml:space="preserve"> </w:t>
      </w:r>
      <w:r>
        <w:t>literal</w:t>
      </w:r>
      <w:r>
        <w:rPr>
          <w:spacing w:val="-10"/>
        </w:rPr>
        <w:t xml:space="preserve"> </w:t>
      </w:r>
      <w:r>
        <w:t>a)</w:t>
      </w:r>
      <w:r>
        <w:rPr>
          <w:spacing w:val="-11"/>
        </w:rPr>
        <w:t xml:space="preserve"> </w:t>
      </w:r>
      <w:r>
        <w:t>numeral</w:t>
      </w:r>
      <w:r>
        <w:rPr>
          <w:spacing w:val="-14"/>
        </w:rPr>
        <w:t xml:space="preserve"> </w:t>
      </w:r>
      <w:r>
        <w:t>2</w:t>
      </w:r>
      <w:r>
        <w:rPr>
          <w:spacing w:val="-7"/>
        </w:rPr>
        <w:t xml:space="preserve"> </w:t>
      </w:r>
      <w:r>
        <w:t>del</w:t>
      </w:r>
      <w:r>
        <w:rPr>
          <w:spacing w:val="-15"/>
        </w:rPr>
        <w:t xml:space="preserve"> </w:t>
      </w:r>
      <w:r>
        <w:t>artículo</w:t>
      </w:r>
      <w:r>
        <w:rPr>
          <w:spacing w:val="-3"/>
        </w:rPr>
        <w:t xml:space="preserve"> </w:t>
      </w:r>
      <w:r>
        <w:t>2</w:t>
      </w:r>
      <w:r>
        <w:rPr>
          <w:spacing w:val="-7"/>
        </w:rPr>
        <w:t xml:space="preserve"> </w:t>
      </w:r>
      <w:r>
        <w:t>de</w:t>
      </w:r>
      <w:r>
        <w:rPr>
          <w:spacing w:val="-3"/>
        </w:rPr>
        <w:t xml:space="preserve"> </w:t>
      </w:r>
      <w:r>
        <w:t>la</w:t>
      </w:r>
      <w:r>
        <w:rPr>
          <w:spacing w:val="-8"/>
        </w:rPr>
        <w:t xml:space="preserve"> </w:t>
      </w:r>
      <w:r>
        <w:t>Ley</w:t>
      </w:r>
      <w:r>
        <w:rPr>
          <w:spacing w:val="-7"/>
        </w:rPr>
        <w:t xml:space="preserve"> </w:t>
      </w:r>
      <w:r>
        <w:t>1150</w:t>
      </w:r>
      <w:r>
        <w:rPr>
          <w:spacing w:val="-7"/>
        </w:rPr>
        <w:t xml:space="preserve"> </w:t>
      </w:r>
      <w:r>
        <w:t>de</w:t>
      </w:r>
      <w:r>
        <w:rPr>
          <w:spacing w:val="-7"/>
        </w:rPr>
        <w:t xml:space="preserve"> </w:t>
      </w:r>
      <w:r>
        <w:t>2007</w:t>
      </w:r>
      <w:r>
        <w:rPr>
          <w:spacing w:val="-8"/>
        </w:rPr>
        <w:t xml:space="preserve"> </w:t>
      </w:r>
      <w:r>
        <w:t>y</w:t>
      </w:r>
      <w:r>
        <w:rPr>
          <w:spacing w:val="-11"/>
        </w:rPr>
        <w:t xml:space="preserve"> </w:t>
      </w:r>
      <w:r>
        <w:t>el</w:t>
      </w:r>
      <w:r>
        <w:rPr>
          <w:spacing w:val="-10"/>
        </w:rPr>
        <w:t xml:space="preserve"> </w:t>
      </w:r>
      <w:r>
        <w:t>Decreto</w:t>
      </w:r>
      <w:r>
        <w:rPr>
          <w:spacing w:val="-7"/>
        </w:rPr>
        <w:t xml:space="preserve"> </w:t>
      </w:r>
      <w:r>
        <w:t>1082</w:t>
      </w:r>
      <w:r>
        <w:rPr>
          <w:spacing w:val="-8"/>
        </w:rPr>
        <w:t xml:space="preserve"> </w:t>
      </w:r>
      <w:r>
        <w:t>de</w:t>
      </w:r>
      <w:r>
        <w:rPr>
          <w:spacing w:val="-7"/>
        </w:rPr>
        <w:t xml:space="preserve"> </w:t>
      </w:r>
      <w:r>
        <w:t>2015,</w:t>
      </w:r>
      <w:r>
        <w:rPr>
          <w:spacing w:val="-10"/>
        </w:rPr>
        <w:t xml:space="preserve"> </w:t>
      </w:r>
      <w:r>
        <w:t>teniendo</w:t>
      </w:r>
      <w:r>
        <w:rPr>
          <w:spacing w:val="-59"/>
        </w:rPr>
        <w:t xml:space="preserve"> </w:t>
      </w:r>
      <w:r>
        <w:t xml:space="preserve">en cuenta que los bienes y servicios objeto de la contratación cuentan con </w:t>
      </w:r>
      <w:r>
        <w:rPr>
          <w:i/>
        </w:rPr>
        <w:t>características técnicas uniformes</w:t>
      </w:r>
      <w:r>
        <w:rPr>
          <w:i/>
          <w:spacing w:val="1"/>
        </w:rPr>
        <w:t xml:space="preserve"> </w:t>
      </w:r>
      <w:r>
        <w:rPr>
          <w:i/>
        </w:rPr>
        <w:t>y</w:t>
      </w:r>
      <w:r>
        <w:rPr>
          <w:i/>
          <w:spacing w:val="1"/>
        </w:rPr>
        <w:t xml:space="preserve"> </w:t>
      </w:r>
      <w:r>
        <w:rPr>
          <w:i/>
        </w:rPr>
        <w:t>de</w:t>
      </w:r>
      <w:r>
        <w:rPr>
          <w:i/>
          <w:spacing w:val="1"/>
        </w:rPr>
        <w:t xml:space="preserve"> </w:t>
      </w:r>
      <w:r>
        <w:rPr>
          <w:i/>
        </w:rPr>
        <w:t>común</w:t>
      </w:r>
      <w:r>
        <w:rPr>
          <w:i/>
          <w:spacing w:val="1"/>
        </w:rPr>
        <w:t xml:space="preserve"> </w:t>
      </w:r>
      <w:r>
        <w:rPr>
          <w:i/>
        </w:rPr>
        <w:t>utilización</w:t>
      </w:r>
      <w:r>
        <w:rPr>
          <w:i/>
          <w:spacing w:val="1"/>
        </w:rPr>
        <w:t xml:space="preserve"> </w:t>
      </w:r>
      <w:r>
        <w:t>por</w:t>
      </w:r>
      <w:r>
        <w:rPr>
          <w:spacing w:val="1"/>
        </w:rPr>
        <w:t xml:space="preserve"> </w:t>
      </w:r>
      <w:r>
        <w:t>parte</w:t>
      </w:r>
      <w:r>
        <w:rPr>
          <w:spacing w:val="1"/>
        </w:rPr>
        <w:t xml:space="preserve"> </w:t>
      </w:r>
      <w:r>
        <w:t>de</w:t>
      </w:r>
      <w:r>
        <w:rPr>
          <w:spacing w:val="1"/>
        </w:rPr>
        <w:t xml:space="preserve"> </w:t>
      </w:r>
      <w:r>
        <w:t>la</w:t>
      </w:r>
      <w:r>
        <w:rPr>
          <w:spacing w:val="1"/>
        </w:rPr>
        <w:t xml:space="preserve"> </w:t>
      </w:r>
      <w:r>
        <w:t>entidad</w:t>
      </w:r>
      <w:r>
        <w:rPr>
          <w:spacing w:val="1"/>
        </w:rPr>
        <w:t xml:space="preserve"> </w:t>
      </w:r>
      <w:r>
        <w:t>y</w:t>
      </w:r>
      <w:r>
        <w:rPr>
          <w:spacing w:val="1"/>
        </w:rPr>
        <w:t xml:space="preserve"> </w:t>
      </w:r>
      <w:r>
        <w:rPr>
          <w:i/>
        </w:rPr>
        <w:t>poseen</w:t>
      </w:r>
      <w:r>
        <w:rPr>
          <w:i/>
          <w:spacing w:val="1"/>
        </w:rPr>
        <w:t xml:space="preserve"> </w:t>
      </w:r>
      <w:r>
        <w:rPr>
          <w:i/>
        </w:rPr>
        <w:t>las</w:t>
      </w:r>
      <w:r>
        <w:rPr>
          <w:i/>
          <w:spacing w:val="1"/>
        </w:rPr>
        <w:t xml:space="preserve"> </w:t>
      </w:r>
      <w:r>
        <w:rPr>
          <w:i/>
        </w:rPr>
        <w:t>mismas</w:t>
      </w:r>
      <w:r>
        <w:rPr>
          <w:i/>
          <w:spacing w:val="1"/>
        </w:rPr>
        <w:t xml:space="preserve"> </w:t>
      </w:r>
      <w:r>
        <w:rPr>
          <w:i/>
        </w:rPr>
        <w:t>especificaciones</w:t>
      </w:r>
      <w:r>
        <w:rPr>
          <w:i/>
          <w:spacing w:val="1"/>
        </w:rPr>
        <w:t xml:space="preserve"> </w:t>
      </w:r>
      <w:r>
        <w:rPr>
          <w:i/>
        </w:rPr>
        <w:t>técnicas,</w:t>
      </w:r>
      <w:r>
        <w:rPr>
          <w:i/>
          <w:spacing w:val="1"/>
        </w:rPr>
        <w:t xml:space="preserve"> </w:t>
      </w:r>
      <w:r>
        <w:rPr>
          <w:i/>
        </w:rPr>
        <w:t>con</w:t>
      </w:r>
      <w:r>
        <w:rPr>
          <w:i/>
          <w:spacing w:val="1"/>
        </w:rPr>
        <w:t xml:space="preserve"> </w:t>
      </w:r>
      <w:r>
        <w:rPr>
          <w:i/>
        </w:rPr>
        <w:t>independencia de su diseño o de sus características descriptivas, y comparten patrones de desempeño y</w:t>
      </w:r>
      <w:r>
        <w:rPr>
          <w:i/>
          <w:spacing w:val="1"/>
        </w:rPr>
        <w:t xml:space="preserve"> </w:t>
      </w:r>
      <w:r>
        <w:rPr>
          <w:i/>
        </w:rPr>
        <w:t>calidad</w:t>
      </w:r>
      <w:r>
        <w:rPr>
          <w:i/>
          <w:spacing w:val="-1"/>
        </w:rPr>
        <w:t xml:space="preserve"> </w:t>
      </w:r>
      <w:r>
        <w:rPr>
          <w:i/>
        </w:rPr>
        <w:t>objetivamente definidos</w:t>
      </w:r>
      <w:r>
        <w:t>.</w:t>
      </w:r>
    </w:p>
    <w:p w14:paraId="2A58C45A" w14:textId="77777777" w:rsidR="00FE4557" w:rsidRDefault="00FE4557" w:rsidP="00FE4557">
      <w:pPr>
        <w:pStyle w:val="TableParagraph"/>
        <w:spacing w:before="1"/>
      </w:pPr>
    </w:p>
    <w:p w14:paraId="2A717A0D" w14:textId="77777777" w:rsidR="00FE4557" w:rsidRDefault="00FE4557" w:rsidP="00FE4557">
      <w:pPr>
        <w:pStyle w:val="TableParagraph"/>
        <w:ind w:left="22" w:right="31"/>
        <w:jc w:val="both"/>
      </w:pPr>
      <w:r>
        <w:t xml:space="preserve">Con relación a las personas que pueden participar, el régimen legal aplicable al proceso impone el deber </w:t>
      </w:r>
      <w:r>
        <w:rPr>
          <w:spacing w:val="9"/>
        </w:rPr>
        <w:t>de</w:t>
      </w:r>
      <w:r>
        <w:rPr>
          <w:spacing w:val="10"/>
        </w:rPr>
        <w:t xml:space="preserve"> </w:t>
      </w:r>
      <w:r>
        <w:t>las</w:t>
      </w:r>
      <w:r>
        <w:rPr>
          <w:spacing w:val="-3"/>
        </w:rPr>
        <w:t xml:space="preserve"> </w:t>
      </w:r>
      <w:r>
        <w:t>entidades</w:t>
      </w:r>
      <w:r>
        <w:rPr>
          <w:spacing w:val="-2"/>
        </w:rPr>
        <w:t xml:space="preserve"> </w:t>
      </w:r>
      <w:r>
        <w:t>estatales</w:t>
      </w:r>
      <w:r>
        <w:rPr>
          <w:spacing w:val="-2"/>
        </w:rPr>
        <w:t xml:space="preserve"> </w:t>
      </w:r>
      <w:r>
        <w:t>de</w:t>
      </w:r>
      <w:r>
        <w:rPr>
          <w:spacing w:val="-6"/>
        </w:rPr>
        <w:t xml:space="preserve"> </w:t>
      </w:r>
      <w:r>
        <w:t>verificar</w:t>
      </w:r>
      <w:r>
        <w:rPr>
          <w:spacing w:val="-1"/>
        </w:rPr>
        <w:t xml:space="preserve"> </w:t>
      </w:r>
      <w:r>
        <w:t>la</w:t>
      </w:r>
      <w:r>
        <w:rPr>
          <w:spacing w:val="-2"/>
        </w:rPr>
        <w:t xml:space="preserve"> </w:t>
      </w:r>
      <w:r>
        <w:t>capacidad</w:t>
      </w:r>
      <w:r>
        <w:rPr>
          <w:spacing w:val="-6"/>
        </w:rPr>
        <w:t xml:space="preserve"> </w:t>
      </w:r>
      <w:r>
        <w:t>jurídica.</w:t>
      </w:r>
      <w:r>
        <w:rPr>
          <w:spacing w:val="-6"/>
        </w:rPr>
        <w:t xml:space="preserve"> </w:t>
      </w:r>
      <w:r>
        <w:t>En</w:t>
      </w:r>
      <w:r>
        <w:rPr>
          <w:spacing w:val="-2"/>
        </w:rPr>
        <w:t xml:space="preserve"> </w:t>
      </w:r>
      <w:r>
        <w:t>ese</w:t>
      </w:r>
      <w:r>
        <w:rPr>
          <w:spacing w:val="-2"/>
        </w:rPr>
        <w:t xml:space="preserve"> </w:t>
      </w:r>
      <w:r>
        <w:t>sentido,</w:t>
      </w:r>
      <w:r>
        <w:rPr>
          <w:spacing w:val="-5"/>
        </w:rPr>
        <w:t xml:space="preserve"> </w:t>
      </w:r>
      <w:r>
        <w:t>en</w:t>
      </w:r>
      <w:r>
        <w:rPr>
          <w:spacing w:val="-2"/>
        </w:rPr>
        <w:t xml:space="preserve"> </w:t>
      </w:r>
      <w:r>
        <w:t>el</w:t>
      </w:r>
      <w:r>
        <w:rPr>
          <w:spacing w:val="-8"/>
        </w:rPr>
        <w:t xml:space="preserve"> </w:t>
      </w:r>
      <w:r>
        <w:t>artículo</w:t>
      </w:r>
      <w:r>
        <w:rPr>
          <w:spacing w:val="-2"/>
        </w:rPr>
        <w:t xml:space="preserve"> </w:t>
      </w:r>
      <w:r>
        <w:t>6</w:t>
      </w:r>
      <w:r>
        <w:rPr>
          <w:spacing w:val="-2"/>
        </w:rPr>
        <w:t xml:space="preserve"> </w:t>
      </w:r>
      <w:r>
        <w:t>de</w:t>
      </w:r>
      <w:r>
        <w:rPr>
          <w:spacing w:val="-3"/>
        </w:rPr>
        <w:t xml:space="preserve"> </w:t>
      </w:r>
      <w:r>
        <w:t>la</w:t>
      </w:r>
      <w:r>
        <w:rPr>
          <w:spacing w:val="-2"/>
        </w:rPr>
        <w:t xml:space="preserve"> </w:t>
      </w:r>
      <w:r>
        <w:t>Ley</w:t>
      </w:r>
      <w:r>
        <w:rPr>
          <w:spacing w:val="-6"/>
        </w:rPr>
        <w:t xml:space="preserve"> </w:t>
      </w:r>
      <w:r>
        <w:t>80</w:t>
      </w:r>
      <w:r>
        <w:rPr>
          <w:spacing w:val="-2"/>
        </w:rPr>
        <w:t xml:space="preserve"> </w:t>
      </w:r>
      <w:r>
        <w:t>de</w:t>
      </w:r>
      <w:r>
        <w:rPr>
          <w:spacing w:val="-2"/>
        </w:rPr>
        <w:t xml:space="preserve"> </w:t>
      </w:r>
      <w:r>
        <w:t>1993</w:t>
      </w:r>
      <w:r>
        <w:rPr>
          <w:spacing w:val="1"/>
        </w:rPr>
        <w:t xml:space="preserve"> </w:t>
      </w:r>
      <w:r>
        <w:t>se establece que podrán "</w:t>
      </w:r>
      <w:r>
        <w:rPr>
          <w:i/>
        </w:rPr>
        <w:t>(...) celebrar contratos con las entidades estatales las personas consideradas</w:t>
      </w:r>
      <w:r>
        <w:rPr>
          <w:i/>
          <w:spacing w:val="1"/>
        </w:rPr>
        <w:t xml:space="preserve"> </w:t>
      </w:r>
      <w:r>
        <w:rPr>
          <w:i/>
        </w:rPr>
        <w:t>legalmente</w:t>
      </w:r>
      <w:r>
        <w:rPr>
          <w:i/>
          <w:spacing w:val="-1"/>
        </w:rPr>
        <w:t xml:space="preserve"> </w:t>
      </w:r>
      <w:r>
        <w:rPr>
          <w:i/>
        </w:rPr>
        <w:t>capaces en las disposiciones</w:t>
      </w:r>
      <w:r>
        <w:rPr>
          <w:i/>
          <w:spacing w:val="-4"/>
        </w:rPr>
        <w:t xml:space="preserve"> </w:t>
      </w:r>
      <w:r>
        <w:rPr>
          <w:i/>
        </w:rPr>
        <w:t>vigentes.</w:t>
      </w:r>
      <w:r>
        <w:t>"</w:t>
      </w:r>
    </w:p>
    <w:p w14:paraId="5E6417E4" w14:textId="77777777" w:rsidR="00FE4557" w:rsidRDefault="00FE4557" w:rsidP="00FE4557">
      <w:pPr>
        <w:pStyle w:val="TableParagraph"/>
      </w:pPr>
    </w:p>
    <w:p w14:paraId="40F5777F" w14:textId="77777777" w:rsidR="00FE4557" w:rsidRDefault="00FE4557" w:rsidP="00FE4557">
      <w:pPr>
        <w:pStyle w:val="TableParagraph"/>
        <w:ind w:left="22" w:right="43"/>
        <w:jc w:val="both"/>
      </w:pPr>
      <w:r>
        <w:t>En</w:t>
      </w:r>
      <w:r>
        <w:rPr>
          <w:spacing w:val="-6"/>
        </w:rPr>
        <w:t xml:space="preserve"> </w:t>
      </w:r>
      <w:r>
        <w:t>el</w:t>
      </w:r>
      <w:r>
        <w:rPr>
          <w:spacing w:val="-8"/>
        </w:rPr>
        <w:t xml:space="preserve"> </w:t>
      </w:r>
      <w:r>
        <w:t>desarrollo</w:t>
      </w:r>
      <w:r>
        <w:rPr>
          <w:spacing w:val="-2"/>
        </w:rPr>
        <w:t xml:space="preserve"> </w:t>
      </w:r>
      <w:r>
        <w:t>de</w:t>
      </w:r>
      <w:r>
        <w:rPr>
          <w:spacing w:val="-6"/>
        </w:rPr>
        <w:t xml:space="preserve"> </w:t>
      </w:r>
      <w:r>
        <w:t>proyecto</w:t>
      </w:r>
      <w:r>
        <w:rPr>
          <w:spacing w:val="-5"/>
        </w:rPr>
        <w:t xml:space="preserve"> </w:t>
      </w:r>
      <w:r>
        <w:t>como</w:t>
      </w:r>
      <w:r>
        <w:rPr>
          <w:spacing w:val="-6"/>
        </w:rPr>
        <w:t xml:space="preserve"> </w:t>
      </w:r>
      <w:r>
        <w:t>el</w:t>
      </w:r>
      <w:r>
        <w:rPr>
          <w:spacing w:val="-8"/>
        </w:rPr>
        <w:t xml:space="preserve"> </w:t>
      </w:r>
      <w:r>
        <w:t>que</w:t>
      </w:r>
      <w:r>
        <w:rPr>
          <w:spacing w:val="-5"/>
        </w:rPr>
        <w:t xml:space="preserve"> </w:t>
      </w:r>
      <w:r>
        <w:t>pretende</w:t>
      </w:r>
      <w:r>
        <w:rPr>
          <w:spacing w:val="-6"/>
        </w:rPr>
        <w:t xml:space="preserve"> </w:t>
      </w:r>
      <w:r>
        <w:t>contratar</w:t>
      </w:r>
      <w:r>
        <w:rPr>
          <w:spacing w:val="-4"/>
        </w:rPr>
        <w:t xml:space="preserve"> </w:t>
      </w:r>
      <w:r>
        <w:t>la</w:t>
      </w:r>
      <w:r>
        <w:rPr>
          <w:spacing w:val="-6"/>
        </w:rPr>
        <w:t xml:space="preserve"> </w:t>
      </w:r>
      <w:r>
        <w:t>entidad,</w:t>
      </w:r>
      <w:r>
        <w:rPr>
          <w:spacing w:val="-8"/>
        </w:rPr>
        <w:t xml:space="preserve"> </w:t>
      </w:r>
      <w:r>
        <w:t>es</w:t>
      </w:r>
      <w:r>
        <w:rPr>
          <w:spacing w:val="-2"/>
        </w:rPr>
        <w:t xml:space="preserve"> </w:t>
      </w:r>
      <w:r>
        <w:t>fundamental</w:t>
      </w:r>
      <w:r>
        <w:rPr>
          <w:spacing w:val="-8"/>
        </w:rPr>
        <w:t xml:space="preserve"> </w:t>
      </w:r>
      <w:r>
        <w:t>el</w:t>
      </w:r>
      <w:r>
        <w:rPr>
          <w:spacing w:val="-9"/>
        </w:rPr>
        <w:t xml:space="preserve"> </w:t>
      </w:r>
      <w:r>
        <w:t>conocimiento</w:t>
      </w:r>
      <w:r>
        <w:rPr>
          <w:spacing w:val="-5"/>
        </w:rPr>
        <w:t xml:space="preserve"> </w:t>
      </w:r>
      <w:r>
        <w:t>de</w:t>
      </w:r>
      <w:r>
        <w:rPr>
          <w:spacing w:val="-2"/>
        </w:rPr>
        <w:t xml:space="preserve"> </w:t>
      </w:r>
      <w:r>
        <w:t>las</w:t>
      </w:r>
      <w:r>
        <w:rPr>
          <w:spacing w:val="-59"/>
        </w:rPr>
        <w:t xml:space="preserve"> </w:t>
      </w:r>
      <w:r>
        <w:t>diferentes</w:t>
      </w:r>
      <w:r>
        <w:rPr>
          <w:spacing w:val="-4"/>
        </w:rPr>
        <w:t xml:space="preserve"> </w:t>
      </w:r>
      <w:r>
        <w:t>normas</w:t>
      </w:r>
      <w:r>
        <w:rPr>
          <w:spacing w:val="-3"/>
        </w:rPr>
        <w:t xml:space="preserve"> </w:t>
      </w:r>
      <w:r>
        <w:t>que</w:t>
      </w:r>
      <w:r>
        <w:rPr>
          <w:spacing w:val="-4"/>
        </w:rPr>
        <w:t xml:space="preserve"> </w:t>
      </w:r>
      <w:r>
        <w:t>deben</w:t>
      </w:r>
      <w:r>
        <w:rPr>
          <w:spacing w:val="-3"/>
        </w:rPr>
        <w:t xml:space="preserve"> </w:t>
      </w:r>
      <w:r>
        <w:t>considerarse durante la</w:t>
      </w:r>
      <w:r>
        <w:rPr>
          <w:spacing w:val="-4"/>
        </w:rPr>
        <w:t xml:space="preserve"> </w:t>
      </w:r>
      <w:r>
        <w:t>etapa de</w:t>
      </w:r>
      <w:r>
        <w:rPr>
          <w:spacing w:val="-3"/>
        </w:rPr>
        <w:t xml:space="preserve"> </w:t>
      </w:r>
      <w:r>
        <w:t>planeación,</w:t>
      </w:r>
      <w:r>
        <w:rPr>
          <w:spacing w:val="-6"/>
        </w:rPr>
        <w:t xml:space="preserve"> </w:t>
      </w:r>
      <w:r>
        <w:t>diseño</w:t>
      </w:r>
      <w:r>
        <w:rPr>
          <w:spacing w:val="-4"/>
        </w:rPr>
        <w:t xml:space="preserve"> </w:t>
      </w:r>
      <w:r>
        <w:t>y</w:t>
      </w:r>
      <w:r>
        <w:rPr>
          <w:spacing w:val="-3"/>
        </w:rPr>
        <w:t xml:space="preserve"> </w:t>
      </w:r>
      <w:r>
        <w:t>ejecución.</w:t>
      </w:r>
      <w:r>
        <w:rPr>
          <w:spacing w:val="-3"/>
        </w:rPr>
        <w:t xml:space="preserve"> </w:t>
      </w:r>
      <w:r>
        <w:t>Pasar</w:t>
      </w:r>
      <w:r>
        <w:rPr>
          <w:spacing w:val="-3"/>
        </w:rPr>
        <w:t xml:space="preserve"> </w:t>
      </w:r>
      <w:r>
        <w:t>por</w:t>
      </w:r>
      <w:r>
        <w:rPr>
          <w:spacing w:val="-6"/>
        </w:rPr>
        <w:t xml:space="preserve"> </w:t>
      </w:r>
      <w:r>
        <w:t>alto</w:t>
      </w:r>
      <w:r>
        <w:rPr>
          <w:spacing w:val="-58"/>
        </w:rPr>
        <w:t xml:space="preserve"> </w:t>
      </w:r>
      <w:r>
        <w:t>alguna</w:t>
      </w:r>
      <w:r>
        <w:rPr>
          <w:spacing w:val="-5"/>
        </w:rPr>
        <w:t xml:space="preserve"> </w:t>
      </w:r>
      <w:r>
        <w:t>norma</w:t>
      </w:r>
      <w:r>
        <w:rPr>
          <w:spacing w:val="-1"/>
        </w:rPr>
        <w:t xml:space="preserve"> </w:t>
      </w:r>
      <w:r>
        <w:t>puede</w:t>
      </w:r>
      <w:r>
        <w:rPr>
          <w:spacing w:val="-1"/>
        </w:rPr>
        <w:t xml:space="preserve"> </w:t>
      </w:r>
      <w:r>
        <w:t>tener</w:t>
      </w:r>
      <w:r>
        <w:rPr>
          <w:spacing w:val="-4"/>
        </w:rPr>
        <w:t xml:space="preserve"> </w:t>
      </w:r>
      <w:r>
        <w:t>diferentes</w:t>
      </w:r>
      <w:r>
        <w:rPr>
          <w:spacing w:val="-1"/>
        </w:rPr>
        <w:t xml:space="preserve"> </w:t>
      </w:r>
      <w:r>
        <w:t>implicaciones,</w:t>
      </w:r>
      <w:r>
        <w:rPr>
          <w:spacing w:val="-8"/>
        </w:rPr>
        <w:t xml:space="preserve"> </w:t>
      </w:r>
      <w:r>
        <w:t>entre</w:t>
      </w:r>
      <w:r>
        <w:rPr>
          <w:spacing w:val="-1"/>
        </w:rPr>
        <w:t xml:space="preserve"> </w:t>
      </w:r>
      <w:r>
        <w:t>ellas:</w:t>
      </w:r>
    </w:p>
    <w:p w14:paraId="23F60BAB" w14:textId="77777777" w:rsidR="00FE4557" w:rsidRDefault="00FE4557" w:rsidP="00FE4557">
      <w:pPr>
        <w:pStyle w:val="TableParagraph"/>
        <w:spacing w:before="1"/>
      </w:pPr>
    </w:p>
    <w:p w14:paraId="312A725E" w14:textId="77777777" w:rsidR="00FE4557" w:rsidRDefault="00FE4557">
      <w:pPr>
        <w:pStyle w:val="TableParagraph"/>
        <w:numPr>
          <w:ilvl w:val="0"/>
          <w:numId w:val="12"/>
        </w:numPr>
        <w:tabs>
          <w:tab w:val="left" w:pos="742"/>
          <w:tab w:val="left" w:pos="743"/>
        </w:tabs>
        <w:spacing w:line="262" w:lineRule="exact"/>
        <w:ind w:hanging="361"/>
      </w:pPr>
      <w:r>
        <w:t>Demoras</w:t>
      </w:r>
      <w:r>
        <w:rPr>
          <w:spacing w:val="-8"/>
        </w:rPr>
        <w:t xml:space="preserve"> </w:t>
      </w:r>
      <w:r>
        <w:t>por</w:t>
      </w:r>
      <w:r>
        <w:rPr>
          <w:spacing w:val="-11"/>
        </w:rPr>
        <w:t xml:space="preserve"> </w:t>
      </w:r>
      <w:r>
        <w:t>la</w:t>
      </w:r>
      <w:r>
        <w:rPr>
          <w:spacing w:val="-8"/>
        </w:rPr>
        <w:t xml:space="preserve"> </w:t>
      </w:r>
      <w:r>
        <w:t>necesidad</w:t>
      </w:r>
      <w:r>
        <w:rPr>
          <w:spacing w:val="-11"/>
        </w:rPr>
        <w:t xml:space="preserve"> </w:t>
      </w:r>
      <w:r>
        <w:t>de</w:t>
      </w:r>
      <w:r>
        <w:rPr>
          <w:spacing w:val="-8"/>
        </w:rPr>
        <w:t xml:space="preserve"> </w:t>
      </w:r>
      <w:r>
        <w:t>licencias</w:t>
      </w:r>
      <w:r>
        <w:rPr>
          <w:spacing w:val="-7"/>
        </w:rPr>
        <w:t xml:space="preserve"> </w:t>
      </w:r>
      <w:r>
        <w:t>o</w:t>
      </w:r>
      <w:r>
        <w:rPr>
          <w:spacing w:val="-12"/>
        </w:rPr>
        <w:t xml:space="preserve"> </w:t>
      </w:r>
      <w:r>
        <w:t>permisos</w:t>
      </w:r>
      <w:r>
        <w:rPr>
          <w:spacing w:val="-11"/>
        </w:rPr>
        <w:t xml:space="preserve"> </w:t>
      </w:r>
      <w:r>
        <w:t>adicionales.</w:t>
      </w:r>
    </w:p>
    <w:p w14:paraId="4472526B" w14:textId="77777777" w:rsidR="00FE4557" w:rsidRDefault="00FE4557">
      <w:pPr>
        <w:pStyle w:val="TableParagraph"/>
        <w:numPr>
          <w:ilvl w:val="0"/>
          <w:numId w:val="12"/>
        </w:numPr>
        <w:tabs>
          <w:tab w:val="left" w:pos="742"/>
          <w:tab w:val="left" w:pos="743"/>
        </w:tabs>
        <w:spacing w:line="256" w:lineRule="exact"/>
        <w:ind w:hanging="361"/>
      </w:pPr>
      <w:r>
        <w:t>Incremento</w:t>
      </w:r>
      <w:r>
        <w:rPr>
          <w:spacing w:val="-12"/>
        </w:rPr>
        <w:t xml:space="preserve"> </w:t>
      </w:r>
      <w:r>
        <w:t>de</w:t>
      </w:r>
      <w:r>
        <w:rPr>
          <w:spacing w:val="-8"/>
        </w:rPr>
        <w:t xml:space="preserve"> </w:t>
      </w:r>
      <w:r>
        <w:t>costos</w:t>
      </w:r>
      <w:r>
        <w:rPr>
          <w:spacing w:val="-12"/>
        </w:rPr>
        <w:t xml:space="preserve"> </w:t>
      </w:r>
      <w:r>
        <w:t>por</w:t>
      </w:r>
      <w:r>
        <w:rPr>
          <w:spacing w:val="-10"/>
        </w:rPr>
        <w:t xml:space="preserve"> </w:t>
      </w:r>
      <w:r>
        <w:t>la</w:t>
      </w:r>
      <w:r>
        <w:rPr>
          <w:spacing w:val="-12"/>
        </w:rPr>
        <w:t xml:space="preserve"> </w:t>
      </w:r>
      <w:r>
        <w:t>elaboración</w:t>
      </w:r>
      <w:r>
        <w:rPr>
          <w:spacing w:val="-11"/>
        </w:rPr>
        <w:t xml:space="preserve"> </w:t>
      </w:r>
      <w:r>
        <w:t>de</w:t>
      </w:r>
      <w:r>
        <w:rPr>
          <w:spacing w:val="-8"/>
        </w:rPr>
        <w:t xml:space="preserve"> </w:t>
      </w:r>
      <w:r>
        <w:t>estudios</w:t>
      </w:r>
      <w:r>
        <w:rPr>
          <w:spacing w:val="-8"/>
        </w:rPr>
        <w:t xml:space="preserve"> </w:t>
      </w:r>
      <w:r>
        <w:t>no</w:t>
      </w:r>
      <w:r>
        <w:rPr>
          <w:spacing w:val="-12"/>
        </w:rPr>
        <w:t xml:space="preserve"> </w:t>
      </w:r>
      <w:r>
        <w:t>contemplados.</w:t>
      </w:r>
    </w:p>
    <w:p w14:paraId="70D0BDA4" w14:textId="122C3AE4" w:rsidR="00FE4557" w:rsidRDefault="00FE4557">
      <w:pPr>
        <w:pStyle w:val="TableParagraph"/>
        <w:numPr>
          <w:ilvl w:val="0"/>
          <w:numId w:val="12"/>
        </w:numPr>
        <w:tabs>
          <w:tab w:val="left" w:pos="742"/>
          <w:tab w:val="left" w:pos="743"/>
        </w:tabs>
        <w:spacing w:line="256" w:lineRule="exact"/>
        <w:ind w:hanging="361"/>
      </w:pPr>
      <w:r>
        <w:t>Sanciones</w:t>
      </w:r>
      <w:r>
        <w:rPr>
          <w:spacing w:val="-12"/>
        </w:rPr>
        <w:t xml:space="preserve"> </w:t>
      </w:r>
      <w:r>
        <w:t>o</w:t>
      </w:r>
      <w:r>
        <w:rPr>
          <w:spacing w:val="-11"/>
        </w:rPr>
        <w:t xml:space="preserve"> </w:t>
      </w:r>
      <w:r>
        <w:t>suspensiones</w:t>
      </w:r>
      <w:r>
        <w:rPr>
          <w:spacing w:val="-7"/>
        </w:rPr>
        <w:t xml:space="preserve"> </w:t>
      </w:r>
      <w:r>
        <w:t>por</w:t>
      </w:r>
      <w:r>
        <w:rPr>
          <w:spacing w:val="-14"/>
        </w:rPr>
        <w:t xml:space="preserve"> </w:t>
      </w:r>
      <w:r>
        <w:t>malas</w:t>
      </w:r>
      <w:r>
        <w:rPr>
          <w:spacing w:val="-11"/>
        </w:rPr>
        <w:t xml:space="preserve"> </w:t>
      </w:r>
      <w:r>
        <w:t>ejecuciones.</w:t>
      </w:r>
    </w:p>
    <w:p w14:paraId="1CCF2CBB" w14:textId="13083690" w:rsidR="00DB59F1" w:rsidRPr="00FE4557" w:rsidRDefault="00FE4557">
      <w:pPr>
        <w:pStyle w:val="TableParagraph"/>
        <w:numPr>
          <w:ilvl w:val="0"/>
          <w:numId w:val="12"/>
        </w:numPr>
        <w:tabs>
          <w:tab w:val="left" w:pos="742"/>
          <w:tab w:val="left" w:pos="743"/>
        </w:tabs>
        <w:spacing w:line="256" w:lineRule="exact"/>
        <w:ind w:hanging="361"/>
      </w:pPr>
      <w:r w:rsidRPr="00FE4557">
        <w:t>Rediseños</w:t>
      </w:r>
      <w:r w:rsidRPr="00FE4557">
        <w:rPr>
          <w:spacing w:val="-12"/>
        </w:rPr>
        <w:t xml:space="preserve"> </w:t>
      </w:r>
      <w:r w:rsidRPr="00FE4557">
        <w:t>de</w:t>
      </w:r>
      <w:r w:rsidRPr="00FE4557">
        <w:rPr>
          <w:spacing w:val="-7"/>
        </w:rPr>
        <w:t xml:space="preserve"> </w:t>
      </w:r>
      <w:r w:rsidRPr="00FE4557">
        <w:t>proyectos</w:t>
      </w:r>
      <w:r w:rsidRPr="00FE4557">
        <w:rPr>
          <w:spacing w:val="-11"/>
        </w:rPr>
        <w:t xml:space="preserve"> </w:t>
      </w:r>
      <w:r w:rsidRPr="00FE4557">
        <w:t>por</w:t>
      </w:r>
      <w:r w:rsidRPr="00FE4557">
        <w:rPr>
          <w:spacing w:val="-10"/>
        </w:rPr>
        <w:t xml:space="preserve"> </w:t>
      </w:r>
      <w:r w:rsidRPr="00FE4557">
        <w:t>no</w:t>
      </w:r>
      <w:r w:rsidRPr="00FE4557">
        <w:rPr>
          <w:spacing w:val="-8"/>
        </w:rPr>
        <w:t xml:space="preserve"> </w:t>
      </w:r>
      <w:r w:rsidRPr="00FE4557">
        <w:t>considerar</w:t>
      </w:r>
      <w:r w:rsidRPr="00FE4557">
        <w:rPr>
          <w:spacing w:val="-14"/>
        </w:rPr>
        <w:t xml:space="preserve"> </w:t>
      </w:r>
      <w:r w:rsidRPr="00FE4557">
        <w:t>alguna</w:t>
      </w:r>
      <w:r w:rsidRPr="00FE4557">
        <w:rPr>
          <w:spacing w:val="-7"/>
        </w:rPr>
        <w:t xml:space="preserve"> </w:t>
      </w:r>
      <w:r w:rsidRPr="00FE4557">
        <w:t>limitante</w:t>
      </w:r>
      <w:r w:rsidRPr="00FE4557">
        <w:rPr>
          <w:spacing w:val="-8"/>
        </w:rPr>
        <w:t xml:space="preserve"> </w:t>
      </w:r>
      <w:r w:rsidRPr="00FE4557">
        <w:t>de</w:t>
      </w:r>
      <w:r w:rsidRPr="00FE4557">
        <w:rPr>
          <w:spacing w:val="-7"/>
        </w:rPr>
        <w:t xml:space="preserve"> </w:t>
      </w:r>
      <w:r w:rsidRPr="00FE4557">
        <w:t>las</w:t>
      </w:r>
      <w:r w:rsidRPr="00FE4557">
        <w:rPr>
          <w:spacing w:val="-11"/>
        </w:rPr>
        <w:t xml:space="preserve"> </w:t>
      </w:r>
      <w:r w:rsidRPr="00FE4557">
        <w:t>normas.</w:t>
      </w:r>
    </w:p>
    <w:p w14:paraId="597B6832" w14:textId="77777777" w:rsidR="00703AAF" w:rsidRPr="001F130D" w:rsidRDefault="00703AAF" w:rsidP="007C7F18">
      <w:pPr>
        <w:jc w:val="both"/>
        <w:rPr>
          <w:rFonts w:ascii="Arial" w:hAnsi="Arial" w:cs="Arial"/>
          <w:sz w:val="22"/>
          <w:szCs w:val="22"/>
        </w:rPr>
      </w:pPr>
    </w:p>
    <w:p w14:paraId="60D2EB52" w14:textId="77777777" w:rsidR="00FE4557" w:rsidRDefault="00FE4557" w:rsidP="00FE4557">
      <w:pPr>
        <w:pStyle w:val="TableParagraph"/>
        <w:ind w:left="22" w:right="40"/>
        <w:jc w:val="both"/>
      </w:pPr>
      <w:r>
        <w:rPr>
          <w:spacing w:val="-2"/>
        </w:rPr>
        <w:t>El</w:t>
      </w:r>
      <w:r>
        <w:rPr>
          <w:spacing w:val="-18"/>
        </w:rPr>
        <w:t xml:space="preserve"> </w:t>
      </w:r>
      <w:r>
        <w:rPr>
          <w:spacing w:val="-2"/>
        </w:rPr>
        <w:t>Gobierno</w:t>
      </w:r>
      <w:r>
        <w:rPr>
          <w:spacing w:val="-16"/>
        </w:rPr>
        <w:t xml:space="preserve"> </w:t>
      </w:r>
      <w:r>
        <w:rPr>
          <w:spacing w:val="-2"/>
        </w:rPr>
        <w:t>Nacional</w:t>
      </w:r>
      <w:r>
        <w:rPr>
          <w:spacing w:val="-19"/>
        </w:rPr>
        <w:t xml:space="preserve"> </w:t>
      </w:r>
      <w:r>
        <w:rPr>
          <w:spacing w:val="-2"/>
        </w:rPr>
        <w:t>ha</w:t>
      </w:r>
      <w:r>
        <w:rPr>
          <w:spacing w:val="-12"/>
        </w:rPr>
        <w:t xml:space="preserve"> </w:t>
      </w:r>
      <w:r>
        <w:rPr>
          <w:spacing w:val="-2"/>
        </w:rPr>
        <w:t>compilado</w:t>
      </w:r>
      <w:r>
        <w:rPr>
          <w:spacing w:val="-15"/>
        </w:rPr>
        <w:t xml:space="preserve"> </w:t>
      </w:r>
      <w:r>
        <w:rPr>
          <w:spacing w:val="-1"/>
        </w:rPr>
        <w:t>una</w:t>
      </w:r>
      <w:r>
        <w:rPr>
          <w:spacing w:val="-12"/>
        </w:rPr>
        <w:t xml:space="preserve"> </w:t>
      </w:r>
      <w:r>
        <w:rPr>
          <w:spacing w:val="-1"/>
        </w:rPr>
        <w:t>gran</w:t>
      </w:r>
      <w:r>
        <w:rPr>
          <w:spacing w:val="-16"/>
        </w:rPr>
        <w:t xml:space="preserve"> </w:t>
      </w:r>
      <w:r>
        <w:rPr>
          <w:spacing w:val="-1"/>
        </w:rPr>
        <w:t>cantidad</w:t>
      </w:r>
      <w:r>
        <w:rPr>
          <w:spacing w:val="-16"/>
        </w:rPr>
        <w:t xml:space="preserve"> </w:t>
      </w:r>
      <w:r>
        <w:rPr>
          <w:spacing w:val="-1"/>
        </w:rPr>
        <w:t>de</w:t>
      </w:r>
      <w:r>
        <w:rPr>
          <w:spacing w:val="-12"/>
        </w:rPr>
        <w:t xml:space="preserve"> </w:t>
      </w:r>
      <w:r>
        <w:rPr>
          <w:spacing w:val="-1"/>
        </w:rPr>
        <w:t>decretos</w:t>
      </w:r>
      <w:r>
        <w:rPr>
          <w:spacing w:val="-11"/>
        </w:rPr>
        <w:t xml:space="preserve"> </w:t>
      </w:r>
      <w:r>
        <w:rPr>
          <w:spacing w:val="-1"/>
        </w:rPr>
        <w:t>para</w:t>
      </w:r>
      <w:r>
        <w:rPr>
          <w:spacing w:val="-12"/>
        </w:rPr>
        <w:t xml:space="preserve"> </w:t>
      </w:r>
      <w:r>
        <w:rPr>
          <w:spacing w:val="-1"/>
        </w:rPr>
        <w:t>unificar</w:t>
      </w:r>
      <w:r>
        <w:rPr>
          <w:spacing w:val="-15"/>
        </w:rPr>
        <w:t xml:space="preserve"> </w:t>
      </w:r>
      <w:r>
        <w:rPr>
          <w:spacing w:val="-1"/>
        </w:rPr>
        <w:t>en</w:t>
      </w:r>
      <w:r>
        <w:rPr>
          <w:spacing w:val="-12"/>
        </w:rPr>
        <w:t xml:space="preserve"> </w:t>
      </w:r>
      <w:r>
        <w:rPr>
          <w:spacing w:val="-1"/>
        </w:rPr>
        <w:t>una</w:t>
      </w:r>
      <w:r>
        <w:rPr>
          <w:spacing w:val="-15"/>
        </w:rPr>
        <w:t xml:space="preserve"> </w:t>
      </w:r>
      <w:r>
        <w:rPr>
          <w:spacing w:val="-1"/>
        </w:rPr>
        <w:t>sola</w:t>
      </w:r>
      <w:r>
        <w:rPr>
          <w:spacing w:val="-12"/>
        </w:rPr>
        <w:t xml:space="preserve"> </w:t>
      </w:r>
      <w:r>
        <w:rPr>
          <w:spacing w:val="-1"/>
        </w:rPr>
        <w:t>norma</w:t>
      </w:r>
      <w:r>
        <w:rPr>
          <w:spacing w:val="-12"/>
        </w:rPr>
        <w:t xml:space="preserve"> </w:t>
      </w:r>
      <w:r>
        <w:rPr>
          <w:spacing w:val="-1"/>
        </w:rPr>
        <w:t>los</w:t>
      </w:r>
      <w:r>
        <w:rPr>
          <w:spacing w:val="-16"/>
        </w:rPr>
        <w:t xml:space="preserve"> </w:t>
      </w:r>
      <w:r>
        <w:rPr>
          <w:spacing w:val="-1"/>
        </w:rPr>
        <w:t>diferentes</w:t>
      </w:r>
      <w:r>
        <w:rPr>
          <w:spacing w:val="-58"/>
        </w:rPr>
        <w:t xml:space="preserve"> </w:t>
      </w:r>
      <w:r>
        <w:rPr>
          <w:spacing w:val="-1"/>
        </w:rPr>
        <w:t>aspectos</w:t>
      </w:r>
      <w:r>
        <w:rPr>
          <w:spacing w:val="-8"/>
        </w:rPr>
        <w:t xml:space="preserve"> </w:t>
      </w:r>
      <w:r>
        <w:rPr>
          <w:spacing w:val="-1"/>
        </w:rPr>
        <w:t>de</w:t>
      </w:r>
      <w:r>
        <w:rPr>
          <w:spacing w:val="-8"/>
        </w:rPr>
        <w:t xml:space="preserve"> </w:t>
      </w:r>
      <w:r>
        <w:rPr>
          <w:spacing w:val="-1"/>
        </w:rPr>
        <w:t>un</w:t>
      </w:r>
      <w:r>
        <w:rPr>
          <w:spacing w:val="-8"/>
        </w:rPr>
        <w:t xml:space="preserve"> </w:t>
      </w:r>
      <w:r>
        <w:rPr>
          <w:spacing w:val="-1"/>
        </w:rPr>
        <w:t>sector</w:t>
      </w:r>
      <w:r>
        <w:rPr>
          <w:spacing w:val="-10"/>
        </w:rPr>
        <w:t xml:space="preserve"> </w:t>
      </w:r>
      <w:r>
        <w:rPr>
          <w:spacing w:val="-1"/>
        </w:rPr>
        <w:t>de</w:t>
      </w:r>
      <w:r>
        <w:rPr>
          <w:spacing w:val="-8"/>
        </w:rPr>
        <w:t xml:space="preserve"> </w:t>
      </w:r>
      <w:r>
        <w:rPr>
          <w:spacing w:val="-1"/>
        </w:rPr>
        <w:t>la</w:t>
      </w:r>
      <w:r>
        <w:rPr>
          <w:spacing w:val="-7"/>
        </w:rPr>
        <w:t xml:space="preserve"> </w:t>
      </w:r>
      <w:r>
        <w:rPr>
          <w:spacing w:val="-1"/>
        </w:rPr>
        <w:t>economía,</w:t>
      </w:r>
      <w:r>
        <w:rPr>
          <w:spacing w:val="-15"/>
        </w:rPr>
        <w:t xml:space="preserve"> </w:t>
      </w:r>
      <w:r>
        <w:rPr>
          <w:spacing w:val="-1"/>
        </w:rPr>
        <w:t>normalmente</w:t>
      </w:r>
      <w:r>
        <w:rPr>
          <w:spacing w:val="-11"/>
        </w:rPr>
        <w:t xml:space="preserve"> </w:t>
      </w:r>
      <w:r>
        <w:rPr>
          <w:spacing w:val="-1"/>
        </w:rPr>
        <w:t>en</w:t>
      </w:r>
      <w:r>
        <w:rPr>
          <w:spacing w:val="-11"/>
        </w:rPr>
        <w:t xml:space="preserve"> </w:t>
      </w:r>
      <w:r>
        <w:rPr>
          <w:spacing w:val="-1"/>
        </w:rPr>
        <w:t>cabeza</w:t>
      </w:r>
      <w:r>
        <w:rPr>
          <w:spacing w:val="-8"/>
        </w:rPr>
        <w:t xml:space="preserve"> </w:t>
      </w:r>
      <w:r>
        <w:rPr>
          <w:spacing w:val="-1"/>
        </w:rPr>
        <w:t>de</w:t>
      </w:r>
      <w:r>
        <w:rPr>
          <w:spacing w:val="-8"/>
        </w:rPr>
        <w:t xml:space="preserve"> </w:t>
      </w:r>
      <w:r>
        <w:rPr>
          <w:spacing w:val="-1"/>
        </w:rPr>
        <w:t>un</w:t>
      </w:r>
      <w:r>
        <w:rPr>
          <w:spacing w:val="-8"/>
        </w:rPr>
        <w:t xml:space="preserve"> </w:t>
      </w:r>
      <w:r>
        <w:t>Ministerio.</w:t>
      </w:r>
      <w:r>
        <w:rPr>
          <w:spacing w:val="-10"/>
        </w:rPr>
        <w:t xml:space="preserve"> </w:t>
      </w:r>
      <w:r>
        <w:t>Estos</w:t>
      </w:r>
      <w:r>
        <w:rPr>
          <w:spacing w:val="-11"/>
        </w:rPr>
        <w:t xml:space="preserve"> </w:t>
      </w:r>
      <w:r>
        <w:t>decretos,</w:t>
      </w:r>
      <w:r>
        <w:rPr>
          <w:spacing w:val="-11"/>
        </w:rPr>
        <w:t xml:space="preserve"> </w:t>
      </w:r>
      <w:r>
        <w:t>denominados</w:t>
      </w:r>
      <w:r>
        <w:rPr>
          <w:spacing w:val="-59"/>
        </w:rPr>
        <w:t xml:space="preserve"> </w:t>
      </w:r>
      <w:r>
        <w:t>únicos,</w:t>
      </w:r>
      <w:r>
        <w:rPr>
          <w:spacing w:val="-4"/>
        </w:rPr>
        <w:t xml:space="preserve"> </w:t>
      </w:r>
      <w:r>
        <w:t>se definen</w:t>
      </w:r>
      <w:r>
        <w:rPr>
          <w:spacing w:val="-4"/>
        </w:rPr>
        <w:t xml:space="preserve"> </w:t>
      </w:r>
      <w:r>
        <w:t>de</w:t>
      </w:r>
      <w:r>
        <w:rPr>
          <w:spacing w:val="-4"/>
        </w:rPr>
        <w:t xml:space="preserve"> </w:t>
      </w:r>
      <w:r>
        <w:t>esta</w:t>
      </w:r>
      <w:r>
        <w:rPr>
          <w:spacing w:val="-5"/>
        </w:rPr>
        <w:t xml:space="preserve"> </w:t>
      </w:r>
      <w:r>
        <w:t>manera:</w:t>
      </w:r>
    </w:p>
    <w:p w14:paraId="169AA3C0" w14:textId="77777777" w:rsidR="00FE4557" w:rsidRDefault="00FE4557" w:rsidP="00FE4557">
      <w:pPr>
        <w:pStyle w:val="TableParagraph"/>
        <w:spacing w:before="1"/>
      </w:pPr>
    </w:p>
    <w:p w14:paraId="4588B300" w14:textId="77777777" w:rsidR="00FE4557" w:rsidRDefault="00FE4557" w:rsidP="00FE4557">
      <w:pPr>
        <w:pStyle w:val="TableParagraph"/>
        <w:ind w:left="730" w:right="29"/>
        <w:jc w:val="both"/>
      </w:pPr>
      <w:r>
        <w:t>“</w:t>
      </w:r>
      <w:r>
        <w:rPr>
          <w:i/>
        </w:rPr>
        <w:t>Los</w:t>
      </w:r>
      <w:r>
        <w:rPr>
          <w:i/>
          <w:spacing w:val="-3"/>
        </w:rPr>
        <w:t xml:space="preserve"> </w:t>
      </w:r>
      <w:r>
        <w:rPr>
          <w:i/>
        </w:rPr>
        <w:t>Decretos</w:t>
      </w:r>
      <w:r>
        <w:rPr>
          <w:i/>
          <w:spacing w:val="-2"/>
        </w:rPr>
        <w:t xml:space="preserve"> </w:t>
      </w:r>
      <w:r>
        <w:rPr>
          <w:i/>
        </w:rPr>
        <w:t>Únicos</w:t>
      </w:r>
      <w:r>
        <w:rPr>
          <w:i/>
          <w:spacing w:val="-2"/>
        </w:rPr>
        <w:t xml:space="preserve"> </w:t>
      </w:r>
      <w:r>
        <w:rPr>
          <w:i/>
        </w:rPr>
        <w:t>son</w:t>
      </w:r>
      <w:r>
        <w:rPr>
          <w:i/>
          <w:spacing w:val="-6"/>
        </w:rPr>
        <w:t xml:space="preserve"> </w:t>
      </w:r>
      <w:r>
        <w:rPr>
          <w:i/>
        </w:rPr>
        <w:t>aquellos</w:t>
      </w:r>
      <w:r>
        <w:rPr>
          <w:i/>
          <w:spacing w:val="-2"/>
        </w:rPr>
        <w:t xml:space="preserve"> </w:t>
      </w:r>
      <w:r>
        <w:rPr>
          <w:i/>
        </w:rPr>
        <w:t>expedidos</w:t>
      </w:r>
      <w:r>
        <w:rPr>
          <w:i/>
          <w:spacing w:val="-2"/>
        </w:rPr>
        <w:t xml:space="preserve"> </w:t>
      </w:r>
      <w:r>
        <w:rPr>
          <w:i/>
        </w:rPr>
        <w:t>por</w:t>
      </w:r>
      <w:r>
        <w:rPr>
          <w:i/>
          <w:spacing w:val="-5"/>
        </w:rPr>
        <w:t xml:space="preserve"> </w:t>
      </w:r>
      <w:r>
        <w:rPr>
          <w:i/>
        </w:rPr>
        <w:t>el</w:t>
      </w:r>
      <w:r>
        <w:rPr>
          <w:i/>
          <w:spacing w:val="-8"/>
        </w:rPr>
        <w:t xml:space="preserve"> </w:t>
      </w:r>
      <w:r>
        <w:rPr>
          <w:i/>
        </w:rPr>
        <w:t>Gobierno</w:t>
      </w:r>
      <w:r>
        <w:rPr>
          <w:i/>
          <w:spacing w:val="-2"/>
        </w:rPr>
        <w:t xml:space="preserve"> </w:t>
      </w:r>
      <w:r>
        <w:rPr>
          <w:i/>
        </w:rPr>
        <w:t>Nacional</w:t>
      </w:r>
      <w:r>
        <w:rPr>
          <w:i/>
          <w:spacing w:val="-8"/>
        </w:rPr>
        <w:t xml:space="preserve"> </w:t>
      </w:r>
      <w:r>
        <w:rPr>
          <w:i/>
        </w:rPr>
        <w:t>en</w:t>
      </w:r>
      <w:r>
        <w:rPr>
          <w:i/>
          <w:spacing w:val="-2"/>
        </w:rPr>
        <w:t xml:space="preserve"> </w:t>
      </w:r>
      <w:r>
        <w:rPr>
          <w:i/>
        </w:rPr>
        <w:t>los</w:t>
      </w:r>
      <w:r>
        <w:rPr>
          <w:i/>
          <w:spacing w:val="-2"/>
        </w:rPr>
        <w:t xml:space="preserve"> </w:t>
      </w:r>
      <w:r>
        <w:rPr>
          <w:i/>
        </w:rPr>
        <w:t>cuales</w:t>
      </w:r>
      <w:r>
        <w:rPr>
          <w:i/>
          <w:spacing w:val="-6"/>
        </w:rPr>
        <w:t xml:space="preserve"> </w:t>
      </w:r>
      <w:r>
        <w:rPr>
          <w:i/>
        </w:rPr>
        <w:t>se</w:t>
      </w:r>
      <w:r>
        <w:rPr>
          <w:i/>
          <w:spacing w:val="-3"/>
        </w:rPr>
        <w:t xml:space="preserve"> </w:t>
      </w:r>
      <w:r>
        <w:rPr>
          <w:i/>
        </w:rPr>
        <w:t>incorporan</w:t>
      </w:r>
      <w:r>
        <w:rPr>
          <w:i/>
          <w:spacing w:val="-2"/>
        </w:rPr>
        <w:t xml:space="preserve"> </w:t>
      </w:r>
      <w:r>
        <w:rPr>
          <w:i/>
        </w:rPr>
        <w:t>en</w:t>
      </w:r>
      <w:r>
        <w:rPr>
          <w:i/>
          <w:spacing w:val="-58"/>
        </w:rPr>
        <w:t xml:space="preserve"> </w:t>
      </w:r>
      <w:r>
        <w:rPr>
          <w:i/>
        </w:rPr>
        <w:t>un solo cuerpo normativo las disposiciones de carácter reglamentario vigentes, de competencia de los</w:t>
      </w:r>
      <w:r>
        <w:rPr>
          <w:i/>
          <w:spacing w:val="-59"/>
        </w:rPr>
        <w:t xml:space="preserve"> </w:t>
      </w:r>
      <w:r>
        <w:rPr>
          <w:i/>
        </w:rPr>
        <w:t>sectores de la administración pública nacional; con el objetivo de permitir un mejor conocimiento del</w:t>
      </w:r>
      <w:r>
        <w:rPr>
          <w:i/>
          <w:spacing w:val="1"/>
        </w:rPr>
        <w:t xml:space="preserve"> </w:t>
      </w:r>
      <w:r>
        <w:rPr>
          <w:i/>
        </w:rPr>
        <w:t>Derecho y tener certeza sobre la vigencia de las normas, en aras de facilitar a los ciudadanos y las</w:t>
      </w:r>
      <w:r>
        <w:rPr>
          <w:i/>
          <w:spacing w:val="1"/>
        </w:rPr>
        <w:t xml:space="preserve"> </w:t>
      </w:r>
      <w:r>
        <w:rPr>
          <w:i/>
        </w:rPr>
        <w:t>autoridades</w:t>
      </w:r>
      <w:r>
        <w:rPr>
          <w:i/>
          <w:spacing w:val="1"/>
        </w:rPr>
        <w:t xml:space="preserve"> </w:t>
      </w:r>
      <w:r>
        <w:rPr>
          <w:i/>
        </w:rPr>
        <w:t>el</w:t>
      </w:r>
      <w:r>
        <w:rPr>
          <w:i/>
          <w:spacing w:val="1"/>
        </w:rPr>
        <w:t xml:space="preserve"> </w:t>
      </w:r>
      <w:r>
        <w:rPr>
          <w:i/>
        </w:rPr>
        <w:t>ejercicio</w:t>
      </w:r>
      <w:r>
        <w:rPr>
          <w:i/>
          <w:spacing w:val="1"/>
        </w:rPr>
        <w:t xml:space="preserve"> </w:t>
      </w:r>
      <w:r>
        <w:rPr>
          <w:i/>
        </w:rPr>
        <w:t>de</w:t>
      </w:r>
      <w:r>
        <w:rPr>
          <w:i/>
          <w:spacing w:val="1"/>
        </w:rPr>
        <w:t xml:space="preserve"> </w:t>
      </w:r>
      <w:r>
        <w:rPr>
          <w:i/>
        </w:rPr>
        <w:t>sus</w:t>
      </w:r>
      <w:r>
        <w:rPr>
          <w:i/>
          <w:spacing w:val="1"/>
        </w:rPr>
        <w:t xml:space="preserve"> </w:t>
      </w:r>
      <w:r>
        <w:rPr>
          <w:i/>
        </w:rPr>
        <w:t>derechos</w:t>
      </w:r>
      <w:r>
        <w:rPr>
          <w:i/>
          <w:spacing w:val="1"/>
        </w:rPr>
        <w:t xml:space="preserve"> </w:t>
      </w:r>
      <w:r>
        <w:rPr>
          <w:i/>
        </w:rPr>
        <w:t>y</w:t>
      </w:r>
      <w:r>
        <w:rPr>
          <w:i/>
          <w:spacing w:val="1"/>
        </w:rPr>
        <w:t xml:space="preserve"> </w:t>
      </w:r>
      <w:r>
        <w:rPr>
          <w:i/>
        </w:rPr>
        <w:t>el</w:t>
      </w:r>
      <w:r>
        <w:rPr>
          <w:i/>
          <w:spacing w:val="1"/>
        </w:rPr>
        <w:t xml:space="preserve"> </w:t>
      </w:r>
      <w:r>
        <w:rPr>
          <w:i/>
        </w:rPr>
        <w:t>cabal</w:t>
      </w:r>
      <w:r>
        <w:rPr>
          <w:i/>
          <w:spacing w:val="1"/>
        </w:rPr>
        <w:t xml:space="preserve"> </w:t>
      </w:r>
      <w:r>
        <w:rPr>
          <w:i/>
        </w:rPr>
        <w:t>cumplimiento</w:t>
      </w:r>
      <w:r>
        <w:rPr>
          <w:i/>
          <w:spacing w:val="1"/>
        </w:rPr>
        <w:t xml:space="preserve"> </w:t>
      </w:r>
      <w:r>
        <w:rPr>
          <w:i/>
        </w:rPr>
        <w:t>de</w:t>
      </w:r>
      <w:r>
        <w:rPr>
          <w:i/>
          <w:spacing w:val="1"/>
        </w:rPr>
        <w:t xml:space="preserve"> </w:t>
      </w:r>
      <w:r>
        <w:rPr>
          <w:i/>
        </w:rPr>
        <w:t>sus</w:t>
      </w:r>
      <w:r>
        <w:rPr>
          <w:i/>
          <w:spacing w:val="1"/>
        </w:rPr>
        <w:t xml:space="preserve"> </w:t>
      </w:r>
      <w:r>
        <w:rPr>
          <w:i/>
        </w:rPr>
        <w:t>deberes</w:t>
      </w:r>
      <w:r>
        <w:t>.”</w:t>
      </w:r>
      <w:r>
        <w:rPr>
          <w:spacing w:val="1"/>
        </w:rPr>
        <w:t xml:space="preserve"> </w:t>
      </w:r>
      <w:hyperlink r:id="rId34">
        <w:r>
          <w:t>(h</w:t>
        </w:r>
      </w:hyperlink>
      <w:r>
        <w:t>t</w:t>
      </w:r>
      <w:hyperlink r:id="rId35">
        <w:r>
          <w:t>tp://www.cundinamarca.gov.co/)</w:t>
        </w:r>
        <w:r>
          <w:rPr>
            <w:vertAlign w:val="superscript"/>
          </w:rPr>
          <w:t>17</w:t>
        </w:r>
      </w:hyperlink>
    </w:p>
    <w:p w14:paraId="2847CDF5" w14:textId="77777777" w:rsidR="00FE4557" w:rsidRDefault="00FE4557" w:rsidP="00FE4557">
      <w:pPr>
        <w:pStyle w:val="TableParagraph"/>
        <w:spacing w:before="1"/>
      </w:pPr>
    </w:p>
    <w:p w14:paraId="11C30AA4" w14:textId="492CB020" w:rsidR="003A73B1" w:rsidRDefault="00EB6756" w:rsidP="00EB6756">
      <w:pPr>
        <w:jc w:val="center"/>
        <w:rPr>
          <w:rFonts w:ascii="Arial" w:hAnsi="Arial" w:cs="Arial"/>
          <w:b/>
          <w:bCs/>
          <w:sz w:val="22"/>
          <w:szCs w:val="22"/>
        </w:rPr>
      </w:pPr>
      <w:r w:rsidRPr="00EB6756">
        <w:rPr>
          <w:rFonts w:ascii="Arial" w:hAnsi="Arial" w:cs="Arial"/>
          <w:b/>
          <w:bCs/>
          <w:noProof/>
          <w:sz w:val="22"/>
          <w:szCs w:val="22"/>
        </w:rPr>
        <w:drawing>
          <wp:inline distT="0" distB="0" distL="0" distR="0" wp14:anchorId="526D8C3F" wp14:editId="216EC90D">
            <wp:extent cx="4234832" cy="2950969"/>
            <wp:effectExtent l="0" t="0" r="0" b="0"/>
            <wp:docPr id="17943716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371669" name=""/>
                    <pic:cNvPicPr/>
                  </pic:nvPicPr>
                  <pic:blipFill>
                    <a:blip r:embed="rId36"/>
                    <a:stretch>
                      <a:fillRect/>
                    </a:stretch>
                  </pic:blipFill>
                  <pic:spPr>
                    <a:xfrm>
                      <a:off x="0" y="0"/>
                      <a:ext cx="4248926" cy="2960790"/>
                    </a:xfrm>
                    <a:prstGeom prst="rect">
                      <a:avLst/>
                    </a:prstGeom>
                  </pic:spPr>
                </pic:pic>
              </a:graphicData>
            </a:graphic>
          </wp:inline>
        </w:drawing>
      </w:r>
    </w:p>
    <w:p w14:paraId="06F38381" w14:textId="5F2E757F" w:rsidR="00FE4557" w:rsidRDefault="00FE4557" w:rsidP="001309AB">
      <w:pPr>
        <w:jc w:val="both"/>
        <w:rPr>
          <w:rFonts w:ascii="Arial" w:hAnsi="Arial" w:cs="Arial"/>
          <w:b/>
          <w:bCs/>
          <w:sz w:val="22"/>
          <w:szCs w:val="22"/>
        </w:rPr>
      </w:pPr>
    </w:p>
    <w:p w14:paraId="08073475" w14:textId="77777777" w:rsidR="00FE4557" w:rsidRDefault="00FE4557" w:rsidP="00EB6756">
      <w:pPr>
        <w:pStyle w:val="TableParagraph"/>
        <w:jc w:val="both"/>
      </w:pPr>
      <w:r>
        <w:t>De</w:t>
      </w:r>
      <w:r>
        <w:rPr>
          <w:spacing w:val="-7"/>
        </w:rPr>
        <w:t xml:space="preserve"> </w:t>
      </w:r>
      <w:r>
        <w:t>igual</w:t>
      </w:r>
      <w:r>
        <w:rPr>
          <w:spacing w:val="-12"/>
        </w:rPr>
        <w:t xml:space="preserve"> </w:t>
      </w:r>
      <w:r>
        <w:t>forma,</w:t>
      </w:r>
      <w:r>
        <w:rPr>
          <w:spacing w:val="-13"/>
        </w:rPr>
        <w:t xml:space="preserve"> </w:t>
      </w:r>
      <w:r>
        <w:t>se</w:t>
      </w:r>
      <w:r>
        <w:rPr>
          <w:spacing w:val="-6"/>
        </w:rPr>
        <w:t xml:space="preserve"> </w:t>
      </w:r>
      <w:r>
        <w:t>tendrá</w:t>
      </w:r>
      <w:r>
        <w:rPr>
          <w:spacing w:val="-7"/>
        </w:rPr>
        <w:t xml:space="preserve"> </w:t>
      </w:r>
      <w:r>
        <w:t>en</w:t>
      </w:r>
      <w:r>
        <w:rPr>
          <w:spacing w:val="-10"/>
        </w:rPr>
        <w:t xml:space="preserve"> </w:t>
      </w:r>
      <w:r>
        <w:t>cuenta,</w:t>
      </w:r>
      <w:r>
        <w:rPr>
          <w:spacing w:val="-13"/>
        </w:rPr>
        <w:t xml:space="preserve"> </w:t>
      </w:r>
      <w:r>
        <w:t>además,</w:t>
      </w:r>
      <w:r>
        <w:rPr>
          <w:spacing w:val="-9"/>
        </w:rPr>
        <w:t xml:space="preserve"> </w:t>
      </w:r>
      <w:r>
        <w:t>la</w:t>
      </w:r>
      <w:r>
        <w:rPr>
          <w:spacing w:val="-7"/>
        </w:rPr>
        <w:t xml:space="preserve"> </w:t>
      </w:r>
      <w:r>
        <w:t>siguiente</w:t>
      </w:r>
      <w:r>
        <w:rPr>
          <w:spacing w:val="-7"/>
        </w:rPr>
        <w:t xml:space="preserve"> </w:t>
      </w:r>
      <w:r>
        <w:t>normativa:</w:t>
      </w:r>
    </w:p>
    <w:p w14:paraId="1774163E" w14:textId="77777777" w:rsidR="00FE4557" w:rsidRDefault="00FE4557" w:rsidP="00FE4557">
      <w:pPr>
        <w:pStyle w:val="TableParagraph"/>
        <w:spacing w:before="10"/>
        <w:rPr>
          <w:sz w:val="21"/>
        </w:rPr>
      </w:pPr>
    </w:p>
    <w:p w14:paraId="5B8602AB" w14:textId="77777777" w:rsidR="00FE4557" w:rsidRDefault="00FE4557">
      <w:pPr>
        <w:pStyle w:val="TableParagraph"/>
        <w:numPr>
          <w:ilvl w:val="0"/>
          <w:numId w:val="16"/>
        </w:numPr>
        <w:tabs>
          <w:tab w:val="left" w:pos="743"/>
        </w:tabs>
        <w:ind w:hanging="361"/>
        <w:jc w:val="both"/>
      </w:pPr>
      <w:r>
        <w:t>Las</w:t>
      </w:r>
      <w:r>
        <w:rPr>
          <w:spacing w:val="-3"/>
        </w:rPr>
        <w:t xml:space="preserve"> </w:t>
      </w:r>
      <w:r>
        <w:t>normas</w:t>
      </w:r>
      <w:r>
        <w:rPr>
          <w:spacing w:val="-1"/>
        </w:rPr>
        <w:t xml:space="preserve"> </w:t>
      </w:r>
      <w:r>
        <w:t>civiles</w:t>
      </w:r>
      <w:r>
        <w:rPr>
          <w:spacing w:val="-2"/>
        </w:rPr>
        <w:t xml:space="preserve"> </w:t>
      </w:r>
      <w:r>
        <w:t>y</w:t>
      </w:r>
      <w:r>
        <w:rPr>
          <w:spacing w:val="-7"/>
        </w:rPr>
        <w:t xml:space="preserve"> </w:t>
      </w:r>
      <w:r>
        <w:t>comerciales</w:t>
      </w:r>
      <w:r>
        <w:rPr>
          <w:spacing w:val="-2"/>
        </w:rPr>
        <w:t xml:space="preserve"> </w:t>
      </w:r>
      <w:r>
        <w:t>concordantes,</w:t>
      </w:r>
      <w:r>
        <w:rPr>
          <w:spacing w:val="-6"/>
        </w:rPr>
        <w:t xml:space="preserve"> </w:t>
      </w:r>
      <w:r>
        <w:t>Código</w:t>
      </w:r>
      <w:r>
        <w:rPr>
          <w:spacing w:val="-2"/>
        </w:rPr>
        <w:t xml:space="preserve"> </w:t>
      </w:r>
      <w:r>
        <w:t>Civil</w:t>
      </w:r>
      <w:r>
        <w:rPr>
          <w:spacing w:val="-9"/>
        </w:rPr>
        <w:t xml:space="preserve"> </w:t>
      </w:r>
      <w:r>
        <w:t>y</w:t>
      </w:r>
      <w:r>
        <w:rPr>
          <w:spacing w:val="-2"/>
        </w:rPr>
        <w:t xml:space="preserve"> </w:t>
      </w:r>
      <w:r>
        <w:t>Código</w:t>
      </w:r>
      <w:r>
        <w:rPr>
          <w:spacing w:val="-3"/>
        </w:rPr>
        <w:t xml:space="preserve"> </w:t>
      </w:r>
      <w:r>
        <w:t>de</w:t>
      </w:r>
      <w:r>
        <w:rPr>
          <w:spacing w:val="-2"/>
        </w:rPr>
        <w:t xml:space="preserve"> </w:t>
      </w:r>
      <w:r>
        <w:t>Comercio.</w:t>
      </w:r>
    </w:p>
    <w:p w14:paraId="3F21322A" w14:textId="77777777" w:rsidR="00FE4557" w:rsidRDefault="00FE4557">
      <w:pPr>
        <w:pStyle w:val="TableParagraph"/>
        <w:numPr>
          <w:ilvl w:val="0"/>
          <w:numId w:val="16"/>
        </w:numPr>
        <w:tabs>
          <w:tab w:val="left" w:pos="743"/>
        </w:tabs>
        <w:spacing w:before="3"/>
        <w:ind w:right="26"/>
        <w:jc w:val="both"/>
      </w:pPr>
      <w:r>
        <w:t>Ley 99 de 1993, como Norma del Marco de la Legislación Ambiental Colombiana, en la cual</w:t>
      </w:r>
      <w:r>
        <w:rPr>
          <w:spacing w:val="61"/>
        </w:rPr>
        <w:t xml:space="preserve"> </w:t>
      </w:r>
      <w:r>
        <w:t>se</w:t>
      </w:r>
      <w:r>
        <w:rPr>
          <w:spacing w:val="61"/>
        </w:rPr>
        <w:t xml:space="preserve"> </w:t>
      </w:r>
      <w:r>
        <w:t>crea</w:t>
      </w:r>
      <w:r>
        <w:rPr>
          <w:spacing w:val="1"/>
        </w:rPr>
        <w:t xml:space="preserve"> </w:t>
      </w:r>
      <w:r>
        <w:t>el</w:t>
      </w:r>
      <w:r>
        <w:rPr>
          <w:spacing w:val="1"/>
        </w:rPr>
        <w:t xml:space="preserve"> </w:t>
      </w:r>
      <w:r>
        <w:t>Ministerio</w:t>
      </w:r>
      <w:r>
        <w:rPr>
          <w:spacing w:val="1"/>
        </w:rPr>
        <w:t xml:space="preserve"> </w:t>
      </w:r>
      <w:r>
        <w:t>del</w:t>
      </w:r>
      <w:r>
        <w:rPr>
          <w:spacing w:val="1"/>
        </w:rPr>
        <w:t xml:space="preserve"> </w:t>
      </w:r>
      <w:r>
        <w:t>Medio</w:t>
      </w:r>
      <w:r>
        <w:rPr>
          <w:spacing w:val="1"/>
        </w:rPr>
        <w:t xml:space="preserve"> </w:t>
      </w:r>
      <w:r>
        <w:t>Ambiente,</w:t>
      </w:r>
      <w:r>
        <w:rPr>
          <w:spacing w:val="1"/>
        </w:rPr>
        <w:t xml:space="preserve"> </w:t>
      </w:r>
      <w:r>
        <w:t>se</w:t>
      </w:r>
      <w:r>
        <w:rPr>
          <w:spacing w:val="1"/>
        </w:rPr>
        <w:t xml:space="preserve"> </w:t>
      </w:r>
      <w:r>
        <w:t>reordena</w:t>
      </w:r>
      <w:r>
        <w:rPr>
          <w:spacing w:val="1"/>
        </w:rPr>
        <w:t xml:space="preserve"> </w:t>
      </w:r>
      <w:r>
        <w:t>el</w:t>
      </w:r>
      <w:r>
        <w:rPr>
          <w:spacing w:val="1"/>
        </w:rPr>
        <w:t xml:space="preserve"> </w:t>
      </w:r>
      <w:r>
        <w:t>sector</w:t>
      </w:r>
      <w:r>
        <w:rPr>
          <w:spacing w:val="1"/>
        </w:rPr>
        <w:t xml:space="preserve"> </w:t>
      </w:r>
      <w:r>
        <w:t>Público</w:t>
      </w:r>
      <w:r>
        <w:rPr>
          <w:spacing w:val="1"/>
        </w:rPr>
        <w:t xml:space="preserve"> </w:t>
      </w:r>
      <w:r>
        <w:t>encargado</w:t>
      </w:r>
      <w:r>
        <w:rPr>
          <w:spacing w:val="1"/>
        </w:rPr>
        <w:t xml:space="preserve"> </w:t>
      </w:r>
      <w:r>
        <w:t>de</w:t>
      </w:r>
      <w:r>
        <w:rPr>
          <w:spacing w:val="1"/>
        </w:rPr>
        <w:t xml:space="preserve"> </w:t>
      </w:r>
      <w:r>
        <w:t>la</w:t>
      </w:r>
      <w:r>
        <w:rPr>
          <w:spacing w:val="1"/>
        </w:rPr>
        <w:t xml:space="preserve"> </w:t>
      </w:r>
      <w:r>
        <w:t>Gestión</w:t>
      </w:r>
      <w:r>
        <w:rPr>
          <w:spacing w:val="1"/>
        </w:rPr>
        <w:t xml:space="preserve"> </w:t>
      </w:r>
      <w:r>
        <w:t>y</w:t>
      </w:r>
      <w:r>
        <w:rPr>
          <w:spacing w:val="1"/>
        </w:rPr>
        <w:t xml:space="preserve"> </w:t>
      </w:r>
      <w:r>
        <w:t>conservación</w:t>
      </w:r>
      <w:r>
        <w:rPr>
          <w:spacing w:val="1"/>
        </w:rPr>
        <w:t xml:space="preserve"> </w:t>
      </w:r>
      <w:r>
        <w:t>del</w:t>
      </w:r>
      <w:r>
        <w:rPr>
          <w:spacing w:val="1"/>
        </w:rPr>
        <w:t xml:space="preserve"> </w:t>
      </w:r>
      <w:r>
        <w:t>Medio</w:t>
      </w:r>
      <w:r>
        <w:rPr>
          <w:spacing w:val="1"/>
        </w:rPr>
        <w:t xml:space="preserve"> </w:t>
      </w:r>
      <w:r>
        <w:t>ambiente</w:t>
      </w:r>
      <w:r>
        <w:rPr>
          <w:spacing w:val="1"/>
        </w:rPr>
        <w:t xml:space="preserve"> </w:t>
      </w:r>
      <w:r>
        <w:t>y</w:t>
      </w:r>
      <w:r>
        <w:rPr>
          <w:spacing w:val="1"/>
        </w:rPr>
        <w:t xml:space="preserve"> </w:t>
      </w:r>
      <w:r>
        <w:t>los</w:t>
      </w:r>
      <w:r>
        <w:rPr>
          <w:spacing w:val="1"/>
        </w:rPr>
        <w:t xml:space="preserve"> </w:t>
      </w:r>
      <w:r>
        <w:t>recursos</w:t>
      </w:r>
      <w:r>
        <w:rPr>
          <w:spacing w:val="1"/>
        </w:rPr>
        <w:t xml:space="preserve"> </w:t>
      </w:r>
      <w:r>
        <w:t>naturales</w:t>
      </w:r>
      <w:r>
        <w:rPr>
          <w:spacing w:val="1"/>
        </w:rPr>
        <w:t xml:space="preserve"> </w:t>
      </w:r>
      <w:r>
        <w:t>renovables,</w:t>
      </w:r>
      <w:r>
        <w:rPr>
          <w:spacing w:val="1"/>
        </w:rPr>
        <w:t xml:space="preserve"> </w:t>
      </w:r>
      <w:r>
        <w:t>se</w:t>
      </w:r>
      <w:r>
        <w:rPr>
          <w:spacing w:val="1"/>
        </w:rPr>
        <w:t xml:space="preserve"> </w:t>
      </w:r>
      <w:r>
        <w:t>organiza</w:t>
      </w:r>
      <w:r>
        <w:rPr>
          <w:spacing w:val="1"/>
        </w:rPr>
        <w:t xml:space="preserve"> </w:t>
      </w:r>
      <w:r>
        <w:t>el</w:t>
      </w:r>
      <w:r>
        <w:rPr>
          <w:spacing w:val="1"/>
        </w:rPr>
        <w:t xml:space="preserve"> </w:t>
      </w:r>
      <w:r>
        <w:t>Sistema</w:t>
      </w:r>
      <w:r>
        <w:rPr>
          <w:spacing w:val="1"/>
        </w:rPr>
        <w:t xml:space="preserve"> </w:t>
      </w:r>
      <w:r>
        <w:t>Nacional</w:t>
      </w:r>
      <w:r>
        <w:rPr>
          <w:spacing w:val="-3"/>
        </w:rPr>
        <w:t xml:space="preserve"> </w:t>
      </w:r>
      <w:r>
        <w:t>Ambiental,</w:t>
      </w:r>
      <w:r>
        <w:rPr>
          <w:spacing w:val="16"/>
        </w:rPr>
        <w:t xml:space="preserve"> </w:t>
      </w:r>
      <w:r>
        <w:t>SINA,</w:t>
      </w:r>
      <w:r>
        <w:rPr>
          <w:spacing w:val="13"/>
        </w:rPr>
        <w:t xml:space="preserve"> </w:t>
      </w:r>
      <w:r>
        <w:t>y</w:t>
      </w:r>
      <w:r>
        <w:rPr>
          <w:spacing w:val="15"/>
        </w:rPr>
        <w:t xml:space="preserve"> </w:t>
      </w:r>
      <w:r>
        <w:t>se</w:t>
      </w:r>
      <w:r>
        <w:rPr>
          <w:spacing w:val="15"/>
        </w:rPr>
        <w:t xml:space="preserve"> </w:t>
      </w:r>
      <w:r>
        <w:t>dictan</w:t>
      </w:r>
      <w:r>
        <w:rPr>
          <w:spacing w:val="15"/>
        </w:rPr>
        <w:t xml:space="preserve"> </w:t>
      </w:r>
      <w:r>
        <w:t>otras</w:t>
      </w:r>
      <w:r>
        <w:rPr>
          <w:spacing w:val="17"/>
        </w:rPr>
        <w:t xml:space="preserve"> </w:t>
      </w:r>
      <w:r>
        <w:t>disposiciones.</w:t>
      </w:r>
    </w:p>
    <w:p w14:paraId="778E3924" w14:textId="77777777" w:rsidR="00FE4557" w:rsidRDefault="00FE4557">
      <w:pPr>
        <w:pStyle w:val="TableParagraph"/>
        <w:numPr>
          <w:ilvl w:val="0"/>
          <w:numId w:val="16"/>
        </w:numPr>
        <w:tabs>
          <w:tab w:val="left" w:pos="742"/>
          <w:tab w:val="left" w:pos="743"/>
        </w:tabs>
        <w:ind w:right="47"/>
        <w:jc w:val="both"/>
      </w:pPr>
      <w:r>
        <w:t>Ley 1150 de 2007, por la cual se introducen medidas para la eficiencia y la transparencia en la Ley 80</w:t>
      </w:r>
      <w:r>
        <w:rPr>
          <w:spacing w:val="-59"/>
        </w:rPr>
        <w:t xml:space="preserve"> </w:t>
      </w:r>
      <w:r>
        <w:t>de</w:t>
      </w:r>
      <w:r>
        <w:rPr>
          <w:spacing w:val="-2"/>
        </w:rPr>
        <w:t xml:space="preserve"> </w:t>
      </w:r>
      <w:r>
        <w:t>1993</w:t>
      </w:r>
      <w:r>
        <w:rPr>
          <w:spacing w:val="-1"/>
        </w:rPr>
        <w:t xml:space="preserve"> </w:t>
      </w:r>
      <w:r>
        <w:t>y</w:t>
      </w:r>
      <w:r>
        <w:rPr>
          <w:spacing w:val="-5"/>
        </w:rPr>
        <w:t xml:space="preserve"> </w:t>
      </w:r>
      <w:r>
        <w:t>se</w:t>
      </w:r>
      <w:r>
        <w:rPr>
          <w:spacing w:val="-2"/>
        </w:rPr>
        <w:t xml:space="preserve"> </w:t>
      </w:r>
      <w:r>
        <w:t>dictan</w:t>
      </w:r>
      <w:r>
        <w:rPr>
          <w:spacing w:val="-1"/>
        </w:rPr>
        <w:t xml:space="preserve"> </w:t>
      </w:r>
      <w:r>
        <w:t>disposiciones</w:t>
      </w:r>
      <w:r>
        <w:rPr>
          <w:spacing w:val="-1"/>
        </w:rPr>
        <w:t xml:space="preserve"> </w:t>
      </w:r>
      <w:r>
        <w:t>generales</w:t>
      </w:r>
      <w:r>
        <w:rPr>
          <w:spacing w:val="-2"/>
        </w:rPr>
        <w:t xml:space="preserve"> </w:t>
      </w:r>
      <w:r>
        <w:t>sobre</w:t>
      </w:r>
      <w:r>
        <w:rPr>
          <w:spacing w:val="-1"/>
        </w:rPr>
        <w:t xml:space="preserve"> </w:t>
      </w:r>
      <w:r>
        <w:t>la</w:t>
      </w:r>
      <w:r>
        <w:rPr>
          <w:spacing w:val="-1"/>
        </w:rPr>
        <w:t xml:space="preserve"> </w:t>
      </w:r>
      <w:r>
        <w:t>contratación</w:t>
      </w:r>
      <w:r>
        <w:rPr>
          <w:spacing w:val="-2"/>
        </w:rPr>
        <w:t xml:space="preserve"> </w:t>
      </w:r>
      <w:r>
        <w:t>con</w:t>
      </w:r>
      <w:r>
        <w:rPr>
          <w:spacing w:val="-1"/>
        </w:rPr>
        <w:t xml:space="preserve"> </w:t>
      </w:r>
      <w:r>
        <w:t>recursos</w:t>
      </w:r>
      <w:r>
        <w:rPr>
          <w:spacing w:val="-1"/>
        </w:rPr>
        <w:t xml:space="preserve"> </w:t>
      </w:r>
      <w:r>
        <w:t>públicos.</w:t>
      </w:r>
    </w:p>
    <w:p w14:paraId="263309A6" w14:textId="77777777" w:rsidR="00FE4557" w:rsidRDefault="00FE4557">
      <w:pPr>
        <w:pStyle w:val="TableParagraph"/>
        <w:numPr>
          <w:ilvl w:val="0"/>
          <w:numId w:val="16"/>
        </w:numPr>
        <w:tabs>
          <w:tab w:val="left" w:pos="742"/>
          <w:tab w:val="left" w:pos="743"/>
        </w:tabs>
        <w:spacing w:line="251" w:lineRule="exact"/>
        <w:ind w:hanging="361"/>
        <w:jc w:val="both"/>
      </w:pPr>
      <w:r>
        <w:t>decreto</w:t>
      </w:r>
      <w:r>
        <w:rPr>
          <w:spacing w:val="-2"/>
        </w:rPr>
        <w:t xml:space="preserve"> </w:t>
      </w:r>
      <w:r>
        <w:t>1082</w:t>
      </w:r>
      <w:r>
        <w:rPr>
          <w:spacing w:val="-1"/>
        </w:rPr>
        <w:t xml:space="preserve"> </w:t>
      </w:r>
      <w:r>
        <w:t>de</w:t>
      </w:r>
      <w:r>
        <w:rPr>
          <w:spacing w:val="-4"/>
        </w:rPr>
        <w:t xml:space="preserve"> </w:t>
      </w:r>
      <w:r>
        <w:t>2015,</w:t>
      </w:r>
      <w:r>
        <w:rPr>
          <w:spacing w:val="-4"/>
        </w:rPr>
        <w:t xml:space="preserve"> </w:t>
      </w:r>
      <w:r>
        <w:t>por</w:t>
      </w:r>
      <w:r>
        <w:rPr>
          <w:spacing w:val="-4"/>
        </w:rPr>
        <w:t xml:space="preserve"> </w:t>
      </w:r>
      <w:r>
        <w:t>el</w:t>
      </w:r>
      <w:r>
        <w:rPr>
          <w:spacing w:val="-7"/>
        </w:rPr>
        <w:t xml:space="preserve"> </w:t>
      </w:r>
      <w:r>
        <w:t>cual</w:t>
      </w:r>
      <w:r>
        <w:rPr>
          <w:spacing w:val="-7"/>
        </w:rPr>
        <w:t xml:space="preserve"> </w:t>
      </w:r>
      <w:r>
        <w:t>se</w:t>
      </w:r>
      <w:r>
        <w:rPr>
          <w:spacing w:val="-1"/>
        </w:rPr>
        <w:t xml:space="preserve"> </w:t>
      </w:r>
      <w:r>
        <w:t>reglamenta</w:t>
      </w:r>
      <w:r>
        <w:rPr>
          <w:spacing w:val="-1"/>
        </w:rPr>
        <w:t xml:space="preserve"> </w:t>
      </w:r>
      <w:r>
        <w:t>el</w:t>
      </w:r>
      <w:r>
        <w:rPr>
          <w:spacing w:val="-7"/>
        </w:rPr>
        <w:t xml:space="preserve"> </w:t>
      </w:r>
      <w:r>
        <w:t>sistema</w:t>
      </w:r>
      <w:r>
        <w:rPr>
          <w:spacing w:val="-1"/>
        </w:rPr>
        <w:t xml:space="preserve"> </w:t>
      </w:r>
      <w:r>
        <w:t>de</w:t>
      </w:r>
      <w:r>
        <w:rPr>
          <w:spacing w:val="-1"/>
        </w:rPr>
        <w:t xml:space="preserve"> </w:t>
      </w:r>
      <w:r>
        <w:t>compras</w:t>
      </w:r>
      <w:r>
        <w:rPr>
          <w:spacing w:val="-1"/>
        </w:rPr>
        <w:t xml:space="preserve"> </w:t>
      </w:r>
      <w:r>
        <w:t>y</w:t>
      </w:r>
      <w:r>
        <w:rPr>
          <w:spacing w:val="-5"/>
        </w:rPr>
        <w:t xml:space="preserve"> </w:t>
      </w:r>
      <w:r>
        <w:t>contratación</w:t>
      </w:r>
      <w:r>
        <w:rPr>
          <w:spacing w:val="-1"/>
        </w:rPr>
        <w:t xml:space="preserve"> </w:t>
      </w:r>
      <w:r>
        <w:t>pública.</w:t>
      </w:r>
    </w:p>
    <w:p w14:paraId="0F05EA9E" w14:textId="77777777" w:rsidR="00FE4557" w:rsidRDefault="00FE4557">
      <w:pPr>
        <w:pStyle w:val="TableParagraph"/>
        <w:numPr>
          <w:ilvl w:val="0"/>
          <w:numId w:val="16"/>
        </w:numPr>
        <w:tabs>
          <w:tab w:val="left" w:pos="742"/>
          <w:tab w:val="left" w:pos="743"/>
        </w:tabs>
        <w:spacing w:line="252" w:lineRule="exact"/>
        <w:ind w:hanging="361"/>
        <w:jc w:val="both"/>
      </w:pPr>
      <w:r>
        <w:t>Estatuto</w:t>
      </w:r>
      <w:r>
        <w:rPr>
          <w:spacing w:val="-6"/>
        </w:rPr>
        <w:t xml:space="preserve"> </w:t>
      </w:r>
      <w:r>
        <w:t>Tributario.</w:t>
      </w:r>
    </w:p>
    <w:p w14:paraId="7106638C" w14:textId="77777777" w:rsidR="00FE4557" w:rsidRDefault="00FE4557">
      <w:pPr>
        <w:pStyle w:val="TableParagraph"/>
        <w:numPr>
          <w:ilvl w:val="0"/>
          <w:numId w:val="16"/>
        </w:numPr>
        <w:tabs>
          <w:tab w:val="left" w:pos="742"/>
          <w:tab w:val="left" w:pos="743"/>
        </w:tabs>
        <w:spacing w:before="3" w:line="252" w:lineRule="exact"/>
        <w:ind w:hanging="361"/>
        <w:jc w:val="both"/>
      </w:pPr>
      <w:r>
        <w:t>Decreto</w:t>
      </w:r>
      <w:r>
        <w:rPr>
          <w:spacing w:val="-5"/>
        </w:rPr>
        <w:t xml:space="preserve"> </w:t>
      </w:r>
      <w:r>
        <w:t>4927 de 2011:</w:t>
      </w:r>
      <w:r>
        <w:rPr>
          <w:spacing w:val="-3"/>
        </w:rPr>
        <w:t xml:space="preserve"> </w:t>
      </w:r>
      <w:r>
        <w:t>Por</w:t>
      </w:r>
      <w:r>
        <w:rPr>
          <w:spacing w:val="-4"/>
        </w:rPr>
        <w:t xml:space="preserve"> </w:t>
      </w:r>
      <w:r>
        <w:t>el</w:t>
      </w:r>
      <w:r>
        <w:rPr>
          <w:spacing w:val="-6"/>
        </w:rPr>
        <w:t xml:space="preserve"> </w:t>
      </w:r>
      <w:r>
        <w:t>cual</w:t>
      </w:r>
      <w:r>
        <w:rPr>
          <w:spacing w:val="-6"/>
        </w:rPr>
        <w:t xml:space="preserve"> </w:t>
      </w:r>
      <w:r>
        <w:t>se adopta</w:t>
      </w:r>
      <w:r>
        <w:rPr>
          <w:spacing w:val="-1"/>
        </w:rPr>
        <w:t xml:space="preserve"> </w:t>
      </w:r>
      <w:r>
        <w:t>el</w:t>
      </w:r>
      <w:r>
        <w:rPr>
          <w:spacing w:val="-1"/>
        </w:rPr>
        <w:t xml:space="preserve"> </w:t>
      </w:r>
      <w:r>
        <w:t>arancel</w:t>
      </w:r>
      <w:r>
        <w:rPr>
          <w:spacing w:val="-6"/>
        </w:rPr>
        <w:t xml:space="preserve"> </w:t>
      </w:r>
      <w:r>
        <w:t>de aduanas</w:t>
      </w:r>
      <w:r>
        <w:rPr>
          <w:spacing w:val="-1"/>
        </w:rPr>
        <w:t xml:space="preserve"> </w:t>
      </w:r>
      <w:r>
        <w:t>y</w:t>
      </w:r>
      <w:r>
        <w:rPr>
          <w:spacing w:val="-4"/>
        </w:rPr>
        <w:t xml:space="preserve"> </w:t>
      </w:r>
      <w:r>
        <w:t>otras disposiciones.</w:t>
      </w:r>
    </w:p>
    <w:p w14:paraId="1D25DBE3" w14:textId="77777777" w:rsidR="00FE4557" w:rsidRDefault="00FE4557">
      <w:pPr>
        <w:pStyle w:val="TableParagraph"/>
        <w:numPr>
          <w:ilvl w:val="0"/>
          <w:numId w:val="16"/>
        </w:numPr>
        <w:tabs>
          <w:tab w:val="left" w:pos="742"/>
          <w:tab w:val="left" w:pos="743"/>
        </w:tabs>
        <w:spacing w:line="252" w:lineRule="exact"/>
        <w:ind w:hanging="361"/>
        <w:jc w:val="both"/>
      </w:pPr>
      <w:r>
        <w:t>Decreto</w:t>
      </w:r>
      <w:r>
        <w:rPr>
          <w:spacing w:val="-5"/>
        </w:rPr>
        <w:t xml:space="preserve"> </w:t>
      </w:r>
      <w:r>
        <w:t>1755 del</w:t>
      </w:r>
      <w:r>
        <w:rPr>
          <w:spacing w:val="-6"/>
        </w:rPr>
        <w:t xml:space="preserve"> </w:t>
      </w:r>
      <w:r>
        <w:t>15 de</w:t>
      </w:r>
      <w:r>
        <w:rPr>
          <w:spacing w:val="-1"/>
        </w:rPr>
        <w:t xml:space="preserve"> </w:t>
      </w:r>
      <w:r>
        <w:t>agosto de 2013,</w:t>
      </w:r>
      <w:r>
        <w:rPr>
          <w:spacing w:val="-3"/>
        </w:rPr>
        <w:t xml:space="preserve"> </w:t>
      </w:r>
      <w:r>
        <w:t>por</w:t>
      </w:r>
      <w:r>
        <w:rPr>
          <w:spacing w:val="-3"/>
        </w:rPr>
        <w:t xml:space="preserve"> </w:t>
      </w:r>
      <w:r>
        <w:t>el</w:t>
      </w:r>
      <w:r>
        <w:rPr>
          <w:spacing w:val="-7"/>
        </w:rPr>
        <w:t xml:space="preserve"> </w:t>
      </w:r>
      <w:r>
        <w:t>cual</w:t>
      </w:r>
      <w:r>
        <w:rPr>
          <w:spacing w:val="-6"/>
        </w:rPr>
        <w:t xml:space="preserve"> </w:t>
      </w:r>
      <w:r>
        <w:t>se modifica parcialmente</w:t>
      </w:r>
      <w:r>
        <w:rPr>
          <w:spacing w:val="-1"/>
        </w:rPr>
        <w:t xml:space="preserve"> </w:t>
      </w:r>
      <w:r>
        <w:t>el</w:t>
      </w:r>
      <w:r>
        <w:rPr>
          <w:spacing w:val="-6"/>
        </w:rPr>
        <w:t xml:space="preserve"> </w:t>
      </w:r>
      <w:r>
        <w:t>arancel</w:t>
      </w:r>
      <w:r>
        <w:rPr>
          <w:spacing w:val="-6"/>
        </w:rPr>
        <w:t xml:space="preserve"> </w:t>
      </w:r>
      <w:r>
        <w:t>de aduanas.</w:t>
      </w:r>
    </w:p>
    <w:p w14:paraId="507147D7" w14:textId="77777777" w:rsidR="00FE4557" w:rsidRDefault="00FE4557">
      <w:pPr>
        <w:pStyle w:val="TableParagraph"/>
        <w:numPr>
          <w:ilvl w:val="0"/>
          <w:numId w:val="16"/>
        </w:numPr>
        <w:tabs>
          <w:tab w:val="left" w:pos="742"/>
          <w:tab w:val="left" w:pos="743"/>
        </w:tabs>
        <w:spacing w:line="252" w:lineRule="exact"/>
        <w:ind w:hanging="361"/>
        <w:jc w:val="both"/>
      </w:pPr>
      <w:r>
        <w:t>Ley</w:t>
      </w:r>
      <w:r>
        <w:rPr>
          <w:spacing w:val="-5"/>
        </w:rPr>
        <w:t xml:space="preserve"> </w:t>
      </w:r>
      <w:r>
        <w:t>734</w:t>
      </w:r>
      <w:r>
        <w:rPr>
          <w:spacing w:val="-1"/>
        </w:rPr>
        <w:t xml:space="preserve"> </w:t>
      </w:r>
      <w:r>
        <w:t>de</w:t>
      </w:r>
      <w:r>
        <w:rPr>
          <w:spacing w:val="-1"/>
        </w:rPr>
        <w:t xml:space="preserve"> </w:t>
      </w:r>
      <w:r>
        <w:t>2002.</w:t>
      </w:r>
      <w:r>
        <w:rPr>
          <w:spacing w:val="-2"/>
        </w:rPr>
        <w:t xml:space="preserve"> </w:t>
      </w:r>
      <w:r>
        <w:t>-</w:t>
      </w:r>
      <w:r>
        <w:rPr>
          <w:spacing w:val="-3"/>
        </w:rPr>
        <w:t xml:space="preserve"> </w:t>
      </w:r>
      <w:r>
        <w:t>Por</w:t>
      </w:r>
      <w:r>
        <w:rPr>
          <w:spacing w:val="-4"/>
        </w:rPr>
        <w:t xml:space="preserve"> </w:t>
      </w:r>
      <w:r>
        <w:t>la</w:t>
      </w:r>
      <w:r>
        <w:rPr>
          <w:spacing w:val="-1"/>
        </w:rPr>
        <w:t xml:space="preserve"> </w:t>
      </w:r>
      <w:r>
        <w:t>cual</w:t>
      </w:r>
      <w:r>
        <w:rPr>
          <w:spacing w:val="-7"/>
        </w:rPr>
        <w:t xml:space="preserve"> </w:t>
      </w:r>
      <w:r>
        <w:t>se expide</w:t>
      </w:r>
      <w:r>
        <w:rPr>
          <w:spacing w:val="3"/>
        </w:rPr>
        <w:t xml:space="preserve"> </w:t>
      </w:r>
      <w:r>
        <w:t>el</w:t>
      </w:r>
      <w:r>
        <w:rPr>
          <w:spacing w:val="-7"/>
        </w:rPr>
        <w:t xml:space="preserve"> </w:t>
      </w:r>
      <w:r>
        <w:t>Código</w:t>
      </w:r>
      <w:r>
        <w:rPr>
          <w:spacing w:val="-1"/>
        </w:rPr>
        <w:t xml:space="preserve"> </w:t>
      </w:r>
      <w:r>
        <w:t>Disciplinario</w:t>
      </w:r>
      <w:r>
        <w:rPr>
          <w:spacing w:val="-1"/>
        </w:rPr>
        <w:t xml:space="preserve"> </w:t>
      </w:r>
      <w:r>
        <w:t>Único.</w:t>
      </w:r>
    </w:p>
    <w:p w14:paraId="24DDDBAC" w14:textId="77777777" w:rsidR="00FE4557" w:rsidRDefault="00FE4557">
      <w:pPr>
        <w:pStyle w:val="TableParagraph"/>
        <w:numPr>
          <w:ilvl w:val="0"/>
          <w:numId w:val="16"/>
        </w:numPr>
        <w:tabs>
          <w:tab w:val="left" w:pos="742"/>
          <w:tab w:val="left" w:pos="743"/>
        </w:tabs>
        <w:spacing w:line="252" w:lineRule="exact"/>
        <w:ind w:hanging="361"/>
        <w:jc w:val="both"/>
      </w:pPr>
      <w:r>
        <w:t>Ley</w:t>
      </w:r>
      <w:r>
        <w:rPr>
          <w:spacing w:val="-6"/>
        </w:rPr>
        <w:t xml:space="preserve"> </w:t>
      </w:r>
      <w:r>
        <w:t>1474</w:t>
      </w:r>
      <w:r>
        <w:rPr>
          <w:spacing w:val="-1"/>
        </w:rPr>
        <w:t xml:space="preserve"> </w:t>
      </w:r>
      <w:r>
        <w:t>del</w:t>
      </w:r>
      <w:r>
        <w:rPr>
          <w:spacing w:val="-7"/>
        </w:rPr>
        <w:t xml:space="preserve"> </w:t>
      </w:r>
      <w:r>
        <w:t>12</w:t>
      </w:r>
      <w:r>
        <w:rPr>
          <w:spacing w:val="-1"/>
        </w:rPr>
        <w:t xml:space="preserve"> </w:t>
      </w:r>
      <w:r>
        <w:t>de</w:t>
      </w:r>
      <w:r>
        <w:rPr>
          <w:spacing w:val="-6"/>
        </w:rPr>
        <w:t xml:space="preserve"> </w:t>
      </w:r>
      <w:r>
        <w:t>julio</w:t>
      </w:r>
      <w:r>
        <w:rPr>
          <w:spacing w:val="-1"/>
        </w:rPr>
        <w:t xml:space="preserve"> </w:t>
      </w:r>
      <w:r>
        <w:t>de</w:t>
      </w:r>
      <w:r>
        <w:rPr>
          <w:spacing w:val="-1"/>
        </w:rPr>
        <w:t xml:space="preserve"> </w:t>
      </w:r>
      <w:r>
        <w:t>2011,</w:t>
      </w:r>
      <w:r>
        <w:rPr>
          <w:spacing w:val="-4"/>
        </w:rPr>
        <w:t xml:space="preserve"> </w:t>
      </w:r>
      <w:r>
        <w:t>Medidas</w:t>
      </w:r>
      <w:r>
        <w:rPr>
          <w:spacing w:val="-2"/>
        </w:rPr>
        <w:t xml:space="preserve"> </w:t>
      </w:r>
      <w:r>
        <w:t>administrativas</w:t>
      </w:r>
      <w:r>
        <w:rPr>
          <w:spacing w:val="-5"/>
        </w:rPr>
        <w:t xml:space="preserve"> </w:t>
      </w:r>
      <w:r>
        <w:t>anticorrupción.</w:t>
      </w:r>
    </w:p>
    <w:p w14:paraId="6E4123C8" w14:textId="77777777" w:rsidR="00FE4557" w:rsidRDefault="00FE4557">
      <w:pPr>
        <w:pStyle w:val="TableParagraph"/>
        <w:numPr>
          <w:ilvl w:val="0"/>
          <w:numId w:val="16"/>
        </w:numPr>
        <w:tabs>
          <w:tab w:val="left" w:pos="742"/>
          <w:tab w:val="left" w:pos="743"/>
        </w:tabs>
        <w:spacing w:before="3"/>
        <w:ind w:right="39"/>
        <w:jc w:val="both"/>
      </w:pPr>
      <w:r>
        <w:rPr>
          <w:spacing w:val="-2"/>
        </w:rPr>
        <w:t>Acuerdo</w:t>
      </w:r>
      <w:r>
        <w:rPr>
          <w:spacing w:val="-7"/>
        </w:rPr>
        <w:t xml:space="preserve"> </w:t>
      </w:r>
      <w:r>
        <w:rPr>
          <w:spacing w:val="-2"/>
        </w:rPr>
        <w:t>PSAA14-10160</w:t>
      </w:r>
      <w:r>
        <w:rPr>
          <w:spacing w:val="-11"/>
        </w:rPr>
        <w:t xml:space="preserve"> </w:t>
      </w:r>
      <w:r>
        <w:rPr>
          <w:spacing w:val="-1"/>
        </w:rPr>
        <w:t>del</w:t>
      </w:r>
      <w:r>
        <w:rPr>
          <w:spacing w:val="-12"/>
        </w:rPr>
        <w:t xml:space="preserve"> </w:t>
      </w:r>
      <w:r>
        <w:rPr>
          <w:spacing w:val="-1"/>
        </w:rPr>
        <w:t>12</w:t>
      </w:r>
      <w:r>
        <w:rPr>
          <w:spacing w:val="-6"/>
        </w:rPr>
        <w:t xml:space="preserve"> </w:t>
      </w:r>
      <w:r>
        <w:rPr>
          <w:spacing w:val="-1"/>
        </w:rPr>
        <w:t>de</w:t>
      </w:r>
      <w:r>
        <w:rPr>
          <w:spacing w:val="-11"/>
        </w:rPr>
        <w:t xml:space="preserve"> </w:t>
      </w:r>
      <w:r>
        <w:rPr>
          <w:spacing w:val="-1"/>
        </w:rPr>
        <w:t>junio</w:t>
      </w:r>
      <w:r>
        <w:rPr>
          <w:spacing w:val="-7"/>
        </w:rPr>
        <w:t xml:space="preserve"> </w:t>
      </w:r>
      <w:r>
        <w:rPr>
          <w:spacing w:val="-1"/>
        </w:rPr>
        <w:t>de</w:t>
      </w:r>
      <w:r>
        <w:rPr>
          <w:spacing w:val="-14"/>
        </w:rPr>
        <w:t xml:space="preserve"> </w:t>
      </w:r>
      <w:r>
        <w:rPr>
          <w:spacing w:val="-1"/>
        </w:rPr>
        <w:t>2014,</w:t>
      </w:r>
      <w:r>
        <w:rPr>
          <w:spacing w:val="-9"/>
        </w:rPr>
        <w:t xml:space="preserve"> </w:t>
      </w:r>
      <w:r>
        <w:rPr>
          <w:spacing w:val="-1"/>
        </w:rPr>
        <w:t>“</w:t>
      </w:r>
      <w:r>
        <w:rPr>
          <w:i/>
          <w:spacing w:val="-1"/>
        </w:rPr>
        <w:t>Por</w:t>
      </w:r>
      <w:r>
        <w:rPr>
          <w:i/>
          <w:spacing w:val="-14"/>
        </w:rPr>
        <w:t xml:space="preserve"> </w:t>
      </w:r>
      <w:r>
        <w:rPr>
          <w:i/>
          <w:spacing w:val="-1"/>
        </w:rPr>
        <w:t>el</w:t>
      </w:r>
      <w:r>
        <w:rPr>
          <w:i/>
          <w:spacing w:val="-13"/>
        </w:rPr>
        <w:t xml:space="preserve"> </w:t>
      </w:r>
      <w:r>
        <w:rPr>
          <w:i/>
          <w:spacing w:val="-1"/>
        </w:rPr>
        <w:t>cual</w:t>
      </w:r>
      <w:r>
        <w:rPr>
          <w:i/>
          <w:spacing w:val="-13"/>
        </w:rPr>
        <w:t xml:space="preserve"> </w:t>
      </w:r>
      <w:r>
        <w:rPr>
          <w:i/>
          <w:spacing w:val="-1"/>
        </w:rPr>
        <w:t>se</w:t>
      </w:r>
      <w:r>
        <w:rPr>
          <w:i/>
          <w:spacing w:val="-11"/>
        </w:rPr>
        <w:t xml:space="preserve"> </w:t>
      </w:r>
      <w:r>
        <w:rPr>
          <w:i/>
          <w:spacing w:val="-1"/>
        </w:rPr>
        <w:t>adopta</w:t>
      </w:r>
      <w:r>
        <w:rPr>
          <w:i/>
          <w:spacing w:val="-6"/>
        </w:rPr>
        <w:t xml:space="preserve"> </w:t>
      </w:r>
      <w:r>
        <w:rPr>
          <w:i/>
          <w:spacing w:val="-1"/>
        </w:rPr>
        <w:t>el</w:t>
      </w:r>
      <w:r>
        <w:rPr>
          <w:i/>
          <w:spacing w:val="-9"/>
        </w:rPr>
        <w:t xml:space="preserve"> </w:t>
      </w:r>
      <w:r>
        <w:rPr>
          <w:i/>
          <w:spacing w:val="-1"/>
        </w:rPr>
        <w:t>Plan</w:t>
      </w:r>
      <w:r>
        <w:rPr>
          <w:i/>
          <w:spacing w:val="-10"/>
        </w:rPr>
        <w:t xml:space="preserve"> </w:t>
      </w:r>
      <w:r>
        <w:rPr>
          <w:i/>
          <w:spacing w:val="-1"/>
        </w:rPr>
        <w:t>de</w:t>
      </w:r>
      <w:r>
        <w:rPr>
          <w:i/>
          <w:spacing w:val="-7"/>
        </w:rPr>
        <w:t xml:space="preserve"> </w:t>
      </w:r>
      <w:r>
        <w:rPr>
          <w:i/>
          <w:spacing w:val="-1"/>
        </w:rPr>
        <w:t>Gestión</w:t>
      </w:r>
      <w:r>
        <w:rPr>
          <w:i/>
          <w:spacing w:val="-10"/>
        </w:rPr>
        <w:t xml:space="preserve"> </w:t>
      </w:r>
      <w:r>
        <w:rPr>
          <w:i/>
          <w:spacing w:val="-1"/>
        </w:rPr>
        <w:t>Ambiental</w:t>
      </w:r>
      <w:r>
        <w:rPr>
          <w:i/>
          <w:spacing w:val="-9"/>
        </w:rPr>
        <w:t xml:space="preserve"> </w:t>
      </w:r>
      <w:r>
        <w:rPr>
          <w:i/>
          <w:spacing w:val="-1"/>
        </w:rPr>
        <w:t>de</w:t>
      </w:r>
      <w:r>
        <w:rPr>
          <w:i/>
          <w:spacing w:val="-58"/>
        </w:rPr>
        <w:t xml:space="preserve"> </w:t>
      </w:r>
      <w:r>
        <w:rPr>
          <w:i/>
        </w:rPr>
        <w:t>la</w:t>
      </w:r>
      <w:r>
        <w:rPr>
          <w:i/>
          <w:spacing w:val="-5"/>
        </w:rPr>
        <w:t xml:space="preserve"> </w:t>
      </w:r>
      <w:r>
        <w:rPr>
          <w:i/>
        </w:rPr>
        <w:t>Rama</w:t>
      </w:r>
      <w:r>
        <w:rPr>
          <w:i/>
          <w:spacing w:val="-8"/>
        </w:rPr>
        <w:t xml:space="preserve"> </w:t>
      </w:r>
      <w:r>
        <w:rPr>
          <w:i/>
        </w:rPr>
        <w:t>Judicial</w:t>
      </w:r>
      <w:r>
        <w:t>”.</w:t>
      </w:r>
    </w:p>
    <w:p w14:paraId="1E8448E2" w14:textId="5263390A" w:rsidR="00FE4557" w:rsidRDefault="00FE4557">
      <w:pPr>
        <w:pStyle w:val="TableParagraph"/>
        <w:numPr>
          <w:ilvl w:val="0"/>
          <w:numId w:val="16"/>
        </w:numPr>
        <w:tabs>
          <w:tab w:val="left" w:pos="742"/>
          <w:tab w:val="left" w:pos="743"/>
        </w:tabs>
        <w:spacing w:line="251" w:lineRule="exact"/>
        <w:ind w:hanging="361"/>
        <w:jc w:val="both"/>
      </w:pPr>
      <w:r>
        <w:t>Acuerdo</w:t>
      </w:r>
      <w:r>
        <w:rPr>
          <w:spacing w:val="8"/>
        </w:rPr>
        <w:t xml:space="preserve"> </w:t>
      </w:r>
      <w:r>
        <w:t>PCSJA21-11760</w:t>
      </w:r>
      <w:r>
        <w:rPr>
          <w:spacing w:val="8"/>
        </w:rPr>
        <w:t xml:space="preserve"> </w:t>
      </w:r>
      <w:r>
        <w:t>del</w:t>
      </w:r>
      <w:r>
        <w:rPr>
          <w:spacing w:val="1"/>
        </w:rPr>
        <w:t xml:space="preserve"> </w:t>
      </w:r>
      <w:r>
        <w:t>4</w:t>
      </w:r>
      <w:r>
        <w:rPr>
          <w:spacing w:val="8"/>
        </w:rPr>
        <w:t xml:space="preserve"> </w:t>
      </w:r>
      <w:r>
        <w:t>de</w:t>
      </w:r>
      <w:r>
        <w:rPr>
          <w:spacing w:val="8"/>
        </w:rPr>
        <w:t xml:space="preserve"> </w:t>
      </w:r>
      <w:r>
        <w:t>marzo</w:t>
      </w:r>
      <w:r>
        <w:rPr>
          <w:spacing w:val="4"/>
        </w:rPr>
        <w:t xml:space="preserve"> </w:t>
      </w:r>
      <w:r>
        <w:t>de</w:t>
      </w:r>
      <w:r>
        <w:rPr>
          <w:spacing w:val="8"/>
        </w:rPr>
        <w:t xml:space="preserve"> </w:t>
      </w:r>
      <w:r>
        <w:t>2021,</w:t>
      </w:r>
      <w:r>
        <w:rPr>
          <w:spacing w:val="5"/>
        </w:rPr>
        <w:t xml:space="preserve"> </w:t>
      </w:r>
      <w:r>
        <w:t>“por</w:t>
      </w:r>
      <w:r>
        <w:rPr>
          <w:spacing w:val="5"/>
        </w:rPr>
        <w:t xml:space="preserve"> </w:t>
      </w:r>
      <w:r>
        <w:t>medio</w:t>
      </w:r>
      <w:r>
        <w:rPr>
          <w:spacing w:val="8"/>
        </w:rPr>
        <w:t xml:space="preserve"> </w:t>
      </w:r>
      <w:r>
        <w:t>del</w:t>
      </w:r>
      <w:r>
        <w:rPr>
          <w:spacing w:val="9"/>
        </w:rPr>
        <w:t xml:space="preserve"> </w:t>
      </w:r>
      <w:r>
        <w:t>cual</w:t>
      </w:r>
      <w:r>
        <w:rPr>
          <w:spacing w:val="1"/>
        </w:rPr>
        <w:t xml:space="preserve"> </w:t>
      </w:r>
      <w:r>
        <w:t>se</w:t>
      </w:r>
      <w:r>
        <w:rPr>
          <w:spacing w:val="8"/>
        </w:rPr>
        <w:t xml:space="preserve"> </w:t>
      </w:r>
      <w:r>
        <w:t>expide</w:t>
      </w:r>
      <w:r>
        <w:rPr>
          <w:spacing w:val="8"/>
        </w:rPr>
        <w:t xml:space="preserve"> </w:t>
      </w:r>
      <w:r>
        <w:t>y</w:t>
      </w:r>
      <w:r>
        <w:rPr>
          <w:spacing w:val="4"/>
        </w:rPr>
        <w:t xml:space="preserve"> </w:t>
      </w:r>
      <w:r>
        <w:t>se</w:t>
      </w:r>
      <w:r>
        <w:rPr>
          <w:spacing w:val="8"/>
        </w:rPr>
        <w:t xml:space="preserve"> </w:t>
      </w:r>
      <w:r>
        <w:t>adopta</w:t>
      </w:r>
      <w:r>
        <w:rPr>
          <w:spacing w:val="8"/>
        </w:rPr>
        <w:t xml:space="preserve"> </w:t>
      </w:r>
      <w:r>
        <w:t>el</w:t>
      </w:r>
      <w:r>
        <w:rPr>
          <w:spacing w:val="1"/>
        </w:rPr>
        <w:t xml:space="preserve"> </w:t>
      </w:r>
      <w:r>
        <w:t>Plan Anticorrupción</w:t>
      </w:r>
      <w:r w:rsidRPr="00FE4557">
        <w:rPr>
          <w:spacing w:val="-2"/>
        </w:rPr>
        <w:t xml:space="preserve"> </w:t>
      </w:r>
      <w:r>
        <w:t>y</w:t>
      </w:r>
      <w:r w:rsidRPr="00FE4557">
        <w:rPr>
          <w:spacing w:val="-5"/>
        </w:rPr>
        <w:t xml:space="preserve"> </w:t>
      </w:r>
      <w:r>
        <w:t>de</w:t>
      </w:r>
      <w:r w:rsidRPr="00FE4557">
        <w:rPr>
          <w:spacing w:val="-2"/>
        </w:rPr>
        <w:t xml:space="preserve"> </w:t>
      </w:r>
      <w:r>
        <w:t>Atención</w:t>
      </w:r>
      <w:r w:rsidRPr="00FE4557">
        <w:rPr>
          <w:spacing w:val="-1"/>
        </w:rPr>
        <w:t xml:space="preserve"> </w:t>
      </w:r>
      <w:r>
        <w:t>al</w:t>
      </w:r>
      <w:r w:rsidRPr="00FE4557">
        <w:rPr>
          <w:spacing w:val="-8"/>
        </w:rPr>
        <w:t xml:space="preserve"> </w:t>
      </w:r>
      <w:r>
        <w:t>Ciudadano</w:t>
      </w:r>
      <w:r w:rsidRPr="00FE4557">
        <w:rPr>
          <w:spacing w:val="-1"/>
        </w:rPr>
        <w:t xml:space="preserve"> </w:t>
      </w:r>
      <w:r>
        <w:t>de</w:t>
      </w:r>
      <w:r w:rsidRPr="00FE4557">
        <w:rPr>
          <w:spacing w:val="-1"/>
        </w:rPr>
        <w:t xml:space="preserve"> </w:t>
      </w:r>
      <w:r>
        <w:t>la</w:t>
      </w:r>
      <w:r w:rsidRPr="00FE4557">
        <w:rPr>
          <w:spacing w:val="-2"/>
        </w:rPr>
        <w:t xml:space="preserve"> </w:t>
      </w:r>
      <w:r>
        <w:t>Rama</w:t>
      </w:r>
      <w:r w:rsidRPr="00FE4557">
        <w:rPr>
          <w:spacing w:val="-1"/>
        </w:rPr>
        <w:t xml:space="preserve"> </w:t>
      </w:r>
      <w:r>
        <w:t>Judicial</w:t>
      </w:r>
      <w:r w:rsidRPr="00FE4557">
        <w:rPr>
          <w:spacing w:val="-8"/>
        </w:rPr>
        <w:t xml:space="preserve"> </w:t>
      </w:r>
      <w:r>
        <w:t>2021”.</w:t>
      </w:r>
    </w:p>
    <w:p w14:paraId="53ECC0FF" w14:textId="77777777" w:rsidR="00FE4557" w:rsidRDefault="00FE4557" w:rsidP="00FE4557">
      <w:pPr>
        <w:pStyle w:val="TableParagraph"/>
        <w:spacing w:before="6"/>
      </w:pPr>
    </w:p>
    <w:p w14:paraId="145E7DA7" w14:textId="3CB4C7A2" w:rsidR="00FE4557" w:rsidRPr="00FE4557" w:rsidRDefault="00FE4557" w:rsidP="00FE4557">
      <w:pPr>
        <w:jc w:val="both"/>
        <w:rPr>
          <w:rFonts w:ascii="Arial" w:hAnsi="Arial" w:cs="Arial"/>
          <w:b/>
          <w:bCs/>
          <w:sz w:val="22"/>
          <w:szCs w:val="22"/>
        </w:rPr>
      </w:pPr>
      <w:r w:rsidRPr="00FE4557">
        <w:rPr>
          <w:rFonts w:ascii="Arial" w:hAnsi="Arial" w:cs="Arial"/>
          <w:sz w:val="22"/>
        </w:rPr>
        <w:t>La aplicación de las anteriores normas será de obligatorio cumplimiento, en la medida que apliquen o regulen</w:t>
      </w:r>
      <w:r w:rsidRPr="00FE4557">
        <w:rPr>
          <w:rFonts w:ascii="Arial" w:hAnsi="Arial" w:cs="Arial"/>
          <w:spacing w:val="-59"/>
          <w:sz w:val="22"/>
        </w:rPr>
        <w:t xml:space="preserve"> </w:t>
      </w:r>
      <w:r w:rsidRPr="00FE4557">
        <w:rPr>
          <w:rFonts w:ascii="Arial" w:hAnsi="Arial" w:cs="Arial"/>
          <w:sz w:val="22"/>
        </w:rPr>
        <w:t>aspectos</w:t>
      </w:r>
      <w:r w:rsidRPr="00FE4557">
        <w:rPr>
          <w:rFonts w:ascii="Arial" w:hAnsi="Arial" w:cs="Arial"/>
          <w:spacing w:val="-3"/>
          <w:sz w:val="22"/>
        </w:rPr>
        <w:t xml:space="preserve"> </w:t>
      </w:r>
      <w:r w:rsidRPr="00FE4557">
        <w:rPr>
          <w:rFonts w:ascii="Arial" w:hAnsi="Arial" w:cs="Arial"/>
          <w:sz w:val="22"/>
        </w:rPr>
        <w:t>del</w:t>
      </w:r>
      <w:r w:rsidRPr="00FE4557">
        <w:rPr>
          <w:rFonts w:ascii="Arial" w:hAnsi="Arial" w:cs="Arial"/>
          <w:spacing w:val="-8"/>
          <w:sz w:val="22"/>
        </w:rPr>
        <w:t xml:space="preserve"> </w:t>
      </w:r>
      <w:r w:rsidRPr="00FE4557">
        <w:rPr>
          <w:rFonts w:ascii="Arial" w:hAnsi="Arial" w:cs="Arial"/>
          <w:sz w:val="22"/>
        </w:rPr>
        <w:t>objeto</w:t>
      </w:r>
      <w:r w:rsidRPr="00FE4557">
        <w:rPr>
          <w:rFonts w:ascii="Arial" w:hAnsi="Arial" w:cs="Arial"/>
          <w:spacing w:val="-2"/>
          <w:sz w:val="22"/>
        </w:rPr>
        <w:t xml:space="preserve"> </w:t>
      </w:r>
      <w:r w:rsidRPr="00FE4557">
        <w:rPr>
          <w:rFonts w:ascii="Arial" w:hAnsi="Arial" w:cs="Arial"/>
          <w:sz w:val="22"/>
        </w:rPr>
        <w:t>y</w:t>
      </w:r>
      <w:r w:rsidRPr="00FE4557">
        <w:rPr>
          <w:rFonts w:ascii="Arial" w:hAnsi="Arial" w:cs="Arial"/>
          <w:spacing w:val="-6"/>
          <w:sz w:val="22"/>
        </w:rPr>
        <w:t xml:space="preserve"> </w:t>
      </w:r>
      <w:r w:rsidRPr="00FE4557">
        <w:rPr>
          <w:rFonts w:ascii="Arial" w:hAnsi="Arial" w:cs="Arial"/>
          <w:sz w:val="22"/>
        </w:rPr>
        <w:t>actividades</w:t>
      </w:r>
      <w:r w:rsidRPr="00FE4557">
        <w:rPr>
          <w:rFonts w:ascii="Arial" w:hAnsi="Arial" w:cs="Arial"/>
          <w:spacing w:val="-6"/>
          <w:sz w:val="22"/>
        </w:rPr>
        <w:t xml:space="preserve"> </w:t>
      </w:r>
      <w:r w:rsidRPr="00FE4557">
        <w:rPr>
          <w:rFonts w:ascii="Arial" w:hAnsi="Arial" w:cs="Arial"/>
          <w:sz w:val="22"/>
        </w:rPr>
        <w:t>contractuales.</w:t>
      </w:r>
      <w:r w:rsidRPr="00FE4557">
        <w:rPr>
          <w:rFonts w:ascii="Arial" w:hAnsi="Arial" w:cs="Arial"/>
          <w:spacing w:val="-5"/>
          <w:sz w:val="22"/>
        </w:rPr>
        <w:t xml:space="preserve"> </w:t>
      </w:r>
      <w:r w:rsidRPr="00FE4557">
        <w:rPr>
          <w:rFonts w:ascii="Arial" w:hAnsi="Arial" w:cs="Arial"/>
          <w:sz w:val="22"/>
        </w:rPr>
        <w:t>Así</w:t>
      </w:r>
      <w:r w:rsidRPr="00FE4557">
        <w:rPr>
          <w:rFonts w:ascii="Arial" w:hAnsi="Arial" w:cs="Arial"/>
          <w:spacing w:val="-9"/>
          <w:sz w:val="22"/>
        </w:rPr>
        <w:t xml:space="preserve"> </w:t>
      </w:r>
      <w:r w:rsidRPr="00FE4557">
        <w:rPr>
          <w:rFonts w:ascii="Arial" w:hAnsi="Arial" w:cs="Arial"/>
          <w:sz w:val="22"/>
        </w:rPr>
        <w:t>mismo</w:t>
      </w:r>
      <w:r w:rsidRPr="00FE4557">
        <w:rPr>
          <w:rFonts w:ascii="Arial" w:hAnsi="Arial" w:cs="Arial"/>
          <w:spacing w:val="-2"/>
          <w:sz w:val="22"/>
        </w:rPr>
        <w:t xml:space="preserve"> </w:t>
      </w:r>
      <w:r w:rsidRPr="00FE4557">
        <w:rPr>
          <w:rFonts w:ascii="Arial" w:hAnsi="Arial" w:cs="Arial"/>
          <w:sz w:val="22"/>
        </w:rPr>
        <w:t>lo</w:t>
      </w:r>
      <w:r w:rsidRPr="00FE4557">
        <w:rPr>
          <w:rFonts w:ascii="Arial" w:hAnsi="Arial" w:cs="Arial"/>
          <w:spacing w:val="-2"/>
          <w:sz w:val="22"/>
        </w:rPr>
        <w:t xml:space="preserve"> </w:t>
      </w:r>
      <w:r w:rsidRPr="00FE4557">
        <w:rPr>
          <w:rFonts w:ascii="Arial" w:hAnsi="Arial" w:cs="Arial"/>
          <w:sz w:val="22"/>
        </w:rPr>
        <w:t>serán</w:t>
      </w:r>
      <w:r w:rsidRPr="00FE4557">
        <w:rPr>
          <w:rFonts w:ascii="Arial" w:hAnsi="Arial" w:cs="Arial"/>
          <w:spacing w:val="-2"/>
          <w:sz w:val="22"/>
        </w:rPr>
        <w:t xml:space="preserve"> </w:t>
      </w:r>
      <w:r w:rsidRPr="00FE4557">
        <w:rPr>
          <w:rFonts w:ascii="Arial" w:hAnsi="Arial" w:cs="Arial"/>
          <w:sz w:val="22"/>
        </w:rPr>
        <w:t>aquellas</w:t>
      </w:r>
      <w:r w:rsidRPr="00FE4557">
        <w:rPr>
          <w:rFonts w:ascii="Arial" w:hAnsi="Arial" w:cs="Arial"/>
          <w:spacing w:val="-2"/>
          <w:sz w:val="22"/>
        </w:rPr>
        <w:t xml:space="preserve"> </w:t>
      </w:r>
      <w:r w:rsidRPr="00FE4557">
        <w:rPr>
          <w:rFonts w:ascii="Arial" w:hAnsi="Arial" w:cs="Arial"/>
          <w:sz w:val="22"/>
        </w:rPr>
        <w:t>que</w:t>
      </w:r>
      <w:r w:rsidRPr="00FE4557">
        <w:rPr>
          <w:rFonts w:ascii="Arial" w:hAnsi="Arial" w:cs="Arial"/>
          <w:spacing w:val="-6"/>
          <w:sz w:val="22"/>
        </w:rPr>
        <w:t xml:space="preserve"> </w:t>
      </w:r>
      <w:r w:rsidRPr="00FE4557">
        <w:rPr>
          <w:rFonts w:ascii="Arial" w:hAnsi="Arial" w:cs="Arial"/>
          <w:sz w:val="22"/>
        </w:rPr>
        <w:t>sin</w:t>
      </w:r>
      <w:r w:rsidRPr="00FE4557">
        <w:rPr>
          <w:rFonts w:ascii="Arial" w:hAnsi="Arial" w:cs="Arial"/>
          <w:spacing w:val="-2"/>
          <w:sz w:val="22"/>
        </w:rPr>
        <w:t xml:space="preserve"> </w:t>
      </w:r>
      <w:r w:rsidRPr="00FE4557">
        <w:rPr>
          <w:rFonts w:ascii="Arial" w:hAnsi="Arial" w:cs="Arial"/>
          <w:sz w:val="22"/>
        </w:rPr>
        <w:t>estar</w:t>
      </w:r>
      <w:r w:rsidRPr="00FE4557">
        <w:rPr>
          <w:rFonts w:ascii="Arial" w:hAnsi="Arial" w:cs="Arial"/>
          <w:spacing w:val="-9"/>
          <w:sz w:val="22"/>
        </w:rPr>
        <w:t xml:space="preserve"> </w:t>
      </w:r>
      <w:r w:rsidRPr="00FE4557">
        <w:rPr>
          <w:rFonts w:ascii="Arial" w:hAnsi="Arial" w:cs="Arial"/>
          <w:sz w:val="22"/>
        </w:rPr>
        <w:t>especificadas</w:t>
      </w:r>
      <w:r w:rsidRPr="00FE4557">
        <w:rPr>
          <w:rFonts w:ascii="Arial" w:hAnsi="Arial" w:cs="Arial"/>
          <w:spacing w:val="-6"/>
          <w:sz w:val="22"/>
        </w:rPr>
        <w:t xml:space="preserve"> </w:t>
      </w:r>
      <w:r w:rsidRPr="00FE4557">
        <w:rPr>
          <w:rFonts w:ascii="Arial" w:hAnsi="Arial" w:cs="Arial"/>
          <w:sz w:val="22"/>
        </w:rPr>
        <w:t>en</w:t>
      </w:r>
      <w:r w:rsidRPr="00FE4557">
        <w:rPr>
          <w:rFonts w:ascii="Arial" w:hAnsi="Arial" w:cs="Arial"/>
          <w:spacing w:val="-6"/>
          <w:sz w:val="22"/>
        </w:rPr>
        <w:t xml:space="preserve"> </w:t>
      </w:r>
      <w:r w:rsidRPr="00FE4557">
        <w:rPr>
          <w:rFonts w:ascii="Arial" w:hAnsi="Arial" w:cs="Arial"/>
          <w:sz w:val="22"/>
        </w:rPr>
        <w:t>el</w:t>
      </w:r>
      <w:r w:rsidRPr="00FE4557">
        <w:rPr>
          <w:rFonts w:ascii="Arial" w:hAnsi="Arial" w:cs="Arial"/>
          <w:spacing w:val="-58"/>
          <w:sz w:val="22"/>
        </w:rPr>
        <w:t xml:space="preserve"> </w:t>
      </w:r>
      <w:r w:rsidRPr="00FE4557">
        <w:rPr>
          <w:rFonts w:ascii="Arial" w:hAnsi="Arial" w:cs="Arial"/>
          <w:sz w:val="22"/>
        </w:rPr>
        <w:t>presente</w:t>
      </w:r>
      <w:r w:rsidRPr="00FE4557">
        <w:rPr>
          <w:rFonts w:ascii="Arial" w:hAnsi="Arial" w:cs="Arial"/>
          <w:spacing w:val="-5"/>
          <w:sz w:val="22"/>
        </w:rPr>
        <w:t xml:space="preserve"> </w:t>
      </w:r>
      <w:r w:rsidRPr="00FE4557">
        <w:rPr>
          <w:rFonts w:ascii="Arial" w:hAnsi="Arial" w:cs="Arial"/>
          <w:sz w:val="22"/>
        </w:rPr>
        <w:t>documento,</w:t>
      </w:r>
      <w:r w:rsidRPr="00FE4557">
        <w:rPr>
          <w:rFonts w:ascii="Arial" w:hAnsi="Arial" w:cs="Arial"/>
          <w:spacing w:val="-7"/>
          <w:sz w:val="22"/>
        </w:rPr>
        <w:t xml:space="preserve"> </w:t>
      </w:r>
      <w:r w:rsidRPr="00FE4557">
        <w:rPr>
          <w:rFonts w:ascii="Arial" w:hAnsi="Arial" w:cs="Arial"/>
          <w:sz w:val="22"/>
        </w:rPr>
        <w:t>apliquen</w:t>
      </w:r>
      <w:r w:rsidRPr="00FE4557">
        <w:rPr>
          <w:rFonts w:ascii="Arial" w:hAnsi="Arial" w:cs="Arial"/>
          <w:spacing w:val="-5"/>
          <w:sz w:val="22"/>
        </w:rPr>
        <w:t xml:space="preserve"> </w:t>
      </w:r>
      <w:r w:rsidRPr="00FE4557">
        <w:rPr>
          <w:rFonts w:ascii="Arial" w:hAnsi="Arial" w:cs="Arial"/>
          <w:sz w:val="22"/>
        </w:rPr>
        <w:t>o regulen</w:t>
      </w:r>
      <w:r w:rsidRPr="00FE4557">
        <w:rPr>
          <w:rFonts w:ascii="Arial" w:hAnsi="Arial" w:cs="Arial"/>
          <w:spacing w:val="-1"/>
          <w:sz w:val="22"/>
        </w:rPr>
        <w:t xml:space="preserve"> </w:t>
      </w:r>
      <w:r w:rsidRPr="00FE4557">
        <w:rPr>
          <w:rFonts w:ascii="Arial" w:hAnsi="Arial" w:cs="Arial"/>
          <w:sz w:val="22"/>
        </w:rPr>
        <w:t>la</w:t>
      </w:r>
      <w:r w:rsidRPr="00FE4557">
        <w:rPr>
          <w:rFonts w:ascii="Arial" w:hAnsi="Arial" w:cs="Arial"/>
          <w:spacing w:val="-4"/>
          <w:sz w:val="22"/>
        </w:rPr>
        <w:t xml:space="preserve"> </w:t>
      </w:r>
      <w:r w:rsidRPr="00FE4557">
        <w:rPr>
          <w:rFonts w:ascii="Arial" w:hAnsi="Arial" w:cs="Arial"/>
          <w:sz w:val="22"/>
        </w:rPr>
        <w:t>materia.</w:t>
      </w:r>
    </w:p>
    <w:p w14:paraId="31067C14" w14:textId="77777777" w:rsidR="00FE4557" w:rsidRPr="001F130D" w:rsidRDefault="00FE4557" w:rsidP="001309AB">
      <w:pPr>
        <w:jc w:val="both"/>
        <w:rPr>
          <w:rFonts w:ascii="Arial" w:hAnsi="Arial" w:cs="Arial"/>
          <w:b/>
          <w:bCs/>
          <w:sz w:val="22"/>
          <w:szCs w:val="22"/>
        </w:rPr>
      </w:pPr>
    </w:p>
    <w:p w14:paraId="69B1A8CD" w14:textId="61A8549E" w:rsidR="000460BC" w:rsidRPr="001F130D" w:rsidRDefault="009101B5" w:rsidP="001309AB">
      <w:pPr>
        <w:jc w:val="both"/>
        <w:rPr>
          <w:rFonts w:ascii="Arial" w:hAnsi="Arial" w:cs="Arial"/>
          <w:b/>
          <w:bCs/>
          <w:sz w:val="22"/>
          <w:szCs w:val="22"/>
        </w:rPr>
      </w:pPr>
      <w:r w:rsidRPr="001F130D">
        <w:rPr>
          <w:rFonts w:ascii="Arial" w:hAnsi="Arial" w:cs="Arial"/>
          <w:b/>
          <w:bCs/>
          <w:sz w:val="22"/>
          <w:szCs w:val="22"/>
        </w:rPr>
        <w:t xml:space="preserve">Política para el Sistema de Gestión de Seguridad y Salud en el Trabajo de la Rama Judicial </w:t>
      </w:r>
      <w:r w:rsidR="000460BC" w:rsidRPr="001F130D">
        <w:rPr>
          <w:rFonts w:ascii="Arial" w:hAnsi="Arial" w:cs="Arial"/>
          <w:b/>
          <w:bCs/>
          <w:sz w:val="22"/>
          <w:szCs w:val="22"/>
        </w:rPr>
        <w:t>–</w:t>
      </w:r>
      <w:r w:rsidRPr="001F130D">
        <w:rPr>
          <w:rFonts w:ascii="Arial" w:hAnsi="Arial" w:cs="Arial"/>
          <w:b/>
          <w:bCs/>
          <w:sz w:val="22"/>
          <w:szCs w:val="22"/>
        </w:rPr>
        <w:t xml:space="preserve"> SGSST</w:t>
      </w:r>
      <w:r w:rsidR="000460BC" w:rsidRPr="001F130D">
        <w:rPr>
          <w:rFonts w:ascii="Arial" w:hAnsi="Arial" w:cs="Arial"/>
          <w:b/>
          <w:bCs/>
          <w:sz w:val="22"/>
          <w:szCs w:val="22"/>
        </w:rPr>
        <w:t>.</w:t>
      </w:r>
    </w:p>
    <w:p w14:paraId="1DBDA2AD" w14:textId="77777777" w:rsidR="000460BC" w:rsidRPr="001F130D" w:rsidRDefault="000460BC" w:rsidP="001309AB">
      <w:pPr>
        <w:jc w:val="both"/>
        <w:rPr>
          <w:rFonts w:ascii="Arial" w:hAnsi="Arial" w:cs="Arial"/>
          <w:sz w:val="22"/>
          <w:szCs w:val="22"/>
        </w:rPr>
      </w:pPr>
    </w:p>
    <w:p w14:paraId="0BEADCF5" w14:textId="1DD845ED" w:rsidR="009101B5" w:rsidRPr="001F130D" w:rsidRDefault="009101B5" w:rsidP="001309AB">
      <w:pPr>
        <w:jc w:val="both"/>
        <w:rPr>
          <w:rFonts w:ascii="Arial" w:hAnsi="Arial" w:cs="Arial"/>
          <w:sz w:val="22"/>
          <w:szCs w:val="22"/>
        </w:rPr>
      </w:pPr>
      <w:r w:rsidRPr="001F130D">
        <w:rPr>
          <w:rFonts w:ascii="Arial" w:hAnsi="Arial" w:cs="Arial"/>
          <w:sz w:val="22"/>
          <w:szCs w:val="22"/>
        </w:rPr>
        <w:t xml:space="preserve">El Consejo Superior de la Judicatura, dando cumplimiento al Decreto 1072 de 2015, que establece que el SG-SST debe tener una política en la cual la Alta Dirección de la entidad se comprometa con este sistema, mediante el Acuerdo No PSAA16-10560 de fecha 11 de agosto de 2016, adoptó las Políticas para el Sistema de Gestión de Seguridad y Salud en el Trabajo de la Rama Judicial, las cuales son las siguientes y pueden ser consultadas en </w:t>
      </w:r>
      <w:r w:rsidR="000460BC" w:rsidRPr="001F130D">
        <w:rPr>
          <w:rFonts w:ascii="Arial" w:hAnsi="Arial" w:cs="Arial"/>
          <w:sz w:val="22"/>
          <w:szCs w:val="22"/>
        </w:rPr>
        <w:t>el siguiente link:</w:t>
      </w:r>
    </w:p>
    <w:p w14:paraId="431116B2" w14:textId="01A09032" w:rsidR="000460BC" w:rsidRPr="001F130D" w:rsidRDefault="000460BC" w:rsidP="001309AB">
      <w:pPr>
        <w:jc w:val="both"/>
        <w:rPr>
          <w:rFonts w:ascii="Arial" w:hAnsi="Arial" w:cs="Arial"/>
          <w:sz w:val="22"/>
          <w:szCs w:val="22"/>
        </w:rPr>
      </w:pPr>
    </w:p>
    <w:p w14:paraId="07C8865D" w14:textId="708D8A05" w:rsidR="000460BC" w:rsidRPr="001F130D" w:rsidRDefault="00000000" w:rsidP="001309AB">
      <w:pPr>
        <w:jc w:val="both"/>
        <w:rPr>
          <w:rFonts w:ascii="Arial" w:hAnsi="Arial" w:cs="Arial"/>
          <w:sz w:val="22"/>
          <w:szCs w:val="22"/>
        </w:rPr>
      </w:pPr>
      <w:hyperlink r:id="rId37" w:history="1">
        <w:r w:rsidR="000460BC" w:rsidRPr="001F130D">
          <w:rPr>
            <w:rStyle w:val="Hipervnculo"/>
            <w:rFonts w:ascii="Arial" w:hAnsi="Arial" w:cs="Arial"/>
            <w:sz w:val="22"/>
            <w:szCs w:val="22"/>
          </w:rPr>
          <w:t>http://actosadministrativos.ramajudicial.gov.co/GetFile.ashx?url=%7e%2fApp_Data%2fUpload%2fPSAA16-10560.pdf</w:t>
        </w:r>
      </w:hyperlink>
      <w:r w:rsidR="000460BC" w:rsidRPr="001F130D">
        <w:rPr>
          <w:rFonts w:ascii="Arial" w:hAnsi="Arial" w:cs="Arial"/>
          <w:sz w:val="22"/>
          <w:szCs w:val="22"/>
        </w:rPr>
        <w:t xml:space="preserve">   </w:t>
      </w:r>
    </w:p>
    <w:p w14:paraId="336857F7" w14:textId="77777777" w:rsidR="009101B5" w:rsidRPr="001F130D" w:rsidRDefault="009101B5" w:rsidP="001309AB">
      <w:pPr>
        <w:jc w:val="both"/>
        <w:rPr>
          <w:rFonts w:ascii="Arial" w:hAnsi="Arial" w:cs="Arial"/>
          <w:sz w:val="22"/>
          <w:szCs w:val="22"/>
        </w:rPr>
      </w:pPr>
    </w:p>
    <w:p w14:paraId="12921D0C" w14:textId="0A711474" w:rsidR="008C671C" w:rsidRPr="001F130D" w:rsidRDefault="008C671C" w:rsidP="001309AB">
      <w:pPr>
        <w:ind w:right="618"/>
        <w:jc w:val="both"/>
        <w:rPr>
          <w:rFonts w:ascii="Arial" w:hAnsi="Arial" w:cs="Arial"/>
          <w:sz w:val="22"/>
          <w:szCs w:val="22"/>
        </w:rPr>
      </w:pPr>
    </w:p>
    <w:p w14:paraId="187B3817" w14:textId="14DE7A8F" w:rsidR="007362C1" w:rsidRPr="000B0465" w:rsidRDefault="007362C1">
      <w:pPr>
        <w:pStyle w:val="Prrafodelista"/>
        <w:numPr>
          <w:ilvl w:val="0"/>
          <w:numId w:val="5"/>
        </w:numPr>
        <w:ind w:right="618"/>
        <w:jc w:val="both"/>
        <w:rPr>
          <w:rFonts w:ascii="Arial" w:hAnsi="Arial" w:cs="Arial"/>
          <w:b/>
          <w:bCs/>
          <w:sz w:val="22"/>
          <w:szCs w:val="22"/>
        </w:rPr>
      </w:pPr>
      <w:r w:rsidRPr="000B0465">
        <w:rPr>
          <w:rFonts w:ascii="Arial" w:hAnsi="Arial" w:cs="Arial"/>
          <w:b/>
          <w:bCs/>
          <w:sz w:val="22"/>
          <w:szCs w:val="22"/>
        </w:rPr>
        <w:t>PERSPECTIVA TÉCNICA.</w:t>
      </w:r>
    </w:p>
    <w:p w14:paraId="51766555" w14:textId="77777777" w:rsidR="007362C1" w:rsidRPr="001F130D" w:rsidRDefault="007362C1" w:rsidP="001309AB">
      <w:pPr>
        <w:ind w:right="618"/>
        <w:jc w:val="both"/>
        <w:rPr>
          <w:rFonts w:ascii="Arial" w:hAnsi="Arial" w:cs="Arial"/>
          <w:b/>
          <w:bCs/>
          <w:sz w:val="22"/>
          <w:szCs w:val="22"/>
        </w:rPr>
      </w:pPr>
    </w:p>
    <w:p w14:paraId="5F18E9C9" w14:textId="75D170AA" w:rsidR="000B0465" w:rsidRDefault="000B0465" w:rsidP="000B0465">
      <w:pPr>
        <w:pStyle w:val="TableParagraph"/>
        <w:ind w:left="22" w:right="45"/>
        <w:jc w:val="both"/>
        <w:rPr>
          <w:spacing w:val="-2"/>
        </w:rPr>
      </w:pPr>
      <w:r>
        <w:t>La</w:t>
      </w:r>
      <w:r>
        <w:rPr>
          <w:spacing w:val="-7"/>
        </w:rPr>
        <w:t xml:space="preserve"> </w:t>
      </w:r>
      <w:r>
        <w:t>descripción</w:t>
      </w:r>
      <w:r>
        <w:rPr>
          <w:spacing w:val="-6"/>
        </w:rPr>
        <w:t xml:space="preserve"> </w:t>
      </w:r>
      <w:r>
        <w:t>técnica</w:t>
      </w:r>
      <w:r>
        <w:rPr>
          <w:spacing w:val="-6"/>
        </w:rPr>
        <w:t xml:space="preserve"> </w:t>
      </w:r>
      <w:r>
        <w:t>y</w:t>
      </w:r>
      <w:r>
        <w:rPr>
          <w:spacing w:val="-6"/>
        </w:rPr>
        <w:t xml:space="preserve"> </w:t>
      </w:r>
      <w:r>
        <w:t>características</w:t>
      </w:r>
      <w:r>
        <w:rPr>
          <w:spacing w:val="-6"/>
        </w:rPr>
        <w:t xml:space="preserve"> </w:t>
      </w:r>
      <w:r>
        <w:t>del</w:t>
      </w:r>
      <w:r>
        <w:rPr>
          <w:spacing w:val="-8"/>
        </w:rPr>
        <w:t xml:space="preserve"> </w:t>
      </w:r>
      <w:r>
        <w:t>servicio</w:t>
      </w:r>
      <w:r>
        <w:rPr>
          <w:spacing w:val="-2"/>
        </w:rPr>
        <w:t xml:space="preserve"> </w:t>
      </w:r>
      <w:r>
        <w:t>y/o</w:t>
      </w:r>
      <w:r>
        <w:rPr>
          <w:spacing w:val="-2"/>
        </w:rPr>
        <w:t xml:space="preserve"> </w:t>
      </w:r>
      <w:r>
        <w:t>bienes</w:t>
      </w:r>
      <w:r>
        <w:rPr>
          <w:spacing w:val="-6"/>
        </w:rPr>
        <w:t xml:space="preserve"> </w:t>
      </w:r>
      <w:r>
        <w:t>necesarios</w:t>
      </w:r>
      <w:r>
        <w:rPr>
          <w:spacing w:val="-6"/>
        </w:rPr>
        <w:t xml:space="preserve"> </w:t>
      </w:r>
      <w:r>
        <w:t>para</w:t>
      </w:r>
      <w:r>
        <w:rPr>
          <w:spacing w:val="-6"/>
        </w:rPr>
        <w:t xml:space="preserve"> </w:t>
      </w:r>
      <w:r>
        <w:t>dar</w:t>
      </w:r>
      <w:r>
        <w:rPr>
          <w:spacing w:val="-9"/>
        </w:rPr>
        <w:t xml:space="preserve"> </w:t>
      </w:r>
      <w:r>
        <w:t>cumplimiento</w:t>
      </w:r>
      <w:r>
        <w:rPr>
          <w:spacing w:val="-6"/>
        </w:rPr>
        <w:t xml:space="preserve"> </w:t>
      </w:r>
      <w:r>
        <w:t>con</w:t>
      </w:r>
      <w:r>
        <w:rPr>
          <w:spacing w:val="-7"/>
        </w:rPr>
        <w:t xml:space="preserve"> </w:t>
      </w:r>
      <w:r>
        <w:t>el</w:t>
      </w:r>
      <w:r>
        <w:rPr>
          <w:spacing w:val="-8"/>
        </w:rPr>
        <w:t xml:space="preserve"> </w:t>
      </w:r>
      <w:r>
        <w:t>objeto</w:t>
      </w:r>
      <w:r>
        <w:rPr>
          <w:spacing w:val="-58"/>
        </w:rPr>
        <w:t xml:space="preserve"> </w:t>
      </w:r>
      <w:r>
        <w:t>contractual del presente proceso de contratación se encuentra debidamente descrita en los estudios previos.</w:t>
      </w:r>
      <w:r>
        <w:rPr>
          <w:spacing w:val="1"/>
        </w:rPr>
        <w:t xml:space="preserve"> </w:t>
      </w:r>
      <w:r>
        <w:rPr>
          <w:spacing w:val="-2"/>
        </w:rPr>
        <w:t>Los</w:t>
      </w:r>
      <w:r>
        <w:rPr>
          <w:spacing w:val="-13"/>
        </w:rPr>
        <w:t xml:space="preserve"> </w:t>
      </w:r>
      <w:r>
        <w:rPr>
          <w:spacing w:val="-2"/>
        </w:rPr>
        <w:t>oferentes</w:t>
      </w:r>
      <w:r>
        <w:rPr>
          <w:spacing w:val="-12"/>
        </w:rPr>
        <w:t xml:space="preserve"> </w:t>
      </w:r>
      <w:r>
        <w:rPr>
          <w:spacing w:val="-2"/>
        </w:rPr>
        <w:t>deberán</w:t>
      </w:r>
      <w:r>
        <w:rPr>
          <w:spacing w:val="-13"/>
        </w:rPr>
        <w:t xml:space="preserve"> </w:t>
      </w:r>
      <w:r>
        <w:rPr>
          <w:spacing w:val="-2"/>
        </w:rPr>
        <w:t>cumplir</w:t>
      </w:r>
      <w:r>
        <w:rPr>
          <w:spacing w:val="-10"/>
        </w:rPr>
        <w:t xml:space="preserve"> </w:t>
      </w:r>
      <w:r>
        <w:rPr>
          <w:spacing w:val="-2"/>
        </w:rPr>
        <w:t>con</w:t>
      </w:r>
      <w:r>
        <w:rPr>
          <w:spacing w:val="-13"/>
        </w:rPr>
        <w:t xml:space="preserve"> </w:t>
      </w:r>
      <w:r>
        <w:rPr>
          <w:spacing w:val="-2"/>
        </w:rPr>
        <w:t>cada</w:t>
      </w:r>
      <w:r>
        <w:rPr>
          <w:spacing w:val="-13"/>
        </w:rPr>
        <w:t xml:space="preserve"> </w:t>
      </w:r>
      <w:r>
        <w:rPr>
          <w:spacing w:val="-2"/>
        </w:rPr>
        <w:t>uno</w:t>
      </w:r>
      <w:r>
        <w:rPr>
          <w:spacing w:val="-14"/>
        </w:rPr>
        <w:t xml:space="preserve"> </w:t>
      </w:r>
      <w:r>
        <w:rPr>
          <w:spacing w:val="-2"/>
        </w:rPr>
        <w:t>de</w:t>
      </w:r>
      <w:r>
        <w:rPr>
          <w:spacing w:val="-13"/>
        </w:rPr>
        <w:t xml:space="preserve"> </w:t>
      </w:r>
      <w:r>
        <w:rPr>
          <w:spacing w:val="-2"/>
        </w:rPr>
        <w:t>los</w:t>
      </w:r>
      <w:r>
        <w:rPr>
          <w:spacing w:val="-12"/>
        </w:rPr>
        <w:t xml:space="preserve"> </w:t>
      </w:r>
      <w:r>
        <w:rPr>
          <w:spacing w:val="-2"/>
        </w:rPr>
        <w:t>requerimientos</w:t>
      </w:r>
      <w:r>
        <w:rPr>
          <w:spacing w:val="-12"/>
        </w:rPr>
        <w:t xml:space="preserve"> </w:t>
      </w:r>
      <w:r>
        <w:rPr>
          <w:spacing w:val="-2"/>
        </w:rPr>
        <w:t>allí</w:t>
      </w:r>
      <w:r>
        <w:rPr>
          <w:spacing w:val="-9"/>
        </w:rPr>
        <w:t xml:space="preserve"> </w:t>
      </w:r>
      <w:r>
        <w:rPr>
          <w:spacing w:val="-2"/>
        </w:rPr>
        <w:t>solicitados</w:t>
      </w:r>
      <w:r>
        <w:rPr>
          <w:spacing w:val="-12"/>
        </w:rPr>
        <w:t xml:space="preserve"> </w:t>
      </w:r>
      <w:r>
        <w:rPr>
          <w:spacing w:val="-2"/>
        </w:rPr>
        <w:t>por</w:t>
      </w:r>
      <w:r>
        <w:rPr>
          <w:spacing w:val="-11"/>
        </w:rPr>
        <w:t xml:space="preserve"> </w:t>
      </w:r>
      <w:r>
        <w:rPr>
          <w:spacing w:val="-2"/>
        </w:rPr>
        <w:t>la</w:t>
      </w:r>
      <w:r>
        <w:rPr>
          <w:spacing w:val="-13"/>
        </w:rPr>
        <w:t xml:space="preserve"> </w:t>
      </w:r>
      <w:r>
        <w:rPr>
          <w:spacing w:val="-2"/>
        </w:rPr>
        <w:t>Entidad.</w:t>
      </w:r>
    </w:p>
    <w:p w14:paraId="7EDC32E0" w14:textId="6098A4CC" w:rsidR="000B0465" w:rsidRDefault="000B0465" w:rsidP="000B0465">
      <w:pPr>
        <w:pStyle w:val="TableParagraph"/>
        <w:ind w:left="22" w:right="45"/>
        <w:jc w:val="both"/>
        <w:rPr>
          <w:spacing w:val="-2"/>
        </w:rPr>
      </w:pPr>
    </w:p>
    <w:p w14:paraId="3DC7E137" w14:textId="77777777" w:rsidR="000B0465" w:rsidRDefault="000B0465" w:rsidP="000B0465">
      <w:pPr>
        <w:pStyle w:val="TableParagraph"/>
        <w:spacing w:before="1"/>
        <w:ind w:left="22" w:right="38"/>
        <w:jc w:val="both"/>
      </w:pPr>
      <w:r>
        <w:t>En concordancia con lo establecido por el Decreto 1082 de 2015, la compra pública objeto del presente</w:t>
      </w:r>
      <w:r>
        <w:rPr>
          <w:spacing w:val="1"/>
        </w:rPr>
        <w:t xml:space="preserve"> </w:t>
      </w:r>
      <w:r>
        <w:t>Proceso de Contratación está codificada en el Clasificador de</w:t>
      </w:r>
      <w:r>
        <w:rPr>
          <w:spacing w:val="1"/>
        </w:rPr>
        <w:t xml:space="preserve"> </w:t>
      </w:r>
      <w:r>
        <w:t>Bienes y Servicios de Naciones Unidas</w:t>
      </w:r>
      <w:r>
        <w:rPr>
          <w:spacing w:val="1"/>
        </w:rPr>
        <w:t xml:space="preserve"> </w:t>
      </w:r>
      <w:r>
        <w:t>(UNSPSC).</w:t>
      </w:r>
    </w:p>
    <w:p w14:paraId="3817D126" w14:textId="77777777" w:rsidR="000B0465" w:rsidRDefault="000B0465" w:rsidP="000B0465">
      <w:pPr>
        <w:pStyle w:val="TableParagraph"/>
        <w:spacing w:before="11"/>
        <w:rPr>
          <w:sz w:val="21"/>
        </w:rPr>
      </w:pPr>
    </w:p>
    <w:p w14:paraId="04BF744D" w14:textId="77777777" w:rsidR="000B0465" w:rsidRDefault="000B0465" w:rsidP="000B0465">
      <w:pPr>
        <w:pStyle w:val="TableParagraph"/>
        <w:ind w:left="22" w:right="40"/>
        <w:jc w:val="both"/>
      </w:pPr>
      <w:r>
        <w:t>La clasificación para la obra objeto del presente proceso de contratación, se realizó según los parámetros de</w:t>
      </w:r>
      <w:r>
        <w:rPr>
          <w:spacing w:val="1"/>
        </w:rPr>
        <w:t xml:space="preserve"> </w:t>
      </w:r>
      <w:r>
        <w:t>la Guía para la codificación de bienes y servicios de acuerdo con el código estándar de productos y servicios</w:t>
      </w:r>
      <w:r>
        <w:rPr>
          <w:spacing w:val="1"/>
        </w:rPr>
        <w:t xml:space="preserve"> </w:t>
      </w:r>
      <w:r>
        <w:t>de</w:t>
      </w:r>
      <w:r>
        <w:rPr>
          <w:spacing w:val="-1"/>
        </w:rPr>
        <w:t xml:space="preserve"> </w:t>
      </w:r>
      <w:r>
        <w:t>Naciones Unidas,</w:t>
      </w:r>
      <w:r>
        <w:rPr>
          <w:spacing w:val="-3"/>
        </w:rPr>
        <w:t xml:space="preserve"> </w:t>
      </w:r>
      <w:r>
        <w:t>V.14.080</w:t>
      </w:r>
      <w:r>
        <w:rPr>
          <w:spacing w:val="-1"/>
        </w:rPr>
        <w:t xml:space="preserve"> </w:t>
      </w:r>
      <w:r>
        <w:t>de COLOMBIA COMPRA</w:t>
      </w:r>
      <w:r>
        <w:rPr>
          <w:spacing w:val="-1"/>
        </w:rPr>
        <w:t xml:space="preserve"> </w:t>
      </w:r>
      <w:r>
        <w:t>EFICIENTE G-CBS-02.</w:t>
      </w:r>
    </w:p>
    <w:p w14:paraId="3FDD6B1D" w14:textId="77777777" w:rsidR="000B0465" w:rsidRDefault="000B0465" w:rsidP="000B0465">
      <w:pPr>
        <w:pStyle w:val="TableParagraph"/>
        <w:spacing w:before="1"/>
      </w:pPr>
    </w:p>
    <w:p w14:paraId="5AF715D3" w14:textId="1D51FC44" w:rsidR="000B0465" w:rsidRDefault="000B0465" w:rsidP="000B0465">
      <w:pPr>
        <w:pStyle w:val="TableParagraph"/>
        <w:ind w:left="22" w:right="45"/>
        <w:jc w:val="both"/>
      </w:pPr>
      <w:r>
        <w:t>Según</w:t>
      </w:r>
      <w:r>
        <w:rPr>
          <w:spacing w:val="-3"/>
        </w:rPr>
        <w:t xml:space="preserve"> </w:t>
      </w:r>
      <w:r>
        <w:t>el</w:t>
      </w:r>
      <w:r>
        <w:rPr>
          <w:spacing w:val="-8"/>
        </w:rPr>
        <w:t xml:space="preserve"> </w:t>
      </w:r>
      <w:r>
        <w:t>documento</w:t>
      </w:r>
      <w:r>
        <w:rPr>
          <w:spacing w:val="-6"/>
        </w:rPr>
        <w:t xml:space="preserve"> </w:t>
      </w:r>
      <w:r>
        <w:t>de</w:t>
      </w:r>
      <w:r>
        <w:rPr>
          <w:spacing w:val="-2"/>
        </w:rPr>
        <w:t xml:space="preserve"> </w:t>
      </w:r>
      <w:r>
        <w:t>Sugerencias</w:t>
      </w:r>
      <w:r>
        <w:rPr>
          <w:spacing w:val="-2"/>
        </w:rPr>
        <w:t xml:space="preserve"> </w:t>
      </w:r>
      <w:r>
        <w:t>dispuesto</w:t>
      </w:r>
      <w:r>
        <w:rPr>
          <w:spacing w:val="-6"/>
        </w:rPr>
        <w:t xml:space="preserve"> </w:t>
      </w:r>
      <w:r>
        <w:t>por</w:t>
      </w:r>
      <w:r>
        <w:rPr>
          <w:spacing w:val="-5"/>
        </w:rPr>
        <w:t xml:space="preserve"> </w:t>
      </w:r>
      <w:r>
        <w:t>la</w:t>
      </w:r>
      <w:r>
        <w:rPr>
          <w:spacing w:val="-3"/>
        </w:rPr>
        <w:t xml:space="preserve"> </w:t>
      </w:r>
      <w:r>
        <w:t>Guía;</w:t>
      </w:r>
      <w:r>
        <w:rPr>
          <w:spacing w:val="-5"/>
        </w:rPr>
        <w:t xml:space="preserve"> </w:t>
      </w:r>
      <w:r>
        <w:t>en</w:t>
      </w:r>
      <w:r>
        <w:rPr>
          <w:spacing w:val="-2"/>
        </w:rPr>
        <w:t xml:space="preserve"> </w:t>
      </w:r>
      <w:r>
        <w:t>este</w:t>
      </w:r>
      <w:r>
        <w:rPr>
          <w:spacing w:val="-2"/>
        </w:rPr>
        <w:t xml:space="preserve"> </w:t>
      </w:r>
      <w:r>
        <w:t>sentido</w:t>
      </w:r>
      <w:r>
        <w:rPr>
          <w:spacing w:val="-2"/>
        </w:rPr>
        <w:t xml:space="preserve"> </w:t>
      </w:r>
      <w:r>
        <w:t>clasificación</w:t>
      </w:r>
      <w:r>
        <w:rPr>
          <w:spacing w:val="-2"/>
        </w:rPr>
        <w:t xml:space="preserve"> </w:t>
      </w:r>
      <w:r>
        <w:t>es</w:t>
      </w:r>
      <w:r>
        <w:rPr>
          <w:spacing w:val="-3"/>
        </w:rPr>
        <w:t xml:space="preserve"> </w:t>
      </w:r>
      <w:r>
        <w:t>la</w:t>
      </w:r>
      <w:r>
        <w:rPr>
          <w:spacing w:val="-2"/>
        </w:rPr>
        <w:t xml:space="preserve"> </w:t>
      </w:r>
      <w:r>
        <w:t>siguiente:</w:t>
      </w:r>
    </w:p>
    <w:p w14:paraId="11C36831" w14:textId="77777777" w:rsidR="00EB6756" w:rsidRDefault="00EB6756" w:rsidP="000B0465">
      <w:pPr>
        <w:pStyle w:val="TableParagraph"/>
        <w:ind w:left="22" w:right="45"/>
        <w:jc w:val="both"/>
      </w:pPr>
    </w:p>
    <w:tbl>
      <w:tblPr>
        <w:tblW w:w="56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56"/>
        <w:gridCol w:w="3515"/>
      </w:tblGrid>
      <w:tr w:rsidR="00EB6756" w:rsidRPr="004F6AA2" w14:paraId="3028A752" w14:textId="77777777" w:rsidTr="00CE06FE">
        <w:trPr>
          <w:trHeight w:val="263"/>
          <w:jc w:val="center"/>
        </w:trPr>
        <w:tc>
          <w:tcPr>
            <w:tcW w:w="2156" w:type="dxa"/>
            <w:shd w:val="clear" w:color="000000" w:fill="6D6E70"/>
            <w:vAlign w:val="center"/>
            <w:hideMark/>
          </w:tcPr>
          <w:p w14:paraId="4AA768E1" w14:textId="77777777" w:rsidR="00EB6756" w:rsidRPr="004F6AA2" w:rsidRDefault="00EB6756" w:rsidP="00CE06FE">
            <w:pPr>
              <w:rPr>
                <w:rFonts w:ascii="Arial" w:hAnsi="Arial" w:cs="Arial"/>
                <w:b/>
                <w:bCs/>
                <w:color w:val="000000"/>
                <w:sz w:val="18"/>
                <w:szCs w:val="18"/>
              </w:rPr>
            </w:pPr>
            <w:r w:rsidRPr="004F6AA2">
              <w:rPr>
                <w:rFonts w:ascii="Arial" w:hAnsi="Arial" w:cs="Arial"/>
                <w:b/>
                <w:bCs/>
                <w:color w:val="000000"/>
                <w:sz w:val="18"/>
                <w:szCs w:val="18"/>
              </w:rPr>
              <w:t>Código - Producto</w:t>
            </w:r>
          </w:p>
        </w:tc>
        <w:tc>
          <w:tcPr>
            <w:tcW w:w="3515" w:type="dxa"/>
            <w:shd w:val="clear" w:color="000000" w:fill="6D6E70"/>
            <w:vAlign w:val="center"/>
            <w:hideMark/>
          </w:tcPr>
          <w:p w14:paraId="136F4EA4" w14:textId="77777777" w:rsidR="00EB6756" w:rsidRPr="004F6AA2" w:rsidRDefault="00EB6756" w:rsidP="00CE06FE">
            <w:pPr>
              <w:rPr>
                <w:rFonts w:ascii="Arial" w:hAnsi="Arial" w:cs="Arial"/>
                <w:b/>
                <w:bCs/>
                <w:color w:val="000000"/>
                <w:sz w:val="18"/>
                <w:szCs w:val="18"/>
              </w:rPr>
            </w:pPr>
            <w:r w:rsidRPr="004F6AA2">
              <w:rPr>
                <w:rFonts w:ascii="Arial" w:hAnsi="Arial" w:cs="Arial"/>
                <w:b/>
                <w:bCs/>
                <w:color w:val="000000"/>
                <w:sz w:val="18"/>
                <w:szCs w:val="18"/>
              </w:rPr>
              <w:t>Nombre - Producto</w:t>
            </w:r>
          </w:p>
        </w:tc>
      </w:tr>
      <w:tr w:rsidR="00EB6756" w:rsidRPr="004F6AA2" w14:paraId="51AE549B" w14:textId="77777777" w:rsidTr="00CE06FE">
        <w:trPr>
          <w:trHeight w:val="281"/>
          <w:jc w:val="center"/>
        </w:trPr>
        <w:tc>
          <w:tcPr>
            <w:tcW w:w="2156" w:type="dxa"/>
            <w:shd w:val="clear" w:color="000000" w:fill="E5E5E5"/>
            <w:vAlign w:val="center"/>
          </w:tcPr>
          <w:p w14:paraId="7DC693C5" w14:textId="77777777" w:rsidR="00EB6756" w:rsidRPr="00362C72" w:rsidRDefault="00EB6756" w:rsidP="00CE06FE">
            <w:pPr>
              <w:rPr>
                <w:rFonts w:ascii="Arial" w:hAnsi="Arial" w:cs="Arial"/>
                <w:color w:val="000000"/>
                <w:sz w:val="18"/>
                <w:szCs w:val="18"/>
              </w:rPr>
            </w:pPr>
            <w:r>
              <w:rPr>
                <w:rFonts w:ascii="Arial" w:hAnsi="Arial" w:cs="Arial"/>
                <w:color w:val="000000"/>
                <w:sz w:val="18"/>
                <w:szCs w:val="18"/>
              </w:rPr>
              <w:t>43201800</w:t>
            </w:r>
          </w:p>
        </w:tc>
        <w:tc>
          <w:tcPr>
            <w:tcW w:w="3515" w:type="dxa"/>
            <w:shd w:val="clear" w:color="000000" w:fill="E5E5E5"/>
            <w:vAlign w:val="center"/>
          </w:tcPr>
          <w:p w14:paraId="461FEC05" w14:textId="77777777" w:rsidR="00EB6756" w:rsidRPr="00362C72" w:rsidRDefault="00EB6756" w:rsidP="00CE06FE">
            <w:pPr>
              <w:jc w:val="both"/>
              <w:rPr>
                <w:rFonts w:ascii="Arial" w:hAnsi="Arial" w:cs="Arial"/>
                <w:color w:val="000000"/>
                <w:sz w:val="18"/>
                <w:szCs w:val="18"/>
              </w:rPr>
            </w:pPr>
            <w:r>
              <w:rPr>
                <w:rFonts w:ascii="Arial" w:hAnsi="Arial" w:cs="Arial"/>
                <w:color w:val="000000"/>
                <w:sz w:val="18"/>
                <w:szCs w:val="18"/>
              </w:rPr>
              <w:t>Dispositivos de almacenamiento</w:t>
            </w:r>
          </w:p>
        </w:tc>
      </w:tr>
    </w:tbl>
    <w:p w14:paraId="590FB534" w14:textId="77777777" w:rsidR="00EB6756" w:rsidRDefault="00EB6756" w:rsidP="000B0465">
      <w:pPr>
        <w:pStyle w:val="TableParagraph"/>
        <w:ind w:left="22" w:right="45"/>
        <w:jc w:val="both"/>
      </w:pPr>
    </w:p>
    <w:p w14:paraId="6D478C93" w14:textId="6CE8D55E" w:rsidR="000B0465" w:rsidRDefault="000B0465" w:rsidP="000B0465">
      <w:pPr>
        <w:pStyle w:val="TableParagraph"/>
        <w:ind w:left="22" w:right="45"/>
        <w:jc w:val="both"/>
      </w:pPr>
    </w:p>
    <w:p w14:paraId="6976071E" w14:textId="38C72C3F" w:rsidR="006E3B0D" w:rsidRPr="00D92BBE" w:rsidRDefault="000B0465" w:rsidP="006E3B0D">
      <w:pPr>
        <w:ind w:right="107"/>
        <w:jc w:val="both"/>
        <w:rPr>
          <w:rFonts w:ascii="Arial" w:hAnsi="Arial" w:cs="Arial"/>
          <w:bCs/>
          <w:iCs/>
          <w:color w:val="000000" w:themeColor="text1"/>
          <w:sz w:val="22"/>
          <w:szCs w:val="22"/>
          <w:lang w:val="es-ES_tradnl" w:eastAsia="en-US"/>
        </w:rPr>
      </w:pPr>
      <w:r w:rsidRPr="000B0465">
        <w:rPr>
          <w:rFonts w:ascii="Arial" w:hAnsi="Arial" w:cs="Arial"/>
          <w:sz w:val="22"/>
        </w:rPr>
        <w:t>Los anteriores códigos se tienen de carácter aclarativo, toda vez que la circular externa No 12 de Colombia</w:t>
      </w:r>
      <w:r w:rsidRPr="000B0465">
        <w:rPr>
          <w:rFonts w:ascii="Arial" w:hAnsi="Arial" w:cs="Arial"/>
          <w:spacing w:val="1"/>
          <w:sz w:val="22"/>
        </w:rPr>
        <w:t xml:space="preserve"> </w:t>
      </w:r>
      <w:r w:rsidRPr="000B0465">
        <w:rPr>
          <w:rFonts w:ascii="Arial" w:hAnsi="Arial" w:cs="Arial"/>
          <w:sz w:val="22"/>
        </w:rPr>
        <w:t>Compra Eficiente</w:t>
      </w:r>
      <w:r w:rsidRPr="000B0465">
        <w:rPr>
          <w:rFonts w:ascii="Arial" w:hAnsi="Arial" w:cs="Arial"/>
          <w:spacing w:val="1"/>
          <w:sz w:val="22"/>
        </w:rPr>
        <w:t xml:space="preserve"> </w:t>
      </w:r>
      <w:r w:rsidRPr="000B0465">
        <w:rPr>
          <w:rFonts w:ascii="Arial" w:hAnsi="Arial" w:cs="Arial"/>
          <w:sz w:val="22"/>
        </w:rPr>
        <w:t>estableció</w:t>
      </w:r>
      <w:r w:rsidRPr="000B0465">
        <w:rPr>
          <w:rFonts w:ascii="Arial" w:hAnsi="Arial" w:cs="Arial"/>
          <w:spacing w:val="1"/>
          <w:sz w:val="22"/>
        </w:rPr>
        <w:t xml:space="preserve"> </w:t>
      </w:r>
      <w:r w:rsidRPr="000B0465">
        <w:rPr>
          <w:rFonts w:ascii="Arial" w:hAnsi="Arial" w:cs="Arial"/>
          <w:sz w:val="22"/>
        </w:rPr>
        <w:t>que</w:t>
      </w:r>
      <w:r w:rsidRPr="000B0465">
        <w:rPr>
          <w:rFonts w:ascii="Arial" w:hAnsi="Arial" w:cs="Arial"/>
          <w:spacing w:val="1"/>
          <w:sz w:val="22"/>
        </w:rPr>
        <w:t xml:space="preserve"> </w:t>
      </w:r>
      <w:r w:rsidRPr="000B0465">
        <w:rPr>
          <w:rFonts w:ascii="Arial" w:hAnsi="Arial" w:cs="Arial"/>
          <w:sz w:val="22"/>
        </w:rPr>
        <w:t>la</w:t>
      </w:r>
      <w:r w:rsidRPr="000B0465">
        <w:rPr>
          <w:rFonts w:ascii="Arial" w:hAnsi="Arial" w:cs="Arial"/>
          <w:spacing w:val="1"/>
          <w:sz w:val="22"/>
        </w:rPr>
        <w:t xml:space="preserve"> </w:t>
      </w:r>
      <w:r w:rsidRPr="000B0465">
        <w:rPr>
          <w:rFonts w:ascii="Arial" w:hAnsi="Arial" w:cs="Arial"/>
          <w:sz w:val="22"/>
        </w:rPr>
        <w:t>clasificación</w:t>
      </w:r>
      <w:r w:rsidRPr="000B0465">
        <w:rPr>
          <w:rFonts w:ascii="Arial" w:hAnsi="Arial" w:cs="Arial"/>
          <w:spacing w:val="1"/>
          <w:sz w:val="22"/>
        </w:rPr>
        <w:t xml:space="preserve"> </w:t>
      </w:r>
      <w:r w:rsidRPr="000B0465">
        <w:rPr>
          <w:rFonts w:ascii="Arial" w:hAnsi="Arial" w:cs="Arial"/>
          <w:sz w:val="22"/>
        </w:rPr>
        <w:t>del proponente</w:t>
      </w:r>
      <w:r w:rsidRPr="000B0465">
        <w:rPr>
          <w:rFonts w:ascii="Arial" w:hAnsi="Arial" w:cs="Arial"/>
          <w:spacing w:val="1"/>
          <w:sz w:val="22"/>
        </w:rPr>
        <w:t xml:space="preserve"> </w:t>
      </w:r>
      <w:r w:rsidRPr="000B0465">
        <w:rPr>
          <w:rFonts w:ascii="Arial" w:hAnsi="Arial" w:cs="Arial"/>
          <w:sz w:val="22"/>
        </w:rPr>
        <w:t>no</w:t>
      </w:r>
      <w:r w:rsidRPr="000B0465">
        <w:rPr>
          <w:rFonts w:ascii="Arial" w:hAnsi="Arial" w:cs="Arial"/>
          <w:spacing w:val="1"/>
          <w:sz w:val="22"/>
        </w:rPr>
        <w:t xml:space="preserve"> </w:t>
      </w:r>
      <w:r w:rsidRPr="000B0465">
        <w:rPr>
          <w:rFonts w:ascii="Arial" w:hAnsi="Arial" w:cs="Arial"/>
          <w:sz w:val="22"/>
        </w:rPr>
        <w:t>es</w:t>
      </w:r>
      <w:r w:rsidRPr="000B0465">
        <w:rPr>
          <w:rFonts w:ascii="Arial" w:hAnsi="Arial" w:cs="Arial"/>
          <w:spacing w:val="1"/>
          <w:sz w:val="22"/>
        </w:rPr>
        <w:t xml:space="preserve"> </w:t>
      </w:r>
      <w:r w:rsidRPr="000B0465">
        <w:rPr>
          <w:rFonts w:ascii="Arial" w:hAnsi="Arial" w:cs="Arial"/>
          <w:sz w:val="22"/>
        </w:rPr>
        <w:t>un</w:t>
      </w:r>
      <w:r w:rsidRPr="000B0465">
        <w:rPr>
          <w:rFonts w:ascii="Arial" w:hAnsi="Arial" w:cs="Arial"/>
          <w:spacing w:val="1"/>
          <w:sz w:val="22"/>
        </w:rPr>
        <w:t xml:space="preserve"> </w:t>
      </w:r>
      <w:r w:rsidRPr="000B0465">
        <w:rPr>
          <w:rFonts w:ascii="Arial" w:hAnsi="Arial" w:cs="Arial"/>
          <w:sz w:val="22"/>
        </w:rPr>
        <w:t>requisito</w:t>
      </w:r>
      <w:r w:rsidRPr="000B0465">
        <w:rPr>
          <w:rFonts w:ascii="Arial" w:hAnsi="Arial" w:cs="Arial"/>
          <w:spacing w:val="1"/>
          <w:sz w:val="22"/>
        </w:rPr>
        <w:t xml:space="preserve"> </w:t>
      </w:r>
      <w:r w:rsidRPr="000B0465">
        <w:rPr>
          <w:rFonts w:ascii="Arial" w:hAnsi="Arial" w:cs="Arial"/>
          <w:sz w:val="22"/>
        </w:rPr>
        <w:t>habilitante</w:t>
      </w:r>
      <w:r w:rsidRPr="000B0465">
        <w:rPr>
          <w:rFonts w:ascii="Arial" w:hAnsi="Arial" w:cs="Arial"/>
          <w:spacing w:val="1"/>
          <w:sz w:val="22"/>
        </w:rPr>
        <w:t xml:space="preserve"> </w:t>
      </w:r>
      <w:r w:rsidRPr="000B0465">
        <w:rPr>
          <w:rFonts w:ascii="Arial" w:hAnsi="Arial" w:cs="Arial"/>
          <w:sz w:val="22"/>
        </w:rPr>
        <w:t>sino</w:t>
      </w:r>
      <w:r w:rsidRPr="000B0465">
        <w:rPr>
          <w:rFonts w:ascii="Arial" w:hAnsi="Arial" w:cs="Arial"/>
          <w:spacing w:val="1"/>
          <w:sz w:val="22"/>
        </w:rPr>
        <w:t xml:space="preserve"> </w:t>
      </w:r>
      <w:r w:rsidRPr="000B0465">
        <w:rPr>
          <w:rFonts w:ascii="Arial" w:hAnsi="Arial" w:cs="Arial"/>
          <w:sz w:val="22"/>
        </w:rPr>
        <w:t>un</w:t>
      </w:r>
      <w:r w:rsidRPr="000B0465">
        <w:rPr>
          <w:rFonts w:ascii="Arial" w:hAnsi="Arial" w:cs="Arial"/>
          <w:spacing w:val="1"/>
          <w:sz w:val="22"/>
        </w:rPr>
        <w:t xml:space="preserve"> </w:t>
      </w:r>
      <w:r w:rsidRPr="000B0465">
        <w:rPr>
          <w:rFonts w:ascii="Arial" w:hAnsi="Arial" w:cs="Arial"/>
          <w:sz w:val="22"/>
        </w:rPr>
        <w:t xml:space="preserve">mecanismo para establecer un lenguaje común entre los </w:t>
      </w:r>
      <w:r w:rsidRPr="00D92BBE">
        <w:rPr>
          <w:rFonts w:ascii="Arial" w:hAnsi="Arial" w:cs="Arial"/>
          <w:color w:val="000000" w:themeColor="text1"/>
          <w:sz w:val="22"/>
        </w:rPr>
        <w:t>partícipes del Sistema de Compras y Contratación</w:t>
      </w:r>
      <w:r w:rsidRPr="00D92BBE">
        <w:rPr>
          <w:rFonts w:ascii="Arial" w:hAnsi="Arial" w:cs="Arial"/>
          <w:color w:val="000000" w:themeColor="text1"/>
          <w:spacing w:val="1"/>
          <w:sz w:val="22"/>
        </w:rPr>
        <w:t xml:space="preserve"> </w:t>
      </w:r>
      <w:r w:rsidRPr="00D92BBE">
        <w:rPr>
          <w:rFonts w:ascii="Arial" w:hAnsi="Arial" w:cs="Arial"/>
          <w:color w:val="000000" w:themeColor="text1"/>
          <w:sz w:val="22"/>
        </w:rPr>
        <w:t>Pública.</w:t>
      </w:r>
    </w:p>
    <w:p w14:paraId="1CFBB04D" w14:textId="77777777" w:rsidR="006E3B0D" w:rsidRPr="00D92BBE" w:rsidRDefault="006E3B0D" w:rsidP="006E3B0D">
      <w:pPr>
        <w:ind w:right="107"/>
        <w:jc w:val="both"/>
        <w:rPr>
          <w:rFonts w:ascii="Arial" w:hAnsi="Arial" w:cs="Arial"/>
          <w:bCs/>
          <w:iCs/>
          <w:color w:val="000000" w:themeColor="text1"/>
          <w:sz w:val="22"/>
          <w:szCs w:val="22"/>
          <w:lang w:val="es-ES_tradnl" w:eastAsia="en-US"/>
        </w:rPr>
      </w:pPr>
    </w:p>
    <w:p w14:paraId="664539BE" w14:textId="5213319E" w:rsidR="00D92BBE" w:rsidRDefault="00D92BBE">
      <w:pPr>
        <w:pStyle w:val="TableParagraph"/>
        <w:numPr>
          <w:ilvl w:val="0"/>
          <w:numId w:val="5"/>
        </w:numPr>
        <w:rPr>
          <w:b/>
        </w:rPr>
      </w:pPr>
      <w:r>
        <w:rPr>
          <w:b/>
        </w:rPr>
        <w:t>ESTUDIO</w:t>
      </w:r>
      <w:r>
        <w:rPr>
          <w:b/>
          <w:spacing w:val="-2"/>
        </w:rPr>
        <w:t xml:space="preserve"> </w:t>
      </w:r>
      <w:r>
        <w:rPr>
          <w:b/>
        </w:rPr>
        <w:t>FINANCIERO</w:t>
      </w:r>
      <w:r>
        <w:rPr>
          <w:b/>
          <w:spacing w:val="-2"/>
        </w:rPr>
        <w:t xml:space="preserve"> </w:t>
      </w:r>
      <w:r>
        <w:rPr>
          <w:b/>
        </w:rPr>
        <w:t>DEL</w:t>
      </w:r>
      <w:r>
        <w:rPr>
          <w:b/>
          <w:spacing w:val="-5"/>
        </w:rPr>
        <w:t xml:space="preserve"> </w:t>
      </w:r>
      <w:r>
        <w:rPr>
          <w:b/>
        </w:rPr>
        <w:t>SECTOR</w:t>
      </w:r>
    </w:p>
    <w:p w14:paraId="4563548A" w14:textId="0EAEF951" w:rsidR="00305EB0" w:rsidRDefault="00305EB0" w:rsidP="00305EB0">
      <w:pPr>
        <w:pStyle w:val="TableParagraph"/>
        <w:rPr>
          <w:b/>
        </w:rPr>
      </w:pPr>
    </w:p>
    <w:p w14:paraId="2265C99B" w14:textId="77777777" w:rsidR="00305EB0" w:rsidRDefault="00305EB0" w:rsidP="00305EB0">
      <w:pPr>
        <w:pStyle w:val="TableParagraph"/>
        <w:ind w:left="22" w:right="39"/>
        <w:jc w:val="both"/>
      </w:pPr>
      <w:r>
        <w:t>Teniendo en cuenta la naturaleza del presente objeto de contratación, la importancia especifica que implica</w:t>
      </w:r>
      <w:r>
        <w:rPr>
          <w:spacing w:val="1"/>
        </w:rPr>
        <w:t xml:space="preserve"> </w:t>
      </w:r>
      <w:r>
        <w:t>este proyecto, las características del objeto, la modalidad de pago se considera conveniente establecer una</w:t>
      </w:r>
      <w:r>
        <w:rPr>
          <w:spacing w:val="1"/>
        </w:rPr>
        <w:t xml:space="preserve"> </w:t>
      </w:r>
      <w:r>
        <w:t>serie de límites a los indicadores que a continuación se presentaran como requisitos habilitantes que se</w:t>
      </w:r>
      <w:r>
        <w:rPr>
          <w:spacing w:val="1"/>
        </w:rPr>
        <w:t xml:space="preserve"> </w:t>
      </w:r>
      <w:r>
        <w:t>recomienda</w:t>
      </w:r>
      <w:r>
        <w:rPr>
          <w:spacing w:val="-1"/>
        </w:rPr>
        <w:t xml:space="preserve"> </w:t>
      </w:r>
      <w:r>
        <w:t>seguir</w:t>
      </w:r>
      <w:r>
        <w:rPr>
          <w:spacing w:val="-3"/>
        </w:rPr>
        <w:t xml:space="preserve"> </w:t>
      </w:r>
      <w:r>
        <w:t>para la</w:t>
      </w:r>
      <w:r>
        <w:rPr>
          <w:spacing w:val="-1"/>
        </w:rPr>
        <w:t xml:space="preserve"> </w:t>
      </w:r>
      <w:r>
        <w:t>elección del</w:t>
      </w:r>
      <w:r>
        <w:rPr>
          <w:spacing w:val="-6"/>
        </w:rPr>
        <w:t xml:space="preserve"> </w:t>
      </w:r>
      <w:r>
        <w:t>futuro contratista.</w:t>
      </w:r>
    </w:p>
    <w:p w14:paraId="35F3FCFA" w14:textId="77777777" w:rsidR="00305EB0" w:rsidRDefault="00305EB0" w:rsidP="00305EB0">
      <w:pPr>
        <w:pStyle w:val="TableParagraph"/>
        <w:spacing w:before="11"/>
        <w:rPr>
          <w:sz w:val="21"/>
        </w:rPr>
      </w:pPr>
    </w:p>
    <w:p w14:paraId="438A318F" w14:textId="4CC5E23D" w:rsidR="00305EB0" w:rsidRDefault="00305EB0" w:rsidP="00305EB0">
      <w:pPr>
        <w:pStyle w:val="TableParagraph"/>
        <w:jc w:val="both"/>
      </w:pPr>
      <w:r>
        <w:t>La Entidad establece los indicadores de capacidad financiera y organizacional de conformidad al numeral 4,</w:t>
      </w:r>
      <w:r>
        <w:rPr>
          <w:spacing w:val="1"/>
        </w:rPr>
        <w:t xml:space="preserve"> </w:t>
      </w:r>
      <w:r>
        <w:t>artículo</w:t>
      </w:r>
      <w:r>
        <w:rPr>
          <w:spacing w:val="-3"/>
        </w:rPr>
        <w:t xml:space="preserve"> </w:t>
      </w:r>
      <w:r>
        <w:t>2.2.1.1.1.5.3,</w:t>
      </w:r>
      <w:r>
        <w:rPr>
          <w:spacing w:val="-3"/>
        </w:rPr>
        <w:t xml:space="preserve"> </w:t>
      </w:r>
      <w:r>
        <w:t>requisitos</w:t>
      </w:r>
      <w:r>
        <w:rPr>
          <w:spacing w:val="-2"/>
        </w:rPr>
        <w:t xml:space="preserve"> </w:t>
      </w:r>
      <w:r>
        <w:t>habilitantes</w:t>
      </w:r>
      <w:r>
        <w:rPr>
          <w:spacing w:val="-3"/>
        </w:rPr>
        <w:t xml:space="preserve"> </w:t>
      </w:r>
      <w:r>
        <w:t>contenidos</w:t>
      </w:r>
      <w:r>
        <w:rPr>
          <w:spacing w:val="-2"/>
        </w:rPr>
        <w:t xml:space="preserve"> </w:t>
      </w:r>
      <w:r>
        <w:t>en</w:t>
      </w:r>
      <w:r>
        <w:rPr>
          <w:spacing w:val="-2"/>
        </w:rPr>
        <w:t xml:space="preserve"> </w:t>
      </w:r>
      <w:r>
        <w:t>el</w:t>
      </w:r>
      <w:r>
        <w:rPr>
          <w:spacing w:val="-8"/>
        </w:rPr>
        <w:t xml:space="preserve"> </w:t>
      </w:r>
      <w:r>
        <w:t>RUP,</w:t>
      </w:r>
      <w:r>
        <w:rPr>
          <w:spacing w:val="-5"/>
        </w:rPr>
        <w:t xml:space="preserve"> </w:t>
      </w:r>
      <w:r>
        <w:t>del</w:t>
      </w:r>
      <w:r>
        <w:rPr>
          <w:spacing w:val="-8"/>
        </w:rPr>
        <w:t xml:space="preserve"> </w:t>
      </w:r>
      <w:r>
        <w:t>Decreto</w:t>
      </w:r>
      <w:r>
        <w:rPr>
          <w:spacing w:val="-3"/>
        </w:rPr>
        <w:t xml:space="preserve"> </w:t>
      </w:r>
      <w:r>
        <w:t>1082</w:t>
      </w:r>
      <w:r>
        <w:rPr>
          <w:spacing w:val="-2"/>
        </w:rPr>
        <w:t xml:space="preserve"> </w:t>
      </w:r>
      <w:r>
        <w:t>de</w:t>
      </w:r>
      <w:r>
        <w:rPr>
          <w:spacing w:val="-2"/>
        </w:rPr>
        <w:t xml:space="preserve"> </w:t>
      </w:r>
      <w:r>
        <w:t>2015,</w:t>
      </w:r>
      <w:r>
        <w:rPr>
          <w:spacing w:val="-5"/>
        </w:rPr>
        <w:t xml:space="preserve"> </w:t>
      </w:r>
      <w:r>
        <w:t>los</w:t>
      </w:r>
      <w:r>
        <w:rPr>
          <w:spacing w:val="-3"/>
        </w:rPr>
        <w:t xml:space="preserve"> </w:t>
      </w:r>
      <w:r>
        <w:t>cuales</w:t>
      </w:r>
      <w:r>
        <w:rPr>
          <w:spacing w:val="-2"/>
        </w:rPr>
        <w:t xml:space="preserve"> </w:t>
      </w:r>
      <w:r>
        <w:t>son:</w:t>
      </w:r>
    </w:p>
    <w:p w14:paraId="2C2FCF22" w14:textId="3455455C" w:rsidR="006755B3" w:rsidRDefault="006755B3" w:rsidP="006755B3">
      <w:pPr>
        <w:pStyle w:val="TableParagraph"/>
        <w:spacing w:before="158"/>
        <w:ind w:right="38"/>
        <w:jc w:val="both"/>
      </w:pPr>
      <w:r>
        <w:t>Las Entidades Estatales deben establecer los requisitos habilitantes de forma adecuada y proporcional a la</w:t>
      </w:r>
      <w:r>
        <w:rPr>
          <w:spacing w:val="1"/>
        </w:rPr>
        <w:t xml:space="preserve"> </w:t>
      </w:r>
      <w:r>
        <w:t>naturaleza y valor del contrato. Es muy importante comprender el alcance de</w:t>
      </w:r>
      <w:r>
        <w:rPr>
          <w:spacing w:val="1"/>
        </w:rPr>
        <w:t xml:space="preserve"> </w:t>
      </w:r>
      <w:r>
        <w:t>la expresión adecuada y</w:t>
      </w:r>
      <w:r>
        <w:rPr>
          <w:spacing w:val="1"/>
        </w:rPr>
        <w:t xml:space="preserve"> </w:t>
      </w:r>
      <w:r>
        <w:rPr>
          <w:spacing w:val="-1"/>
        </w:rPr>
        <w:t>proporcional</w:t>
      </w:r>
      <w:r>
        <w:rPr>
          <w:spacing w:val="-15"/>
        </w:rPr>
        <w:t xml:space="preserve"> </w:t>
      </w:r>
      <w:r>
        <w:rPr>
          <w:spacing w:val="-1"/>
        </w:rPr>
        <w:t>que</w:t>
      </w:r>
      <w:r>
        <w:rPr>
          <w:spacing w:val="-8"/>
        </w:rPr>
        <w:t xml:space="preserve"> </w:t>
      </w:r>
      <w:r>
        <w:rPr>
          <w:spacing w:val="-1"/>
        </w:rPr>
        <w:t>busca</w:t>
      </w:r>
      <w:r>
        <w:rPr>
          <w:spacing w:val="-8"/>
        </w:rPr>
        <w:t xml:space="preserve"> </w:t>
      </w:r>
      <w:r>
        <w:rPr>
          <w:spacing w:val="-1"/>
        </w:rPr>
        <w:t>que</w:t>
      </w:r>
      <w:r>
        <w:rPr>
          <w:spacing w:val="-8"/>
        </w:rPr>
        <w:t xml:space="preserve"> </w:t>
      </w:r>
      <w:r>
        <w:rPr>
          <w:spacing w:val="-1"/>
        </w:rPr>
        <w:t>haya</w:t>
      </w:r>
      <w:r>
        <w:rPr>
          <w:spacing w:val="-8"/>
        </w:rPr>
        <w:t xml:space="preserve"> </w:t>
      </w:r>
      <w:r>
        <w:t>una</w:t>
      </w:r>
      <w:r>
        <w:rPr>
          <w:spacing w:val="-8"/>
        </w:rPr>
        <w:t xml:space="preserve"> </w:t>
      </w:r>
      <w:r>
        <w:t>relación</w:t>
      </w:r>
      <w:r>
        <w:rPr>
          <w:spacing w:val="-8"/>
        </w:rPr>
        <w:t xml:space="preserve"> </w:t>
      </w:r>
      <w:r>
        <w:t>entre</w:t>
      </w:r>
      <w:r>
        <w:rPr>
          <w:spacing w:val="-8"/>
        </w:rPr>
        <w:t xml:space="preserve"> </w:t>
      </w:r>
      <w:r>
        <w:t>el</w:t>
      </w:r>
      <w:r>
        <w:rPr>
          <w:spacing w:val="-11"/>
        </w:rPr>
        <w:t xml:space="preserve"> </w:t>
      </w:r>
      <w:r>
        <w:t>contrato</w:t>
      </w:r>
      <w:r>
        <w:rPr>
          <w:spacing w:val="-8"/>
        </w:rPr>
        <w:t xml:space="preserve"> </w:t>
      </w:r>
      <w:r>
        <w:t>y</w:t>
      </w:r>
      <w:r>
        <w:rPr>
          <w:spacing w:val="-7"/>
        </w:rPr>
        <w:t xml:space="preserve"> </w:t>
      </w:r>
      <w:r>
        <w:t>la</w:t>
      </w:r>
      <w:r>
        <w:rPr>
          <w:spacing w:val="-8"/>
        </w:rPr>
        <w:t xml:space="preserve"> </w:t>
      </w:r>
      <w:r>
        <w:t>experiencia</w:t>
      </w:r>
      <w:r>
        <w:rPr>
          <w:spacing w:val="-8"/>
        </w:rPr>
        <w:t xml:space="preserve"> </w:t>
      </w:r>
      <w:r>
        <w:t>del</w:t>
      </w:r>
      <w:r>
        <w:rPr>
          <w:spacing w:val="-6"/>
        </w:rPr>
        <w:t xml:space="preserve"> </w:t>
      </w:r>
      <w:r>
        <w:t>proponente</w:t>
      </w:r>
      <w:r>
        <w:rPr>
          <w:spacing w:val="-8"/>
        </w:rPr>
        <w:t xml:space="preserve"> </w:t>
      </w:r>
      <w:r>
        <w:t>y</w:t>
      </w:r>
      <w:r>
        <w:rPr>
          <w:spacing w:val="-12"/>
        </w:rPr>
        <w:t xml:space="preserve"> </w:t>
      </w:r>
      <w:r>
        <w:t>su</w:t>
      </w:r>
      <w:r>
        <w:rPr>
          <w:spacing w:val="-8"/>
        </w:rPr>
        <w:t xml:space="preserve"> </w:t>
      </w:r>
      <w:r>
        <w:t>capacidad</w:t>
      </w:r>
      <w:r>
        <w:rPr>
          <w:spacing w:val="-59"/>
        </w:rPr>
        <w:t xml:space="preserve"> </w:t>
      </w:r>
      <w:r>
        <w:rPr>
          <w:spacing w:val="-1"/>
        </w:rPr>
        <w:t>jurídica,</w:t>
      </w:r>
      <w:r>
        <w:rPr>
          <w:spacing w:val="-14"/>
        </w:rPr>
        <w:t xml:space="preserve"> </w:t>
      </w:r>
      <w:r>
        <w:rPr>
          <w:spacing w:val="-1"/>
        </w:rPr>
        <w:t>financiera</w:t>
      </w:r>
      <w:r>
        <w:rPr>
          <w:spacing w:val="-11"/>
        </w:rPr>
        <w:t xml:space="preserve"> </w:t>
      </w:r>
      <w:r>
        <w:t>y</w:t>
      </w:r>
      <w:r>
        <w:rPr>
          <w:spacing w:val="-15"/>
        </w:rPr>
        <w:t xml:space="preserve"> </w:t>
      </w:r>
      <w:r>
        <w:t>organizacional.</w:t>
      </w:r>
      <w:r>
        <w:rPr>
          <w:spacing w:val="-14"/>
        </w:rPr>
        <w:t xml:space="preserve"> </w:t>
      </w:r>
      <w:r>
        <w:t>Es</w:t>
      </w:r>
      <w:r>
        <w:rPr>
          <w:spacing w:val="-11"/>
        </w:rPr>
        <w:t xml:space="preserve"> </w:t>
      </w:r>
      <w:r>
        <w:t>decir,</w:t>
      </w:r>
      <w:r>
        <w:rPr>
          <w:spacing w:val="-10"/>
        </w:rPr>
        <w:t xml:space="preserve"> </w:t>
      </w:r>
      <w:r>
        <w:t>los</w:t>
      </w:r>
      <w:r>
        <w:rPr>
          <w:spacing w:val="-11"/>
        </w:rPr>
        <w:t xml:space="preserve"> </w:t>
      </w:r>
      <w:r>
        <w:t>requisitos</w:t>
      </w:r>
      <w:r>
        <w:rPr>
          <w:spacing w:val="-11"/>
        </w:rPr>
        <w:t xml:space="preserve"> </w:t>
      </w:r>
      <w:r>
        <w:t>habilitantes</w:t>
      </w:r>
      <w:r>
        <w:rPr>
          <w:spacing w:val="-11"/>
        </w:rPr>
        <w:t xml:space="preserve"> </w:t>
      </w:r>
      <w:r>
        <w:t>exigidos</w:t>
      </w:r>
      <w:r>
        <w:rPr>
          <w:spacing w:val="-11"/>
        </w:rPr>
        <w:t xml:space="preserve"> </w:t>
      </w:r>
      <w:r>
        <w:t>deben</w:t>
      </w:r>
      <w:r>
        <w:rPr>
          <w:spacing w:val="-11"/>
        </w:rPr>
        <w:t xml:space="preserve"> </w:t>
      </w:r>
      <w:r>
        <w:t>guardar</w:t>
      </w:r>
      <w:r>
        <w:rPr>
          <w:spacing w:val="-14"/>
        </w:rPr>
        <w:t xml:space="preserve"> </w:t>
      </w:r>
      <w:r>
        <w:t>proporción</w:t>
      </w:r>
      <w:r>
        <w:rPr>
          <w:spacing w:val="-11"/>
        </w:rPr>
        <w:t xml:space="preserve"> </w:t>
      </w:r>
      <w:r>
        <w:t>con</w:t>
      </w:r>
      <w:r>
        <w:rPr>
          <w:spacing w:val="-59"/>
        </w:rPr>
        <w:t xml:space="preserve"> </w:t>
      </w:r>
      <w:r>
        <w:t>el objeto del contrato, su valor, complejidad, plazo, forma de pago y el Riesgo asociado al Proceso de</w:t>
      </w:r>
      <w:r>
        <w:rPr>
          <w:spacing w:val="1"/>
        </w:rPr>
        <w:t xml:space="preserve"> </w:t>
      </w:r>
      <w:r>
        <w:t>Contratación.</w:t>
      </w:r>
    </w:p>
    <w:p w14:paraId="4652A7BF" w14:textId="6BFA359B" w:rsidR="00C21289" w:rsidRDefault="00C21289" w:rsidP="006755B3">
      <w:pPr>
        <w:pStyle w:val="TableParagraph"/>
        <w:spacing w:before="158"/>
        <w:ind w:right="38"/>
        <w:jc w:val="both"/>
      </w:pPr>
    </w:p>
    <w:p w14:paraId="2C66734C" w14:textId="77777777" w:rsidR="00C21289" w:rsidRPr="003C4D4E" w:rsidRDefault="00C21289" w:rsidP="00C21289">
      <w:pPr>
        <w:pStyle w:val="TableParagraph"/>
        <w:jc w:val="both"/>
        <w:rPr>
          <w:b/>
          <w:bCs/>
        </w:rPr>
      </w:pPr>
      <w:r w:rsidRPr="003C4D4E">
        <w:rPr>
          <w:b/>
          <w:bCs/>
        </w:rPr>
        <w:t>Indicadores Financieros</w:t>
      </w:r>
    </w:p>
    <w:p w14:paraId="7161F7EF" w14:textId="77777777" w:rsidR="00C21289" w:rsidRDefault="00C21289" w:rsidP="00C21289">
      <w:pPr>
        <w:pStyle w:val="TableParagraph"/>
        <w:jc w:val="both"/>
      </w:pPr>
    </w:p>
    <w:p w14:paraId="5671770C" w14:textId="77777777" w:rsidR="00C21289" w:rsidRDefault="00C21289" w:rsidP="00C21289">
      <w:pPr>
        <w:pStyle w:val="TableParagraph"/>
        <w:jc w:val="both"/>
      </w:pPr>
      <w:r w:rsidRPr="003C4D4E">
        <w:t>INDICADORES CAPACIDAD FINANCIERA</w:t>
      </w:r>
      <w:r>
        <w:t>:</w:t>
      </w:r>
    </w:p>
    <w:p w14:paraId="59F0DE80" w14:textId="77777777" w:rsidR="00C21289" w:rsidRDefault="00C21289" w:rsidP="00C21289">
      <w:pPr>
        <w:pStyle w:val="TableParagraph"/>
        <w:jc w:val="both"/>
      </w:pPr>
    </w:p>
    <w:p w14:paraId="0894B7DC" w14:textId="77777777" w:rsidR="00C21289" w:rsidRDefault="00C21289">
      <w:pPr>
        <w:pStyle w:val="TableParagraph"/>
        <w:numPr>
          <w:ilvl w:val="0"/>
          <w:numId w:val="20"/>
        </w:numPr>
        <w:jc w:val="both"/>
      </w:pPr>
      <w:r>
        <w:t>Índice de Liquidez: (Activo Corriente / Pasivo Corriente), el cual determina la capacidad que tiene un proponente para cumplir con sus obligaciones de corto plazo. A mayor índice de liquidez, menor es la probabilidad de que el proponente incumpla sus obligaciones de corto plazo.</w:t>
      </w:r>
    </w:p>
    <w:p w14:paraId="4C5E20DA" w14:textId="7B178C1C" w:rsidR="00C21289" w:rsidRDefault="00C57AED" w:rsidP="00C21289">
      <w:pPr>
        <w:pStyle w:val="TableParagraph"/>
        <w:jc w:val="both"/>
      </w:pPr>
      <w:r>
        <w:rPr>
          <w:noProof/>
        </w:rPr>
        <mc:AlternateContent>
          <mc:Choice Requires="wps">
            <w:drawing>
              <wp:anchor distT="0" distB="0" distL="114300" distR="114300" simplePos="0" relativeHeight="251665408" behindDoc="0" locked="0" layoutInCell="1" allowOverlap="1" wp14:anchorId="47361CC7" wp14:editId="1B1B6719">
                <wp:simplePos x="0" y="0"/>
                <wp:positionH relativeFrom="page">
                  <wp:posOffset>661670</wp:posOffset>
                </wp:positionH>
                <wp:positionV relativeFrom="page">
                  <wp:posOffset>7274722</wp:posOffset>
                </wp:positionV>
                <wp:extent cx="6515100" cy="762000"/>
                <wp:effectExtent l="0" t="0" r="0" b="0"/>
                <wp:wrapNone/>
                <wp:docPr id="163"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1510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3"/>
                              <w:gridCol w:w="1848"/>
                              <w:gridCol w:w="7083"/>
                            </w:tblGrid>
                            <w:tr w:rsidR="00C21289" w14:paraId="1169D77A" w14:textId="77777777">
                              <w:trPr>
                                <w:trHeight w:val="609"/>
                              </w:trPr>
                              <w:tc>
                                <w:tcPr>
                                  <w:tcW w:w="1313" w:type="dxa"/>
                                  <w:vMerge w:val="restart"/>
                                </w:tcPr>
                                <w:p w14:paraId="5B871F52" w14:textId="77777777" w:rsidR="00C21289" w:rsidRDefault="00C21289">
                                  <w:pPr>
                                    <w:pStyle w:val="TableParagraph"/>
                                    <w:spacing w:before="2"/>
                                    <w:rPr>
                                      <w:rFonts w:ascii="Times New Roman"/>
                                      <w:sz w:val="31"/>
                                    </w:rPr>
                                  </w:pPr>
                                </w:p>
                                <w:p w14:paraId="69C96D85" w14:textId="77777777" w:rsidR="00C21289" w:rsidRDefault="00C21289">
                                  <w:pPr>
                                    <w:pStyle w:val="TableParagraph"/>
                                    <w:spacing w:before="1"/>
                                    <w:ind w:left="107" w:right="173"/>
                                    <w:rPr>
                                      <w:sz w:val="20"/>
                                    </w:rPr>
                                  </w:pPr>
                                  <w:r>
                                    <w:rPr>
                                      <w:spacing w:val="-1"/>
                                      <w:sz w:val="20"/>
                                    </w:rPr>
                                    <w:t>INDICE DE</w:t>
                                  </w:r>
                                  <w:r>
                                    <w:rPr>
                                      <w:spacing w:val="-53"/>
                                      <w:sz w:val="20"/>
                                    </w:rPr>
                                    <w:t xml:space="preserve"> </w:t>
                                  </w:r>
                                  <w:r>
                                    <w:rPr>
                                      <w:sz w:val="20"/>
                                    </w:rPr>
                                    <w:t>LIQUIDEZ</w:t>
                                  </w:r>
                                </w:p>
                              </w:tc>
                              <w:tc>
                                <w:tcPr>
                                  <w:tcW w:w="1848" w:type="dxa"/>
                                </w:tcPr>
                                <w:p w14:paraId="6F7B7442" w14:textId="77777777" w:rsidR="00C21289" w:rsidRDefault="00C21289">
                                  <w:pPr>
                                    <w:pStyle w:val="TableParagraph"/>
                                    <w:spacing w:before="189"/>
                                    <w:ind w:left="107"/>
                                    <w:rPr>
                                      <w:sz w:val="20"/>
                                    </w:rPr>
                                  </w:pPr>
                                  <w:r>
                                    <w:rPr>
                                      <w:sz w:val="20"/>
                                    </w:rPr>
                                    <w:t>INFERIOR</w:t>
                                  </w:r>
                                  <w:r>
                                    <w:rPr>
                                      <w:spacing w:val="-6"/>
                                      <w:sz w:val="20"/>
                                    </w:rPr>
                                    <w:t xml:space="preserve"> </w:t>
                                  </w:r>
                                  <w:r>
                                    <w:rPr>
                                      <w:sz w:val="20"/>
                                    </w:rPr>
                                    <w:t>A</w:t>
                                  </w:r>
                                  <w:r>
                                    <w:rPr>
                                      <w:spacing w:val="-7"/>
                                      <w:sz w:val="20"/>
                                    </w:rPr>
                                    <w:t xml:space="preserve"> </w:t>
                                  </w:r>
                                  <w:r>
                                    <w:rPr>
                                      <w:sz w:val="20"/>
                                    </w:rPr>
                                    <w:t>1,0</w:t>
                                  </w:r>
                                </w:p>
                              </w:tc>
                              <w:tc>
                                <w:tcPr>
                                  <w:tcW w:w="7083" w:type="dxa"/>
                                </w:tcPr>
                                <w:p w14:paraId="6E280C39" w14:textId="77777777" w:rsidR="00C21289" w:rsidRDefault="00C21289">
                                  <w:pPr>
                                    <w:pStyle w:val="TableParagraph"/>
                                    <w:spacing w:before="74"/>
                                    <w:ind w:left="108"/>
                                    <w:rPr>
                                      <w:sz w:val="20"/>
                                    </w:rPr>
                                  </w:pPr>
                                  <w:r>
                                    <w:rPr>
                                      <w:sz w:val="20"/>
                                    </w:rPr>
                                    <w:t>Alto</w:t>
                                  </w:r>
                                  <w:r>
                                    <w:rPr>
                                      <w:spacing w:val="32"/>
                                      <w:sz w:val="20"/>
                                    </w:rPr>
                                    <w:t xml:space="preserve"> </w:t>
                                  </w:r>
                                  <w:r>
                                    <w:rPr>
                                      <w:sz w:val="20"/>
                                    </w:rPr>
                                    <w:t>riesgo</w:t>
                                  </w:r>
                                  <w:r>
                                    <w:rPr>
                                      <w:spacing w:val="33"/>
                                      <w:sz w:val="20"/>
                                    </w:rPr>
                                    <w:t xml:space="preserve"> </w:t>
                                  </w:r>
                                  <w:r>
                                    <w:rPr>
                                      <w:sz w:val="20"/>
                                    </w:rPr>
                                    <w:t>financiero</w:t>
                                  </w:r>
                                  <w:r>
                                    <w:rPr>
                                      <w:spacing w:val="38"/>
                                      <w:sz w:val="20"/>
                                    </w:rPr>
                                    <w:t xml:space="preserve"> </w:t>
                                  </w:r>
                                  <w:r>
                                    <w:rPr>
                                      <w:sz w:val="20"/>
                                    </w:rPr>
                                    <w:t>(Mas</w:t>
                                  </w:r>
                                  <w:r>
                                    <w:rPr>
                                      <w:spacing w:val="39"/>
                                      <w:sz w:val="20"/>
                                    </w:rPr>
                                    <w:t xml:space="preserve"> </w:t>
                                  </w:r>
                                  <w:r>
                                    <w:rPr>
                                      <w:sz w:val="20"/>
                                    </w:rPr>
                                    <w:t>pasivos</w:t>
                                  </w:r>
                                  <w:r>
                                    <w:rPr>
                                      <w:spacing w:val="38"/>
                                      <w:sz w:val="20"/>
                                    </w:rPr>
                                    <w:t xml:space="preserve"> </w:t>
                                  </w:r>
                                  <w:r>
                                    <w:rPr>
                                      <w:sz w:val="20"/>
                                    </w:rPr>
                                    <w:t>corrientes</w:t>
                                  </w:r>
                                  <w:r>
                                    <w:rPr>
                                      <w:spacing w:val="39"/>
                                      <w:sz w:val="20"/>
                                    </w:rPr>
                                    <w:t xml:space="preserve"> </w:t>
                                  </w:r>
                                  <w:r>
                                    <w:rPr>
                                      <w:sz w:val="20"/>
                                    </w:rPr>
                                    <w:t>que</w:t>
                                  </w:r>
                                  <w:r>
                                    <w:rPr>
                                      <w:spacing w:val="36"/>
                                      <w:sz w:val="20"/>
                                    </w:rPr>
                                    <w:t xml:space="preserve"> </w:t>
                                  </w:r>
                                  <w:r>
                                    <w:rPr>
                                      <w:sz w:val="20"/>
                                    </w:rPr>
                                    <w:t>activos).</w:t>
                                  </w:r>
                                  <w:r>
                                    <w:rPr>
                                      <w:spacing w:val="36"/>
                                      <w:sz w:val="20"/>
                                    </w:rPr>
                                    <w:t xml:space="preserve"> </w:t>
                                  </w:r>
                                  <w:r>
                                    <w:rPr>
                                      <w:sz w:val="20"/>
                                    </w:rPr>
                                    <w:t>posibilidad</w:t>
                                  </w:r>
                                  <w:r>
                                    <w:rPr>
                                      <w:spacing w:val="40"/>
                                      <w:sz w:val="20"/>
                                    </w:rPr>
                                    <w:t xml:space="preserve"> </w:t>
                                  </w:r>
                                  <w:r>
                                    <w:rPr>
                                      <w:sz w:val="20"/>
                                    </w:rPr>
                                    <w:t>de</w:t>
                                  </w:r>
                                  <w:r>
                                    <w:rPr>
                                      <w:spacing w:val="-53"/>
                                      <w:sz w:val="20"/>
                                    </w:rPr>
                                    <w:t xml:space="preserve"> </w:t>
                                  </w:r>
                                  <w:r>
                                    <w:rPr>
                                      <w:sz w:val="20"/>
                                    </w:rPr>
                                    <w:t>impago</w:t>
                                  </w:r>
                                  <w:r>
                                    <w:rPr>
                                      <w:spacing w:val="-2"/>
                                      <w:sz w:val="20"/>
                                    </w:rPr>
                                    <w:t xml:space="preserve"> </w:t>
                                  </w:r>
                                  <w:r>
                                    <w:rPr>
                                      <w:sz w:val="20"/>
                                    </w:rPr>
                                    <w:t>de</w:t>
                                  </w:r>
                                  <w:r>
                                    <w:rPr>
                                      <w:spacing w:val="-3"/>
                                      <w:sz w:val="20"/>
                                    </w:rPr>
                                    <w:t xml:space="preserve"> </w:t>
                                  </w:r>
                                  <w:r>
                                    <w:rPr>
                                      <w:sz w:val="20"/>
                                    </w:rPr>
                                    <w:t>deudas.</w:t>
                                  </w:r>
                                </w:p>
                              </w:tc>
                            </w:tr>
                            <w:tr w:rsidR="00C21289" w14:paraId="4B30941C" w14:textId="77777777">
                              <w:trPr>
                                <w:trHeight w:val="561"/>
                              </w:trPr>
                              <w:tc>
                                <w:tcPr>
                                  <w:tcW w:w="1313" w:type="dxa"/>
                                  <w:vMerge/>
                                  <w:tcBorders>
                                    <w:top w:val="nil"/>
                                  </w:tcBorders>
                                </w:tcPr>
                                <w:p w14:paraId="247C2509" w14:textId="77777777" w:rsidR="00C21289" w:rsidRDefault="00C21289">
                                  <w:pPr>
                                    <w:rPr>
                                      <w:sz w:val="2"/>
                                      <w:szCs w:val="2"/>
                                    </w:rPr>
                                  </w:pPr>
                                </w:p>
                              </w:tc>
                              <w:tc>
                                <w:tcPr>
                                  <w:tcW w:w="1848" w:type="dxa"/>
                                </w:tcPr>
                                <w:p w14:paraId="49A58936" w14:textId="77777777" w:rsidR="00C21289" w:rsidRDefault="00C21289">
                                  <w:pPr>
                                    <w:pStyle w:val="TableParagraph"/>
                                    <w:spacing w:before="165"/>
                                    <w:ind w:left="107"/>
                                    <w:rPr>
                                      <w:sz w:val="20"/>
                                    </w:rPr>
                                  </w:pPr>
                                  <w:r>
                                    <w:rPr>
                                      <w:sz w:val="20"/>
                                    </w:rPr>
                                    <w:t>SUPERIOR</w:t>
                                  </w:r>
                                  <w:r>
                                    <w:rPr>
                                      <w:spacing w:val="-6"/>
                                      <w:sz w:val="20"/>
                                    </w:rPr>
                                    <w:t xml:space="preserve"> </w:t>
                                  </w:r>
                                  <w:r>
                                    <w:rPr>
                                      <w:sz w:val="20"/>
                                    </w:rPr>
                                    <w:t>A</w:t>
                                  </w:r>
                                  <w:r>
                                    <w:rPr>
                                      <w:spacing w:val="-6"/>
                                      <w:sz w:val="20"/>
                                    </w:rPr>
                                    <w:t xml:space="preserve"> </w:t>
                                  </w:r>
                                  <w:r>
                                    <w:rPr>
                                      <w:sz w:val="20"/>
                                    </w:rPr>
                                    <w:t>2,0</w:t>
                                  </w:r>
                                </w:p>
                              </w:tc>
                              <w:tc>
                                <w:tcPr>
                                  <w:tcW w:w="7083" w:type="dxa"/>
                                </w:tcPr>
                                <w:p w14:paraId="6E8DA645" w14:textId="77777777" w:rsidR="00C21289" w:rsidRDefault="00C21289">
                                  <w:pPr>
                                    <w:pStyle w:val="TableParagraph"/>
                                    <w:spacing w:before="50"/>
                                    <w:ind w:left="108"/>
                                    <w:rPr>
                                      <w:sz w:val="20"/>
                                    </w:rPr>
                                  </w:pPr>
                                  <w:r>
                                    <w:rPr>
                                      <w:sz w:val="20"/>
                                    </w:rPr>
                                    <w:t>Bajo</w:t>
                                  </w:r>
                                  <w:r>
                                    <w:rPr>
                                      <w:spacing w:val="1"/>
                                      <w:sz w:val="20"/>
                                    </w:rPr>
                                    <w:t xml:space="preserve"> </w:t>
                                  </w:r>
                                  <w:r>
                                    <w:rPr>
                                      <w:sz w:val="20"/>
                                    </w:rPr>
                                    <w:t>riesgo</w:t>
                                  </w:r>
                                  <w:r>
                                    <w:rPr>
                                      <w:spacing w:val="1"/>
                                      <w:sz w:val="20"/>
                                    </w:rPr>
                                    <w:t xml:space="preserve"> </w:t>
                                  </w:r>
                                  <w:r>
                                    <w:rPr>
                                      <w:sz w:val="20"/>
                                    </w:rPr>
                                    <w:t>financiero</w:t>
                                  </w:r>
                                  <w:r>
                                    <w:rPr>
                                      <w:spacing w:val="1"/>
                                      <w:sz w:val="20"/>
                                    </w:rPr>
                                    <w:t xml:space="preserve"> </w:t>
                                  </w:r>
                                  <w:r>
                                    <w:rPr>
                                      <w:sz w:val="20"/>
                                    </w:rPr>
                                    <w:t>(Más</w:t>
                                  </w:r>
                                  <w:r>
                                    <w:rPr>
                                      <w:spacing w:val="1"/>
                                      <w:sz w:val="20"/>
                                    </w:rPr>
                                    <w:t xml:space="preserve"> </w:t>
                                  </w:r>
                                  <w:r>
                                    <w:rPr>
                                      <w:sz w:val="20"/>
                                    </w:rPr>
                                    <w:t>del</w:t>
                                  </w:r>
                                  <w:r>
                                    <w:rPr>
                                      <w:spacing w:val="1"/>
                                      <w:sz w:val="20"/>
                                    </w:rPr>
                                    <w:t xml:space="preserve"> </w:t>
                                  </w:r>
                                  <w:r>
                                    <w:rPr>
                                      <w:sz w:val="20"/>
                                    </w:rPr>
                                    <w:t>doble</w:t>
                                  </w:r>
                                  <w:r>
                                    <w:rPr>
                                      <w:spacing w:val="1"/>
                                      <w:sz w:val="20"/>
                                    </w:rPr>
                                    <w:t xml:space="preserve"> </w:t>
                                  </w:r>
                                  <w:r>
                                    <w:rPr>
                                      <w:sz w:val="20"/>
                                    </w:rPr>
                                    <w:t>de</w:t>
                                  </w:r>
                                  <w:r>
                                    <w:rPr>
                                      <w:spacing w:val="1"/>
                                      <w:sz w:val="20"/>
                                    </w:rPr>
                                    <w:t xml:space="preserve"> </w:t>
                                  </w:r>
                                  <w:r>
                                    <w:rPr>
                                      <w:sz w:val="20"/>
                                    </w:rPr>
                                    <w:t>activos</w:t>
                                  </w:r>
                                  <w:r>
                                    <w:rPr>
                                      <w:spacing w:val="1"/>
                                      <w:sz w:val="20"/>
                                    </w:rPr>
                                    <w:t xml:space="preserve"> </w:t>
                                  </w:r>
                                  <w:r>
                                    <w:rPr>
                                      <w:sz w:val="20"/>
                                    </w:rPr>
                                    <w:t>corrientes</w:t>
                                  </w:r>
                                  <w:r>
                                    <w:rPr>
                                      <w:spacing w:val="1"/>
                                      <w:sz w:val="20"/>
                                    </w:rPr>
                                    <w:t xml:space="preserve"> </w:t>
                                  </w:r>
                                  <w:r>
                                    <w:rPr>
                                      <w:sz w:val="20"/>
                                    </w:rPr>
                                    <w:t>que</w:t>
                                  </w:r>
                                  <w:r>
                                    <w:rPr>
                                      <w:spacing w:val="1"/>
                                      <w:sz w:val="20"/>
                                    </w:rPr>
                                    <w:t xml:space="preserve"> </w:t>
                                  </w:r>
                                  <w:r>
                                    <w:rPr>
                                      <w:sz w:val="20"/>
                                    </w:rPr>
                                    <w:t>pasivos</w:t>
                                  </w:r>
                                  <w:r>
                                    <w:rPr>
                                      <w:spacing w:val="-53"/>
                                      <w:sz w:val="20"/>
                                    </w:rPr>
                                    <w:t xml:space="preserve"> </w:t>
                                  </w:r>
                                  <w:r>
                                    <w:rPr>
                                      <w:sz w:val="20"/>
                                    </w:rPr>
                                    <w:t>corrientes).</w:t>
                                  </w:r>
                                  <w:r>
                                    <w:rPr>
                                      <w:spacing w:val="-5"/>
                                      <w:sz w:val="20"/>
                                    </w:rPr>
                                    <w:t xml:space="preserve"> </w:t>
                                  </w:r>
                                  <w:r>
                                    <w:rPr>
                                      <w:sz w:val="20"/>
                                    </w:rPr>
                                    <w:t>Empresa</w:t>
                                  </w:r>
                                  <w:r>
                                    <w:rPr>
                                      <w:spacing w:val="-5"/>
                                      <w:sz w:val="20"/>
                                    </w:rPr>
                                    <w:t xml:space="preserve"> </w:t>
                                  </w:r>
                                  <w:r>
                                    <w:rPr>
                                      <w:sz w:val="20"/>
                                    </w:rPr>
                                    <w:t>tiene</w:t>
                                  </w:r>
                                  <w:r>
                                    <w:rPr>
                                      <w:spacing w:val="28"/>
                                      <w:sz w:val="20"/>
                                    </w:rPr>
                                    <w:t xml:space="preserve"> </w:t>
                                  </w:r>
                                  <w:r>
                                    <w:rPr>
                                      <w:sz w:val="20"/>
                                    </w:rPr>
                                    <w:t>activos</w:t>
                                  </w:r>
                                  <w:r>
                                    <w:rPr>
                                      <w:spacing w:val="-4"/>
                                      <w:sz w:val="20"/>
                                    </w:rPr>
                                    <w:t xml:space="preserve"> </w:t>
                                  </w:r>
                                  <w:r>
                                    <w:rPr>
                                      <w:sz w:val="20"/>
                                    </w:rPr>
                                    <w:t>disponibles</w:t>
                                  </w:r>
                                  <w:r>
                                    <w:rPr>
                                      <w:spacing w:val="-4"/>
                                      <w:sz w:val="20"/>
                                    </w:rPr>
                                    <w:t xml:space="preserve"> </w:t>
                                  </w:r>
                                  <w:r>
                                    <w:rPr>
                                      <w:sz w:val="20"/>
                                    </w:rPr>
                                    <w:t>para</w:t>
                                  </w:r>
                                  <w:r>
                                    <w:rPr>
                                      <w:spacing w:val="-5"/>
                                      <w:sz w:val="20"/>
                                    </w:rPr>
                                    <w:t xml:space="preserve"> </w:t>
                                  </w:r>
                                  <w:r>
                                    <w:rPr>
                                      <w:sz w:val="20"/>
                                    </w:rPr>
                                    <w:t>respaldar</w:t>
                                  </w:r>
                                  <w:r>
                                    <w:rPr>
                                      <w:spacing w:val="-2"/>
                                      <w:sz w:val="20"/>
                                    </w:rPr>
                                    <w:t xml:space="preserve"> </w:t>
                                  </w:r>
                                  <w:r>
                                    <w:rPr>
                                      <w:sz w:val="20"/>
                                    </w:rPr>
                                    <w:t>deudas.</w:t>
                                  </w:r>
                                </w:p>
                              </w:tc>
                            </w:tr>
                          </w:tbl>
                          <w:p w14:paraId="21AED782" w14:textId="77777777" w:rsidR="00C21289" w:rsidRDefault="00C21289" w:rsidP="00C2128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361CC7" id="_x0000_t202" coordsize="21600,21600" o:spt="202" path="m,l,21600r21600,l21600,xe">
                <v:stroke joinstyle="miter"/>
                <v:path gradientshapeok="t" o:connecttype="rect"/>
              </v:shapetype>
              <v:shape id="Text Box 105" o:spid="_x0000_s1026" type="#_x0000_t202" style="position:absolute;left:0;text-align:left;margin-left:52.1pt;margin-top:572.8pt;width:513pt;height:60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" filled="f" stroked="f">
                <v:path arrowok="t"/>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13"/>
                        <w:gridCol w:w="1848"/>
                        <w:gridCol w:w="7083"/>
                      </w:tblGrid>
                      <w:tr w:rsidR="00C21289" w14:paraId="1169D77A" w14:textId="77777777">
                        <w:trPr>
                          <w:trHeight w:val="609"/>
                        </w:trPr>
                        <w:tc>
                          <w:tcPr>
                            <w:tcW w:w="1313" w:type="dxa"/>
                            <w:vMerge w:val="restart"/>
                          </w:tcPr>
                          <w:p w14:paraId="5B871F52" w14:textId="77777777" w:rsidR="00C21289" w:rsidRDefault="00C21289">
                            <w:pPr>
                              <w:pStyle w:val="TableParagraph"/>
                              <w:spacing w:before="2"/>
                              <w:rPr>
                                <w:rFonts w:ascii="Times New Roman"/>
                                <w:sz w:val="31"/>
                              </w:rPr>
                            </w:pPr>
                          </w:p>
                          <w:p w14:paraId="69C96D85" w14:textId="77777777" w:rsidR="00C21289" w:rsidRDefault="00C21289">
                            <w:pPr>
                              <w:pStyle w:val="TableParagraph"/>
                              <w:spacing w:before="1"/>
                              <w:ind w:left="107" w:right="173"/>
                              <w:rPr>
                                <w:sz w:val="20"/>
                              </w:rPr>
                            </w:pPr>
                            <w:r>
                              <w:rPr>
                                <w:spacing w:val="-1"/>
                                <w:sz w:val="20"/>
                              </w:rPr>
                              <w:t>INDICE DE</w:t>
                            </w:r>
                            <w:r>
                              <w:rPr>
                                <w:spacing w:val="-53"/>
                                <w:sz w:val="20"/>
                              </w:rPr>
                              <w:t xml:space="preserve"> </w:t>
                            </w:r>
                            <w:r>
                              <w:rPr>
                                <w:sz w:val="20"/>
                              </w:rPr>
                              <w:t>LIQUIDEZ</w:t>
                            </w:r>
                          </w:p>
                        </w:tc>
                        <w:tc>
                          <w:tcPr>
                            <w:tcW w:w="1848" w:type="dxa"/>
                          </w:tcPr>
                          <w:p w14:paraId="6F7B7442" w14:textId="77777777" w:rsidR="00C21289" w:rsidRDefault="00C21289">
                            <w:pPr>
                              <w:pStyle w:val="TableParagraph"/>
                              <w:spacing w:before="189"/>
                              <w:ind w:left="107"/>
                              <w:rPr>
                                <w:sz w:val="20"/>
                              </w:rPr>
                            </w:pPr>
                            <w:r>
                              <w:rPr>
                                <w:sz w:val="20"/>
                              </w:rPr>
                              <w:t>INFERIOR</w:t>
                            </w:r>
                            <w:r>
                              <w:rPr>
                                <w:spacing w:val="-6"/>
                                <w:sz w:val="20"/>
                              </w:rPr>
                              <w:t xml:space="preserve"> </w:t>
                            </w:r>
                            <w:r>
                              <w:rPr>
                                <w:sz w:val="20"/>
                              </w:rPr>
                              <w:t>A</w:t>
                            </w:r>
                            <w:r>
                              <w:rPr>
                                <w:spacing w:val="-7"/>
                                <w:sz w:val="20"/>
                              </w:rPr>
                              <w:t xml:space="preserve"> </w:t>
                            </w:r>
                            <w:r>
                              <w:rPr>
                                <w:sz w:val="20"/>
                              </w:rPr>
                              <w:t>1,0</w:t>
                            </w:r>
                          </w:p>
                        </w:tc>
                        <w:tc>
                          <w:tcPr>
                            <w:tcW w:w="7083" w:type="dxa"/>
                          </w:tcPr>
                          <w:p w14:paraId="6E280C39" w14:textId="77777777" w:rsidR="00C21289" w:rsidRDefault="00C21289">
                            <w:pPr>
                              <w:pStyle w:val="TableParagraph"/>
                              <w:spacing w:before="74"/>
                              <w:ind w:left="108"/>
                              <w:rPr>
                                <w:sz w:val="20"/>
                              </w:rPr>
                            </w:pPr>
                            <w:r>
                              <w:rPr>
                                <w:sz w:val="20"/>
                              </w:rPr>
                              <w:t>Alto</w:t>
                            </w:r>
                            <w:r>
                              <w:rPr>
                                <w:spacing w:val="32"/>
                                <w:sz w:val="20"/>
                              </w:rPr>
                              <w:t xml:space="preserve"> </w:t>
                            </w:r>
                            <w:r>
                              <w:rPr>
                                <w:sz w:val="20"/>
                              </w:rPr>
                              <w:t>riesgo</w:t>
                            </w:r>
                            <w:r>
                              <w:rPr>
                                <w:spacing w:val="33"/>
                                <w:sz w:val="20"/>
                              </w:rPr>
                              <w:t xml:space="preserve"> </w:t>
                            </w:r>
                            <w:r>
                              <w:rPr>
                                <w:sz w:val="20"/>
                              </w:rPr>
                              <w:t>financiero</w:t>
                            </w:r>
                            <w:r>
                              <w:rPr>
                                <w:spacing w:val="38"/>
                                <w:sz w:val="20"/>
                              </w:rPr>
                              <w:t xml:space="preserve"> </w:t>
                            </w:r>
                            <w:r>
                              <w:rPr>
                                <w:sz w:val="20"/>
                              </w:rPr>
                              <w:t>(Mas</w:t>
                            </w:r>
                            <w:r>
                              <w:rPr>
                                <w:spacing w:val="39"/>
                                <w:sz w:val="20"/>
                              </w:rPr>
                              <w:t xml:space="preserve"> </w:t>
                            </w:r>
                            <w:r>
                              <w:rPr>
                                <w:sz w:val="20"/>
                              </w:rPr>
                              <w:t>pasivos</w:t>
                            </w:r>
                            <w:r>
                              <w:rPr>
                                <w:spacing w:val="38"/>
                                <w:sz w:val="20"/>
                              </w:rPr>
                              <w:t xml:space="preserve"> </w:t>
                            </w:r>
                            <w:r>
                              <w:rPr>
                                <w:sz w:val="20"/>
                              </w:rPr>
                              <w:t>corrientes</w:t>
                            </w:r>
                            <w:r>
                              <w:rPr>
                                <w:spacing w:val="39"/>
                                <w:sz w:val="20"/>
                              </w:rPr>
                              <w:t xml:space="preserve"> </w:t>
                            </w:r>
                            <w:r>
                              <w:rPr>
                                <w:sz w:val="20"/>
                              </w:rPr>
                              <w:t>que</w:t>
                            </w:r>
                            <w:r>
                              <w:rPr>
                                <w:spacing w:val="36"/>
                                <w:sz w:val="20"/>
                              </w:rPr>
                              <w:t xml:space="preserve"> </w:t>
                            </w:r>
                            <w:r>
                              <w:rPr>
                                <w:sz w:val="20"/>
                              </w:rPr>
                              <w:t>activos).</w:t>
                            </w:r>
                            <w:r>
                              <w:rPr>
                                <w:spacing w:val="36"/>
                                <w:sz w:val="20"/>
                              </w:rPr>
                              <w:t xml:space="preserve"> </w:t>
                            </w:r>
                            <w:r>
                              <w:rPr>
                                <w:sz w:val="20"/>
                              </w:rPr>
                              <w:t>posibilidad</w:t>
                            </w:r>
                            <w:r>
                              <w:rPr>
                                <w:spacing w:val="40"/>
                                <w:sz w:val="20"/>
                              </w:rPr>
                              <w:t xml:space="preserve"> </w:t>
                            </w:r>
                            <w:r>
                              <w:rPr>
                                <w:sz w:val="20"/>
                              </w:rPr>
                              <w:t>de</w:t>
                            </w:r>
                            <w:r>
                              <w:rPr>
                                <w:spacing w:val="-53"/>
                                <w:sz w:val="20"/>
                              </w:rPr>
                              <w:t xml:space="preserve"> </w:t>
                            </w:r>
                            <w:r>
                              <w:rPr>
                                <w:sz w:val="20"/>
                              </w:rPr>
                              <w:t>impago</w:t>
                            </w:r>
                            <w:r>
                              <w:rPr>
                                <w:spacing w:val="-2"/>
                                <w:sz w:val="20"/>
                              </w:rPr>
                              <w:t xml:space="preserve"> </w:t>
                            </w:r>
                            <w:r>
                              <w:rPr>
                                <w:sz w:val="20"/>
                              </w:rPr>
                              <w:t>de</w:t>
                            </w:r>
                            <w:r>
                              <w:rPr>
                                <w:spacing w:val="-3"/>
                                <w:sz w:val="20"/>
                              </w:rPr>
                              <w:t xml:space="preserve"> </w:t>
                            </w:r>
                            <w:r>
                              <w:rPr>
                                <w:sz w:val="20"/>
                              </w:rPr>
                              <w:t>deudas.</w:t>
                            </w:r>
                          </w:p>
                        </w:tc>
                      </w:tr>
                      <w:tr w:rsidR="00C21289" w14:paraId="4B30941C" w14:textId="77777777">
                        <w:trPr>
                          <w:trHeight w:val="561"/>
                        </w:trPr>
                        <w:tc>
                          <w:tcPr>
                            <w:tcW w:w="1313" w:type="dxa"/>
                            <w:vMerge/>
                            <w:tcBorders>
                              <w:top w:val="nil"/>
                            </w:tcBorders>
                          </w:tcPr>
                          <w:p w14:paraId="247C2509" w14:textId="77777777" w:rsidR="00C21289" w:rsidRDefault="00C21289">
                            <w:pPr>
                              <w:rPr>
                                <w:sz w:val="2"/>
                                <w:szCs w:val="2"/>
                              </w:rPr>
                            </w:pPr>
                          </w:p>
                        </w:tc>
                        <w:tc>
                          <w:tcPr>
                            <w:tcW w:w="1848" w:type="dxa"/>
                          </w:tcPr>
                          <w:p w14:paraId="49A58936" w14:textId="77777777" w:rsidR="00C21289" w:rsidRDefault="00C21289">
                            <w:pPr>
                              <w:pStyle w:val="TableParagraph"/>
                              <w:spacing w:before="165"/>
                              <w:ind w:left="107"/>
                              <w:rPr>
                                <w:sz w:val="20"/>
                              </w:rPr>
                            </w:pPr>
                            <w:r>
                              <w:rPr>
                                <w:sz w:val="20"/>
                              </w:rPr>
                              <w:t>SUPERIOR</w:t>
                            </w:r>
                            <w:r>
                              <w:rPr>
                                <w:spacing w:val="-6"/>
                                <w:sz w:val="20"/>
                              </w:rPr>
                              <w:t xml:space="preserve"> </w:t>
                            </w:r>
                            <w:r>
                              <w:rPr>
                                <w:sz w:val="20"/>
                              </w:rPr>
                              <w:t>A</w:t>
                            </w:r>
                            <w:r>
                              <w:rPr>
                                <w:spacing w:val="-6"/>
                                <w:sz w:val="20"/>
                              </w:rPr>
                              <w:t xml:space="preserve"> </w:t>
                            </w:r>
                            <w:r>
                              <w:rPr>
                                <w:sz w:val="20"/>
                              </w:rPr>
                              <w:t>2,0</w:t>
                            </w:r>
                          </w:p>
                        </w:tc>
                        <w:tc>
                          <w:tcPr>
                            <w:tcW w:w="7083" w:type="dxa"/>
                          </w:tcPr>
                          <w:p w14:paraId="6E8DA645" w14:textId="77777777" w:rsidR="00C21289" w:rsidRDefault="00C21289">
                            <w:pPr>
                              <w:pStyle w:val="TableParagraph"/>
                              <w:spacing w:before="50"/>
                              <w:ind w:left="108"/>
                              <w:rPr>
                                <w:sz w:val="20"/>
                              </w:rPr>
                            </w:pPr>
                            <w:r>
                              <w:rPr>
                                <w:sz w:val="20"/>
                              </w:rPr>
                              <w:t>Bajo</w:t>
                            </w:r>
                            <w:r>
                              <w:rPr>
                                <w:spacing w:val="1"/>
                                <w:sz w:val="20"/>
                              </w:rPr>
                              <w:t xml:space="preserve"> </w:t>
                            </w:r>
                            <w:r>
                              <w:rPr>
                                <w:sz w:val="20"/>
                              </w:rPr>
                              <w:t>riesgo</w:t>
                            </w:r>
                            <w:r>
                              <w:rPr>
                                <w:spacing w:val="1"/>
                                <w:sz w:val="20"/>
                              </w:rPr>
                              <w:t xml:space="preserve"> </w:t>
                            </w:r>
                            <w:r>
                              <w:rPr>
                                <w:sz w:val="20"/>
                              </w:rPr>
                              <w:t>financiero</w:t>
                            </w:r>
                            <w:r>
                              <w:rPr>
                                <w:spacing w:val="1"/>
                                <w:sz w:val="20"/>
                              </w:rPr>
                              <w:t xml:space="preserve"> </w:t>
                            </w:r>
                            <w:r>
                              <w:rPr>
                                <w:sz w:val="20"/>
                              </w:rPr>
                              <w:t>(Más</w:t>
                            </w:r>
                            <w:r>
                              <w:rPr>
                                <w:spacing w:val="1"/>
                                <w:sz w:val="20"/>
                              </w:rPr>
                              <w:t xml:space="preserve"> </w:t>
                            </w:r>
                            <w:r>
                              <w:rPr>
                                <w:sz w:val="20"/>
                              </w:rPr>
                              <w:t>del</w:t>
                            </w:r>
                            <w:r>
                              <w:rPr>
                                <w:spacing w:val="1"/>
                                <w:sz w:val="20"/>
                              </w:rPr>
                              <w:t xml:space="preserve"> </w:t>
                            </w:r>
                            <w:r>
                              <w:rPr>
                                <w:sz w:val="20"/>
                              </w:rPr>
                              <w:t>doble</w:t>
                            </w:r>
                            <w:r>
                              <w:rPr>
                                <w:spacing w:val="1"/>
                                <w:sz w:val="20"/>
                              </w:rPr>
                              <w:t xml:space="preserve"> </w:t>
                            </w:r>
                            <w:r>
                              <w:rPr>
                                <w:sz w:val="20"/>
                              </w:rPr>
                              <w:t>de</w:t>
                            </w:r>
                            <w:r>
                              <w:rPr>
                                <w:spacing w:val="1"/>
                                <w:sz w:val="20"/>
                              </w:rPr>
                              <w:t xml:space="preserve"> </w:t>
                            </w:r>
                            <w:r>
                              <w:rPr>
                                <w:sz w:val="20"/>
                              </w:rPr>
                              <w:t>activos</w:t>
                            </w:r>
                            <w:r>
                              <w:rPr>
                                <w:spacing w:val="1"/>
                                <w:sz w:val="20"/>
                              </w:rPr>
                              <w:t xml:space="preserve"> </w:t>
                            </w:r>
                            <w:r>
                              <w:rPr>
                                <w:sz w:val="20"/>
                              </w:rPr>
                              <w:t>corrientes</w:t>
                            </w:r>
                            <w:r>
                              <w:rPr>
                                <w:spacing w:val="1"/>
                                <w:sz w:val="20"/>
                              </w:rPr>
                              <w:t xml:space="preserve"> </w:t>
                            </w:r>
                            <w:r>
                              <w:rPr>
                                <w:sz w:val="20"/>
                              </w:rPr>
                              <w:t>que</w:t>
                            </w:r>
                            <w:r>
                              <w:rPr>
                                <w:spacing w:val="1"/>
                                <w:sz w:val="20"/>
                              </w:rPr>
                              <w:t xml:space="preserve"> </w:t>
                            </w:r>
                            <w:r>
                              <w:rPr>
                                <w:sz w:val="20"/>
                              </w:rPr>
                              <w:t>pasivos</w:t>
                            </w:r>
                            <w:r>
                              <w:rPr>
                                <w:spacing w:val="-53"/>
                                <w:sz w:val="20"/>
                              </w:rPr>
                              <w:t xml:space="preserve"> </w:t>
                            </w:r>
                            <w:r>
                              <w:rPr>
                                <w:sz w:val="20"/>
                              </w:rPr>
                              <w:t>corrientes).</w:t>
                            </w:r>
                            <w:r>
                              <w:rPr>
                                <w:spacing w:val="-5"/>
                                <w:sz w:val="20"/>
                              </w:rPr>
                              <w:t xml:space="preserve"> </w:t>
                            </w:r>
                            <w:r>
                              <w:rPr>
                                <w:sz w:val="20"/>
                              </w:rPr>
                              <w:t>Empresa</w:t>
                            </w:r>
                            <w:r>
                              <w:rPr>
                                <w:spacing w:val="-5"/>
                                <w:sz w:val="20"/>
                              </w:rPr>
                              <w:t xml:space="preserve"> </w:t>
                            </w:r>
                            <w:r>
                              <w:rPr>
                                <w:sz w:val="20"/>
                              </w:rPr>
                              <w:t>tiene</w:t>
                            </w:r>
                            <w:r>
                              <w:rPr>
                                <w:spacing w:val="28"/>
                                <w:sz w:val="20"/>
                              </w:rPr>
                              <w:t xml:space="preserve"> </w:t>
                            </w:r>
                            <w:r>
                              <w:rPr>
                                <w:sz w:val="20"/>
                              </w:rPr>
                              <w:t>activos</w:t>
                            </w:r>
                            <w:r>
                              <w:rPr>
                                <w:spacing w:val="-4"/>
                                <w:sz w:val="20"/>
                              </w:rPr>
                              <w:t xml:space="preserve"> </w:t>
                            </w:r>
                            <w:r>
                              <w:rPr>
                                <w:sz w:val="20"/>
                              </w:rPr>
                              <w:t>disponibles</w:t>
                            </w:r>
                            <w:r>
                              <w:rPr>
                                <w:spacing w:val="-4"/>
                                <w:sz w:val="20"/>
                              </w:rPr>
                              <w:t xml:space="preserve"> </w:t>
                            </w:r>
                            <w:r>
                              <w:rPr>
                                <w:sz w:val="20"/>
                              </w:rPr>
                              <w:t>para</w:t>
                            </w:r>
                            <w:r>
                              <w:rPr>
                                <w:spacing w:val="-5"/>
                                <w:sz w:val="20"/>
                              </w:rPr>
                              <w:t xml:space="preserve"> </w:t>
                            </w:r>
                            <w:r>
                              <w:rPr>
                                <w:sz w:val="20"/>
                              </w:rPr>
                              <w:t>respaldar</w:t>
                            </w:r>
                            <w:r>
                              <w:rPr>
                                <w:spacing w:val="-2"/>
                                <w:sz w:val="20"/>
                              </w:rPr>
                              <w:t xml:space="preserve"> </w:t>
                            </w:r>
                            <w:r>
                              <w:rPr>
                                <w:sz w:val="20"/>
                              </w:rPr>
                              <w:t>deudas.</w:t>
                            </w:r>
                          </w:p>
                        </w:tc>
                      </w:tr>
                    </w:tbl>
                    <w:p w14:paraId="21AED782" w14:textId="77777777" w:rsidR="00C21289" w:rsidRDefault="00C21289" w:rsidP="00C21289">
                      <w:pPr>
                        <w:pStyle w:val="Textoindependiente"/>
                      </w:pPr>
                    </w:p>
                  </w:txbxContent>
                </v:textbox>
                <w10:wrap anchorx="page" anchory="page"/>
              </v:shape>
            </w:pict>
          </mc:Fallback>
        </mc:AlternateContent>
      </w:r>
    </w:p>
    <w:p w14:paraId="521F324C" w14:textId="46C12790" w:rsidR="00C21289" w:rsidRDefault="00C21289" w:rsidP="00C21289">
      <w:pPr>
        <w:pStyle w:val="TableParagraph"/>
        <w:jc w:val="both"/>
      </w:pPr>
    </w:p>
    <w:p w14:paraId="7FE670A9" w14:textId="2D3A239D" w:rsidR="00C21289" w:rsidRDefault="00C21289" w:rsidP="00C21289">
      <w:pPr>
        <w:pStyle w:val="TableParagraph"/>
        <w:jc w:val="both"/>
      </w:pPr>
    </w:p>
    <w:p w14:paraId="001EE450" w14:textId="6D755306" w:rsidR="00C57AED" w:rsidRDefault="00C57AED" w:rsidP="00C21289">
      <w:pPr>
        <w:pStyle w:val="TableParagraph"/>
        <w:jc w:val="both"/>
      </w:pPr>
    </w:p>
    <w:p w14:paraId="1FDFB308" w14:textId="1D87151D" w:rsidR="00C57AED" w:rsidRDefault="00C57AED" w:rsidP="00C21289">
      <w:pPr>
        <w:pStyle w:val="TableParagraph"/>
        <w:jc w:val="both"/>
      </w:pPr>
    </w:p>
    <w:p w14:paraId="3E386AAF" w14:textId="77777777" w:rsidR="00C57AED" w:rsidRDefault="00C57AED" w:rsidP="00C21289">
      <w:pPr>
        <w:pStyle w:val="TableParagraph"/>
        <w:jc w:val="both"/>
      </w:pPr>
    </w:p>
    <w:p w14:paraId="78E778BC" w14:textId="20AF80E1" w:rsidR="00C21289" w:rsidRDefault="00C21289" w:rsidP="006755B3">
      <w:pPr>
        <w:pStyle w:val="TableParagraph"/>
        <w:spacing w:before="158"/>
        <w:ind w:right="38"/>
        <w:jc w:val="both"/>
      </w:pPr>
    </w:p>
    <w:p w14:paraId="2FC727DF" w14:textId="77777777" w:rsidR="00C21289" w:rsidRDefault="00C21289">
      <w:pPr>
        <w:pStyle w:val="TableParagraph"/>
        <w:numPr>
          <w:ilvl w:val="0"/>
          <w:numId w:val="20"/>
        </w:numPr>
        <w:jc w:val="both"/>
      </w:pPr>
      <w:r>
        <w:t>Índice de Endeudamiento: (Pasivo Total / Activo Total) el cual determina el grado de endeudamiento en la estructura de financiación (pasivos y patrimonio) del proponente. A mayor índice de endeudamiento, mayor es la probabilidad del proponente de no poder cumplir con sus pasivos.</w:t>
      </w:r>
    </w:p>
    <w:p w14:paraId="06515B53" w14:textId="77777777" w:rsidR="00C21289" w:rsidRDefault="00C21289" w:rsidP="00C21289">
      <w:pPr>
        <w:pStyle w:val="TableParagraph"/>
        <w:jc w:val="both"/>
      </w:pPr>
    </w:p>
    <w:p w14:paraId="7A29334D" w14:textId="77777777" w:rsidR="00C21289" w:rsidRDefault="00C21289" w:rsidP="00C21289">
      <w:pPr>
        <w:pStyle w:val="TableParagraph"/>
        <w:jc w:val="center"/>
      </w:pPr>
      <w:r w:rsidRPr="00C03038">
        <w:rPr>
          <w:noProof/>
        </w:rPr>
        <w:drawing>
          <wp:inline distT="0" distB="0" distL="0" distR="0" wp14:anchorId="24C42D51" wp14:editId="150B37FF">
            <wp:extent cx="5613400" cy="4851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613400" cy="485140"/>
                    </a:xfrm>
                    <a:prstGeom prst="rect">
                      <a:avLst/>
                    </a:prstGeom>
                  </pic:spPr>
                </pic:pic>
              </a:graphicData>
            </a:graphic>
          </wp:inline>
        </w:drawing>
      </w:r>
    </w:p>
    <w:p w14:paraId="19A1FB00" w14:textId="77777777" w:rsidR="00C21289" w:rsidRDefault="00C21289" w:rsidP="00C21289">
      <w:pPr>
        <w:pStyle w:val="TableParagraph"/>
        <w:jc w:val="both"/>
      </w:pPr>
    </w:p>
    <w:p w14:paraId="7626E35F" w14:textId="77777777" w:rsidR="00C21289" w:rsidRDefault="00C21289">
      <w:pPr>
        <w:pStyle w:val="TableParagraph"/>
        <w:numPr>
          <w:ilvl w:val="0"/>
          <w:numId w:val="20"/>
        </w:numPr>
        <w:jc w:val="both"/>
      </w:pPr>
      <w:r>
        <w:t>Índice Cobertura Intereses: (Utilidad Operacional / Gastos de Intereses), el cual refleja la capacidad del proponente de cumplir con sus obligaciones financieras. A mayor cobertura de intereses, menor es la probabilidad de que el proponente incumpla sus obligaciones financieras.</w:t>
      </w:r>
    </w:p>
    <w:p w14:paraId="4CEDB271" w14:textId="77777777" w:rsidR="00C21289" w:rsidRDefault="00C21289" w:rsidP="00C21289">
      <w:pPr>
        <w:pStyle w:val="TableParagraph"/>
        <w:jc w:val="both"/>
      </w:pPr>
    </w:p>
    <w:p w14:paraId="55E36780" w14:textId="77777777" w:rsidR="00C21289" w:rsidRDefault="00C21289" w:rsidP="00C21289">
      <w:pPr>
        <w:pStyle w:val="TableParagraph"/>
        <w:jc w:val="both"/>
      </w:pPr>
      <w:r w:rsidRPr="00C03038">
        <w:rPr>
          <w:noProof/>
        </w:rPr>
        <w:drawing>
          <wp:inline distT="0" distB="0" distL="0" distR="0" wp14:anchorId="6A6FF49F" wp14:editId="6408606F">
            <wp:extent cx="5613400" cy="44513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13400" cy="445135"/>
                    </a:xfrm>
                    <a:prstGeom prst="rect">
                      <a:avLst/>
                    </a:prstGeom>
                  </pic:spPr>
                </pic:pic>
              </a:graphicData>
            </a:graphic>
          </wp:inline>
        </w:drawing>
      </w:r>
    </w:p>
    <w:p w14:paraId="10067A29" w14:textId="77777777" w:rsidR="00C21289" w:rsidRDefault="00C21289" w:rsidP="00C21289">
      <w:pPr>
        <w:pStyle w:val="TableParagraph"/>
        <w:jc w:val="both"/>
      </w:pPr>
    </w:p>
    <w:p w14:paraId="63893682" w14:textId="77777777" w:rsidR="00C21289" w:rsidRDefault="00C21289" w:rsidP="00C21289">
      <w:pPr>
        <w:pStyle w:val="TableParagraph"/>
        <w:jc w:val="both"/>
      </w:pPr>
    </w:p>
    <w:p w14:paraId="21FCFB3C" w14:textId="77777777" w:rsidR="00C21289" w:rsidRPr="00C03038" w:rsidRDefault="00C21289" w:rsidP="00C21289">
      <w:pPr>
        <w:pStyle w:val="TableParagraph"/>
        <w:jc w:val="both"/>
        <w:rPr>
          <w:b/>
          <w:bCs/>
        </w:rPr>
      </w:pPr>
      <w:r w:rsidRPr="00C03038">
        <w:rPr>
          <w:b/>
          <w:bCs/>
        </w:rPr>
        <w:t>Indicadores capacidad organizacional</w:t>
      </w:r>
    </w:p>
    <w:p w14:paraId="013EF6C1" w14:textId="77777777" w:rsidR="00C21289" w:rsidRDefault="00C21289" w:rsidP="00C21289">
      <w:pPr>
        <w:pStyle w:val="TableParagraph"/>
        <w:jc w:val="both"/>
      </w:pPr>
    </w:p>
    <w:p w14:paraId="678D084D" w14:textId="77777777" w:rsidR="00C21289" w:rsidRDefault="00C21289" w:rsidP="00C21289">
      <w:pPr>
        <w:pStyle w:val="TableParagraph"/>
        <w:jc w:val="both"/>
      </w:pPr>
      <w:r>
        <w:t xml:space="preserve">La Capacidad organizacional es la aptitud de un proponente para cumplir oportuna y cabalmente el objeto del contrato en función de su organización interna. El Decreto 1510 de 2013 definió los indicadores de rentabilidad para medir la capacidad organizacional de un proponente teniendo en cuenta que está bien organizado cuando es rentable. </w:t>
      </w:r>
      <w:r w:rsidRPr="00C03038">
        <w:t>Los índices de rentabilidad patrimonio, y rentabilidad de activo, miden la capacidad de generar utilidades de una empresa cada vez que se invierte en patrimonio o activos. En general un nivel superior al 10% es aceptable para una empresa, pues indicaría que por cada peso invertido se genera un 10% de utilidades. No obstante, esto dependerá de las condiciones económicas del sector y el potencial de crecimiento. Lo importante a considerar es que estos indicadores sean positivos (&gt;= 0).</w:t>
      </w:r>
    </w:p>
    <w:p w14:paraId="28846909" w14:textId="77777777" w:rsidR="00C21289" w:rsidRDefault="00C21289" w:rsidP="00C21289">
      <w:pPr>
        <w:pStyle w:val="TableParagraph"/>
        <w:jc w:val="both"/>
      </w:pPr>
    </w:p>
    <w:p w14:paraId="7ABE5542" w14:textId="77777777" w:rsidR="00C21289" w:rsidRDefault="00C21289" w:rsidP="00C21289">
      <w:pPr>
        <w:pStyle w:val="TableParagraph"/>
        <w:jc w:val="both"/>
      </w:pPr>
    </w:p>
    <w:p w14:paraId="72D9C0C1" w14:textId="77777777" w:rsidR="00C21289" w:rsidRDefault="00C21289">
      <w:pPr>
        <w:pStyle w:val="TableParagraph"/>
        <w:numPr>
          <w:ilvl w:val="0"/>
          <w:numId w:val="21"/>
        </w:numPr>
        <w:jc w:val="both"/>
      </w:pPr>
      <w:r>
        <w:t>Rentabilidad del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26C4AF04" w14:textId="77777777" w:rsidR="00C21289" w:rsidRDefault="00C21289">
      <w:pPr>
        <w:pStyle w:val="TableParagraph"/>
        <w:numPr>
          <w:ilvl w:val="0"/>
          <w:numId w:val="21"/>
        </w:numPr>
        <w:jc w:val="both"/>
      </w:pPr>
      <w:r>
        <w:t>Rentabilidad del Activo: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w:t>
      </w:r>
    </w:p>
    <w:p w14:paraId="627AEC84" w14:textId="77777777" w:rsidR="00C21289" w:rsidRDefault="00C21289" w:rsidP="00C21289">
      <w:pPr>
        <w:pStyle w:val="TableParagraph"/>
        <w:jc w:val="both"/>
      </w:pPr>
    </w:p>
    <w:p w14:paraId="20D06969" w14:textId="77777777" w:rsidR="00C21289" w:rsidRDefault="00C21289" w:rsidP="00C21289">
      <w:pPr>
        <w:pStyle w:val="TableParagraph"/>
        <w:spacing w:before="158"/>
        <w:ind w:right="38"/>
        <w:jc w:val="both"/>
      </w:pPr>
      <w:r>
        <w:t>Las Entidades Estatales deben establecer los requisitos habilitantes de forma adecuada y proporcional a la</w:t>
      </w:r>
      <w:r>
        <w:rPr>
          <w:spacing w:val="1"/>
        </w:rPr>
        <w:t xml:space="preserve"> </w:t>
      </w:r>
      <w:r>
        <w:t>naturaleza y valor del contrato. Es muy importante comprender el alcance de</w:t>
      </w:r>
      <w:r>
        <w:rPr>
          <w:spacing w:val="1"/>
        </w:rPr>
        <w:t xml:space="preserve"> </w:t>
      </w:r>
      <w:r>
        <w:t>la expresión adecuada y</w:t>
      </w:r>
      <w:r>
        <w:rPr>
          <w:spacing w:val="1"/>
        </w:rPr>
        <w:t xml:space="preserve"> </w:t>
      </w:r>
      <w:r>
        <w:rPr>
          <w:spacing w:val="-1"/>
        </w:rPr>
        <w:t>proporcional</w:t>
      </w:r>
      <w:r>
        <w:rPr>
          <w:spacing w:val="-15"/>
        </w:rPr>
        <w:t xml:space="preserve"> </w:t>
      </w:r>
      <w:r>
        <w:rPr>
          <w:spacing w:val="-1"/>
        </w:rPr>
        <w:t>que</w:t>
      </w:r>
      <w:r>
        <w:rPr>
          <w:spacing w:val="-8"/>
        </w:rPr>
        <w:t xml:space="preserve"> </w:t>
      </w:r>
      <w:r>
        <w:rPr>
          <w:spacing w:val="-1"/>
        </w:rPr>
        <w:t>busca</w:t>
      </w:r>
      <w:r>
        <w:rPr>
          <w:spacing w:val="-8"/>
        </w:rPr>
        <w:t xml:space="preserve"> </w:t>
      </w:r>
      <w:r>
        <w:rPr>
          <w:spacing w:val="-1"/>
        </w:rPr>
        <w:t>que</w:t>
      </w:r>
      <w:r>
        <w:rPr>
          <w:spacing w:val="-8"/>
        </w:rPr>
        <w:t xml:space="preserve"> </w:t>
      </w:r>
      <w:r>
        <w:rPr>
          <w:spacing w:val="-1"/>
        </w:rPr>
        <w:t>haya</w:t>
      </w:r>
      <w:r>
        <w:rPr>
          <w:spacing w:val="-8"/>
        </w:rPr>
        <w:t xml:space="preserve"> </w:t>
      </w:r>
      <w:r>
        <w:t>una</w:t>
      </w:r>
      <w:r>
        <w:rPr>
          <w:spacing w:val="-8"/>
        </w:rPr>
        <w:t xml:space="preserve"> </w:t>
      </w:r>
      <w:r>
        <w:t>relación</w:t>
      </w:r>
      <w:r>
        <w:rPr>
          <w:spacing w:val="-8"/>
        </w:rPr>
        <w:t xml:space="preserve"> </w:t>
      </w:r>
      <w:r>
        <w:t>entre</w:t>
      </w:r>
      <w:r>
        <w:rPr>
          <w:spacing w:val="-8"/>
        </w:rPr>
        <w:t xml:space="preserve"> </w:t>
      </w:r>
      <w:r>
        <w:t>el</w:t>
      </w:r>
      <w:r>
        <w:rPr>
          <w:spacing w:val="-11"/>
        </w:rPr>
        <w:t xml:space="preserve"> </w:t>
      </w:r>
      <w:r>
        <w:t>contrato</w:t>
      </w:r>
      <w:r>
        <w:rPr>
          <w:spacing w:val="-8"/>
        </w:rPr>
        <w:t xml:space="preserve"> </w:t>
      </w:r>
      <w:r>
        <w:t>y</w:t>
      </w:r>
      <w:r>
        <w:rPr>
          <w:spacing w:val="-7"/>
        </w:rPr>
        <w:t xml:space="preserve"> </w:t>
      </w:r>
      <w:r>
        <w:t>la</w:t>
      </w:r>
      <w:r>
        <w:rPr>
          <w:spacing w:val="-8"/>
        </w:rPr>
        <w:t xml:space="preserve"> </w:t>
      </w:r>
      <w:r>
        <w:t>experiencia</w:t>
      </w:r>
      <w:r>
        <w:rPr>
          <w:spacing w:val="-8"/>
        </w:rPr>
        <w:t xml:space="preserve"> </w:t>
      </w:r>
      <w:r>
        <w:t>del</w:t>
      </w:r>
      <w:r>
        <w:rPr>
          <w:spacing w:val="-6"/>
        </w:rPr>
        <w:t xml:space="preserve"> </w:t>
      </w:r>
      <w:r>
        <w:t>proponente</w:t>
      </w:r>
      <w:r>
        <w:rPr>
          <w:spacing w:val="-8"/>
        </w:rPr>
        <w:t xml:space="preserve"> </w:t>
      </w:r>
      <w:r>
        <w:t>y</w:t>
      </w:r>
      <w:r>
        <w:rPr>
          <w:spacing w:val="-12"/>
        </w:rPr>
        <w:t xml:space="preserve"> </w:t>
      </w:r>
      <w:r>
        <w:t>su</w:t>
      </w:r>
      <w:r>
        <w:rPr>
          <w:spacing w:val="-8"/>
        </w:rPr>
        <w:t xml:space="preserve"> </w:t>
      </w:r>
      <w:r>
        <w:t>capacidad</w:t>
      </w:r>
      <w:r>
        <w:rPr>
          <w:spacing w:val="-59"/>
        </w:rPr>
        <w:t xml:space="preserve"> </w:t>
      </w:r>
      <w:r>
        <w:rPr>
          <w:spacing w:val="-1"/>
        </w:rPr>
        <w:t>jurídica,</w:t>
      </w:r>
      <w:r>
        <w:rPr>
          <w:spacing w:val="-14"/>
        </w:rPr>
        <w:t xml:space="preserve"> </w:t>
      </w:r>
      <w:r>
        <w:rPr>
          <w:spacing w:val="-1"/>
        </w:rPr>
        <w:t>financiera</w:t>
      </w:r>
      <w:r>
        <w:rPr>
          <w:spacing w:val="-11"/>
        </w:rPr>
        <w:t xml:space="preserve"> </w:t>
      </w:r>
      <w:r>
        <w:t>y</w:t>
      </w:r>
      <w:r>
        <w:rPr>
          <w:spacing w:val="-15"/>
        </w:rPr>
        <w:t xml:space="preserve"> </w:t>
      </w:r>
      <w:r>
        <w:t>organizacional.</w:t>
      </w:r>
      <w:r>
        <w:rPr>
          <w:spacing w:val="-14"/>
        </w:rPr>
        <w:t xml:space="preserve"> </w:t>
      </w:r>
      <w:r>
        <w:t>Es</w:t>
      </w:r>
      <w:r>
        <w:rPr>
          <w:spacing w:val="-11"/>
        </w:rPr>
        <w:t xml:space="preserve"> </w:t>
      </w:r>
      <w:r>
        <w:t>decir,</w:t>
      </w:r>
      <w:r>
        <w:rPr>
          <w:spacing w:val="-10"/>
        </w:rPr>
        <w:t xml:space="preserve"> </w:t>
      </w:r>
      <w:r>
        <w:t>los</w:t>
      </w:r>
      <w:r>
        <w:rPr>
          <w:spacing w:val="-11"/>
        </w:rPr>
        <w:t xml:space="preserve"> </w:t>
      </w:r>
      <w:r>
        <w:t>requisitos</w:t>
      </w:r>
      <w:r>
        <w:rPr>
          <w:spacing w:val="-11"/>
        </w:rPr>
        <w:t xml:space="preserve"> </w:t>
      </w:r>
      <w:r>
        <w:t>habilitantes</w:t>
      </w:r>
      <w:r>
        <w:rPr>
          <w:spacing w:val="-11"/>
        </w:rPr>
        <w:t xml:space="preserve"> </w:t>
      </w:r>
      <w:r>
        <w:t>exigidos</w:t>
      </w:r>
      <w:r>
        <w:rPr>
          <w:spacing w:val="-11"/>
        </w:rPr>
        <w:t xml:space="preserve"> </w:t>
      </w:r>
      <w:r>
        <w:t>deben</w:t>
      </w:r>
      <w:r>
        <w:rPr>
          <w:spacing w:val="-11"/>
        </w:rPr>
        <w:t xml:space="preserve"> </w:t>
      </w:r>
      <w:r>
        <w:t>guardar</w:t>
      </w:r>
      <w:r>
        <w:rPr>
          <w:spacing w:val="-14"/>
        </w:rPr>
        <w:t xml:space="preserve"> </w:t>
      </w:r>
      <w:r>
        <w:t>proporción</w:t>
      </w:r>
      <w:r>
        <w:rPr>
          <w:spacing w:val="-11"/>
        </w:rPr>
        <w:t xml:space="preserve"> </w:t>
      </w:r>
      <w:r>
        <w:t>con</w:t>
      </w:r>
      <w:r>
        <w:rPr>
          <w:spacing w:val="-59"/>
        </w:rPr>
        <w:t xml:space="preserve"> </w:t>
      </w:r>
      <w:r>
        <w:t>el objeto del contrato, su valor, complejidad, plazo, forma de pago y el Riesgo asociado al Proceso de</w:t>
      </w:r>
      <w:r>
        <w:rPr>
          <w:spacing w:val="1"/>
        </w:rPr>
        <w:t xml:space="preserve"> </w:t>
      </w:r>
      <w:r>
        <w:t>Contratación.</w:t>
      </w:r>
    </w:p>
    <w:p w14:paraId="7668925F" w14:textId="77777777" w:rsidR="00C21289" w:rsidRDefault="00C21289" w:rsidP="00C21289">
      <w:pPr>
        <w:pStyle w:val="TableParagraph"/>
        <w:spacing w:before="9"/>
        <w:rPr>
          <w:sz w:val="21"/>
        </w:rPr>
      </w:pPr>
    </w:p>
    <w:p w14:paraId="0685F5A3" w14:textId="27B13CDB" w:rsidR="006755B3" w:rsidRDefault="006755B3" w:rsidP="00C21289">
      <w:pPr>
        <w:pStyle w:val="TableParagraph"/>
        <w:ind w:right="36"/>
        <w:jc w:val="both"/>
      </w:pPr>
      <w:r>
        <w:t xml:space="preserve">Como se ha señalado, con el fin de contribuir con información financiera útil y de calidad se acudió al servicio </w:t>
      </w:r>
      <w:r>
        <w:rPr>
          <w:spacing w:val="-59"/>
        </w:rPr>
        <w:t xml:space="preserve"> </w:t>
      </w:r>
      <w:r>
        <w:t>de</w:t>
      </w:r>
      <w:r>
        <w:rPr>
          <w:spacing w:val="1"/>
        </w:rPr>
        <w:t xml:space="preserve"> </w:t>
      </w:r>
      <w:r>
        <w:t>la</w:t>
      </w:r>
      <w:r>
        <w:rPr>
          <w:spacing w:val="1"/>
        </w:rPr>
        <w:t xml:space="preserve"> </w:t>
      </w:r>
      <w:r>
        <w:t>Superintendencia</w:t>
      </w:r>
      <w:r>
        <w:rPr>
          <w:spacing w:val="1"/>
        </w:rPr>
        <w:t xml:space="preserve"> </w:t>
      </w:r>
      <w:r>
        <w:t>de</w:t>
      </w:r>
      <w:r>
        <w:rPr>
          <w:spacing w:val="1"/>
        </w:rPr>
        <w:t xml:space="preserve"> </w:t>
      </w:r>
      <w:r>
        <w:t>Sociedades</w:t>
      </w:r>
      <w:r>
        <w:rPr>
          <w:spacing w:val="1"/>
        </w:rPr>
        <w:t xml:space="preserve"> </w:t>
      </w:r>
      <w:r>
        <w:t>en</w:t>
      </w:r>
      <w:r>
        <w:rPr>
          <w:spacing w:val="1"/>
        </w:rPr>
        <w:t xml:space="preserve"> </w:t>
      </w:r>
      <w:r>
        <w:t>el</w:t>
      </w:r>
      <w:r>
        <w:rPr>
          <w:spacing w:val="1"/>
        </w:rPr>
        <w:t xml:space="preserve"> </w:t>
      </w:r>
      <w:r>
        <w:t>Sistema</w:t>
      </w:r>
      <w:r>
        <w:rPr>
          <w:spacing w:val="1"/>
        </w:rPr>
        <w:t xml:space="preserve"> </w:t>
      </w:r>
      <w:r>
        <w:t>Integrado</w:t>
      </w:r>
      <w:r>
        <w:rPr>
          <w:spacing w:val="1"/>
        </w:rPr>
        <w:t xml:space="preserve"> </w:t>
      </w:r>
      <w:r>
        <w:t>de</w:t>
      </w:r>
      <w:r>
        <w:rPr>
          <w:spacing w:val="1"/>
        </w:rPr>
        <w:t xml:space="preserve"> </w:t>
      </w:r>
      <w:r>
        <w:t>Información</w:t>
      </w:r>
      <w:r>
        <w:rPr>
          <w:spacing w:val="1"/>
        </w:rPr>
        <w:t xml:space="preserve"> </w:t>
      </w:r>
      <w:r>
        <w:t>Societaria</w:t>
      </w:r>
      <w:r>
        <w:rPr>
          <w:spacing w:val="1"/>
        </w:rPr>
        <w:t xml:space="preserve"> </w:t>
      </w:r>
      <w:r>
        <w:t>–</w:t>
      </w:r>
      <w:r>
        <w:rPr>
          <w:spacing w:val="1"/>
        </w:rPr>
        <w:t xml:space="preserve"> </w:t>
      </w:r>
      <w:r>
        <w:t>SIIS</w:t>
      </w:r>
      <w:r>
        <w:rPr>
          <w:spacing w:val="1"/>
        </w:rPr>
        <w:t xml:space="preserve"> </w:t>
      </w:r>
      <w:r>
        <w:t>(</w:t>
      </w:r>
      <w:hyperlink r:id="rId40">
        <w:r>
          <w:rPr>
            <w:color w:val="0563C1"/>
            <w:u w:val="single" w:color="0563C1"/>
          </w:rPr>
          <w:t>https://siis.ia.supersociedades.gov.co/</w:t>
        </w:r>
      </w:hyperlink>
      <w:r>
        <w:t>), un portal inteligente que agrupa la más completa información del</w:t>
      </w:r>
      <w:r>
        <w:rPr>
          <w:spacing w:val="1"/>
        </w:rPr>
        <w:t xml:space="preserve"> </w:t>
      </w:r>
      <w:r>
        <w:t>sector empresarial y que permite acceder de manera ágil, gratuita y en línea, a la información societaria del</w:t>
      </w:r>
      <w:r>
        <w:rPr>
          <w:spacing w:val="1"/>
        </w:rPr>
        <w:t xml:space="preserve"> </w:t>
      </w:r>
      <w:r>
        <w:t>sector</w:t>
      </w:r>
      <w:r>
        <w:rPr>
          <w:spacing w:val="-4"/>
        </w:rPr>
        <w:t xml:space="preserve"> </w:t>
      </w:r>
      <w:r>
        <w:t>real</w:t>
      </w:r>
      <w:r>
        <w:rPr>
          <w:spacing w:val="-6"/>
        </w:rPr>
        <w:t xml:space="preserve"> </w:t>
      </w:r>
      <w:r>
        <w:t>de</w:t>
      </w:r>
      <w:r>
        <w:rPr>
          <w:spacing w:val="3"/>
        </w:rPr>
        <w:t xml:space="preserve"> </w:t>
      </w:r>
      <w:r>
        <w:t>la economía</w:t>
      </w:r>
      <w:r>
        <w:rPr>
          <w:spacing w:val="-1"/>
        </w:rPr>
        <w:t xml:space="preserve"> </w:t>
      </w:r>
      <w:r>
        <w:t>y</w:t>
      </w:r>
      <w:r>
        <w:rPr>
          <w:spacing w:val="-4"/>
        </w:rPr>
        <w:t xml:space="preserve"> </w:t>
      </w:r>
      <w:r>
        <w:t>obtener</w:t>
      </w:r>
      <w:r>
        <w:rPr>
          <w:spacing w:val="-3"/>
        </w:rPr>
        <w:t xml:space="preserve"> </w:t>
      </w:r>
      <w:r>
        <w:t>los</w:t>
      </w:r>
      <w:r>
        <w:rPr>
          <w:spacing w:val="3"/>
        </w:rPr>
        <w:t xml:space="preserve"> </w:t>
      </w:r>
      <w:r>
        <w:t>más completos</w:t>
      </w:r>
      <w:r>
        <w:rPr>
          <w:spacing w:val="-1"/>
        </w:rPr>
        <w:t xml:space="preserve"> </w:t>
      </w:r>
      <w:r>
        <w:t>reportes analíticos, con fecha de actualización a diciembre de 2021.</w:t>
      </w:r>
    </w:p>
    <w:p w14:paraId="784361EC" w14:textId="4C109B63" w:rsidR="006755B3" w:rsidRDefault="006755B3" w:rsidP="006755B3">
      <w:pPr>
        <w:pStyle w:val="TableParagraph"/>
        <w:ind w:left="22" w:right="36"/>
        <w:jc w:val="both"/>
      </w:pPr>
    </w:p>
    <w:p w14:paraId="2B5AD2B3" w14:textId="6C8E1DA3" w:rsidR="006755B3" w:rsidRDefault="006755B3" w:rsidP="006755B3">
      <w:pPr>
        <w:pStyle w:val="TableParagraph"/>
        <w:ind w:left="22" w:right="36"/>
        <w:jc w:val="both"/>
        <w:rPr>
          <w:u w:val="single"/>
        </w:rPr>
      </w:pPr>
      <w:r w:rsidRPr="006755B3">
        <w:rPr>
          <w:u w:val="single"/>
        </w:rPr>
        <w:t>Solvencia:</w:t>
      </w:r>
    </w:p>
    <w:p w14:paraId="2313D5E7" w14:textId="4B01C7AC" w:rsidR="00C21289" w:rsidRDefault="00C21289" w:rsidP="006755B3">
      <w:pPr>
        <w:pStyle w:val="TableParagraph"/>
        <w:ind w:left="22" w:right="36"/>
        <w:jc w:val="both"/>
        <w:rPr>
          <w:u w:val="single"/>
        </w:rPr>
      </w:pPr>
    </w:p>
    <w:p w14:paraId="6356A81F" w14:textId="77777777" w:rsidR="00C21289" w:rsidRPr="00C03038" w:rsidRDefault="00C21289" w:rsidP="00C21289">
      <w:pPr>
        <w:pStyle w:val="TableParagraph"/>
        <w:ind w:left="22" w:right="36"/>
        <w:jc w:val="both"/>
      </w:pPr>
      <w:r w:rsidRPr="00C03038">
        <w:t>Los indicadores de endeudamiento o solvencia tienen por objeto medir en qué grado y de qué forma participan los acreedores dentro del financiamiento de la empresa. Se trata de establecer también el riesgo que corren tales acreedores y los dueños de la compañía y la conveniencia o inconveniencia del endeudamiento.</w:t>
      </w:r>
      <w:r>
        <w:t xml:space="preserve"> El indicador consultado es de 1,918 para el caso de las empresas de Norte de Santander.</w:t>
      </w:r>
    </w:p>
    <w:p w14:paraId="1E55F9A3" w14:textId="77777777" w:rsidR="00C21289" w:rsidRPr="006755B3" w:rsidRDefault="00C21289" w:rsidP="006755B3">
      <w:pPr>
        <w:pStyle w:val="TableParagraph"/>
        <w:ind w:left="22" w:right="36"/>
        <w:jc w:val="both"/>
        <w:rPr>
          <w:u w:val="single"/>
        </w:rPr>
      </w:pPr>
    </w:p>
    <w:p w14:paraId="154B73E0" w14:textId="16C82CEA" w:rsidR="006755B3" w:rsidRDefault="006755B3" w:rsidP="006755B3">
      <w:pPr>
        <w:pStyle w:val="TableParagraph"/>
        <w:ind w:left="22" w:right="36"/>
        <w:jc w:val="center"/>
      </w:pPr>
      <w:r>
        <w:rPr>
          <w:noProof/>
        </w:rPr>
        <w:lastRenderedPageBreak/>
        <w:drawing>
          <wp:inline distT="0" distB="0" distL="0" distR="0" wp14:anchorId="186FD671" wp14:editId="79E544DC">
            <wp:extent cx="4550735" cy="2844210"/>
            <wp:effectExtent l="0" t="0" r="0" b="635"/>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566516" cy="2854073"/>
                    </a:xfrm>
                    <a:prstGeom prst="rect">
                      <a:avLst/>
                    </a:prstGeom>
                  </pic:spPr>
                </pic:pic>
              </a:graphicData>
            </a:graphic>
          </wp:inline>
        </w:drawing>
      </w:r>
    </w:p>
    <w:p w14:paraId="0321C3B1" w14:textId="77777777" w:rsidR="00C21289" w:rsidRDefault="00C21289" w:rsidP="006755B3">
      <w:pPr>
        <w:pStyle w:val="TableParagraph"/>
        <w:ind w:left="22" w:right="36"/>
        <w:jc w:val="both"/>
        <w:rPr>
          <w:u w:val="single"/>
        </w:rPr>
      </w:pPr>
    </w:p>
    <w:p w14:paraId="1260BA0F" w14:textId="415D11AD" w:rsidR="006755B3" w:rsidRDefault="006755B3" w:rsidP="006755B3">
      <w:pPr>
        <w:pStyle w:val="TableParagraph"/>
        <w:ind w:left="22" w:right="36"/>
        <w:jc w:val="both"/>
        <w:rPr>
          <w:u w:val="single"/>
        </w:rPr>
      </w:pPr>
      <w:r w:rsidRPr="006755B3">
        <w:rPr>
          <w:u w:val="single"/>
        </w:rPr>
        <w:t>Apalancamiento financiero:</w:t>
      </w:r>
    </w:p>
    <w:p w14:paraId="2A7BF26B" w14:textId="700FB1CF" w:rsidR="00C21289" w:rsidRDefault="00C21289" w:rsidP="006755B3">
      <w:pPr>
        <w:pStyle w:val="TableParagraph"/>
        <w:ind w:left="22" w:right="36"/>
        <w:jc w:val="both"/>
        <w:rPr>
          <w:u w:val="single"/>
        </w:rPr>
      </w:pPr>
    </w:p>
    <w:p w14:paraId="52CACFC9" w14:textId="77777777" w:rsidR="00C21289" w:rsidRPr="00C03038" w:rsidRDefault="00C21289" w:rsidP="00C21289">
      <w:pPr>
        <w:pStyle w:val="TableParagraph"/>
        <w:ind w:left="22" w:right="36"/>
        <w:jc w:val="both"/>
      </w:pPr>
      <w:r w:rsidRPr="00C03038">
        <w:t>El apalancamiento financiero es igual a Inversiones/Capital propio. Entre más elevada sea la relación significa que el nivel de endeudamiento es más alto. Por ejemplo, si tenemos un apalancamiento 1:10 significa que hemos invertido 10 pesos, pero de esos 10 pesos 9 son deuda y 1 es nuestro.</w:t>
      </w:r>
      <w:r>
        <w:t xml:space="preserve"> Para el caso de las empresas de Norte de Santander el indicador es de 1,089.</w:t>
      </w:r>
    </w:p>
    <w:p w14:paraId="25254238" w14:textId="216A271A" w:rsidR="00C21289" w:rsidRDefault="00C21289" w:rsidP="006755B3">
      <w:pPr>
        <w:pStyle w:val="TableParagraph"/>
        <w:ind w:left="22" w:right="36"/>
        <w:jc w:val="both"/>
        <w:rPr>
          <w:u w:val="single"/>
        </w:rPr>
      </w:pPr>
    </w:p>
    <w:p w14:paraId="2912590D" w14:textId="77777777" w:rsidR="00C21289" w:rsidRPr="006755B3" w:rsidRDefault="00C21289" w:rsidP="00C21289">
      <w:pPr>
        <w:pStyle w:val="TableParagraph"/>
        <w:ind w:right="36"/>
        <w:jc w:val="both"/>
        <w:rPr>
          <w:u w:val="single"/>
        </w:rPr>
      </w:pPr>
    </w:p>
    <w:p w14:paraId="2C52B71C" w14:textId="20F2213E" w:rsidR="006755B3" w:rsidRDefault="006755B3" w:rsidP="006755B3">
      <w:pPr>
        <w:pStyle w:val="TableParagraph"/>
        <w:ind w:left="22" w:right="36"/>
        <w:jc w:val="both"/>
      </w:pPr>
      <w:r>
        <w:rPr>
          <w:noProof/>
        </w:rPr>
        <w:drawing>
          <wp:inline distT="0" distB="0" distL="0" distR="0" wp14:anchorId="0AAA467B" wp14:editId="7A41A69A">
            <wp:extent cx="5613400" cy="3508375"/>
            <wp:effectExtent l="0" t="0" r="0"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6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613400" cy="3508375"/>
                    </a:xfrm>
                    <a:prstGeom prst="rect">
                      <a:avLst/>
                    </a:prstGeom>
                  </pic:spPr>
                </pic:pic>
              </a:graphicData>
            </a:graphic>
          </wp:inline>
        </w:drawing>
      </w:r>
    </w:p>
    <w:p w14:paraId="5FA0296C" w14:textId="4518FB45" w:rsidR="006755B3" w:rsidRDefault="006755B3" w:rsidP="006755B3">
      <w:pPr>
        <w:pStyle w:val="TableParagraph"/>
        <w:ind w:left="22" w:right="36"/>
        <w:jc w:val="both"/>
      </w:pPr>
      <w:r>
        <w:t xml:space="preserve">FUENTE: </w:t>
      </w:r>
      <w:hyperlink r:id="rId43" w:anchor="/regionsresume" w:history="1">
        <w:r w:rsidR="0071568E" w:rsidRPr="00E905CB">
          <w:rPr>
            <w:rStyle w:val="Hipervnculo"/>
          </w:rPr>
          <w:t>https://siis.ia.supersociedades.gov.co/#/regionsresume</w:t>
        </w:r>
      </w:hyperlink>
      <w:r w:rsidR="0071568E">
        <w:t xml:space="preserve"> </w:t>
      </w:r>
    </w:p>
    <w:p w14:paraId="309FA9F7" w14:textId="79F854A8" w:rsidR="006755B3" w:rsidRDefault="006755B3" w:rsidP="006755B3">
      <w:pPr>
        <w:pStyle w:val="TableParagraph"/>
        <w:ind w:left="22" w:right="36"/>
        <w:jc w:val="both"/>
      </w:pPr>
    </w:p>
    <w:p w14:paraId="07B8A682" w14:textId="77777777" w:rsidR="006755B3" w:rsidRDefault="006755B3" w:rsidP="006755B3">
      <w:pPr>
        <w:pStyle w:val="TableParagraph"/>
        <w:ind w:left="22" w:right="36"/>
        <w:jc w:val="both"/>
      </w:pPr>
    </w:p>
    <w:p w14:paraId="773B0F9D" w14:textId="77777777" w:rsidR="00C21289" w:rsidRDefault="00C21289" w:rsidP="00C21289">
      <w:pPr>
        <w:pStyle w:val="TableParagraph"/>
        <w:ind w:left="22" w:right="31"/>
        <w:jc w:val="both"/>
      </w:pPr>
      <w:r>
        <w:t>Si bien el indicador de solvencia y el indicador de apalancamiento financiero es superior a 1,</w:t>
      </w:r>
      <w:r>
        <w:rPr>
          <w:spacing w:val="-9"/>
        </w:rPr>
        <w:t xml:space="preserve"> </w:t>
      </w:r>
      <w:r>
        <w:t>debe</w:t>
      </w:r>
      <w:r>
        <w:rPr>
          <w:spacing w:val="-6"/>
        </w:rPr>
        <w:t xml:space="preserve"> </w:t>
      </w:r>
      <w:r>
        <w:t>considerarse</w:t>
      </w:r>
      <w:r>
        <w:rPr>
          <w:spacing w:val="-6"/>
        </w:rPr>
        <w:t xml:space="preserve"> </w:t>
      </w:r>
      <w:r>
        <w:t>que</w:t>
      </w:r>
      <w:r>
        <w:rPr>
          <w:spacing w:val="-5"/>
        </w:rPr>
        <w:t xml:space="preserve"> </w:t>
      </w:r>
      <w:r>
        <w:t>la</w:t>
      </w:r>
      <w:r>
        <w:rPr>
          <w:spacing w:val="-6"/>
        </w:rPr>
        <w:t xml:space="preserve"> </w:t>
      </w:r>
      <w:r>
        <w:t>situación</w:t>
      </w:r>
      <w:r>
        <w:rPr>
          <w:spacing w:val="-6"/>
        </w:rPr>
        <w:t xml:space="preserve"> </w:t>
      </w:r>
      <w:r>
        <w:t>en</w:t>
      </w:r>
      <w:r>
        <w:rPr>
          <w:spacing w:val="-6"/>
        </w:rPr>
        <w:t xml:space="preserve"> </w:t>
      </w:r>
      <w:r>
        <w:t>el</w:t>
      </w:r>
      <w:r>
        <w:rPr>
          <w:spacing w:val="-11"/>
        </w:rPr>
        <w:t xml:space="preserve"> </w:t>
      </w:r>
      <w:r>
        <w:t>año</w:t>
      </w:r>
      <w:r>
        <w:rPr>
          <w:spacing w:val="-6"/>
        </w:rPr>
        <w:t xml:space="preserve"> </w:t>
      </w:r>
      <w:r>
        <w:t>2021</w:t>
      </w:r>
      <w:r>
        <w:rPr>
          <w:spacing w:val="-6"/>
        </w:rPr>
        <w:t xml:space="preserve"> </w:t>
      </w:r>
      <w:r>
        <w:t>fue</w:t>
      </w:r>
      <w:r>
        <w:rPr>
          <w:spacing w:val="-9"/>
        </w:rPr>
        <w:t xml:space="preserve"> </w:t>
      </w:r>
      <w:r>
        <w:t>difícil</w:t>
      </w:r>
      <w:r>
        <w:rPr>
          <w:spacing w:val="-12"/>
        </w:rPr>
        <w:t xml:space="preserve"> </w:t>
      </w:r>
      <w:r>
        <w:t>para</w:t>
      </w:r>
      <w:r>
        <w:rPr>
          <w:spacing w:val="-6"/>
        </w:rPr>
        <w:t xml:space="preserve"> </w:t>
      </w:r>
      <w:r>
        <w:t>el</w:t>
      </w:r>
      <w:r>
        <w:rPr>
          <w:spacing w:val="-11"/>
        </w:rPr>
        <w:t xml:space="preserve"> </w:t>
      </w:r>
      <w:r>
        <w:t>sector,</w:t>
      </w:r>
      <w:r>
        <w:rPr>
          <w:spacing w:val="-9"/>
        </w:rPr>
        <w:t xml:space="preserve"> </w:t>
      </w:r>
      <w:r>
        <w:t>con</w:t>
      </w:r>
      <w:r>
        <w:rPr>
          <w:spacing w:val="-6"/>
        </w:rPr>
        <w:t xml:space="preserve"> </w:t>
      </w:r>
      <w:r>
        <w:t>fuertes</w:t>
      </w:r>
      <w:r>
        <w:rPr>
          <w:spacing w:val="-6"/>
        </w:rPr>
        <w:t xml:space="preserve"> </w:t>
      </w:r>
      <w:r>
        <w:t>caídas</w:t>
      </w:r>
      <w:r>
        <w:rPr>
          <w:spacing w:val="-5"/>
        </w:rPr>
        <w:t xml:space="preserve"> </w:t>
      </w:r>
      <w:r>
        <w:t>de</w:t>
      </w:r>
      <w:r>
        <w:rPr>
          <w:spacing w:val="1"/>
        </w:rPr>
        <w:t xml:space="preserve"> </w:t>
      </w:r>
      <w:r>
        <w:t>la actividad como consecuencia de los cierres por la pandemia del Covid-19. Las acciones del Gobierno</w:t>
      </w:r>
      <w:r>
        <w:rPr>
          <w:spacing w:val="1"/>
        </w:rPr>
        <w:t xml:space="preserve"> </w:t>
      </w:r>
      <w:r>
        <w:t>Nacional</w:t>
      </w:r>
      <w:r>
        <w:rPr>
          <w:spacing w:val="-12"/>
        </w:rPr>
        <w:t xml:space="preserve"> </w:t>
      </w:r>
      <w:r>
        <w:t>desde</w:t>
      </w:r>
      <w:r>
        <w:rPr>
          <w:spacing w:val="-10"/>
        </w:rPr>
        <w:t xml:space="preserve"> </w:t>
      </w:r>
      <w:r>
        <w:t>mediados</w:t>
      </w:r>
      <w:r>
        <w:rPr>
          <w:spacing w:val="-10"/>
        </w:rPr>
        <w:t xml:space="preserve"> </w:t>
      </w:r>
      <w:r>
        <w:t>de</w:t>
      </w:r>
      <w:r>
        <w:rPr>
          <w:spacing w:val="-10"/>
        </w:rPr>
        <w:t xml:space="preserve"> </w:t>
      </w:r>
      <w:r>
        <w:t>año</w:t>
      </w:r>
      <w:r>
        <w:rPr>
          <w:spacing w:val="-10"/>
        </w:rPr>
        <w:t xml:space="preserve"> </w:t>
      </w:r>
      <w:r>
        <w:t>2022</w:t>
      </w:r>
      <w:r>
        <w:rPr>
          <w:spacing w:val="-6"/>
        </w:rPr>
        <w:t xml:space="preserve"> </w:t>
      </w:r>
      <w:r>
        <w:t>permitieron</w:t>
      </w:r>
      <w:r>
        <w:rPr>
          <w:spacing w:val="-6"/>
        </w:rPr>
        <w:t xml:space="preserve"> </w:t>
      </w:r>
      <w:r>
        <w:t>la</w:t>
      </w:r>
      <w:r>
        <w:rPr>
          <w:spacing w:val="-6"/>
        </w:rPr>
        <w:t xml:space="preserve"> </w:t>
      </w:r>
      <w:r>
        <w:t>recuperación</w:t>
      </w:r>
      <w:r>
        <w:rPr>
          <w:spacing w:val="-6"/>
        </w:rPr>
        <w:t xml:space="preserve"> </w:t>
      </w:r>
      <w:r>
        <w:t>del</w:t>
      </w:r>
      <w:r>
        <w:rPr>
          <w:spacing w:val="-12"/>
        </w:rPr>
        <w:t xml:space="preserve"> </w:t>
      </w:r>
      <w:r>
        <w:t>sector,</w:t>
      </w:r>
      <w:r>
        <w:rPr>
          <w:spacing w:val="-9"/>
        </w:rPr>
        <w:t xml:space="preserve"> </w:t>
      </w:r>
      <w:r>
        <w:t>pero</w:t>
      </w:r>
      <w:r>
        <w:rPr>
          <w:spacing w:val="-10"/>
        </w:rPr>
        <w:t xml:space="preserve"> </w:t>
      </w:r>
      <w:r>
        <w:t>debe</w:t>
      </w:r>
      <w:r>
        <w:rPr>
          <w:spacing w:val="-6"/>
        </w:rPr>
        <w:t xml:space="preserve"> </w:t>
      </w:r>
      <w:r>
        <w:t>actuarse</w:t>
      </w:r>
      <w:r>
        <w:rPr>
          <w:spacing w:val="-6"/>
        </w:rPr>
        <w:t xml:space="preserve"> </w:t>
      </w:r>
      <w:r>
        <w:t>con</w:t>
      </w:r>
      <w:r>
        <w:rPr>
          <w:spacing w:val="-6"/>
        </w:rPr>
        <w:t xml:space="preserve"> </w:t>
      </w:r>
      <w:r>
        <w:t>cautela</w:t>
      </w:r>
      <w:r>
        <w:rPr>
          <w:spacing w:val="1"/>
        </w:rPr>
        <w:t xml:space="preserve"> </w:t>
      </w:r>
      <w:r>
        <w:t>para</w:t>
      </w:r>
      <w:r>
        <w:rPr>
          <w:spacing w:val="-8"/>
        </w:rPr>
        <w:t xml:space="preserve"> </w:t>
      </w:r>
      <w:r>
        <w:t>no</w:t>
      </w:r>
      <w:r>
        <w:rPr>
          <w:spacing w:val="-7"/>
        </w:rPr>
        <w:t xml:space="preserve"> </w:t>
      </w:r>
      <w:r>
        <w:t>exigir</w:t>
      </w:r>
      <w:r>
        <w:rPr>
          <w:spacing w:val="-6"/>
        </w:rPr>
        <w:t xml:space="preserve"> </w:t>
      </w:r>
      <w:r>
        <w:t>indicadores</w:t>
      </w:r>
      <w:r>
        <w:rPr>
          <w:spacing w:val="-7"/>
        </w:rPr>
        <w:t xml:space="preserve"> </w:t>
      </w:r>
      <w:r>
        <w:t>que</w:t>
      </w:r>
      <w:r>
        <w:rPr>
          <w:spacing w:val="-7"/>
        </w:rPr>
        <w:t xml:space="preserve"> </w:t>
      </w:r>
      <w:r>
        <w:t>sobrepasen</w:t>
      </w:r>
      <w:r>
        <w:rPr>
          <w:spacing w:val="-7"/>
        </w:rPr>
        <w:t xml:space="preserve"> </w:t>
      </w:r>
      <w:r>
        <w:t>las</w:t>
      </w:r>
      <w:r>
        <w:rPr>
          <w:spacing w:val="-8"/>
        </w:rPr>
        <w:t xml:space="preserve"> </w:t>
      </w:r>
      <w:r>
        <w:t>capacidades</w:t>
      </w:r>
      <w:r>
        <w:rPr>
          <w:spacing w:val="-7"/>
        </w:rPr>
        <w:t xml:space="preserve"> </w:t>
      </w:r>
      <w:r>
        <w:t>post</w:t>
      </w:r>
      <w:r>
        <w:rPr>
          <w:spacing w:val="-10"/>
        </w:rPr>
        <w:t xml:space="preserve"> </w:t>
      </w:r>
      <w:r>
        <w:t>pandemia</w:t>
      </w:r>
      <w:r>
        <w:rPr>
          <w:spacing w:val="-7"/>
        </w:rPr>
        <w:t xml:space="preserve"> </w:t>
      </w:r>
      <w:r>
        <w:t>y</w:t>
      </w:r>
      <w:r>
        <w:rPr>
          <w:spacing w:val="-7"/>
        </w:rPr>
        <w:t xml:space="preserve"> </w:t>
      </w:r>
      <w:r>
        <w:t>limiten</w:t>
      </w:r>
      <w:r>
        <w:rPr>
          <w:spacing w:val="-7"/>
        </w:rPr>
        <w:t xml:space="preserve"> </w:t>
      </w:r>
      <w:r>
        <w:t>la</w:t>
      </w:r>
      <w:r>
        <w:rPr>
          <w:spacing w:val="-7"/>
        </w:rPr>
        <w:t xml:space="preserve"> </w:t>
      </w:r>
      <w:r>
        <w:t>pluralidad</w:t>
      </w:r>
      <w:r>
        <w:rPr>
          <w:spacing w:val="-8"/>
        </w:rPr>
        <w:t xml:space="preserve"> </w:t>
      </w:r>
      <w:r>
        <w:t>de</w:t>
      </w:r>
      <w:r>
        <w:rPr>
          <w:spacing w:val="-7"/>
        </w:rPr>
        <w:t xml:space="preserve"> </w:t>
      </w:r>
      <w:r>
        <w:t>oferentes.</w:t>
      </w:r>
    </w:p>
    <w:p w14:paraId="1F977A23" w14:textId="77777777" w:rsidR="0071568E" w:rsidRDefault="0071568E" w:rsidP="0071568E">
      <w:pPr>
        <w:pStyle w:val="TableParagraph"/>
      </w:pPr>
    </w:p>
    <w:p w14:paraId="11355B0C" w14:textId="130AAAA5" w:rsidR="0071568E" w:rsidRDefault="0071568E" w:rsidP="0071568E">
      <w:pPr>
        <w:pStyle w:val="TableParagraph"/>
        <w:ind w:left="22" w:right="40"/>
        <w:jc w:val="both"/>
      </w:pPr>
      <w:r>
        <w:t>La</w:t>
      </w:r>
      <w:r>
        <w:rPr>
          <w:spacing w:val="-2"/>
        </w:rPr>
        <w:t xml:space="preserve"> </w:t>
      </w:r>
      <w:r>
        <w:t>situación</w:t>
      </w:r>
      <w:r>
        <w:rPr>
          <w:spacing w:val="-2"/>
        </w:rPr>
        <w:t xml:space="preserve"> </w:t>
      </w:r>
      <w:r>
        <w:t>ha</w:t>
      </w:r>
      <w:r>
        <w:rPr>
          <w:spacing w:val="-6"/>
        </w:rPr>
        <w:t xml:space="preserve"> </w:t>
      </w:r>
      <w:r>
        <w:t>venido</w:t>
      </w:r>
      <w:r>
        <w:rPr>
          <w:spacing w:val="-6"/>
        </w:rPr>
        <w:t xml:space="preserve"> </w:t>
      </w:r>
      <w:r>
        <w:t>mejorando</w:t>
      </w:r>
      <w:r>
        <w:rPr>
          <w:spacing w:val="-2"/>
        </w:rPr>
        <w:t xml:space="preserve"> </w:t>
      </w:r>
      <w:r>
        <w:t>con</w:t>
      </w:r>
      <w:r>
        <w:rPr>
          <w:spacing w:val="-6"/>
        </w:rPr>
        <w:t xml:space="preserve"> </w:t>
      </w:r>
      <w:r>
        <w:t>posterioridad</w:t>
      </w:r>
      <w:r>
        <w:rPr>
          <w:spacing w:val="-2"/>
        </w:rPr>
        <w:t xml:space="preserve"> </w:t>
      </w:r>
      <w:r>
        <w:t>a</w:t>
      </w:r>
      <w:r w:rsidR="00C21289">
        <w:t xml:space="preserve"> </w:t>
      </w:r>
      <w:r>
        <w:rPr>
          <w:spacing w:val="-59"/>
        </w:rPr>
        <w:t xml:space="preserve"> </w:t>
      </w:r>
      <w:r>
        <w:t>la apertura de la economía, y el comportamiento de los sectores de interés para el presente proceso de</w:t>
      </w:r>
      <w:r>
        <w:rPr>
          <w:spacing w:val="1"/>
        </w:rPr>
        <w:t xml:space="preserve"> </w:t>
      </w:r>
      <w:r>
        <w:t xml:space="preserve">contratación, </w:t>
      </w:r>
      <w:r>
        <w:lastRenderedPageBreak/>
        <w:t>guardan correlación histórica con el comportamiento del PIB, no siendo excepción el buen ritmo</w:t>
      </w:r>
      <w:r w:rsidR="00E23608">
        <w:t xml:space="preserve"> </w:t>
      </w:r>
      <w:r>
        <w:rPr>
          <w:spacing w:val="-59"/>
        </w:rPr>
        <w:t xml:space="preserve"> </w:t>
      </w:r>
      <w:r>
        <w:t xml:space="preserve">presentado en el 2021 y </w:t>
      </w:r>
      <w:r w:rsidR="00E23608">
        <w:t xml:space="preserve">en </w:t>
      </w:r>
      <w:r>
        <w:t>el 2022. Sin embargo, se insiste, en que debe guardarse cautela debida,</w:t>
      </w:r>
      <w:r>
        <w:rPr>
          <w:spacing w:val="1"/>
        </w:rPr>
        <w:t xml:space="preserve"> </w:t>
      </w:r>
      <w:r>
        <w:rPr>
          <w:spacing w:val="-1"/>
        </w:rPr>
        <w:t>pues</w:t>
      </w:r>
      <w:r>
        <w:rPr>
          <w:spacing w:val="-8"/>
        </w:rPr>
        <w:t xml:space="preserve"> </w:t>
      </w:r>
      <w:r>
        <w:rPr>
          <w:spacing w:val="-1"/>
        </w:rPr>
        <w:t>el</w:t>
      </w:r>
      <w:r>
        <w:rPr>
          <w:spacing w:val="-15"/>
        </w:rPr>
        <w:t xml:space="preserve"> </w:t>
      </w:r>
      <w:r>
        <w:rPr>
          <w:spacing w:val="-1"/>
        </w:rPr>
        <w:t>contexto</w:t>
      </w:r>
      <w:r>
        <w:rPr>
          <w:spacing w:val="-7"/>
        </w:rPr>
        <w:t xml:space="preserve"> </w:t>
      </w:r>
      <w:r>
        <w:rPr>
          <w:spacing w:val="-1"/>
        </w:rPr>
        <w:t>inflacionario</w:t>
      </w:r>
      <w:r>
        <w:rPr>
          <w:spacing w:val="-8"/>
        </w:rPr>
        <w:t xml:space="preserve"> </w:t>
      </w:r>
      <w:r>
        <w:rPr>
          <w:spacing w:val="-1"/>
        </w:rPr>
        <w:t>y</w:t>
      </w:r>
      <w:r>
        <w:rPr>
          <w:spacing w:val="-6"/>
        </w:rPr>
        <w:t xml:space="preserve"> </w:t>
      </w:r>
      <w:r>
        <w:rPr>
          <w:spacing w:val="-1"/>
        </w:rPr>
        <w:t>la</w:t>
      </w:r>
      <w:r>
        <w:rPr>
          <w:spacing w:val="-8"/>
        </w:rPr>
        <w:t xml:space="preserve"> </w:t>
      </w:r>
      <w:r>
        <w:rPr>
          <w:spacing w:val="-1"/>
        </w:rPr>
        <w:t>difícil</w:t>
      </w:r>
      <w:r>
        <w:rPr>
          <w:spacing w:val="-10"/>
        </w:rPr>
        <w:t xml:space="preserve"> </w:t>
      </w:r>
      <w:r>
        <w:rPr>
          <w:spacing w:val="-1"/>
        </w:rPr>
        <w:t>situación</w:t>
      </w:r>
      <w:r>
        <w:rPr>
          <w:spacing w:val="-8"/>
        </w:rPr>
        <w:t xml:space="preserve"> </w:t>
      </w:r>
      <w:r>
        <w:t>a</w:t>
      </w:r>
      <w:r>
        <w:rPr>
          <w:spacing w:val="-7"/>
        </w:rPr>
        <w:t xml:space="preserve"> </w:t>
      </w:r>
      <w:r>
        <w:t>nivel</w:t>
      </w:r>
      <w:r>
        <w:rPr>
          <w:spacing w:val="-10"/>
        </w:rPr>
        <w:t xml:space="preserve"> </w:t>
      </w:r>
      <w:r>
        <w:t>internacional</w:t>
      </w:r>
      <w:r>
        <w:rPr>
          <w:spacing w:val="-14"/>
        </w:rPr>
        <w:t xml:space="preserve"> </w:t>
      </w:r>
      <w:r>
        <w:t>son</w:t>
      </w:r>
      <w:r>
        <w:rPr>
          <w:spacing w:val="-8"/>
        </w:rPr>
        <w:t xml:space="preserve"> </w:t>
      </w:r>
      <w:r>
        <w:t>amenazas</w:t>
      </w:r>
      <w:r>
        <w:rPr>
          <w:spacing w:val="-7"/>
        </w:rPr>
        <w:t xml:space="preserve"> </w:t>
      </w:r>
      <w:r>
        <w:t>latentes</w:t>
      </w:r>
      <w:r>
        <w:rPr>
          <w:spacing w:val="-8"/>
        </w:rPr>
        <w:t xml:space="preserve"> </w:t>
      </w:r>
      <w:r>
        <w:t>para</w:t>
      </w:r>
      <w:r>
        <w:rPr>
          <w:spacing w:val="-7"/>
        </w:rPr>
        <w:t xml:space="preserve"> </w:t>
      </w:r>
      <w:r>
        <w:t>la</w:t>
      </w:r>
      <w:r>
        <w:rPr>
          <w:spacing w:val="-8"/>
        </w:rPr>
        <w:t xml:space="preserve"> </w:t>
      </w:r>
      <w:r>
        <w:t>economía</w:t>
      </w:r>
      <w:r>
        <w:rPr>
          <w:spacing w:val="-59"/>
        </w:rPr>
        <w:t xml:space="preserve"> </w:t>
      </w:r>
      <w:r w:rsidR="00222DF9">
        <w:rPr>
          <w:spacing w:val="-59"/>
        </w:rPr>
        <w:t xml:space="preserve">         </w:t>
      </w:r>
      <w:r>
        <w:t>en</w:t>
      </w:r>
      <w:r>
        <w:rPr>
          <w:spacing w:val="-1"/>
        </w:rPr>
        <w:t xml:space="preserve"> </w:t>
      </w:r>
      <w:r>
        <w:t>general</w:t>
      </w:r>
      <w:r>
        <w:rPr>
          <w:spacing w:val="-6"/>
        </w:rPr>
        <w:t xml:space="preserve"> </w:t>
      </w:r>
      <w:r>
        <w:t>y las empresas de los sectores.</w:t>
      </w:r>
    </w:p>
    <w:p w14:paraId="1B412E85" w14:textId="2EA26F19" w:rsidR="00C21289" w:rsidRDefault="00C21289" w:rsidP="0071568E">
      <w:pPr>
        <w:pStyle w:val="TableParagraph"/>
        <w:ind w:left="22" w:right="40"/>
        <w:jc w:val="both"/>
      </w:pPr>
    </w:p>
    <w:p w14:paraId="277B08F2" w14:textId="77777777" w:rsidR="00C21289" w:rsidRDefault="00C21289" w:rsidP="00C21289">
      <w:pPr>
        <w:pStyle w:val="TableParagraph"/>
        <w:ind w:left="22" w:right="40"/>
        <w:jc w:val="both"/>
      </w:pPr>
      <w:r>
        <w:t xml:space="preserve">Aunado a lo anterior, se consultaron procesos de contratación con modalidad de selección abreviada subasta inversa en otras Direcciones Seccionales en la vigencia 2022, encontrando lo siguiente: </w:t>
      </w:r>
    </w:p>
    <w:p w14:paraId="288CD033" w14:textId="449F45F3" w:rsidR="00C21289" w:rsidRDefault="00C21289" w:rsidP="0071568E">
      <w:pPr>
        <w:pStyle w:val="TableParagraph"/>
        <w:ind w:left="22" w:right="40"/>
        <w:jc w:val="both"/>
      </w:pPr>
    </w:p>
    <w:tbl>
      <w:tblPr>
        <w:tblStyle w:val="Tablaconcuadrcula"/>
        <w:tblW w:w="0" w:type="auto"/>
        <w:tblInd w:w="22" w:type="dxa"/>
        <w:tblLayout w:type="fixed"/>
        <w:tblLook w:val="04A0" w:firstRow="1" w:lastRow="0" w:firstColumn="1" w:lastColumn="0" w:noHBand="0" w:noVBand="1"/>
      </w:tblPr>
      <w:tblGrid>
        <w:gridCol w:w="966"/>
        <w:gridCol w:w="965"/>
        <w:gridCol w:w="1117"/>
        <w:gridCol w:w="1079"/>
        <w:gridCol w:w="795"/>
        <w:gridCol w:w="1005"/>
        <w:gridCol w:w="1134"/>
        <w:gridCol w:w="992"/>
        <w:gridCol w:w="755"/>
      </w:tblGrid>
      <w:tr w:rsidR="00A30DEB" w:rsidRPr="00CF0611" w14:paraId="1394F0AE" w14:textId="77777777" w:rsidTr="00CE06FE">
        <w:tc>
          <w:tcPr>
            <w:tcW w:w="966" w:type="dxa"/>
            <w:vAlign w:val="center"/>
          </w:tcPr>
          <w:p w14:paraId="43CAF154" w14:textId="77777777" w:rsidR="00A30DEB" w:rsidRPr="00CF0611" w:rsidRDefault="00A30DEB" w:rsidP="00CE06FE">
            <w:pPr>
              <w:pStyle w:val="TableParagraph"/>
              <w:ind w:right="40"/>
              <w:jc w:val="center"/>
              <w:rPr>
                <w:b/>
                <w:bCs/>
                <w:sz w:val="16"/>
                <w:szCs w:val="16"/>
              </w:rPr>
            </w:pPr>
            <w:r w:rsidRPr="00CF0611">
              <w:rPr>
                <w:b/>
                <w:bCs/>
                <w:sz w:val="16"/>
                <w:szCs w:val="16"/>
              </w:rPr>
              <w:t>Entidad</w:t>
            </w:r>
          </w:p>
        </w:tc>
        <w:tc>
          <w:tcPr>
            <w:tcW w:w="965" w:type="dxa"/>
            <w:vAlign w:val="center"/>
          </w:tcPr>
          <w:p w14:paraId="5B990DC3" w14:textId="77777777" w:rsidR="00A30DEB" w:rsidRPr="00CF0611" w:rsidRDefault="00A30DEB" w:rsidP="00CE06FE">
            <w:pPr>
              <w:pStyle w:val="TableParagraph"/>
              <w:ind w:right="40"/>
              <w:jc w:val="center"/>
              <w:rPr>
                <w:b/>
                <w:bCs/>
                <w:sz w:val="16"/>
                <w:szCs w:val="16"/>
              </w:rPr>
            </w:pPr>
            <w:r w:rsidRPr="00CF0611">
              <w:rPr>
                <w:b/>
                <w:bCs/>
                <w:sz w:val="16"/>
                <w:szCs w:val="16"/>
              </w:rPr>
              <w:t>Referencia</w:t>
            </w:r>
          </w:p>
        </w:tc>
        <w:tc>
          <w:tcPr>
            <w:tcW w:w="1117" w:type="dxa"/>
            <w:vAlign w:val="center"/>
          </w:tcPr>
          <w:p w14:paraId="19B1E169" w14:textId="77777777" w:rsidR="00A30DEB" w:rsidRPr="00CF0611" w:rsidRDefault="00A30DEB" w:rsidP="00CE06FE">
            <w:pPr>
              <w:pStyle w:val="TableParagraph"/>
              <w:ind w:right="40"/>
              <w:jc w:val="center"/>
              <w:rPr>
                <w:b/>
                <w:bCs/>
                <w:sz w:val="16"/>
                <w:szCs w:val="16"/>
              </w:rPr>
            </w:pPr>
            <w:r w:rsidRPr="00CF0611">
              <w:rPr>
                <w:b/>
                <w:bCs/>
                <w:sz w:val="16"/>
                <w:szCs w:val="16"/>
              </w:rPr>
              <w:t>Objeto</w:t>
            </w:r>
          </w:p>
        </w:tc>
        <w:tc>
          <w:tcPr>
            <w:tcW w:w="1079" w:type="dxa"/>
            <w:vAlign w:val="center"/>
          </w:tcPr>
          <w:p w14:paraId="58213E61" w14:textId="77777777" w:rsidR="00A30DEB" w:rsidRPr="00CF0611" w:rsidRDefault="00A30DEB" w:rsidP="00CE06FE">
            <w:pPr>
              <w:pStyle w:val="TableParagraph"/>
              <w:ind w:right="40"/>
              <w:jc w:val="center"/>
              <w:rPr>
                <w:b/>
                <w:bCs/>
                <w:sz w:val="16"/>
                <w:szCs w:val="16"/>
              </w:rPr>
            </w:pPr>
            <w:r w:rsidRPr="00CF0611">
              <w:rPr>
                <w:b/>
                <w:bCs/>
                <w:sz w:val="16"/>
                <w:szCs w:val="16"/>
              </w:rPr>
              <w:t>Valor Contratación</w:t>
            </w:r>
          </w:p>
        </w:tc>
        <w:tc>
          <w:tcPr>
            <w:tcW w:w="795" w:type="dxa"/>
            <w:vAlign w:val="center"/>
          </w:tcPr>
          <w:p w14:paraId="0E62E2C9" w14:textId="77777777" w:rsidR="00A30DEB" w:rsidRPr="00CF0611" w:rsidRDefault="00A30DEB" w:rsidP="00CE06FE">
            <w:pPr>
              <w:pStyle w:val="TableParagraph"/>
              <w:ind w:right="40"/>
              <w:jc w:val="center"/>
              <w:rPr>
                <w:b/>
                <w:bCs/>
                <w:sz w:val="16"/>
                <w:szCs w:val="16"/>
              </w:rPr>
            </w:pPr>
            <w:r w:rsidRPr="00CF0611">
              <w:rPr>
                <w:b/>
                <w:bCs/>
                <w:sz w:val="16"/>
                <w:szCs w:val="16"/>
              </w:rPr>
              <w:t>IND LIQUIDEZ</w:t>
            </w:r>
          </w:p>
        </w:tc>
        <w:tc>
          <w:tcPr>
            <w:tcW w:w="1005" w:type="dxa"/>
            <w:vAlign w:val="center"/>
          </w:tcPr>
          <w:p w14:paraId="02A300CE" w14:textId="77777777" w:rsidR="00A30DEB" w:rsidRPr="00CF0611" w:rsidRDefault="00A30DEB" w:rsidP="00CE06FE">
            <w:pPr>
              <w:pStyle w:val="TableParagraph"/>
              <w:ind w:right="40"/>
              <w:jc w:val="center"/>
              <w:rPr>
                <w:b/>
                <w:bCs/>
                <w:sz w:val="16"/>
                <w:szCs w:val="16"/>
              </w:rPr>
            </w:pPr>
            <w:r w:rsidRPr="00CF0611">
              <w:rPr>
                <w:b/>
                <w:bCs/>
                <w:sz w:val="16"/>
                <w:szCs w:val="16"/>
              </w:rPr>
              <w:t>IND ENDEUDAMIIENTO</w:t>
            </w:r>
          </w:p>
        </w:tc>
        <w:tc>
          <w:tcPr>
            <w:tcW w:w="1134" w:type="dxa"/>
            <w:vAlign w:val="center"/>
          </w:tcPr>
          <w:p w14:paraId="426292C3" w14:textId="77777777" w:rsidR="00A30DEB" w:rsidRPr="00CF0611" w:rsidRDefault="00A30DEB" w:rsidP="00CE06FE">
            <w:pPr>
              <w:pStyle w:val="TableParagraph"/>
              <w:ind w:right="40"/>
              <w:jc w:val="center"/>
              <w:rPr>
                <w:b/>
                <w:bCs/>
                <w:sz w:val="16"/>
                <w:szCs w:val="16"/>
              </w:rPr>
            </w:pPr>
            <w:r w:rsidRPr="00CF0611">
              <w:rPr>
                <w:b/>
                <w:bCs/>
                <w:sz w:val="16"/>
                <w:szCs w:val="16"/>
              </w:rPr>
              <w:t>RAZON COBERTURA INTERESES</w:t>
            </w:r>
          </w:p>
        </w:tc>
        <w:tc>
          <w:tcPr>
            <w:tcW w:w="992" w:type="dxa"/>
            <w:vAlign w:val="center"/>
          </w:tcPr>
          <w:p w14:paraId="5AA517F6" w14:textId="77777777" w:rsidR="00A30DEB" w:rsidRPr="00CF0611" w:rsidRDefault="00A30DEB" w:rsidP="00CE06FE">
            <w:pPr>
              <w:pStyle w:val="TableParagraph"/>
              <w:ind w:right="40"/>
              <w:jc w:val="center"/>
              <w:rPr>
                <w:b/>
                <w:bCs/>
                <w:sz w:val="16"/>
                <w:szCs w:val="16"/>
              </w:rPr>
            </w:pPr>
            <w:r w:rsidRPr="00CF0611">
              <w:rPr>
                <w:rFonts w:eastAsia="MS Mincho"/>
                <w:b/>
                <w:bCs/>
                <w:sz w:val="16"/>
                <w:szCs w:val="16"/>
              </w:rPr>
              <w:t>Utilidad Operacional / Activo Total</w:t>
            </w:r>
          </w:p>
        </w:tc>
        <w:tc>
          <w:tcPr>
            <w:tcW w:w="755" w:type="dxa"/>
            <w:vAlign w:val="center"/>
          </w:tcPr>
          <w:p w14:paraId="0A951009" w14:textId="77777777" w:rsidR="00A30DEB" w:rsidRPr="00CF0611" w:rsidRDefault="00A30DEB" w:rsidP="00CE06FE">
            <w:pPr>
              <w:pStyle w:val="TableParagraph"/>
              <w:ind w:right="40"/>
              <w:jc w:val="center"/>
              <w:rPr>
                <w:rFonts w:eastAsia="MS Mincho"/>
                <w:b/>
                <w:bCs/>
                <w:sz w:val="16"/>
                <w:szCs w:val="16"/>
              </w:rPr>
            </w:pPr>
            <w:r w:rsidRPr="00CF0611">
              <w:rPr>
                <w:rFonts w:eastAsia="MS Mincho"/>
                <w:b/>
                <w:bCs/>
                <w:sz w:val="16"/>
                <w:szCs w:val="16"/>
              </w:rPr>
              <w:t>Utilidad Operacional / Patrimonio</w:t>
            </w:r>
          </w:p>
        </w:tc>
      </w:tr>
      <w:tr w:rsidR="00A30DEB" w:rsidRPr="00CF0611" w14:paraId="07FD9DD0" w14:textId="77777777" w:rsidTr="00CE06FE">
        <w:tc>
          <w:tcPr>
            <w:tcW w:w="966" w:type="dxa"/>
          </w:tcPr>
          <w:p w14:paraId="53E1FAA8" w14:textId="77777777" w:rsidR="00A30DEB" w:rsidRPr="00CF0611" w:rsidRDefault="00A30DEB" w:rsidP="00CE06FE">
            <w:pPr>
              <w:pStyle w:val="TableParagraph"/>
              <w:ind w:right="40"/>
              <w:jc w:val="both"/>
              <w:rPr>
                <w:sz w:val="16"/>
                <w:szCs w:val="16"/>
              </w:rPr>
            </w:pPr>
            <w:r w:rsidRPr="00CF0611">
              <w:rPr>
                <w:sz w:val="16"/>
                <w:szCs w:val="16"/>
              </w:rPr>
              <w:t>Rama Judicial – Dirección Ejecutiva de Administración Judicial</w:t>
            </w:r>
          </w:p>
        </w:tc>
        <w:tc>
          <w:tcPr>
            <w:tcW w:w="965" w:type="dxa"/>
          </w:tcPr>
          <w:p w14:paraId="1F59E8C2" w14:textId="77777777" w:rsidR="00A30DEB" w:rsidRPr="00CF0611" w:rsidRDefault="00A30DEB" w:rsidP="00CE06FE">
            <w:pPr>
              <w:pStyle w:val="TableParagraph"/>
              <w:ind w:right="40"/>
              <w:jc w:val="both"/>
              <w:rPr>
                <w:sz w:val="16"/>
                <w:szCs w:val="16"/>
              </w:rPr>
            </w:pPr>
            <w:r w:rsidRPr="00CF0611">
              <w:rPr>
                <w:sz w:val="16"/>
                <w:szCs w:val="16"/>
              </w:rPr>
              <w:t>SI-07-2022</w:t>
            </w:r>
          </w:p>
        </w:tc>
        <w:tc>
          <w:tcPr>
            <w:tcW w:w="1117" w:type="dxa"/>
          </w:tcPr>
          <w:p w14:paraId="57431944" w14:textId="763CAD15" w:rsidR="00A30DEB" w:rsidRPr="00CF0611" w:rsidRDefault="00A30DEB" w:rsidP="00CE06FE">
            <w:pPr>
              <w:pStyle w:val="TableParagraph"/>
              <w:ind w:right="40"/>
              <w:jc w:val="both"/>
              <w:rPr>
                <w:sz w:val="16"/>
                <w:szCs w:val="16"/>
              </w:rPr>
            </w:pPr>
            <w:r w:rsidRPr="00CF0611">
              <w:rPr>
                <w:sz w:val="16"/>
                <w:szCs w:val="16"/>
              </w:rPr>
              <w:t xml:space="preserve">Adquirir </w:t>
            </w:r>
            <w:r>
              <w:rPr>
                <w:sz w:val="16"/>
                <w:szCs w:val="16"/>
              </w:rPr>
              <w:t>software</w:t>
            </w:r>
          </w:p>
        </w:tc>
        <w:tc>
          <w:tcPr>
            <w:tcW w:w="1079" w:type="dxa"/>
          </w:tcPr>
          <w:p w14:paraId="442D27C9" w14:textId="77777777" w:rsidR="00A30DEB" w:rsidRPr="00CF0611" w:rsidRDefault="00A30DEB" w:rsidP="00CE06FE">
            <w:pPr>
              <w:pStyle w:val="TableParagraph"/>
              <w:ind w:right="40"/>
              <w:jc w:val="both"/>
              <w:rPr>
                <w:sz w:val="16"/>
                <w:szCs w:val="16"/>
              </w:rPr>
            </w:pPr>
            <w:r w:rsidRPr="00CF0611">
              <w:rPr>
                <w:sz w:val="16"/>
                <w:szCs w:val="16"/>
              </w:rPr>
              <w:t>$ 1.451.976.382</w:t>
            </w:r>
          </w:p>
        </w:tc>
        <w:tc>
          <w:tcPr>
            <w:tcW w:w="795" w:type="dxa"/>
          </w:tcPr>
          <w:p w14:paraId="135C1AF2" w14:textId="77777777" w:rsidR="00A30DEB" w:rsidRPr="00CF0611" w:rsidRDefault="00A30DEB" w:rsidP="00CE06FE">
            <w:pPr>
              <w:pStyle w:val="TableParagraph"/>
              <w:ind w:right="40"/>
              <w:jc w:val="both"/>
              <w:rPr>
                <w:sz w:val="16"/>
                <w:szCs w:val="16"/>
              </w:rPr>
            </w:pPr>
            <w:r w:rsidRPr="00CF0611">
              <w:rPr>
                <w:sz w:val="16"/>
                <w:szCs w:val="16"/>
              </w:rPr>
              <w:t>&gt;= 1</w:t>
            </w:r>
          </w:p>
        </w:tc>
        <w:tc>
          <w:tcPr>
            <w:tcW w:w="1005" w:type="dxa"/>
          </w:tcPr>
          <w:p w14:paraId="4F826FFC" w14:textId="77777777" w:rsidR="00A30DEB" w:rsidRPr="00CF0611" w:rsidRDefault="00A30DEB" w:rsidP="00CE06FE">
            <w:pPr>
              <w:pStyle w:val="TableParagraph"/>
              <w:ind w:right="40"/>
              <w:jc w:val="both"/>
              <w:rPr>
                <w:sz w:val="16"/>
                <w:szCs w:val="16"/>
              </w:rPr>
            </w:pPr>
            <w:r w:rsidRPr="00CF0611">
              <w:rPr>
                <w:sz w:val="16"/>
                <w:szCs w:val="16"/>
              </w:rPr>
              <w:t>&lt;= 70%</w:t>
            </w:r>
          </w:p>
        </w:tc>
        <w:tc>
          <w:tcPr>
            <w:tcW w:w="1134" w:type="dxa"/>
          </w:tcPr>
          <w:p w14:paraId="5A0EE79E" w14:textId="77777777" w:rsidR="00A30DEB" w:rsidRPr="00CF0611" w:rsidRDefault="00A30DEB" w:rsidP="00CE06FE">
            <w:pPr>
              <w:pStyle w:val="TableParagraph"/>
              <w:ind w:right="40"/>
              <w:jc w:val="both"/>
              <w:rPr>
                <w:sz w:val="16"/>
                <w:szCs w:val="16"/>
              </w:rPr>
            </w:pPr>
            <w:r w:rsidRPr="00CF0611">
              <w:rPr>
                <w:sz w:val="16"/>
                <w:szCs w:val="16"/>
              </w:rPr>
              <w:t>&gt;0 1 VECES</w:t>
            </w:r>
          </w:p>
        </w:tc>
        <w:tc>
          <w:tcPr>
            <w:tcW w:w="992" w:type="dxa"/>
          </w:tcPr>
          <w:p w14:paraId="08D886C6" w14:textId="77777777" w:rsidR="00A30DEB" w:rsidRPr="00CF0611" w:rsidRDefault="00A30DEB" w:rsidP="00CE06FE">
            <w:pPr>
              <w:pStyle w:val="TableParagraph"/>
              <w:ind w:right="40"/>
              <w:jc w:val="both"/>
              <w:rPr>
                <w:sz w:val="16"/>
                <w:szCs w:val="16"/>
              </w:rPr>
            </w:pPr>
            <w:r w:rsidRPr="00CF0611">
              <w:rPr>
                <w:sz w:val="16"/>
                <w:szCs w:val="16"/>
              </w:rPr>
              <w:t>&gt;= 0,02</w:t>
            </w:r>
          </w:p>
        </w:tc>
        <w:tc>
          <w:tcPr>
            <w:tcW w:w="755" w:type="dxa"/>
          </w:tcPr>
          <w:p w14:paraId="75B6FC65" w14:textId="77777777" w:rsidR="00A30DEB" w:rsidRPr="00CF0611" w:rsidRDefault="00A30DEB" w:rsidP="00CE06FE">
            <w:pPr>
              <w:pStyle w:val="TableParagraph"/>
              <w:ind w:right="40"/>
              <w:jc w:val="both"/>
              <w:rPr>
                <w:sz w:val="16"/>
                <w:szCs w:val="16"/>
              </w:rPr>
            </w:pPr>
            <w:r w:rsidRPr="00CF0611">
              <w:rPr>
                <w:sz w:val="16"/>
                <w:szCs w:val="16"/>
              </w:rPr>
              <w:t>&gt;= 0,02</w:t>
            </w:r>
          </w:p>
        </w:tc>
      </w:tr>
      <w:tr w:rsidR="00A30DEB" w:rsidRPr="00CF0611" w14:paraId="35CBECD7" w14:textId="77777777" w:rsidTr="00CE06FE">
        <w:tc>
          <w:tcPr>
            <w:tcW w:w="966" w:type="dxa"/>
          </w:tcPr>
          <w:p w14:paraId="279BF66D" w14:textId="77777777" w:rsidR="00A30DEB" w:rsidRPr="00CF0611" w:rsidRDefault="00A30DEB" w:rsidP="00CE06FE">
            <w:pPr>
              <w:pStyle w:val="TableParagraph"/>
              <w:ind w:right="40"/>
              <w:jc w:val="both"/>
              <w:rPr>
                <w:sz w:val="16"/>
                <w:szCs w:val="16"/>
              </w:rPr>
            </w:pPr>
            <w:r w:rsidRPr="00CF0611">
              <w:rPr>
                <w:sz w:val="16"/>
                <w:szCs w:val="16"/>
              </w:rPr>
              <w:t>Rama Judicial – Dirección Ejecutiva de Administración Judicial</w:t>
            </w:r>
          </w:p>
        </w:tc>
        <w:tc>
          <w:tcPr>
            <w:tcW w:w="965" w:type="dxa"/>
          </w:tcPr>
          <w:p w14:paraId="2549807A" w14:textId="77777777" w:rsidR="00A30DEB" w:rsidRPr="00CF0611" w:rsidRDefault="00A30DEB" w:rsidP="00CE06FE">
            <w:pPr>
              <w:pStyle w:val="TableParagraph"/>
              <w:ind w:right="40"/>
              <w:jc w:val="both"/>
              <w:rPr>
                <w:sz w:val="16"/>
                <w:szCs w:val="16"/>
              </w:rPr>
            </w:pPr>
            <w:r w:rsidRPr="00CF0611">
              <w:rPr>
                <w:sz w:val="16"/>
                <w:szCs w:val="16"/>
              </w:rPr>
              <w:t>SI-05-2022</w:t>
            </w:r>
          </w:p>
        </w:tc>
        <w:tc>
          <w:tcPr>
            <w:tcW w:w="1117" w:type="dxa"/>
          </w:tcPr>
          <w:p w14:paraId="0FD289BC" w14:textId="10C8ED4D" w:rsidR="00A30DEB" w:rsidRPr="00CF0611" w:rsidRDefault="00A30DEB" w:rsidP="00CE06FE">
            <w:pPr>
              <w:pStyle w:val="TableParagraph"/>
              <w:ind w:right="40"/>
              <w:jc w:val="both"/>
              <w:rPr>
                <w:sz w:val="16"/>
                <w:szCs w:val="16"/>
              </w:rPr>
            </w:pPr>
            <w:r w:rsidRPr="00CF0611">
              <w:rPr>
                <w:sz w:val="16"/>
                <w:szCs w:val="16"/>
              </w:rPr>
              <w:t xml:space="preserve">Realizar el suministro </w:t>
            </w:r>
          </w:p>
        </w:tc>
        <w:tc>
          <w:tcPr>
            <w:tcW w:w="1079" w:type="dxa"/>
          </w:tcPr>
          <w:p w14:paraId="1AFABABB" w14:textId="77777777" w:rsidR="00A30DEB" w:rsidRPr="00CF0611" w:rsidRDefault="00A30DEB" w:rsidP="00CE06FE">
            <w:pPr>
              <w:pStyle w:val="TableParagraph"/>
              <w:ind w:right="40"/>
              <w:jc w:val="both"/>
              <w:rPr>
                <w:sz w:val="16"/>
                <w:szCs w:val="16"/>
              </w:rPr>
            </w:pPr>
            <w:r w:rsidRPr="00CF0611">
              <w:rPr>
                <w:sz w:val="16"/>
                <w:szCs w:val="16"/>
              </w:rPr>
              <w:t>$ 2.425.069.107</w:t>
            </w:r>
          </w:p>
        </w:tc>
        <w:tc>
          <w:tcPr>
            <w:tcW w:w="795" w:type="dxa"/>
          </w:tcPr>
          <w:p w14:paraId="1FDA4BB6" w14:textId="77777777" w:rsidR="00A30DEB" w:rsidRPr="00CF0611" w:rsidRDefault="00A30DEB" w:rsidP="00CE06FE">
            <w:pPr>
              <w:pStyle w:val="TableParagraph"/>
              <w:ind w:right="40"/>
              <w:jc w:val="both"/>
              <w:rPr>
                <w:sz w:val="16"/>
                <w:szCs w:val="16"/>
              </w:rPr>
            </w:pPr>
            <w:r w:rsidRPr="00CF0611">
              <w:rPr>
                <w:sz w:val="16"/>
                <w:szCs w:val="16"/>
              </w:rPr>
              <w:t>&gt;= 1,2</w:t>
            </w:r>
          </w:p>
        </w:tc>
        <w:tc>
          <w:tcPr>
            <w:tcW w:w="1005" w:type="dxa"/>
          </w:tcPr>
          <w:p w14:paraId="14974C4D" w14:textId="77777777" w:rsidR="00A30DEB" w:rsidRPr="00CF0611" w:rsidRDefault="00A30DEB" w:rsidP="00CE06FE">
            <w:pPr>
              <w:pStyle w:val="TableParagraph"/>
              <w:ind w:right="40"/>
              <w:jc w:val="both"/>
              <w:rPr>
                <w:sz w:val="16"/>
                <w:szCs w:val="16"/>
              </w:rPr>
            </w:pPr>
            <w:r w:rsidRPr="00CF0611">
              <w:rPr>
                <w:sz w:val="16"/>
                <w:szCs w:val="16"/>
              </w:rPr>
              <w:t>&lt;= 70%</w:t>
            </w:r>
          </w:p>
        </w:tc>
        <w:tc>
          <w:tcPr>
            <w:tcW w:w="1134" w:type="dxa"/>
          </w:tcPr>
          <w:p w14:paraId="0B56EEE2" w14:textId="77777777" w:rsidR="00A30DEB" w:rsidRPr="00CF0611" w:rsidRDefault="00A30DEB" w:rsidP="00CE06FE">
            <w:pPr>
              <w:pStyle w:val="TableParagraph"/>
              <w:ind w:right="40"/>
              <w:jc w:val="both"/>
              <w:rPr>
                <w:sz w:val="16"/>
                <w:szCs w:val="16"/>
              </w:rPr>
            </w:pPr>
            <w:r w:rsidRPr="00CF0611">
              <w:rPr>
                <w:sz w:val="16"/>
                <w:szCs w:val="16"/>
              </w:rPr>
              <w:t>&gt;= 0,5 VECES</w:t>
            </w:r>
          </w:p>
        </w:tc>
        <w:tc>
          <w:tcPr>
            <w:tcW w:w="992" w:type="dxa"/>
          </w:tcPr>
          <w:p w14:paraId="2116FD77" w14:textId="77777777" w:rsidR="00A30DEB" w:rsidRPr="00CF0611" w:rsidRDefault="00A30DEB" w:rsidP="00CE06FE">
            <w:pPr>
              <w:pStyle w:val="TableParagraph"/>
              <w:ind w:right="40"/>
              <w:jc w:val="both"/>
              <w:rPr>
                <w:sz w:val="16"/>
                <w:szCs w:val="16"/>
              </w:rPr>
            </w:pPr>
            <w:r w:rsidRPr="00CF0611">
              <w:rPr>
                <w:sz w:val="16"/>
                <w:szCs w:val="16"/>
              </w:rPr>
              <w:t>&gt;= 0,02</w:t>
            </w:r>
          </w:p>
        </w:tc>
        <w:tc>
          <w:tcPr>
            <w:tcW w:w="755" w:type="dxa"/>
          </w:tcPr>
          <w:p w14:paraId="0A067BE6" w14:textId="77777777" w:rsidR="00A30DEB" w:rsidRPr="00CF0611" w:rsidRDefault="00A30DEB" w:rsidP="00CE06FE">
            <w:pPr>
              <w:pStyle w:val="TableParagraph"/>
              <w:ind w:right="40"/>
              <w:jc w:val="both"/>
              <w:rPr>
                <w:sz w:val="16"/>
                <w:szCs w:val="16"/>
              </w:rPr>
            </w:pPr>
            <w:r w:rsidRPr="00CF0611">
              <w:rPr>
                <w:sz w:val="16"/>
                <w:szCs w:val="16"/>
              </w:rPr>
              <w:t>&gt;= 0,02</w:t>
            </w:r>
          </w:p>
        </w:tc>
      </w:tr>
      <w:tr w:rsidR="00A30DEB" w:rsidRPr="00CF0611" w14:paraId="094D94BD" w14:textId="77777777" w:rsidTr="00CE06FE">
        <w:tc>
          <w:tcPr>
            <w:tcW w:w="966" w:type="dxa"/>
          </w:tcPr>
          <w:p w14:paraId="6B49B61D" w14:textId="77777777" w:rsidR="00A30DEB" w:rsidRPr="00CF0611" w:rsidRDefault="00A30DEB" w:rsidP="00CE06FE">
            <w:pPr>
              <w:pStyle w:val="TableParagraph"/>
              <w:ind w:right="40"/>
              <w:jc w:val="both"/>
              <w:rPr>
                <w:sz w:val="16"/>
                <w:szCs w:val="16"/>
              </w:rPr>
            </w:pPr>
            <w:r w:rsidRPr="00CF0611">
              <w:rPr>
                <w:sz w:val="16"/>
                <w:szCs w:val="16"/>
              </w:rPr>
              <w:t>Rama Judicial – Dirección Seccional de Administración Judicial de Valledupar</w:t>
            </w:r>
          </w:p>
        </w:tc>
        <w:tc>
          <w:tcPr>
            <w:tcW w:w="965" w:type="dxa"/>
          </w:tcPr>
          <w:p w14:paraId="05DC77B7" w14:textId="77777777" w:rsidR="00A30DEB" w:rsidRPr="00CF0611" w:rsidRDefault="00A30DEB" w:rsidP="00CE06FE">
            <w:pPr>
              <w:pStyle w:val="TableParagraph"/>
              <w:ind w:right="40"/>
              <w:jc w:val="both"/>
              <w:rPr>
                <w:sz w:val="16"/>
                <w:szCs w:val="16"/>
              </w:rPr>
            </w:pPr>
            <w:r w:rsidRPr="00CF0611">
              <w:rPr>
                <w:sz w:val="16"/>
                <w:szCs w:val="16"/>
              </w:rPr>
              <w:t>SASI-VA-01-2022</w:t>
            </w:r>
          </w:p>
        </w:tc>
        <w:tc>
          <w:tcPr>
            <w:tcW w:w="1117" w:type="dxa"/>
          </w:tcPr>
          <w:p w14:paraId="75E960A6" w14:textId="07446164" w:rsidR="00A30DEB" w:rsidRPr="00CF0611" w:rsidRDefault="00A30DEB" w:rsidP="00CE06FE">
            <w:pPr>
              <w:pStyle w:val="TableParagraph"/>
              <w:ind w:right="40"/>
              <w:jc w:val="both"/>
              <w:rPr>
                <w:sz w:val="16"/>
                <w:szCs w:val="16"/>
              </w:rPr>
            </w:pPr>
            <w:r w:rsidRPr="00CF0611">
              <w:rPr>
                <w:sz w:val="16"/>
                <w:szCs w:val="16"/>
              </w:rPr>
              <w:t xml:space="preserve">SUMINISTRO </w:t>
            </w:r>
          </w:p>
        </w:tc>
        <w:tc>
          <w:tcPr>
            <w:tcW w:w="1079" w:type="dxa"/>
          </w:tcPr>
          <w:p w14:paraId="152DB0DA" w14:textId="77777777" w:rsidR="00A30DEB" w:rsidRPr="00CF0611" w:rsidRDefault="00A30DEB" w:rsidP="00CE06FE">
            <w:pPr>
              <w:pStyle w:val="TableParagraph"/>
              <w:ind w:right="40"/>
              <w:jc w:val="both"/>
              <w:rPr>
                <w:sz w:val="16"/>
                <w:szCs w:val="16"/>
              </w:rPr>
            </w:pPr>
            <w:r w:rsidRPr="00CF0611">
              <w:rPr>
                <w:sz w:val="16"/>
                <w:szCs w:val="16"/>
              </w:rPr>
              <w:t>$ 337.042.962</w:t>
            </w:r>
          </w:p>
        </w:tc>
        <w:tc>
          <w:tcPr>
            <w:tcW w:w="795" w:type="dxa"/>
          </w:tcPr>
          <w:p w14:paraId="14E647EE" w14:textId="77777777" w:rsidR="00A30DEB" w:rsidRPr="00CF0611" w:rsidRDefault="00A30DEB" w:rsidP="00CE06FE">
            <w:pPr>
              <w:pStyle w:val="TableParagraph"/>
              <w:ind w:right="40"/>
              <w:jc w:val="both"/>
              <w:rPr>
                <w:sz w:val="16"/>
                <w:szCs w:val="16"/>
              </w:rPr>
            </w:pPr>
            <w:r w:rsidRPr="00CF0611">
              <w:rPr>
                <w:sz w:val="16"/>
                <w:szCs w:val="16"/>
              </w:rPr>
              <w:t>&gt;= 2,5</w:t>
            </w:r>
          </w:p>
        </w:tc>
        <w:tc>
          <w:tcPr>
            <w:tcW w:w="1005" w:type="dxa"/>
          </w:tcPr>
          <w:p w14:paraId="616239CB" w14:textId="77777777" w:rsidR="00A30DEB" w:rsidRPr="00CF0611" w:rsidRDefault="00A30DEB" w:rsidP="00CE06FE">
            <w:pPr>
              <w:pStyle w:val="TableParagraph"/>
              <w:ind w:right="40"/>
              <w:jc w:val="both"/>
              <w:rPr>
                <w:sz w:val="16"/>
                <w:szCs w:val="16"/>
              </w:rPr>
            </w:pPr>
            <w:r w:rsidRPr="00CF0611">
              <w:rPr>
                <w:sz w:val="16"/>
                <w:szCs w:val="16"/>
              </w:rPr>
              <w:t>&lt;= 50%</w:t>
            </w:r>
          </w:p>
        </w:tc>
        <w:tc>
          <w:tcPr>
            <w:tcW w:w="1134" w:type="dxa"/>
          </w:tcPr>
          <w:p w14:paraId="105013C4" w14:textId="77777777" w:rsidR="00A30DEB" w:rsidRPr="00CF0611" w:rsidRDefault="00A30DEB" w:rsidP="00CE06FE">
            <w:pPr>
              <w:pStyle w:val="TableParagraph"/>
              <w:ind w:right="40"/>
              <w:jc w:val="both"/>
              <w:rPr>
                <w:sz w:val="16"/>
                <w:szCs w:val="16"/>
              </w:rPr>
            </w:pPr>
            <w:r w:rsidRPr="00CF0611">
              <w:rPr>
                <w:sz w:val="16"/>
                <w:szCs w:val="16"/>
              </w:rPr>
              <w:t>&gt;= 3,0 VECES</w:t>
            </w:r>
          </w:p>
        </w:tc>
        <w:tc>
          <w:tcPr>
            <w:tcW w:w="992" w:type="dxa"/>
          </w:tcPr>
          <w:p w14:paraId="6B12F2B5" w14:textId="77777777" w:rsidR="00A30DEB" w:rsidRPr="00CF0611" w:rsidRDefault="00A30DEB" w:rsidP="00CE06FE">
            <w:pPr>
              <w:pStyle w:val="TableParagraph"/>
              <w:ind w:right="40"/>
              <w:jc w:val="both"/>
              <w:rPr>
                <w:sz w:val="16"/>
                <w:szCs w:val="16"/>
              </w:rPr>
            </w:pPr>
            <w:r w:rsidRPr="00CF0611">
              <w:rPr>
                <w:sz w:val="16"/>
                <w:szCs w:val="16"/>
              </w:rPr>
              <w:t>&gt;=  0,06</w:t>
            </w:r>
          </w:p>
        </w:tc>
        <w:tc>
          <w:tcPr>
            <w:tcW w:w="755" w:type="dxa"/>
          </w:tcPr>
          <w:p w14:paraId="50F605E9" w14:textId="77777777" w:rsidR="00A30DEB" w:rsidRPr="00CF0611" w:rsidRDefault="00A30DEB" w:rsidP="00CE06FE">
            <w:pPr>
              <w:pStyle w:val="TableParagraph"/>
              <w:ind w:right="40"/>
              <w:jc w:val="both"/>
              <w:rPr>
                <w:sz w:val="16"/>
                <w:szCs w:val="16"/>
              </w:rPr>
            </w:pPr>
            <w:r w:rsidRPr="00CF0611">
              <w:rPr>
                <w:sz w:val="16"/>
                <w:szCs w:val="16"/>
              </w:rPr>
              <w:t>&gt;= 0,13</w:t>
            </w:r>
          </w:p>
        </w:tc>
      </w:tr>
    </w:tbl>
    <w:p w14:paraId="2D4B4C5A" w14:textId="77777777" w:rsidR="00C21289" w:rsidRDefault="00C21289" w:rsidP="0071568E">
      <w:pPr>
        <w:pStyle w:val="TableParagraph"/>
        <w:ind w:left="22" w:right="40"/>
        <w:jc w:val="both"/>
      </w:pPr>
    </w:p>
    <w:p w14:paraId="75F5F99F" w14:textId="78764C2F" w:rsidR="00C21289" w:rsidRDefault="00C21289" w:rsidP="0071568E">
      <w:pPr>
        <w:pStyle w:val="TableParagraph"/>
        <w:ind w:left="22" w:right="40"/>
        <w:jc w:val="both"/>
      </w:pPr>
    </w:p>
    <w:p w14:paraId="303E502A" w14:textId="63726CFF" w:rsidR="0071568E" w:rsidRPr="00E23608" w:rsidRDefault="0071568E" w:rsidP="0071568E">
      <w:pPr>
        <w:ind w:right="107"/>
        <w:jc w:val="both"/>
        <w:rPr>
          <w:rFonts w:ascii="Arial" w:hAnsi="Arial" w:cs="Arial"/>
          <w:bCs/>
          <w:iCs/>
          <w:color w:val="000000" w:themeColor="text1"/>
          <w:sz w:val="22"/>
          <w:szCs w:val="22"/>
          <w:lang w:val="es-ES_tradnl" w:eastAsia="en-US"/>
        </w:rPr>
      </w:pPr>
      <w:r w:rsidRPr="00E23608">
        <w:rPr>
          <w:rFonts w:ascii="Arial" w:hAnsi="Arial" w:cs="Arial"/>
          <w:sz w:val="22"/>
        </w:rPr>
        <w:t>Dado</w:t>
      </w:r>
      <w:r w:rsidRPr="00E23608">
        <w:rPr>
          <w:rFonts w:ascii="Arial" w:hAnsi="Arial" w:cs="Arial"/>
          <w:spacing w:val="-4"/>
          <w:sz w:val="22"/>
        </w:rPr>
        <w:t xml:space="preserve"> </w:t>
      </w:r>
      <w:r w:rsidRPr="00E23608">
        <w:rPr>
          <w:rFonts w:ascii="Arial" w:hAnsi="Arial" w:cs="Arial"/>
          <w:sz w:val="22"/>
        </w:rPr>
        <w:t>lo</w:t>
      </w:r>
      <w:r w:rsidRPr="00E23608">
        <w:rPr>
          <w:rFonts w:ascii="Arial" w:hAnsi="Arial" w:cs="Arial"/>
          <w:spacing w:val="-4"/>
          <w:sz w:val="22"/>
        </w:rPr>
        <w:t xml:space="preserve"> </w:t>
      </w:r>
      <w:r w:rsidRPr="00E23608">
        <w:rPr>
          <w:rFonts w:ascii="Arial" w:hAnsi="Arial" w:cs="Arial"/>
          <w:sz w:val="22"/>
        </w:rPr>
        <w:t>anterior</w:t>
      </w:r>
      <w:r w:rsidRPr="00E23608">
        <w:rPr>
          <w:rFonts w:ascii="Arial" w:hAnsi="Arial" w:cs="Arial"/>
          <w:spacing w:val="-3"/>
          <w:sz w:val="22"/>
        </w:rPr>
        <w:t xml:space="preserve"> </w:t>
      </w:r>
      <w:r w:rsidRPr="00E23608">
        <w:rPr>
          <w:rFonts w:ascii="Arial" w:hAnsi="Arial" w:cs="Arial"/>
          <w:sz w:val="22"/>
        </w:rPr>
        <w:t>se</w:t>
      </w:r>
      <w:r w:rsidRPr="00E23608">
        <w:rPr>
          <w:rFonts w:ascii="Arial" w:hAnsi="Arial" w:cs="Arial"/>
          <w:spacing w:val="-4"/>
          <w:sz w:val="22"/>
        </w:rPr>
        <w:t xml:space="preserve"> </w:t>
      </w:r>
      <w:r w:rsidRPr="00E23608">
        <w:rPr>
          <w:rFonts w:ascii="Arial" w:hAnsi="Arial" w:cs="Arial"/>
          <w:sz w:val="22"/>
        </w:rPr>
        <w:t>recomienda</w:t>
      </w:r>
      <w:r w:rsidRPr="00E23608">
        <w:rPr>
          <w:rFonts w:ascii="Arial" w:hAnsi="Arial" w:cs="Arial"/>
          <w:spacing w:val="-3"/>
          <w:sz w:val="22"/>
        </w:rPr>
        <w:t xml:space="preserve"> </w:t>
      </w:r>
      <w:r w:rsidRPr="00E23608">
        <w:rPr>
          <w:rFonts w:ascii="Arial" w:hAnsi="Arial" w:cs="Arial"/>
          <w:sz w:val="22"/>
        </w:rPr>
        <w:t>los</w:t>
      </w:r>
      <w:r w:rsidRPr="00E23608">
        <w:rPr>
          <w:rFonts w:ascii="Arial" w:hAnsi="Arial" w:cs="Arial"/>
          <w:spacing w:val="-4"/>
          <w:sz w:val="22"/>
        </w:rPr>
        <w:t xml:space="preserve"> </w:t>
      </w:r>
      <w:r w:rsidRPr="00E23608">
        <w:rPr>
          <w:rFonts w:ascii="Arial" w:hAnsi="Arial" w:cs="Arial"/>
          <w:sz w:val="22"/>
        </w:rPr>
        <w:t>siguientes</w:t>
      </w:r>
      <w:r w:rsidRPr="00E23608">
        <w:rPr>
          <w:rFonts w:ascii="Arial" w:hAnsi="Arial" w:cs="Arial"/>
          <w:spacing w:val="-4"/>
          <w:sz w:val="22"/>
        </w:rPr>
        <w:t xml:space="preserve"> </w:t>
      </w:r>
      <w:r w:rsidRPr="00E23608">
        <w:rPr>
          <w:rFonts w:ascii="Arial" w:hAnsi="Arial" w:cs="Arial"/>
          <w:sz w:val="22"/>
        </w:rPr>
        <w:t>indicadores</w:t>
      </w:r>
      <w:r w:rsidRPr="00E23608">
        <w:rPr>
          <w:rFonts w:ascii="Arial" w:hAnsi="Arial" w:cs="Arial"/>
          <w:spacing w:val="-7"/>
          <w:sz w:val="22"/>
        </w:rPr>
        <w:t xml:space="preserve"> </w:t>
      </w:r>
      <w:r w:rsidRPr="00E23608">
        <w:rPr>
          <w:rFonts w:ascii="Arial" w:hAnsi="Arial" w:cs="Arial"/>
          <w:sz w:val="22"/>
        </w:rPr>
        <w:t>como</w:t>
      </w:r>
      <w:r w:rsidRPr="00E23608">
        <w:rPr>
          <w:rFonts w:ascii="Arial" w:hAnsi="Arial" w:cs="Arial"/>
          <w:spacing w:val="-4"/>
          <w:sz w:val="22"/>
        </w:rPr>
        <w:t xml:space="preserve"> </w:t>
      </w:r>
      <w:r w:rsidRPr="00E23608">
        <w:rPr>
          <w:rFonts w:ascii="Arial" w:hAnsi="Arial" w:cs="Arial"/>
          <w:sz w:val="22"/>
        </w:rPr>
        <w:t>requisitos</w:t>
      </w:r>
      <w:r w:rsidRPr="00E23608">
        <w:rPr>
          <w:rFonts w:ascii="Arial" w:hAnsi="Arial" w:cs="Arial"/>
          <w:spacing w:val="-4"/>
          <w:sz w:val="22"/>
        </w:rPr>
        <w:t xml:space="preserve"> </w:t>
      </w:r>
      <w:r w:rsidRPr="00E23608">
        <w:rPr>
          <w:rFonts w:ascii="Arial" w:hAnsi="Arial" w:cs="Arial"/>
          <w:sz w:val="22"/>
        </w:rPr>
        <w:t>habilitantes:</w:t>
      </w:r>
    </w:p>
    <w:p w14:paraId="56C29CD1" w14:textId="0306F4EA" w:rsidR="0071568E" w:rsidRDefault="0071568E" w:rsidP="006E3B0D">
      <w:pPr>
        <w:ind w:right="107"/>
        <w:jc w:val="both"/>
        <w:rPr>
          <w:rFonts w:ascii="Arial" w:hAnsi="Arial" w:cs="Arial"/>
          <w:bCs/>
          <w:iCs/>
          <w:color w:val="000000" w:themeColor="text1"/>
          <w:sz w:val="22"/>
          <w:szCs w:val="22"/>
          <w:lang w:val="es-ES_tradnl" w:eastAsia="en-US"/>
        </w:rPr>
      </w:pPr>
    </w:p>
    <w:p w14:paraId="50C17EE7" w14:textId="00B539FC" w:rsidR="00E23608" w:rsidRDefault="00E23608" w:rsidP="00E23608">
      <w:pPr>
        <w:autoSpaceDE w:val="0"/>
        <w:autoSpaceDN w:val="0"/>
        <w:adjustRightInd w:val="0"/>
        <w:jc w:val="both"/>
        <w:rPr>
          <w:rFonts w:ascii="Arial" w:hAnsi="Arial" w:cs="Arial"/>
          <w:sz w:val="22"/>
          <w:szCs w:val="22"/>
        </w:rPr>
      </w:pPr>
      <w:r w:rsidRPr="009620CC">
        <w:rPr>
          <w:rFonts w:ascii="Arial" w:hAnsi="Arial" w:cs="Arial"/>
          <w:sz w:val="22"/>
          <w:szCs w:val="22"/>
        </w:rPr>
        <w:t>ÍNDICES FINANCIEROS:</w:t>
      </w:r>
    </w:p>
    <w:p w14:paraId="2A2E5656" w14:textId="77777777" w:rsidR="00E23608" w:rsidRPr="00582FDF" w:rsidRDefault="00E23608" w:rsidP="00E23608">
      <w:pPr>
        <w:autoSpaceDE w:val="0"/>
        <w:autoSpaceDN w:val="0"/>
        <w:adjustRightInd w:val="0"/>
        <w:jc w:val="both"/>
        <w:rPr>
          <w:rFonts w:ascii="Arial" w:hAnsi="Arial" w:cs="Arial"/>
          <w:sz w:val="22"/>
          <w:szCs w:val="22"/>
        </w:rPr>
      </w:pPr>
    </w:p>
    <w:tbl>
      <w:tblPr>
        <w:tblW w:w="5639" w:type="dxa"/>
        <w:jc w:val="center"/>
        <w:tblLayout w:type="fixed"/>
        <w:tblCellMar>
          <w:left w:w="70" w:type="dxa"/>
          <w:right w:w="70" w:type="dxa"/>
        </w:tblCellMar>
        <w:tblLook w:val="04A0" w:firstRow="1" w:lastRow="0" w:firstColumn="1" w:lastColumn="0" w:noHBand="0" w:noVBand="1"/>
      </w:tblPr>
      <w:tblGrid>
        <w:gridCol w:w="2927"/>
        <w:gridCol w:w="2712"/>
      </w:tblGrid>
      <w:tr w:rsidR="00E23608" w:rsidRPr="00582FDF" w14:paraId="0200C2E7" w14:textId="77777777" w:rsidTr="00654CC6">
        <w:trPr>
          <w:trHeight w:val="300"/>
          <w:jc w:val="center"/>
        </w:trPr>
        <w:tc>
          <w:tcPr>
            <w:tcW w:w="292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B2E2BB" w14:textId="77777777" w:rsidR="00E23608" w:rsidRPr="00582FDF" w:rsidRDefault="00E23608" w:rsidP="00654CC6">
            <w:pPr>
              <w:jc w:val="center"/>
              <w:rPr>
                <w:rFonts w:ascii="Arial" w:hAnsi="Arial" w:cs="Arial"/>
                <w:b/>
                <w:bCs/>
                <w:sz w:val="18"/>
                <w:szCs w:val="18"/>
              </w:rPr>
            </w:pPr>
            <w:r w:rsidRPr="00582FDF">
              <w:rPr>
                <w:rFonts w:ascii="Arial" w:hAnsi="Arial" w:cs="Arial"/>
                <w:b/>
                <w:bCs/>
                <w:color w:val="000000" w:themeColor="text1"/>
                <w:sz w:val="18"/>
                <w:szCs w:val="18"/>
              </w:rPr>
              <w:t>Indicador</w:t>
            </w:r>
          </w:p>
        </w:tc>
        <w:tc>
          <w:tcPr>
            <w:tcW w:w="2712" w:type="dxa"/>
            <w:tcBorders>
              <w:top w:val="single" w:sz="4" w:space="0" w:color="auto"/>
              <w:left w:val="nil"/>
              <w:bottom w:val="single" w:sz="4" w:space="0" w:color="auto"/>
              <w:right w:val="single" w:sz="4" w:space="0" w:color="auto"/>
            </w:tcBorders>
            <w:shd w:val="clear" w:color="auto" w:fill="auto"/>
            <w:noWrap/>
            <w:vAlign w:val="center"/>
            <w:hideMark/>
          </w:tcPr>
          <w:p w14:paraId="3FB0F055" w14:textId="77777777" w:rsidR="00E23608" w:rsidRPr="00582FDF" w:rsidRDefault="00E23608" w:rsidP="00654CC6">
            <w:pPr>
              <w:jc w:val="center"/>
              <w:rPr>
                <w:rFonts w:ascii="Arial" w:hAnsi="Arial" w:cs="Arial"/>
                <w:b/>
                <w:bCs/>
                <w:sz w:val="18"/>
                <w:szCs w:val="18"/>
              </w:rPr>
            </w:pPr>
            <w:r w:rsidRPr="00582FDF">
              <w:rPr>
                <w:rFonts w:ascii="Arial" w:hAnsi="Arial" w:cs="Arial"/>
                <w:b/>
                <w:bCs/>
                <w:color w:val="000000" w:themeColor="text1"/>
                <w:sz w:val="18"/>
                <w:szCs w:val="18"/>
              </w:rPr>
              <w:t>Margen solicitado</w:t>
            </w:r>
          </w:p>
        </w:tc>
      </w:tr>
      <w:tr w:rsidR="00E23608" w:rsidRPr="00582FDF" w14:paraId="3CE4F9EE" w14:textId="77777777" w:rsidTr="00654CC6">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7241B91C" w14:textId="77777777" w:rsidR="00E23608" w:rsidRPr="00582FDF" w:rsidRDefault="00E23608" w:rsidP="00654CC6">
            <w:pPr>
              <w:jc w:val="both"/>
              <w:rPr>
                <w:rFonts w:ascii="Arial" w:hAnsi="Arial" w:cs="Arial"/>
                <w:sz w:val="18"/>
                <w:szCs w:val="18"/>
              </w:rPr>
            </w:pPr>
            <w:r w:rsidRPr="00582FDF">
              <w:rPr>
                <w:rFonts w:ascii="Arial" w:hAnsi="Arial" w:cs="Arial"/>
                <w:color w:val="000000" w:themeColor="text1"/>
                <w:sz w:val="18"/>
                <w:szCs w:val="18"/>
              </w:rPr>
              <w:t>Índice de liquidez</w:t>
            </w:r>
          </w:p>
        </w:tc>
        <w:tc>
          <w:tcPr>
            <w:tcW w:w="2712" w:type="dxa"/>
            <w:tcBorders>
              <w:top w:val="nil"/>
              <w:left w:val="nil"/>
              <w:bottom w:val="single" w:sz="4" w:space="0" w:color="auto"/>
              <w:right w:val="single" w:sz="4" w:space="0" w:color="auto"/>
            </w:tcBorders>
            <w:shd w:val="clear" w:color="auto" w:fill="auto"/>
            <w:noWrap/>
            <w:vAlign w:val="center"/>
            <w:hideMark/>
          </w:tcPr>
          <w:p w14:paraId="5E6752EB" w14:textId="2007AE1D" w:rsidR="00E23608" w:rsidRPr="00582FDF" w:rsidRDefault="00E23608" w:rsidP="00654CC6">
            <w:pPr>
              <w:jc w:val="both"/>
              <w:rPr>
                <w:rFonts w:ascii="Arial" w:hAnsi="Arial" w:cs="Arial"/>
                <w:sz w:val="18"/>
                <w:szCs w:val="18"/>
              </w:rPr>
            </w:pPr>
            <w:r w:rsidRPr="00582FDF">
              <w:rPr>
                <w:rFonts w:ascii="Arial" w:hAnsi="Arial" w:cs="Arial"/>
                <w:color w:val="000000" w:themeColor="text1"/>
                <w:sz w:val="18"/>
                <w:szCs w:val="18"/>
              </w:rPr>
              <w:t xml:space="preserve">Mayor o igual a </w:t>
            </w:r>
            <w:r w:rsidR="00222DF9">
              <w:rPr>
                <w:rFonts w:ascii="Arial" w:hAnsi="Arial" w:cs="Arial"/>
                <w:color w:val="000000" w:themeColor="text1"/>
                <w:sz w:val="18"/>
                <w:szCs w:val="18"/>
              </w:rPr>
              <w:t>2</w:t>
            </w:r>
            <w:r w:rsidRPr="00582FDF">
              <w:rPr>
                <w:rFonts w:ascii="Arial" w:hAnsi="Arial" w:cs="Arial"/>
                <w:color w:val="000000" w:themeColor="text1"/>
                <w:sz w:val="18"/>
                <w:szCs w:val="18"/>
              </w:rPr>
              <w:t>.0</w:t>
            </w:r>
          </w:p>
        </w:tc>
      </w:tr>
      <w:tr w:rsidR="00E23608" w:rsidRPr="00582FDF" w14:paraId="4FA226CA" w14:textId="77777777" w:rsidTr="00654CC6">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37550344" w14:textId="77777777" w:rsidR="00E23608" w:rsidRPr="00582FDF" w:rsidRDefault="00E23608" w:rsidP="00654CC6">
            <w:pPr>
              <w:jc w:val="both"/>
              <w:rPr>
                <w:rFonts w:ascii="Arial" w:hAnsi="Arial" w:cs="Arial"/>
                <w:sz w:val="18"/>
                <w:szCs w:val="18"/>
              </w:rPr>
            </w:pPr>
            <w:r w:rsidRPr="00582FDF">
              <w:rPr>
                <w:rFonts w:ascii="Arial" w:hAnsi="Arial" w:cs="Arial"/>
                <w:color w:val="000000" w:themeColor="text1"/>
                <w:sz w:val="18"/>
                <w:szCs w:val="18"/>
              </w:rPr>
              <w:t>Índice de endeudamiento</w:t>
            </w:r>
          </w:p>
        </w:tc>
        <w:tc>
          <w:tcPr>
            <w:tcW w:w="2712" w:type="dxa"/>
            <w:tcBorders>
              <w:top w:val="nil"/>
              <w:left w:val="nil"/>
              <w:bottom w:val="single" w:sz="4" w:space="0" w:color="auto"/>
              <w:right w:val="single" w:sz="4" w:space="0" w:color="auto"/>
            </w:tcBorders>
            <w:shd w:val="clear" w:color="auto" w:fill="auto"/>
            <w:noWrap/>
            <w:vAlign w:val="center"/>
            <w:hideMark/>
          </w:tcPr>
          <w:p w14:paraId="536B1F71" w14:textId="29A779E5" w:rsidR="00E23608" w:rsidRPr="00582FDF" w:rsidRDefault="00E23608" w:rsidP="00654CC6">
            <w:pPr>
              <w:jc w:val="both"/>
              <w:rPr>
                <w:rFonts w:ascii="Arial" w:hAnsi="Arial" w:cs="Arial"/>
                <w:sz w:val="18"/>
                <w:szCs w:val="18"/>
              </w:rPr>
            </w:pPr>
            <w:r w:rsidRPr="00582FDF">
              <w:rPr>
                <w:rFonts w:ascii="Arial" w:hAnsi="Arial" w:cs="Arial"/>
                <w:color w:val="000000" w:themeColor="text1"/>
                <w:sz w:val="18"/>
                <w:szCs w:val="18"/>
              </w:rPr>
              <w:t xml:space="preserve">Menor o igual a </w:t>
            </w:r>
            <w:r w:rsidR="00222DF9">
              <w:rPr>
                <w:rFonts w:ascii="Arial" w:hAnsi="Arial" w:cs="Arial"/>
                <w:color w:val="000000" w:themeColor="text1"/>
                <w:sz w:val="18"/>
                <w:szCs w:val="18"/>
              </w:rPr>
              <w:t>0.60</w:t>
            </w:r>
          </w:p>
        </w:tc>
      </w:tr>
      <w:tr w:rsidR="00E23608" w:rsidRPr="00582FDF" w14:paraId="1A920FD9" w14:textId="77777777" w:rsidTr="00654CC6">
        <w:trPr>
          <w:trHeight w:val="285"/>
          <w:jc w:val="center"/>
        </w:trPr>
        <w:tc>
          <w:tcPr>
            <w:tcW w:w="2927" w:type="dxa"/>
            <w:tcBorders>
              <w:top w:val="nil"/>
              <w:left w:val="single" w:sz="4" w:space="0" w:color="auto"/>
              <w:bottom w:val="single" w:sz="4" w:space="0" w:color="auto"/>
              <w:right w:val="single" w:sz="4" w:space="0" w:color="auto"/>
            </w:tcBorders>
            <w:shd w:val="clear" w:color="auto" w:fill="auto"/>
            <w:noWrap/>
            <w:vAlign w:val="center"/>
            <w:hideMark/>
          </w:tcPr>
          <w:p w14:paraId="1AB6ED13" w14:textId="77777777" w:rsidR="00E23608" w:rsidRPr="00582FDF" w:rsidRDefault="00E23608" w:rsidP="00654CC6">
            <w:pPr>
              <w:jc w:val="both"/>
              <w:rPr>
                <w:rFonts w:ascii="Arial" w:hAnsi="Arial" w:cs="Arial"/>
                <w:sz w:val="18"/>
                <w:szCs w:val="18"/>
              </w:rPr>
            </w:pPr>
            <w:r w:rsidRPr="00582FDF">
              <w:rPr>
                <w:rFonts w:ascii="Arial" w:hAnsi="Arial" w:cs="Arial"/>
                <w:color w:val="000000" w:themeColor="text1"/>
                <w:sz w:val="18"/>
                <w:szCs w:val="18"/>
              </w:rPr>
              <w:t>Razón de cobertura de intereses</w:t>
            </w:r>
          </w:p>
        </w:tc>
        <w:tc>
          <w:tcPr>
            <w:tcW w:w="2712" w:type="dxa"/>
            <w:tcBorders>
              <w:top w:val="nil"/>
              <w:left w:val="nil"/>
              <w:bottom w:val="single" w:sz="4" w:space="0" w:color="auto"/>
              <w:right w:val="single" w:sz="4" w:space="0" w:color="auto"/>
            </w:tcBorders>
            <w:shd w:val="clear" w:color="auto" w:fill="auto"/>
            <w:noWrap/>
            <w:vAlign w:val="center"/>
            <w:hideMark/>
          </w:tcPr>
          <w:p w14:paraId="76B1B5A2" w14:textId="1A54B7F7" w:rsidR="00E23608" w:rsidRPr="00582FDF" w:rsidRDefault="00E23608" w:rsidP="00654CC6">
            <w:pPr>
              <w:jc w:val="both"/>
              <w:rPr>
                <w:rFonts w:ascii="Arial" w:hAnsi="Arial" w:cs="Arial"/>
                <w:sz w:val="18"/>
                <w:szCs w:val="18"/>
              </w:rPr>
            </w:pPr>
            <w:r w:rsidRPr="00582FDF">
              <w:rPr>
                <w:rFonts w:ascii="Arial" w:hAnsi="Arial" w:cs="Arial"/>
                <w:color w:val="000000" w:themeColor="text1"/>
                <w:sz w:val="18"/>
                <w:szCs w:val="18"/>
              </w:rPr>
              <w:t xml:space="preserve">Mayor o igual a </w:t>
            </w:r>
            <w:r w:rsidR="00222DF9">
              <w:rPr>
                <w:rFonts w:ascii="Arial" w:hAnsi="Arial" w:cs="Arial"/>
                <w:color w:val="000000" w:themeColor="text1"/>
                <w:sz w:val="18"/>
                <w:szCs w:val="18"/>
              </w:rPr>
              <w:t>3.0</w:t>
            </w:r>
          </w:p>
        </w:tc>
      </w:tr>
    </w:tbl>
    <w:p w14:paraId="3CEE7991" w14:textId="23BA913D" w:rsidR="0071568E" w:rsidRDefault="0071568E" w:rsidP="006E3B0D">
      <w:pPr>
        <w:ind w:right="107"/>
        <w:jc w:val="both"/>
        <w:rPr>
          <w:rFonts w:ascii="Arial" w:hAnsi="Arial" w:cs="Arial"/>
          <w:bCs/>
          <w:iCs/>
          <w:color w:val="000000" w:themeColor="text1"/>
          <w:sz w:val="22"/>
          <w:szCs w:val="22"/>
          <w:lang w:val="es-ES_tradnl" w:eastAsia="en-US"/>
        </w:rPr>
      </w:pPr>
    </w:p>
    <w:p w14:paraId="4762884F" w14:textId="56142B53" w:rsidR="0071568E" w:rsidRDefault="00E23608" w:rsidP="006E3B0D">
      <w:pPr>
        <w:ind w:right="107"/>
        <w:jc w:val="both"/>
        <w:rPr>
          <w:rFonts w:ascii="Arial" w:hAnsi="Arial" w:cs="Arial"/>
          <w:bCs/>
          <w:color w:val="000000" w:themeColor="text1"/>
          <w:sz w:val="22"/>
          <w:szCs w:val="22"/>
          <w:lang w:eastAsia="es-CO"/>
        </w:rPr>
      </w:pPr>
      <w:r w:rsidRPr="00DE2E5E">
        <w:rPr>
          <w:rFonts w:ascii="Arial" w:hAnsi="Arial" w:cs="Arial"/>
          <w:bCs/>
          <w:color w:val="000000" w:themeColor="text1"/>
          <w:sz w:val="22"/>
          <w:szCs w:val="22"/>
          <w:lang w:eastAsia="es-CO"/>
        </w:rPr>
        <w:t>CAPACIDAD ORGANIZACIONAL</w:t>
      </w:r>
      <w:r>
        <w:rPr>
          <w:rFonts w:ascii="Arial" w:hAnsi="Arial" w:cs="Arial"/>
          <w:bCs/>
          <w:color w:val="000000" w:themeColor="text1"/>
          <w:sz w:val="22"/>
          <w:szCs w:val="22"/>
          <w:lang w:eastAsia="es-CO"/>
        </w:rPr>
        <w:t>:</w:t>
      </w:r>
    </w:p>
    <w:p w14:paraId="5ECEF401" w14:textId="4473B6EF" w:rsidR="00E23608" w:rsidRDefault="00E23608" w:rsidP="006E3B0D">
      <w:pPr>
        <w:ind w:right="107"/>
        <w:jc w:val="both"/>
        <w:rPr>
          <w:rFonts w:ascii="Arial" w:hAnsi="Arial" w:cs="Arial"/>
          <w:bCs/>
          <w:color w:val="000000" w:themeColor="text1"/>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3936"/>
      </w:tblGrid>
      <w:tr w:rsidR="00E23608" w:rsidRPr="009F3C5B" w14:paraId="4FC1AD71" w14:textId="77777777" w:rsidTr="00654CC6">
        <w:trPr>
          <w:trHeight w:val="297"/>
          <w:jc w:val="center"/>
        </w:trPr>
        <w:tc>
          <w:tcPr>
            <w:tcW w:w="3936" w:type="dxa"/>
          </w:tcPr>
          <w:p w14:paraId="256126F8" w14:textId="77777777" w:rsidR="00E23608" w:rsidRPr="009F3C5B" w:rsidRDefault="00E23608" w:rsidP="00654CC6">
            <w:pPr>
              <w:autoSpaceDE w:val="0"/>
              <w:autoSpaceDN w:val="0"/>
              <w:adjustRightInd w:val="0"/>
              <w:jc w:val="center"/>
              <w:rPr>
                <w:rFonts w:ascii="Arial" w:hAnsi="Arial" w:cs="Arial"/>
                <w:b/>
                <w:sz w:val="18"/>
                <w:szCs w:val="18"/>
              </w:rPr>
            </w:pPr>
            <w:r w:rsidRPr="009F3C5B">
              <w:rPr>
                <w:rFonts w:ascii="Arial" w:hAnsi="Arial" w:cs="Arial"/>
                <w:b/>
                <w:sz w:val="18"/>
                <w:szCs w:val="18"/>
              </w:rPr>
              <w:t>Indicador</w:t>
            </w:r>
          </w:p>
        </w:tc>
        <w:tc>
          <w:tcPr>
            <w:tcW w:w="3936" w:type="dxa"/>
          </w:tcPr>
          <w:p w14:paraId="1B20AE0B" w14:textId="77777777" w:rsidR="00E23608" w:rsidRPr="009F3C5B" w:rsidRDefault="00E23608" w:rsidP="00654CC6">
            <w:pPr>
              <w:autoSpaceDE w:val="0"/>
              <w:autoSpaceDN w:val="0"/>
              <w:adjustRightInd w:val="0"/>
              <w:jc w:val="center"/>
              <w:rPr>
                <w:rFonts w:ascii="Arial" w:hAnsi="Arial" w:cs="Arial"/>
                <w:b/>
                <w:sz w:val="18"/>
                <w:szCs w:val="18"/>
              </w:rPr>
            </w:pPr>
            <w:r w:rsidRPr="009F3C5B">
              <w:rPr>
                <w:rFonts w:ascii="Arial" w:hAnsi="Arial" w:cs="Arial"/>
                <w:b/>
                <w:sz w:val="18"/>
                <w:szCs w:val="18"/>
              </w:rPr>
              <w:t>Índice Requerido</w:t>
            </w:r>
          </w:p>
        </w:tc>
      </w:tr>
      <w:tr w:rsidR="00E23608" w:rsidRPr="009F3C5B" w14:paraId="3103E212" w14:textId="77777777" w:rsidTr="00654CC6">
        <w:trPr>
          <w:trHeight w:val="297"/>
          <w:jc w:val="center"/>
        </w:trPr>
        <w:tc>
          <w:tcPr>
            <w:tcW w:w="3936" w:type="dxa"/>
          </w:tcPr>
          <w:p w14:paraId="5427B2E6" w14:textId="77777777" w:rsidR="00E23608" w:rsidRPr="009F3C5B" w:rsidRDefault="00E23608" w:rsidP="00654CC6">
            <w:pPr>
              <w:autoSpaceDE w:val="0"/>
              <w:autoSpaceDN w:val="0"/>
              <w:adjustRightInd w:val="0"/>
              <w:jc w:val="both"/>
              <w:rPr>
                <w:rFonts w:ascii="Arial" w:hAnsi="Arial" w:cs="Arial"/>
                <w:sz w:val="18"/>
                <w:szCs w:val="18"/>
              </w:rPr>
            </w:pPr>
            <w:r w:rsidRPr="009F3C5B">
              <w:rPr>
                <w:rFonts w:ascii="Arial" w:eastAsia="MS Mincho" w:hAnsi="Arial" w:cs="Arial"/>
                <w:sz w:val="18"/>
                <w:szCs w:val="18"/>
              </w:rPr>
              <w:t>Utilidad Operacional / Activo Total</w:t>
            </w:r>
          </w:p>
        </w:tc>
        <w:tc>
          <w:tcPr>
            <w:tcW w:w="3936" w:type="dxa"/>
          </w:tcPr>
          <w:p w14:paraId="1206FC25" w14:textId="136BBCAB" w:rsidR="00E23608" w:rsidRPr="009F3C5B" w:rsidRDefault="00E23608" w:rsidP="00654CC6">
            <w:pPr>
              <w:autoSpaceDE w:val="0"/>
              <w:autoSpaceDN w:val="0"/>
              <w:adjustRightInd w:val="0"/>
              <w:jc w:val="both"/>
              <w:rPr>
                <w:rFonts w:ascii="Arial" w:hAnsi="Arial" w:cs="Arial"/>
                <w:sz w:val="18"/>
                <w:szCs w:val="18"/>
              </w:rPr>
            </w:pPr>
            <w:r w:rsidRPr="009F3C5B">
              <w:rPr>
                <w:rFonts w:ascii="Arial" w:eastAsia="MS Mincho" w:hAnsi="Arial" w:cs="Arial"/>
                <w:sz w:val="18"/>
                <w:szCs w:val="18"/>
              </w:rPr>
              <w:t>Mayor o igual a 0.</w:t>
            </w:r>
            <w:r w:rsidR="00222DF9">
              <w:rPr>
                <w:rFonts w:ascii="Arial" w:eastAsia="MS Mincho" w:hAnsi="Arial" w:cs="Arial"/>
                <w:sz w:val="18"/>
                <w:szCs w:val="18"/>
              </w:rPr>
              <w:t>06</w:t>
            </w:r>
          </w:p>
        </w:tc>
      </w:tr>
      <w:tr w:rsidR="00E23608" w:rsidRPr="009F3C5B" w14:paraId="00959900" w14:textId="77777777" w:rsidTr="00654CC6">
        <w:trPr>
          <w:trHeight w:val="305"/>
          <w:jc w:val="center"/>
        </w:trPr>
        <w:tc>
          <w:tcPr>
            <w:tcW w:w="3936" w:type="dxa"/>
          </w:tcPr>
          <w:p w14:paraId="7D04A314" w14:textId="77777777" w:rsidR="00E23608" w:rsidRPr="009F3C5B" w:rsidRDefault="00E23608" w:rsidP="00654CC6">
            <w:pPr>
              <w:autoSpaceDE w:val="0"/>
              <w:autoSpaceDN w:val="0"/>
              <w:adjustRightInd w:val="0"/>
              <w:jc w:val="both"/>
              <w:rPr>
                <w:rFonts w:ascii="Arial" w:hAnsi="Arial" w:cs="Arial"/>
                <w:sz w:val="18"/>
                <w:szCs w:val="18"/>
              </w:rPr>
            </w:pPr>
            <w:r w:rsidRPr="009F3C5B">
              <w:rPr>
                <w:rFonts w:ascii="Arial" w:eastAsia="MS Mincho" w:hAnsi="Arial" w:cs="Arial"/>
                <w:sz w:val="18"/>
                <w:szCs w:val="18"/>
              </w:rPr>
              <w:t>Utilidad Operacional / Patrimonio</w:t>
            </w:r>
          </w:p>
        </w:tc>
        <w:tc>
          <w:tcPr>
            <w:tcW w:w="3936" w:type="dxa"/>
          </w:tcPr>
          <w:p w14:paraId="35F12E9A" w14:textId="34998FB4" w:rsidR="00E23608" w:rsidRPr="009F3C5B" w:rsidRDefault="00E23608" w:rsidP="00654CC6">
            <w:pPr>
              <w:autoSpaceDE w:val="0"/>
              <w:autoSpaceDN w:val="0"/>
              <w:adjustRightInd w:val="0"/>
              <w:jc w:val="both"/>
              <w:rPr>
                <w:rFonts w:ascii="Arial" w:hAnsi="Arial" w:cs="Arial"/>
                <w:sz w:val="18"/>
                <w:szCs w:val="18"/>
              </w:rPr>
            </w:pPr>
            <w:r w:rsidRPr="009F3C5B">
              <w:rPr>
                <w:rFonts w:ascii="Arial" w:eastAsia="MS Mincho" w:hAnsi="Arial" w:cs="Arial"/>
                <w:sz w:val="18"/>
                <w:szCs w:val="18"/>
              </w:rPr>
              <w:t>Mayor o igual a 0.</w:t>
            </w:r>
            <w:r>
              <w:rPr>
                <w:rFonts w:ascii="Arial" w:eastAsia="MS Mincho" w:hAnsi="Arial" w:cs="Arial"/>
                <w:sz w:val="18"/>
                <w:szCs w:val="18"/>
              </w:rPr>
              <w:t>1</w:t>
            </w:r>
            <w:r w:rsidR="00222DF9">
              <w:rPr>
                <w:rFonts w:ascii="Arial" w:eastAsia="MS Mincho" w:hAnsi="Arial" w:cs="Arial"/>
                <w:sz w:val="18"/>
                <w:szCs w:val="18"/>
              </w:rPr>
              <w:t>5</w:t>
            </w:r>
          </w:p>
        </w:tc>
      </w:tr>
    </w:tbl>
    <w:p w14:paraId="263DD03C" w14:textId="6BE56FDD" w:rsidR="00E23608" w:rsidRDefault="00E23608" w:rsidP="006E3B0D">
      <w:pPr>
        <w:ind w:right="107"/>
        <w:jc w:val="both"/>
        <w:rPr>
          <w:rFonts w:ascii="Arial" w:hAnsi="Arial" w:cs="Arial"/>
          <w:bCs/>
          <w:iCs/>
          <w:color w:val="000000" w:themeColor="text1"/>
          <w:sz w:val="22"/>
          <w:szCs w:val="22"/>
          <w:lang w:val="es-ES_tradnl" w:eastAsia="en-US"/>
        </w:rPr>
      </w:pPr>
    </w:p>
    <w:p w14:paraId="443C60B1" w14:textId="77777777" w:rsidR="00E23608" w:rsidRDefault="00E23608">
      <w:pPr>
        <w:pStyle w:val="TableParagraph"/>
        <w:numPr>
          <w:ilvl w:val="0"/>
          <w:numId w:val="5"/>
        </w:numPr>
        <w:spacing w:before="57"/>
        <w:rPr>
          <w:b/>
        </w:rPr>
      </w:pPr>
      <w:r>
        <w:rPr>
          <w:b/>
          <w:w w:val="105"/>
        </w:rPr>
        <w:t>ANALISIS</w:t>
      </w:r>
      <w:r>
        <w:rPr>
          <w:b/>
          <w:spacing w:val="-2"/>
          <w:w w:val="105"/>
        </w:rPr>
        <w:t xml:space="preserve"> </w:t>
      </w:r>
      <w:r>
        <w:rPr>
          <w:b/>
          <w:w w:val="105"/>
        </w:rPr>
        <w:t>DE</w:t>
      </w:r>
      <w:r>
        <w:rPr>
          <w:b/>
          <w:spacing w:val="-4"/>
          <w:w w:val="105"/>
        </w:rPr>
        <w:t xml:space="preserve"> </w:t>
      </w:r>
      <w:r>
        <w:rPr>
          <w:b/>
          <w:w w:val="105"/>
        </w:rPr>
        <w:t>PRECIOS</w:t>
      </w:r>
      <w:r>
        <w:rPr>
          <w:b/>
          <w:spacing w:val="-4"/>
          <w:w w:val="105"/>
        </w:rPr>
        <w:t xml:space="preserve"> </w:t>
      </w:r>
      <w:r>
        <w:rPr>
          <w:b/>
          <w:w w:val="105"/>
        </w:rPr>
        <w:t>DEL</w:t>
      </w:r>
      <w:r>
        <w:rPr>
          <w:b/>
          <w:spacing w:val="-3"/>
          <w:w w:val="105"/>
        </w:rPr>
        <w:t xml:space="preserve"> </w:t>
      </w:r>
      <w:r>
        <w:rPr>
          <w:b/>
          <w:w w:val="105"/>
        </w:rPr>
        <w:t>MERCADO</w:t>
      </w:r>
    </w:p>
    <w:p w14:paraId="5C0171F0" w14:textId="2A5E06FF" w:rsidR="00E23608" w:rsidRDefault="00E23608" w:rsidP="00E23608">
      <w:pPr>
        <w:ind w:right="107"/>
        <w:jc w:val="both"/>
        <w:rPr>
          <w:rFonts w:ascii="Arial" w:hAnsi="Arial" w:cs="Arial"/>
          <w:bCs/>
          <w:iCs/>
          <w:color w:val="000000" w:themeColor="text1"/>
          <w:sz w:val="22"/>
          <w:szCs w:val="22"/>
          <w:lang w:val="es-ES_tradnl" w:eastAsia="en-US"/>
        </w:rPr>
      </w:pPr>
    </w:p>
    <w:p w14:paraId="71AE5557" w14:textId="480CDBAC" w:rsidR="004E18A7" w:rsidRDefault="00E23608" w:rsidP="00E23608">
      <w:pPr>
        <w:jc w:val="both"/>
        <w:rPr>
          <w:rFonts w:ascii="Arial" w:hAnsi="Arial" w:cs="Arial"/>
          <w:sz w:val="22"/>
          <w:szCs w:val="22"/>
        </w:rPr>
      </w:pPr>
      <w:r w:rsidRPr="00363BB2">
        <w:rPr>
          <w:rFonts w:ascii="Arial" w:hAnsi="Arial" w:cs="Arial"/>
          <w:sz w:val="22"/>
          <w:szCs w:val="22"/>
        </w:rPr>
        <w:t xml:space="preserve">Para calcular el valor del presente contrato, </w:t>
      </w:r>
      <w:r w:rsidRPr="009E00DD">
        <w:rPr>
          <w:rFonts w:ascii="Arial" w:hAnsi="Arial" w:cs="Arial"/>
          <w:sz w:val="22"/>
          <w:szCs w:val="22"/>
        </w:rPr>
        <w:t>se</w:t>
      </w:r>
      <w:r>
        <w:rPr>
          <w:rFonts w:ascii="Arial" w:hAnsi="Arial" w:cs="Arial"/>
          <w:sz w:val="22"/>
          <w:szCs w:val="22"/>
        </w:rPr>
        <w:t xml:space="preserve"> toman como referencia los valores ofertados por el acuerdo marco de instrumento de agregación de demanda de grandes almacenes tomando como referencia las características técnicas del presente y el menor valor ofertado en el nombrado instrumento: </w:t>
      </w:r>
    </w:p>
    <w:p w14:paraId="283AF595" w14:textId="77777777" w:rsidR="00E23608" w:rsidRDefault="00E23608" w:rsidP="00E23608">
      <w:pPr>
        <w:jc w:val="both"/>
        <w:rPr>
          <w:rFonts w:ascii="Arial" w:hAnsi="Arial" w:cs="Arial"/>
          <w:sz w:val="22"/>
          <w:szCs w:val="22"/>
        </w:rPr>
      </w:pPr>
    </w:p>
    <w:tbl>
      <w:tblPr>
        <w:tblW w:w="88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91"/>
        <w:gridCol w:w="1700"/>
        <w:gridCol w:w="1284"/>
        <w:gridCol w:w="1828"/>
      </w:tblGrid>
      <w:tr w:rsidR="00A30DEB" w:rsidRPr="00C630C3" w14:paraId="2ED1EFA1" w14:textId="77777777" w:rsidTr="00CE06FE">
        <w:trPr>
          <w:trHeight w:val="600"/>
          <w:jc w:val="center"/>
        </w:trPr>
        <w:tc>
          <w:tcPr>
            <w:tcW w:w="3991" w:type="dxa"/>
            <w:shd w:val="clear" w:color="auto" w:fill="auto"/>
            <w:vAlign w:val="center"/>
            <w:hideMark/>
          </w:tcPr>
          <w:p w14:paraId="7D70AC91" w14:textId="77777777" w:rsidR="00A30DEB" w:rsidRPr="00C630C3" w:rsidRDefault="00A30DEB" w:rsidP="00CE06FE">
            <w:pPr>
              <w:jc w:val="center"/>
              <w:rPr>
                <w:rFonts w:ascii="Arial" w:hAnsi="Arial" w:cs="Arial"/>
                <w:b/>
                <w:bCs/>
                <w:color w:val="000000"/>
                <w:sz w:val="18"/>
                <w:szCs w:val="18"/>
              </w:rPr>
            </w:pPr>
            <w:r w:rsidRPr="00C630C3">
              <w:rPr>
                <w:rFonts w:ascii="Arial" w:hAnsi="Arial" w:cs="Arial"/>
                <w:b/>
                <w:bCs/>
                <w:color w:val="000000"/>
                <w:sz w:val="18"/>
                <w:szCs w:val="18"/>
              </w:rPr>
              <w:t>ETP / COMPONENTE / SERVICIO</w:t>
            </w:r>
          </w:p>
        </w:tc>
        <w:tc>
          <w:tcPr>
            <w:tcW w:w="1700" w:type="dxa"/>
            <w:shd w:val="clear" w:color="auto" w:fill="auto"/>
            <w:noWrap/>
            <w:vAlign w:val="center"/>
            <w:hideMark/>
          </w:tcPr>
          <w:p w14:paraId="6699250B" w14:textId="77777777" w:rsidR="00A30DEB" w:rsidRPr="00C630C3" w:rsidRDefault="00A30DEB" w:rsidP="00CE06FE">
            <w:pPr>
              <w:jc w:val="center"/>
              <w:rPr>
                <w:rFonts w:ascii="Arial" w:hAnsi="Arial" w:cs="Arial"/>
                <w:b/>
                <w:bCs/>
                <w:color w:val="000000"/>
                <w:sz w:val="18"/>
                <w:szCs w:val="18"/>
              </w:rPr>
            </w:pPr>
            <w:r w:rsidRPr="00C630C3">
              <w:rPr>
                <w:rFonts w:ascii="Arial" w:hAnsi="Arial" w:cs="Arial"/>
                <w:b/>
                <w:bCs/>
                <w:color w:val="000000"/>
                <w:sz w:val="18"/>
                <w:szCs w:val="18"/>
              </w:rPr>
              <w:t>VR PROMEDIO</w:t>
            </w:r>
          </w:p>
        </w:tc>
        <w:tc>
          <w:tcPr>
            <w:tcW w:w="1284" w:type="dxa"/>
            <w:shd w:val="clear" w:color="auto" w:fill="auto"/>
            <w:vAlign w:val="center"/>
            <w:hideMark/>
          </w:tcPr>
          <w:p w14:paraId="1C2F0644" w14:textId="77777777" w:rsidR="00A30DEB" w:rsidRPr="00C630C3" w:rsidRDefault="00A30DEB" w:rsidP="00CE06FE">
            <w:pPr>
              <w:jc w:val="center"/>
              <w:rPr>
                <w:rFonts w:ascii="Arial" w:hAnsi="Arial" w:cs="Arial"/>
                <w:b/>
                <w:bCs/>
                <w:color w:val="000000"/>
                <w:sz w:val="18"/>
                <w:szCs w:val="18"/>
              </w:rPr>
            </w:pPr>
            <w:r w:rsidRPr="00C630C3">
              <w:rPr>
                <w:rFonts w:ascii="Arial" w:hAnsi="Arial" w:cs="Arial"/>
                <w:b/>
                <w:bCs/>
                <w:color w:val="000000"/>
                <w:sz w:val="18"/>
                <w:szCs w:val="18"/>
              </w:rPr>
              <w:t>CANTIDAD UND</w:t>
            </w:r>
          </w:p>
        </w:tc>
        <w:tc>
          <w:tcPr>
            <w:tcW w:w="1828" w:type="dxa"/>
            <w:shd w:val="clear" w:color="auto" w:fill="auto"/>
            <w:vAlign w:val="center"/>
            <w:hideMark/>
          </w:tcPr>
          <w:p w14:paraId="53102E6D" w14:textId="77777777" w:rsidR="00A30DEB" w:rsidRPr="00C630C3" w:rsidRDefault="00A30DEB" w:rsidP="00CE06FE">
            <w:pPr>
              <w:jc w:val="center"/>
              <w:rPr>
                <w:rFonts w:ascii="Arial" w:hAnsi="Arial" w:cs="Arial"/>
                <w:b/>
                <w:bCs/>
                <w:color w:val="000000"/>
                <w:sz w:val="18"/>
                <w:szCs w:val="18"/>
              </w:rPr>
            </w:pPr>
            <w:r>
              <w:rPr>
                <w:rFonts w:ascii="Arial" w:hAnsi="Arial" w:cs="Arial"/>
                <w:b/>
                <w:bCs/>
                <w:color w:val="000000"/>
                <w:sz w:val="18"/>
                <w:szCs w:val="18"/>
              </w:rPr>
              <w:t>VALOR TOTAL MAXIMO</w:t>
            </w:r>
          </w:p>
        </w:tc>
      </w:tr>
      <w:tr w:rsidR="00A30DEB" w:rsidRPr="00C630C3" w14:paraId="329F3FF9" w14:textId="77777777" w:rsidTr="00CE06FE">
        <w:trPr>
          <w:trHeight w:val="280"/>
          <w:jc w:val="center"/>
        </w:trPr>
        <w:tc>
          <w:tcPr>
            <w:tcW w:w="3991" w:type="dxa"/>
            <w:shd w:val="clear" w:color="auto" w:fill="auto"/>
            <w:noWrap/>
            <w:vAlign w:val="bottom"/>
            <w:hideMark/>
          </w:tcPr>
          <w:p w14:paraId="46E2B9C5"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Disco duro externo 1TB</w:t>
            </w:r>
          </w:p>
        </w:tc>
        <w:tc>
          <w:tcPr>
            <w:tcW w:w="1700" w:type="dxa"/>
            <w:shd w:val="clear" w:color="auto" w:fill="auto"/>
            <w:noWrap/>
            <w:vAlign w:val="center"/>
            <w:hideMark/>
          </w:tcPr>
          <w:p w14:paraId="02FDA2F2"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399.000 </w:t>
            </w:r>
          </w:p>
        </w:tc>
        <w:tc>
          <w:tcPr>
            <w:tcW w:w="1284" w:type="dxa"/>
            <w:shd w:val="clear" w:color="auto" w:fill="auto"/>
            <w:noWrap/>
            <w:vAlign w:val="center"/>
            <w:hideMark/>
          </w:tcPr>
          <w:p w14:paraId="5760D25D"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150</w:t>
            </w:r>
          </w:p>
        </w:tc>
        <w:tc>
          <w:tcPr>
            <w:tcW w:w="1828" w:type="dxa"/>
            <w:shd w:val="clear" w:color="auto" w:fill="auto"/>
            <w:noWrap/>
            <w:vAlign w:val="bottom"/>
            <w:hideMark/>
          </w:tcPr>
          <w:p w14:paraId="38731952"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59.850.000 </w:t>
            </w:r>
          </w:p>
        </w:tc>
      </w:tr>
      <w:tr w:rsidR="00A30DEB" w:rsidRPr="00C630C3" w14:paraId="3DED3AE3" w14:textId="77777777" w:rsidTr="00CE06FE">
        <w:trPr>
          <w:trHeight w:val="280"/>
          <w:jc w:val="center"/>
        </w:trPr>
        <w:tc>
          <w:tcPr>
            <w:tcW w:w="3991" w:type="dxa"/>
            <w:shd w:val="clear" w:color="auto" w:fill="auto"/>
            <w:noWrap/>
            <w:vAlign w:val="bottom"/>
            <w:hideMark/>
          </w:tcPr>
          <w:p w14:paraId="2265FD7D"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Disco duro externo 10 TB</w:t>
            </w:r>
          </w:p>
        </w:tc>
        <w:tc>
          <w:tcPr>
            <w:tcW w:w="1700" w:type="dxa"/>
            <w:shd w:val="clear" w:color="auto" w:fill="auto"/>
            <w:noWrap/>
            <w:vAlign w:val="center"/>
            <w:hideMark/>
          </w:tcPr>
          <w:p w14:paraId="3DBA6992"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2.873.000 </w:t>
            </w:r>
          </w:p>
        </w:tc>
        <w:tc>
          <w:tcPr>
            <w:tcW w:w="1284" w:type="dxa"/>
            <w:shd w:val="clear" w:color="auto" w:fill="auto"/>
            <w:noWrap/>
            <w:vAlign w:val="center"/>
            <w:hideMark/>
          </w:tcPr>
          <w:p w14:paraId="3370D29E"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7</w:t>
            </w:r>
          </w:p>
        </w:tc>
        <w:tc>
          <w:tcPr>
            <w:tcW w:w="1828" w:type="dxa"/>
            <w:shd w:val="clear" w:color="auto" w:fill="auto"/>
            <w:noWrap/>
            <w:vAlign w:val="bottom"/>
            <w:hideMark/>
          </w:tcPr>
          <w:p w14:paraId="0A4CC34E"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20.111.000 </w:t>
            </w:r>
          </w:p>
        </w:tc>
      </w:tr>
      <w:tr w:rsidR="00A30DEB" w:rsidRPr="00C630C3" w14:paraId="7AF54A57" w14:textId="77777777" w:rsidTr="00CE06FE">
        <w:trPr>
          <w:trHeight w:val="280"/>
          <w:jc w:val="center"/>
        </w:trPr>
        <w:tc>
          <w:tcPr>
            <w:tcW w:w="3991" w:type="dxa"/>
            <w:shd w:val="clear" w:color="auto" w:fill="auto"/>
            <w:noWrap/>
            <w:vAlign w:val="bottom"/>
            <w:hideMark/>
          </w:tcPr>
          <w:p w14:paraId="50F8EF1B"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Disco duro interno M2 1 TB</w:t>
            </w:r>
          </w:p>
        </w:tc>
        <w:tc>
          <w:tcPr>
            <w:tcW w:w="1700" w:type="dxa"/>
            <w:shd w:val="clear" w:color="auto" w:fill="auto"/>
            <w:noWrap/>
            <w:vAlign w:val="center"/>
            <w:hideMark/>
          </w:tcPr>
          <w:p w14:paraId="78F9B413"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474.572 </w:t>
            </w:r>
          </w:p>
        </w:tc>
        <w:tc>
          <w:tcPr>
            <w:tcW w:w="1284" w:type="dxa"/>
            <w:shd w:val="clear" w:color="auto" w:fill="auto"/>
            <w:noWrap/>
            <w:vAlign w:val="center"/>
            <w:hideMark/>
          </w:tcPr>
          <w:p w14:paraId="1E7E31DE"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175</w:t>
            </w:r>
          </w:p>
        </w:tc>
        <w:tc>
          <w:tcPr>
            <w:tcW w:w="1828" w:type="dxa"/>
            <w:shd w:val="clear" w:color="auto" w:fill="auto"/>
            <w:noWrap/>
            <w:vAlign w:val="bottom"/>
            <w:hideMark/>
          </w:tcPr>
          <w:p w14:paraId="6A4BD9F4"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83.050.100 </w:t>
            </w:r>
          </w:p>
        </w:tc>
      </w:tr>
      <w:tr w:rsidR="00A30DEB" w:rsidRPr="00C630C3" w14:paraId="32D84383" w14:textId="77777777" w:rsidTr="00CE06FE">
        <w:trPr>
          <w:trHeight w:val="527"/>
          <w:jc w:val="center"/>
        </w:trPr>
        <w:tc>
          <w:tcPr>
            <w:tcW w:w="3991" w:type="dxa"/>
            <w:shd w:val="clear" w:color="auto" w:fill="auto"/>
            <w:vAlign w:val="bottom"/>
            <w:hideMark/>
          </w:tcPr>
          <w:p w14:paraId="2F31F09B"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MEMORIA RAM DDR4 16GB A 3200MHZ para portátil</w:t>
            </w:r>
          </w:p>
        </w:tc>
        <w:tc>
          <w:tcPr>
            <w:tcW w:w="1700" w:type="dxa"/>
            <w:shd w:val="clear" w:color="auto" w:fill="auto"/>
            <w:noWrap/>
            <w:vAlign w:val="center"/>
            <w:hideMark/>
          </w:tcPr>
          <w:p w14:paraId="29E82DAC"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565.250 </w:t>
            </w:r>
          </w:p>
        </w:tc>
        <w:tc>
          <w:tcPr>
            <w:tcW w:w="1284" w:type="dxa"/>
            <w:shd w:val="clear" w:color="auto" w:fill="auto"/>
            <w:noWrap/>
            <w:vAlign w:val="center"/>
            <w:hideMark/>
          </w:tcPr>
          <w:p w14:paraId="4B2CDE46"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270</w:t>
            </w:r>
          </w:p>
        </w:tc>
        <w:tc>
          <w:tcPr>
            <w:tcW w:w="1828" w:type="dxa"/>
            <w:shd w:val="clear" w:color="auto" w:fill="auto"/>
            <w:noWrap/>
            <w:vAlign w:val="center"/>
            <w:hideMark/>
          </w:tcPr>
          <w:p w14:paraId="13580584"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152.617.500 </w:t>
            </w:r>
          </w:p>
        </w:tc>
      </w:tr>
      <w:tr w:rsidR="00A30DEB" w:rsidRPr="00C630C3" w14:paraId="00F664FA" w14:textId="77777777" w:rsidTr="00CE06FE">
        <w:trPr>
          <w:trHeight w:val="266"/>
          <w:jc w:val="center"/>
        </w:trPr>
        <w:tc>
          <w:tcPr>
            <w:tcW w:w="3991" w:type="dxa"/>
            <w:shd w:val="clear" w:color="auto" w:fill="auto"/>
            <w:vAlign w:val="bottom"/>
            <w:hideMark/>
          </w:tcPr>
          <w:p w14:paraId="2DA2D906"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CABLES HDMI - 6 metros mínimo</w:t>
            </w:r>
          </w:p>
        </w:tc>
        <w:tc>
          <w:tcPr>
            <w:tcW w:w="1700" w:type="dxa"/>
            <w:shd w:val="clear" w:color="auto" w:fill="auto"/>
            <w:noWrap/>
            <w:vAlign w:val="center"/>
            <w:hideMark/>
          </w:tcPr>
          <w:p w14:paraId="5B6C8C40"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62.748 </w:t>
            </w:r>
          </w:p>
        </w:tc>
        <w:tc>
          <w:tcPr>
            <w:tcW w:w="1284" w:type="dxa"/>
            <w:shd w:val="clear" w:color="auto" w:fill="auto"/>
            <w:noWrap/>
            <w:vAlign w:val="center"/>
            <w:hideMark/>
          </w:tcPr>
          <w:p w14:paraId="6E4D619E"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24</w:t>
            </w:r>
          </w:p>
        </w:tc>
        <w:tc>
          <w:tcPr>
            <w:tcW w:w="1828" w:type="dxa"/>
            <w:shd w:val="clear" w:color="auto" w:fill="auto"/>
            <w:noWrap/>
            <w:vAlign w:val="center"/>
            <w:hideMark/>
          </w:tcPr>
          <w:p w14:paraId="29A6D998"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1.505.952 </w:t>
            </w:r>
          </w:p>
        </w:tc>
      </w:tr>
      <w:tr w:rsidR="00A30DEB" w:rsidRPr="00C630C3" w14:paraId="71929C72" w14:textId="77777777" w:rsidTr="00CE06FE">
        <w:trPr>
          <w:trHeight w:val="130"/>
          <w:jc w:val="center"/>
        </w:trPr>
        <w:tc>
          <w:tcPr>
            <w:tcW w:w="3991" w:type="dxa"/>
            <w:shd w:val="clear" w:color="auto" w:fill="auto"/>
            <w:vAlign w:val="bottom"/>
            <w:hideMark/>
          </w:tcPr>
          <w:p w14:paraId="078C8C9C"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lastRenderedPageBreak/>
              <w:t>CONVERTIDORES DE HDMI -USB 6 METROS</w:t>
            </w:r>
          </w:p>
        </w:tc>
        <w:tc>
          <w:tcPr>
            <w:tcW w:w="1700" w:type="dxa"/>
            <w:shd w:val="clear" w:color="auto" w:fill="auto"/>
            <w:noWrap/>
            <w:vAlign w:val="center"/>
            <w:hideMark/>
          </w:tcPr>
          <w:p w14:paraId="35FB0295"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77.000 </w:t>
            </w:r>
          </w:p>
        </w:tc>
        <w:tc>
          <w:tcPr>
            <w:tcW w:w="1284" w:type="dxa"/>
            <w:shd w:val="clear" w:color="auto" w:fill="auto"/>
            <w:noWrap/>
            <w:vAlign w:val="center"/>
            <w:hideMark/>
          </w:tcPr>
          <w:p w14:paraId="799EDF29"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80</w:t>
            </w:r>
          </w:p>
        </w:tc>
        <w:tc>
          <w:tcPr>
            <w:tcW w:w="1828" w:type="dxa"/>
            <w:shd w:val="clear" w:color="auto" w:fill="auto"/>
            <w:noWrap/>
            <w:vAlign w:val="center"/>
            <w:hideMark/>
          </w:tcPr>
          <w:p w14:paraId="5EE425FF"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6.160.000 </w:t>
            </w:r>
          </w:p>
        </w:tc>
      </w:tr>
      <w:tr w:rsidR="00A30DEB" w:rsidRPr="00C630C3" w14:paraId="63CD8144" w14:textId="77777777" w:rsidTr="00CE06FE">
        <w:trPr>
          <w:trHeight w:val="755"/>
          <w:jc w:val="center"/>
        </w:trPr>
        <w:tc>
          <w:tcPr>
            <w:tcW w:w="3991" w:type="dxa"/>
            <w:shd w:val="clear" w:color="auto" w:fill="auto"/>
            <w:vAlign w:val="bottom"/>
            <w:hideMark/>
          </w:tcPr>
          <w:p w14:paraId="2088C870"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CORREAS PARA CAMARA - B94 MXL dientes Bel 94 </w:t>
            </w:r>
            <w:proofErr w:type="spellStart"/>
            <w:r w:rsidRPr="00C630C3">
              <w:rPr>
                <w:rFonts w:ascii="Arial" w:hAnsi="Arial" w:cs="Arial"/>
                <w:color w:val="000000"/>
                <w:sz w:val="18"/>
                <w:szCs w:val="18"/>
              </w:rPr>
              <w:t>Wdth</w:t>
            </w:r>
            <w:proofErr w:type="spellEnd"/>
            <w:r w:rsidRPr="00C630C3">
              <w:rPr>
                <w:rFonts w:ascii="Arial" w:hAnsi="Arial" w:cs="Arial"/>
                <w:color w:val="000000"/>
                <w:sz w:val="18"/>
                <w:szCs w:val="18"/>
              </w:rPr>
              <w:t xml:space="preserve"> 6,35mm longitud 191.008mm B94MXL correa síncrona de goma de bucle cerrado compatible con polea MXL</w:t>
            </w:r>
          </w:p>
        </w:tc>
        <w:tc>
          <w:tcPr>
            <w:tcW w:w="1700" w:type="dxa"/>
            <w:shd w:val="clear" w:color="auto" w:fill="auto"/>
            <w:noWrap/>
            <w:vAlign w:val="center"/>
            <w:hideMark/>
          </w:tcPr>
          <w:p w14:paraId="3A7E304D"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43.000 </w:t>
            </w:r>
          </w:p>
        </w:tc>
        <w:tc>
          <w:tcPr>
            <w:tcW w:w="1284" w:type="dxa"/>
            <w:shd w:val="clear" w:color="auto" w:fill="auto"/>
            <w:noWrap/>
            <w:vAlign w:val="center"/>
            <w:hideMark/>
          </w:tcPr>
          <w:p w14:paraId="160FDBFB"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50</w:t>
            </w:r>
          </w:p>
        </w:tc>
        <w:tc>
          <w:tcPr>
            <w:tcW w:w="1828" w:type="dxa"/>
            <w:shd w:val="clear" w:color="auto" w:fill="auto"/>
            <w:noWrap/>
            <w:vAlign w:val="center"/>
            <w:hideMark/>
          </w:tcPr>
          <w:p w14:paraId="7976F622"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2.150.000 </w:t>
            </w:r>
          </w:p>
        </w:tc>
      </w:tr>
      <w:tr w:rsidR="00A30DEB" w:rsidRPr="00C630C3" w14:paraId="39465E16" w14:textId="77777777" w:rsidTr="00CE06FE">
        <w:trPr>
          <w:trHeight w:val="77"/>
          <w:jc w:val="center"/>
        </w:trPr>
        <w:tc>
          <w:tcPr>
            <w:tcW w:w="3991" w:type="dxa"/>
            <w:shd w:val="clear" w:color="auto" w:fill="auto"/>
            <w:vAlign w:val="bottom"/>
            <w:hideMark/>
          </w:tcPr>
          <w:p w14:paraId="5DE504C3"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MEMORIA RAM DDR4 2666 8GB para pc</w:t>
            </w:r>
          </w:p>
        </w:tc>
        <w:tc>
          <w:tcPr>
            <w:tcW w:w="1700" w:type="dxa"/>
            <w:shd w:val="clear" w:color="auto" w:fill="auto"/>
            <w:noWrap/>
            <w:vAlign w:val="center"/>
            <w:hideMark/>
          </w:tcPr>
          <w:p w14:paraId="35F49EBB"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163.744 </w:t>
            </w:r>
          </w:p>
        </w:tc>
        <w:tc>
          <w:tcPr>
            <w:tcW w:w="1284" w:type="dxa"/>
            <w:shd w:val="clear" w:color="auto" w:fill="auto"/>
            <w:noWrap/>
            <w:vAlign w:val="center"/>
            <w:hideMark/>
          </w:tcPr>
          <w:p w14:paraId="047A4960" w14:textId="77777777" w:rsidR="00A30DEB" w:rsidRPr="00C630C3" w:rsidRDefault="00A30DEB" w:rsidP="00CE06FE">
            <w:pPr>
              <w:jc w:val="center"/>
              <w:rPr>
                <w:rFonts w:ascii="Arial" w:hAnsi="Arial" w:cs="Arial"/>
                <w:color w:val="000000"/>
                <w:sz w:val="18"/>
                <w:szCs w:val="18"/>
              </w:rPr>
            </w:pPr>
            <w:r w:rsidRPr="00C630C3">
              <w:rPr>
                <w:rFonts w:ascii="Arial" w:hAnsi="Arial" w:cs="Arial"/>
                <w:color w:val="000000"/>
                <w:sz w:val="18"/>
                <w:szCs w:val="18"/>
              </w:rPr>
              <w:t>70</w:t>
            </w:r>
          </w:p>
        </w:tc>
        <w:tc>
          <w:tcPr>
            <w:tcW w:w="1828" w:type="dxa"/>
            <w:shd w:val="clear" w:color="auto" w:fill="auto"/>
            <w:noWrap/>
            <w:vAlign w:val="center"/>
            <w:hideMark/>
          </w:tcPr>
          <w:p w14:paraId="625D8864" w14:textId="77777777" w:rsidR="00A30DEB" w:rsidRPr="00C630C3" w:rsidRDefault="00A30DEB" w:rsidP="00CE06FE">
            <w:pPr>
              <w:rPr>
                <w:rFonts w:ascii="Arial" w:hAnsi="Arial" w:cs="Arial"/>
                <w:color w:val="000000"/>
                <w:sz w:val="18"/>
                <w:szCs w:val="18"/>
              </w:rPr>
            </w:pPr>
            <w:r w:rsidRPr="00C630C3">
              <w:rPr>
                <w:rFonts w:ascii="Arial" w:hAnsi="Arial" w:cs="Arial"/>
                <w:color w:val="000000"/>
                <w:sz w:val="18"/>
                <w:szCs w:val="18"/>
              </w:rPr>
              <w:t xml:space="preserve"> $       11.462.080 </w:t>
            </w:r>
          </w:p>
        </w:tc>
      </w:tr>
    </w:tbl>
    <w:p w14:paraId="6BDBCA7E" w14:textId="77777777" w:rsidR="00A30DEB" w:rsidRPr="00200E82" w:rsidRDefault="00A30DEB" w:rsidP="00A30DEB">
      <w:pPr>
        <w:jc w:val="both"/>
        <w:rPr>
          <w:rFonts w:ascii="Arial" w:hAnsi="Arial" w:cs="Arial"/>
          <w:sz w:val="18"/>
          <w:szCs w:val="18"/>
        </w:rPr>
      </w:pPr>
      <w:r w:rsidRPr="00200E82">
        <w:rPr>
          <w:rFonts w:ascii="Arial" w:hAnsi="Arial" w:cs="Arial"/>
          <w:sz w:val="18"/>
          <w:szCs w:val="18"/>
        </w:rPr>
        <w:t xml:space="preserve">FUENTE: </w:t>
      </w:r>
      <w:hyperlink r:id="rId44" w:anchor="search=" w:history="1">
        <w:r w:rsidRPr="00C33610">
          <w:rPr>
            <w:rStyle w:val="Hipervnculo"/>
            <w:rFonts w:ascii="Arial" w:hAnsi="Arial" w:cs="Arial"/>
            <w:sz w:val="18"/>
            <w:szCs w:val="18"/>
          </w:rPr>
          <w:t>https://colombiacompra.coupahost.com/user/home#search=</w:t>
        </w:r>
      </w:hyperlink>
      <w:r>
        <w:rPr>
          <w:rFonts w:ascii="Arial" w:hAnsi="Arial" w:cs="Arial"/>
          <w:sz w:val="18"/>
          <w:szCs w:val="18"/>
        </w:rPr>
        <w:t xml:space="preserve"> </w:t>
      </w:r>
    </w:p>
    <w:p w14:paraId="2144B835" w14:textId="77777777" w:rsidR="00A30DEB" w:rsidRDefault="00A30DEB" w:rsidP="00E23608">
      <w:pPr>
        <w:jc w:val="both"/>
        <w:rPr>
          <w:rFonts w:ascii="Arial" w:hAnsi="Arial" w:cs="Arial"/>
          <w:sz w:val="22"/>
          <w:szCs w:val="22"/>
        </w:rPr>
      </w:pPr>
    </w:p>
    <w:p w14:paraId="78EC229A" w14:textId="33F4FB11" w:rsidR="00E23608" w:rsidRDefault="00E23608" w:rsidP="00E23608">
      <w:pPr>
        <w:jc w:val="center"/>
        <w:rPr>
          <w:rFonts w:ascii="Arial" w:hAnsi="Arial" w:cs="Arial"/>
          <w:sz w:val="22"/>
          <w:szCs w:val="22"/>
        </w:rPr>
      </w:pPr>
    </w:p>
    <w:p w14:paraId="5C849029" w14:textId="77777777" w:rsidR="00E23608" w:rsidRPr="000975ED" w:rsidRDefault="00E23608" w:rsidP="00E23608">
      <w:pPr>
        <w:spacing w:before="60"/>
        <w:ind w:right="284"/>
        <w:jc w:val="both"/>
        <w:rPr>
          <w:rFonts w:ascii="Arial" w:hAnsi="Arial" w:cs="Arial"/>
          <w:sz w:val="22"/>
          <w:szCs w:val="22"/>
        </w:rPr>
      </w:pPr>
      <w:r w:rsidRPr="000975ED">
        <w:rPr>
          <w:rFonts w:ascii="Arial" w:hAnsi="Arial" w:cs="Arial"/>
          <w:sz w:val="22"/>
          <w:szCs w:val="22"/>
        </w:rPr>
        <w:t>Para la estimación del posible valor del contrato, la entidad ha determinado las siguientes variables</w:t>
      </w:r>
      <w:r>
        <w:rPr>
          <w:rFonts w:ascii="Arial" w:hAnsi="Arial" w:cs="Arial"/>
          <w:sz w:val="22"/>
          <w:szCs w:val="22"/>
        </w:rPr>
        <w:t xml:space="preserve"> acorde con el instrumento mencionado</w:t>
      </w:r>
      <w:r w:rsidRPr="000975ED">
        <w:rPr>
          <w:rFonts w:ascii="Arial" w:hAnsi="Arial" w:cs="Arial"/>
          <w:sz w:val="22"/>
          <w:szCs w:val="22"/>
        </w:rPr>
        <w:t xml:space="preserve">: </w:t>
      </w:r>
    </w:p>
    <w:p w14:paraId="649B6775" w14:textId="04FB7B42" w:rsidR="00E23608" w:rsidRPr="00E23608" w:rsidRDefault="00E23608">
      <w:pPr>
        <w:pStyle w:val="Prrafodelista"/>
        <w:numPr>
          <w:ilvl w:val="0"/>
          <w:numId w:val="19"/>
        </w:numPr>
        <w:ind w:left="357" w:right="284" w:hanging="357"/>
        <w:jc w:val="both"/>
        <w:rPr>
          <w:rFonts w:ascii="Arial" w:hAnsi="Arial" w:cs="Arial"/>
          <w:sz w:val="22"/>
          <w:szCs w:val="22"/>
        </w:rPr>
      </w:pPr>
      <w:r w:rsidRPr="00E23608">
        <w:rPr>
          <w:rFonts w:ascii="Arial" w:hAnsi="Arial" w:cs="Arial"/>
          <w:sz w:val="22"/>
          <w:szCs w:val="22"/>
        </w:rPr>
        <w:t xml:space="preserve">Impuestos: Valor generado por concepto de impuestos, retenciones y estampillas, dependiendo del régimen en que se encuentre.  </w:t>
      </w:r>
    </w:p>
    <w:p w14:paraId="1DD3E45D" w14:textId="77777777" w:rsidR="00E23608" w:rsidRPr="00E23608" w:rsidRDefault="00E23608">
      <w:pPr>
        <w:pStyle w:val="Prrafodelista"/>
        <w:numPr>
          <w:ilvl w:val="0"/>
          <w:numId w:val="19"/>
        </w:numPr>
        <w:ind w:left="357" w:right="284" w:hanging="357"/>
        <w:jc w:val="both"/>
        <w:rPr>
          <w:rFonts w:ascii="Arial" w:hAnsi="Arial" w:cs="Arial"/>
          <w:sz w:val="22"/>
          <w:szCs w:val="22"/>
        </w:rPr>
      </w:pPr>
      <w:r w:rsidRPr="00E23608">
        <w:rPr>
          <w:rFonts w:ascii="Arial" w:hAnsi="Arial" w:cs="Arial"/>
          <w:sz w:val="22"/>
          <w:szCs w:val="22"/>
        </w:rPr>
        <w:t xml:space="preserve">Gastos de personal. El contratista seleccionado se hará cargo de los gastos del personal administrativo y operativo de la empresa que represente. Asimismo, hay que señalar que el contratista seleccionado se obliga a estar al día con los gastos de salarios, prestaciones, afiliaciones en salud, riesgos profesionales, pensiones, cesantías y demás parafiscales del personal a su cargo. </w:t>
      </w:r>
    </w:p>
    <w:p w14:paraId="62A4E46B" w14:textId="58A71B6C" w:rsidR="00E23608" w:rsidRPr="00E23608" w:rsidRDefault="00E23608">
      <w:pPr>
        <w:pStyle w:val="Prrafodelista"/>
        <w:numPr>
          <w:ilvl w:val="0"/>
          <w:numId w:val="19"/>
        </w:numPr>
        <w:ind w:left="357" w:right="284" w:hanging="357"/>
        <w:jc w:val="both"/>
        <w:rPr>
          <w:rFonts w:ascii="Arial" w:hAnsi="Arial" w:cs="Arial"/>
          <w:sz w:val="22"/>
          <w:szCs w:val="22"/>
        </w:rPr>
      </w:pPr>
      <w:r w:rsidRPr="00E23608">
        <w:rPr>
          <w:rFonts w:ascii="Arial" w:hAnsi="Arial" w:cs="Arial"/>
          <w:sz w:val="22"/>
          <w:szCs w:val="22"/>
        </w:rPr>
        <w:t xml:space="preserve">Los demás gastos concernientes a la ejecución del contrato como dotación, elementos y medios para garantizar la prestación del servicio y/o suministro. </w:t>
      </w:r>
    </w:p>
    <w:p w14:paraId="6ADBBAE7" w14:textId="77777777" w:rsidR="00E23608" w:rsidRPr="000975ED" w:rsidRDefault="00E23608" w:rsidP="00E23608">
      <w:pPr>
        <w:spacing w:before="60"/>
        <w:ind w:left="142" w:right="284"/>
        <w:jc w:val="both"/>
        <w:rPr>
          <w:rFonts w:ascii="Arial" w:hAnsi="Arial" w:cs="Arial"/>
          <w:sz w:val="22"/>
          <w:szCs w:val="22"/>
        </w:rPr>
      </w:pPr>
      <w:r w:rsidRPr="000975ED">
        <w:rPr>
          <w:rFonts w:ascii="Arial" w:hAnsi="Arial" w:cs="Arial"/>
          <w:sz w:val="22"/>
          <w:szCs w:val="22"/>
        </w:rPr>
        <w:t xml:space="preserve"> </w:t>
      </w:r>
    </w:p>
    <w:p w14:paraId="743F33AF" w14:textId="0A9E2E8D" w:rsidR="00E23608" w:rsidRPr="00E23608" w:rsidRDefault="00E23608" w:rsidP="00E23608">
      <w:pPr>
        <w:ind w:right="107"/>
        <w:jc w:val="both"/>
        <w:rPr>
          <w:rFonts w:ascii="Arial" w:hAnsi="Arial" w:cs="Arial"/>
          <w:bCs/>
          <w:iCs/>
          <w:color w:val="000000" w:themeColor="text1"/>
          <w:sz w:val="22"/>
          <w:szCs w:val="22"/>
          <w:lang w:val="es-ES_tradnl" w:eastAsia="en-US"/>
        </w:rPr>
      </w:pPr>
      <w:r w:rsidRPr="000975ED">
        <w:rPr>
          <w:rFonts w:ascii="Arial" w:hAnsi="Arial" w:cs="Arial"/>
          <w:sz w:val="22"/>
          <w:szCs w:val="22"/>
        </w:rPr>
        <w:t>NOTA: Para todos los efectos, el valor de la oferta se expresará en pesos colombianos y en números enteros (sin decimales).</w:t>
      </w:r>
    </w:p>
    <w:p w14:paraId="5E324C7F" w14:textId="51F306E5" w:rsidR="0071568E" w:rsidRDefault="0071568E" w:rsidP="006E3B0D">
      <w:pPr>
        <w:ind w:right="107"/>
        <w:jc w:val="both"/>
        <w:rPr>
          <w:rFonts w:ascii="Arial" w:hAnsi="Arial" w:cs="Arial"/>
          <w:bCs/>
          <w:iCs/>
          <w:color w:val="000000" w:themeColor="text1"/>
          <w:sz w:val="22"/>
          <w:szCs w:val="22"/>
          <w:lang w:val="es-ES_tradnl" w:eastAsia="en-US"/>
        </w:rPr>
      </w:pPr>
    </w:p>
    <w:p w14:paraId="5010508F" w14:textId="77777777" w:rsidR="00E23608" w:rsidRDefault="00E23608">
      <w:pPr>
        <w:pStyle w:val="TableParagraph"/>
        <w:numPr>
          <w:ilvl w:val="0"/>
          <w:numId w:val="5"/>
        </w:numPr>
        <w:spacing w:before="57"/>
        <w:jc w:val="both"/>
        <w:rPr>
          <w:b/>
        </w:rPr>
      </w:pPr>
      <w:r>
        <w:rPr>
          <w:b/>
        </w:rPr>
        <w:t>RIESGOS</w:t>
      </w:r>
      <w:r>
        <w:rPr>
          <w:b/>
          <w:spacing w:val="-4"/>
        </w:rPr>
        <w:t xml:space="preserve"> </w:t>
      </w:r>
      <w:r>
        <w:rPr>
          <w:b/>
        </w:rPr>
        <w:t>Y</w:t>
      </w:r>
      <w:r>
        <w:rPr>
          <w:b/>
          <w:spacing w:val="-7"/>
        </w:rPr>
        <w:t xml:space="preserve"> </w:t>
      </w:r>
      <w:r>
        <w:rPr>
          <w:b/>
        </w:rPr>
        <w:t>GARANTIAS</w:t>
      </w:r>
    </w:p>
    <w:p w14:paraId="735C701B" w14:textId="1BE18C60" w:rsidR="00E23608" w:rsidRDefault="00E23608" w:rsidP="00E23608">
      <w:pPr>
        <w:ind w:right="107"/>
        <w:jc w:val="both"/>
        <w:rPr>
          <w:rFonts w:ascii="Arial" w:hAnsi="Arial" w:cs="Arial"/>
          <w:bCs/>
          <w:iCs/>
          <w:color w:val="000000" w:themeColor="text1"/>
          <w:sz w:val="22"/>
          <w:szCs w:val="22"/>
          <w:lang w:val="es-ES_tradnl" w:eastAsia="en-US"/>
        </w:rPr>
      </w:pPr>
    </w:p>
    <w:p w14:paraId="5523FE51" w14:textId="720346AD" w:rsidR="00E23608" w:rsidRDefault="00E23608" w:rsidP="00E23608">
      <w:pPr>
        <w:pStyle w:val="TableParagraph"/>
        <w:ind w:left="22" w:right="36"/>
        <w:jc w:val="both"/>
      </w:pPr>
      <w:r>
        <w:t>En la ejecución del contrato puede llegarse a presentar causas previsibles que afectan la carga económica o</w:t>
      </w:r>
      <w:r>
        <w:rPr>
          <w:spacing w:val="1"/>
        </w:rPr>
        <w:t xml:space="preserve"> </w:t>
      </w:r>
      <w:r>
        <w:rPr>
          <w:spacing w:val="-1"/>
        </w:rPr>
        <w:t>financiera</w:t>
      </w:r>
      <w:r>
        <w:rPr>
          <w:spacing w:val="-12"/>
        </w:rPr>
        <w:t xml:space="preserve"> </w:t>
      </w:r>
      <w:r>
        <w:rPr>
          <w:spacing w:val="-1"/>
        </w:rPr>
        <w:t>de</w:t>
      </w:r>
      <w:r>
        <w:rPr>
          <w:spacing w:val="-12"/>
        </w:rPr>
        <w:t xml:space="preserve"> </w:t>
      </w:r>
      <w:r>
        <w:rPr>
          <w:spacing w:val="-1"/>
        </w:rPr>
        <w:t>las</w:t>
      </w:r>
      <w:r>
        <w:rPr>
          <w:spacing w:val="-12"/>
        </w:rPr>
        <w:t xml:space="preserve"> </w:t>
      </w:r>
      <w:r>
        <w:rPr>
          <w:spacing w:val="-1"/>
        </w:rPr>
        <w:t>partes.</w:t>
      </w:r>
      <w:r>
        <w:rPr>
          <w:spacing w:val="-15"/>
        </w:rPr>
        <w:t xml:space="preserve"> </w:t>
      </w:r>
      <w:r>
        <w:t>Para</w:t>
      </w:r>
      <w:r>
        <w:rPr>
          <w:spacing w:val="-12"/>
        </w:rPr>
        <w:t xml:space="preserve"> </w:t>
      </w:r>
      <w:r>
        <w:t>tal</w:t>
      </w:r>
      <w:r>
        <w:rPr>
          <w:spacing w:val="-19"/>
        </w:rPr>
        <w:t xml:space="preserve"> </w:t>
      </w:r>
      <w:r>
        <w:t>efecto,</w:t>
      </w:r>
      <w:r>
        <w:rPr>
          <w:spacing w:val="-11"/>
        </w:rPr>
        <w:t xml:space="preserve"> </w:t>
      </w:r>
      <w:r>
        <w:t>la</w:t>
      </w:r>
      <w:r>
        <w:rPr>
          <w:spacing w:val="-8"/>
        </w:rPr>
        <w:t xml:space="preserve"> </w:t>
      </w:r>
      <w:r>
        <w:t>seccional,</w:t>
      </w:r>
      <w:r>
        <w:rPr>
          <w:spacing w:val="-15"/>
        </w:rPr>
        <w:t xml:space="preserve"> </w:t>
      </w:r>
      <w:r>
        <w:t>ha</w:t>
      </w:r>
      <w:r>
        <w:rPr>
          <w:spacing w:val="-12"/>
        </w:rPr>
        <w:t xml:space="preserve"> </w:t>
      </w:r>
      <w:r>
        <w:t>diseñado</w:t>
      </w:r>
      <w:r>
        <w:rPr>
          <w:spacing w:val="-12"/>
        </w:rPr>
        <w:t xml:space="preserve"> </w:t>
      </w:r>
      <w:r>
        <w:t>una</w:t>
      </w:r>
      <w:r>
        <w:rPr>
          <w:spacing w:val="-16"/>
        </w:rPr>
        <w:t xml:space="preserve"> </w:t>
      </w:r>
      <w:r>
        <w:t>matriz</w:t>
      </w:r>
      <w:r>
        <w:rPr>
          <w:spacing w:val="-16"/>
        </w:rPr>
        <w:t xml:space="preserve"> </w:t>
      </w:r>
      <w:r>
        <w:t>de</w:t>
      </w:r>
      <w:r>
        <w:rPr>
          <w:spacing w:val="-12"/>
        </w:rPr>
        <w:t xml:space="preserve"> </w:t>
      </w:r>
      <w:r>
        <w:t>riesgos,</w:t>
      </w:r>
      <w:r>
        <w:rPr>
          <w:spacing w:val="-15"/>
        </w:rPr>
        <w:t xml:space="preserve"> </w:t>
      </w:r>
      <w:r>
        <w:t>a</w:t>
      </w:r>
      <w:r>
        <w:rPr>
          <w:spacing w:val="-12"/>
        </w:rPr>
        <w:t xml:space="preserve"> </w:t>
      </w:r>
      <w:r>
        <w:t>través</w:t>
      </w:r>
      <w:r>
        <w:rPr>
          <w:spacing w:val="1"/>
        </w:rPr>
        <w:t xml:space="preserve"> </w:t>
      </w:r>
      <w:r>
        <w:t>de la cual, a partir de la experiencia de la entidad en la ejecución de contratos anteriores, ha dispuesto una</w:t>
      </w:r>
      <w:r>
        <w:rPr>
          <w:spacing w:val="1"/>
        </w:rPr>
        <w:t xml:space="preserve"> </w:t>
      </w:r>
      <w:r>
        <w:t>tipificación, asignación y calificación del riesgo. La elaboración de la matriz sigue los lineamientos de la Ley</w:t>
      </w:r>
      <w:r>
        <w:rPr>
          <w:spacing w:val="1"/>
        </w:rPr>
        <w:t xml:space="preserve"> </w:t>
      </w:r>
      <w:r>
        <w:t>1150 de 2007 y el Decreto 1082 de 2015, normas legalmente aplicables a la presente contratación, según se</w:t>
      </w:r>
      <w:r>
        <w:rPr>
          <w:spacing w:val="1"/>
        </w:rPr>
        <w:t xml:space="preserve"> </w:t>
      </w:r>
      <w:r>
        <w:t>indicó</w:t>
      </w:r>
      <w:r>
        <w:rPr>
          <w:spacing w:val="-1"/>
        </w:rPr>
        <w:t xml:space="preserve"> </w:t>
      </w:r>
      <w:r>
        <w:t>con anterioridad.</w:t>
      </w:r>
    </w:p>
    <w:p w14:paraId="60E04091" w14:textId="77777777" w:rsidR="00E23608" w:rsidRDefault="00E23608" w:rsidP="00E23608">
      <w:pPr>
        <w:pStyle w:val="TableParagraph"/>
        <w:spacing w:before="1"/>
      </w:pPr>
    </w:p>
    <w:p w14:paraId="1619DE09" w14:textId="77777777" w:rsidR="00E23608" w:rsidRDefault="00E23608" w:rsidP="00E23608">
      <w:pPr>
        <w:pStyle w:val="TableParagraph"/>
        <w:spacing w:before="1"/>
        <w:ind w:left="22" w:right="35"/>
        <w:jc w:val="both"/>
      </w:pPr>
      <w:r>
        <w:t>De</w:t>
      </w:r>
      <w:r>
        <w:rPr>
          <w:spacing w:val="-3"/>
        </w:rPr>
        <w:t xml:space="preserve"> </w:t>
      </w:r>
      <w:r>
        <w:t>conformidad</w:t>
      </w:r>
      <w:r>
        <w:rPr>
          <w:spacing w:val="-6"/>
        </w:rPr>
        <w:t xml:space="preserve"> </w:t>
      </w:r>
      <w:r>
        <w:t>con</w:t>
      </w:r>
      <w:r>
        <w:rPr>
          <w:spacing w:val="-3"/>
        </w:rPr>
        <w:t xml:space="preserve"> </w:t>
      </w:r>
      <w:r>
        <w:t>lo</w:t>
      </w:r>
      <w:r>
        <w:rPr>
          <w:spacing w:val="-2"/>
        </w:rPr>
        <w:t xml:space="preserve"> </w:t>
      </w:r>
      <w:r>
        <w:t>establecido</w:t>
      </w:r>
      <w:r>
        <w:rPr>
          <w:spacing w:val="-2"/>
        </w:rPr>
        <w:t xml:space="preserve"> </w:t>
      </w:r>
      <w:r>
        <w:t>en</w:t>
      </w:r>
      <w:r>
        <w:rPr>
          <w:spacing w:val="-7"/>
        </w:rPr>
        <w:t xml:space="preserve"> </w:t>
      </w:r>
      <w:r>
        <w:t>el</w:t>
      </w:r>
      <w:r>
        <w:rPr>
          <w:spacing w:val="-8"/>
        </w:rPr>
        <w:t xml:space="preserve"> </w:t>
      </w:r>
      <w:r>
        <w:t>Manual</w:t>
      </w:r>
      <w:r>
        <w:rPr>
          <w:spacing w:val="-8"/>
        </w:rPr>
        <w:t xml:space="preserve"> </w:t>
      </w:r>
      <w:r>
        <w:t>para</w:t>
      </w:r>
      <w:r>
        <w:rPr>
          <w:spacing w:val="-2"/>
        </w:rPr>
        <w:t xml:space="preserve"> </w:t>
      </w:r>
      <w:r>
        <w:t>la</w:t>
      </w:r>
      <w:r>
        <w:rPr>
          <w:spacing w:val="-3"/>
        </w:rPr>
        <w:t xml:space="preserve"> </w:t>
      </w:r>
      <w:r>
        <w:t>Identificación</w:t>
      </w:r>
      <w:r>
        <w:rPr>
          <w:spacing w:val="-2"/>
        </w:rPr>
        <w:t xml:space="preserve"> </w:t>
      </w:r>
      <w:r>
        <w:t>y</w:t>
      </w:r>
      <w:r>
        <w:rPr>
          <w:spacing w:val="-6"/>
        </w:rPr>
        <w:t xml:space="preserve"> </w:t>
      </w:r>
      <w:r>
        <w:t>Cobertura</w:t>
      </w:r>
      <w:r>
        <w:rPr>
          <w:spacing w:val="-7"/>
        </w:rPr>
        <w:t xml:space="preserve"> </w:t>
      </w:r>
      <w:r>
        <w:t>del</w:t>
      </w:r>
      <w:r>
        <w:rPr>
          <w:spacing w:val="-8"/>
        </w:rPr>
        <w:t xml:space="preserve"> </w:t>
      </w:r>
      <w:r>
        <w:t>Riesgo</w:t>
      </w:r>
      <w:r>
        <w:rPr>
          <w:spacing w:val="-2"/>
        </w:rPr>
        <w:t xml:space="preserve"> </w:t>
      </w:r>
      <w:r>
        <w:t>en</w:t>
      </w:r>
      <w:r>
        <w:rPr>
          <w:spacing w:val="-3"/>
        </w:rPr>
        <w:t xml:space="preserve"> </w:t>
      </w:r>
      <w:r>
        <w:t>los</w:t>
      </w:r>
      <w:r>
        <w:rPr>
          <w:spacing w:val="-2"/>
        </w:rPr>
        <w:t xml:space="preserve"> </w:t>
      </w:r>
      <w:r>
        <w:t>Procesos</w:t>
      </w:r>
      <w:r>
        <w:rPr>
          <w:spacing w:val="-59"/>
        </w:rPr>
        <w:t xml:space="preserve"> </w:t>
      </w:r>
      <w:r>
        <w:t>de Contratación (Versión1), donde se establecen los parámetros y los elementos a tener en cuenta a la hora</w:t>
      </w:r>
      <w:r>
        <w:rPr>
          <w:spacing w:val="1"/>
        </w:rPr>
        <w:t xml:space="preserve"> </w:t>
      </w:r>
      <w:r>
        <w:t>de hacer el análisis del Riesgo, en cumplimiento de lo normado en el artículo 2.2.1.2.3.1.1 del Decreto 1082</w:t>
      </w:r>
      <w:r>
        <w:rPr>
          <w:spacing w:val="1"/>
        </w:rPr>
        <w:t xml:space="preserve"> </w:t>
      </w:r>
      <w:r>
        <w:t>del 2015, que cita “</w:t>
      </w:r>
      <w:r>
        <w:rPr>
          <w:i/>
        </w:rPr>
        <w:t>Evaluación del Riesgo. La Entidad Estatal debe evaluar el Riesgo que el Proceso de</w:t>
      </w:r>
      <w:r>
        <w:rPr>
          <w:i/>
          <w:spacing w:val="1"/>
        </w:rPr>
        <w:t xml:space="preserve"> </w:t>
      </w:r>
      <w:r>
        <w:rPr>
          <w:i/>
        </w:rPr>
        <w:t>Contratación representa para el cumplimiento de sus metas y objetos, de acuerdo con los manuales y guías</w:t>
      </w:r>
      <w:r>
        <w:rPr>
          <w:i/>
          <w:spacing w:val="1"/>
        </w:rPr>
        <w:t xml:space="preserve"> </w:t>
      </w:r>
      <w:r>
        <w:rPr>
          <w:i/>
        </w:rPr>
        <w:t>que para el efecto expida Colombia Compra Eficiente</w:t>
      </w:r>
      <w:r>
        <w:t>” y según, se hizo un análisis con base en la matriz de</w:t>
      </w:r>
      <w:r>
        <w:rPr>
          <w:spacing w:val="1"/>
        </w:rPr>
        <w:t xml:space="preserve"> </w:t>
      </w:r>
      <w:r>
        <w:t>evaluación</w:t>
      </w:r>
      <w:r>
        <w:rPr>
          <w:spacing w:val="-1"/>
        </w:rPr>
        <w:t xml:space="preserve"> </w:t>
      </w:r>
      <w:r>
        <w:t>del</w:t>
      </w:r>
      <w:r>
        <w:rPr>
          <w:spacing w:val="-7"/>
        </w:rPr>
        <w:t xml:space="preserve"> </w:t>
      </w:r>
      <w:r>
        <w:t>riesgo,</w:t>
      </w:r>
      <w:r>
        <w:rPr>
          <w:spacing w:val="-3"/>
        </w:rPr>
        <w:t xml:space="preserve"> </w:t>
      </w:r>
      <w:r>
        <w:t>se</w:t>
      </w:r>
      <w:r>
        <w:rPr>
          <w:spacing w:val="-1"/>
        </w:rPr>
        <w:t xml:space="preserve"> </w:t>
      </w:r>
      <w:r>
        <w:t>considera necesario</w:t>
      </w:r>
      <w:r>
        <w:rPr>
          <w:spacing w:val="-1"/>
        </w:rPr>
        <w:t xml:space="preserve"> </w:t>
      </w:r>
      <w:r>
        <w:t>solicitar</w:t>
      </w:r>
      <w:r>
        <w:rPr>
          <w:spacing w:val="1"/>
        </w:rPr>
        <w:t xml:space="preserve"> </w:t>
      </w:r>
      <w:r>
        <w:t>las</w:t>
      </w:r>
      <w:r>
        <w:rPr>
          <w:spacing w:val="-1"/>
        </w:rPr>
        <w:t xml:space="preserve"> </w:t>
      </w:r>
      <w:r>
        <w:t>siguientes garantías:</w:t>
      </w:r>
    </w:p>
    <w:p w14:paraId="36D2EEE8" w14:textId="5692B445" w:rsidR="00E23608" w:rsidRDefault="00E23608" w:rsidP="00E23608">
      <w:pPr>
        <w:ind w:right="107"/>
        <w:jc w:val="both"/>
        <w:rPr>
          <w:rFonts w:ascii="Arial" w:hAnsi="Arial" w:cs="Arial"/>
          <w:bCs/>
          <w:iCs/>
          <w:color w:val="000000" w:themeColor="text1"/>
          <w:sz w:val="22"/>
          <w:szCs w:val="22"/>
          <w:lang w:val="es-ES_tradnl" w:eastAsia="en-US"/>
        </w:rPr>
      </w:pPr>
    </w:p>
    <w:tbl>
      <w:tblPr>
        <w:tblW w:w="8789" w:type="dxa"/>
        <w:tblInd w:w="74"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418"/>
        <w:gridCol w:w="1275"/>
        <w:gridCol w:w="2552"/>
        <w:gridCol w:w="3544"/>
      </w:tblGrid>
      <w:tr w:rsidR="00E23608" w:rsidRPr="00E23608" w14:paraId="2433CDA5" w14:textId="77777777" w:rsidTr="00654CC6">
        <w:trPr>
          <w:trHeight w:val="300"/>
        </w:trPr>
        <w:tc>
          <w:tcPr>
            <w:tcW w:w="141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797E868D"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Amparo</w:t>
            </w:r>
          </w:p>
        </w:tc>
        <w:tc>
          <w:tcPr>
            <w:tcW w:w="127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5FCCAA2"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Suficiencia</w:t>
            </w:r>
          </w:p>
        </w:tc>
        <w:tc>
          <w:tcPr>
            <w:tcW w:w="2552"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4DF6629F"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Sobre el valor</w:t>
            </w:r>
          </w:p>
        </w:tc>
        <w:tc>
          <w:tcPr>
            <w:tcW w:w="3544"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0324954"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Vigencia</w:t>
            </w:r>
          </w:p>
        </w:tc>
      </w:tr>
      <w:tr w:rsidR="00E23608" w:rsidRPr="00E23608" w14:paraId="6C4AFAA8" w14:textId="77777777" w:rsidTr="00654CC6">
        <w:trPr>
          <w:trHeight w:val="505"/>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64FA46"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Seriedad de la Oferta</w:t>
            </w:r>
            <w:r w:rsidRPr="00E23608">
              <w:rPr>
                <w:rFonts w:ascii="Arial" w:hAnsi="Arial" w:cs="Arial"/>
                <w:sz w:val="18"/>
                <w:szCs w:val="18"/>
                <w:lang w:val="en-US" w:eastAsia="en-US"/>
              </w:rPr>
              <w:t> </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E234A9"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10%</w:t>
            </w:r>
            <w:r w:rsidRPr="00E23608">
              <w:rPr>
                <w:rFonts w:ascii="Arial" w:hAnsi="Arial" w:cs="Arial"/>
                <w:sz w:val="18"/>
                <w:szCs w:val="18"/>
                <w:lang w:val="en-US" w:eastAsia="en-US"/>
              </w:rPr>
              <w:t> </w:t>
            </w:r>
          </w:p>
        </w:tc>
        <w:tc>
          <w:tcPr>
            <w:tcW w:w="25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0AFA28" w14:textId="77777777" w:rsidR="00E23608" w:rsidRPr="00E23608" w:rsidRDefault="00E23608" w:rsidP="00654CC6">
            <w:pPr>
              <w:jc w:val="center"/>
              <w:textAlignment w:val="baseline"/>
              <w:rPr>
                <w:rFonts w:ascii="Arial" w:hAnsi="Arial" w:cs="Arial"/>
                <w:sz w:val="18"/>
                <w:szCs w:val="18"/>
                <w:lang w:val="en-US" w:eastAsia="en-US"/>
              </w:rPr>
            </w:pPr>
            <w:r w:rsidRPr="00E23608">
              <w:rPr>
                <w:rFonts w:ascii="Arial" w:hAnsi="Arial" w:cs="Arial"/>
                <w:sz w:val="18"/>
                <w:szCs w:val="18"/>
                <w:lang w:eastAsia="en-US"/>
              </w:rPr>
              <w:t>Del presupuesto oficial</w:t>
            </w:r>
          </w:p>
        </w:tc>
        <w:tc>
          <w:tcPr>
            <w:tcW w:w="35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2BA44C" w14:textId="77777777" w:rsidR="00E23608" w:rsidRPr="00E23608" w:rsidRDefault="00E23608" w:rsidP="00E23608">
            <w:pPr>
              <w:jc w:val="both"/>
              <w:textAlignment w:val="baseline"/>
              <w:rPr>
                <w:rFonts w:ascii="Arial" w:hAnsi="Arial" w:cs="Arial"/>
                <w:sz w:val="18"/>
                <w:szCs w:val="18"/>
                <w:lang w:val="es-MX" w:eastAsia="en-US"/>
              </w:rPr>
            </w:pPr>
            <w:r w:rsidRPr="00E23608">
              <w:rPr>
                <w:rFonts w:ascii="Arial" w:hAnsi="Arial" w:cs="Arial"/>
                <w:sz w:val="18"/>
                <w:szCs w:val="18"/>
                <w:lang w:eastAsia="en-US"/>
              </w:rPr>
              <w:t>Desde la presentación de la oferta y por tres meses más.</w:t>
            </w:r>
          </w:p>
        </w:tc>
      </w:tr>
    </w:tbl>
    <w:p w14:paraId="551AA025" w14:textId="6FA3EC3B" w:rsidR="00E23608" w:rsidRDefault="00E23608" w:rsidP="00E23608">
      <w:pPr>
        <w:ind w:right="107"/>
        <w:jc w:val="both"/>
        <w:rPr>
          <w:rFonts w:ascii="Arial" w:hAnsi="Arial" w:cs="Arial"/>
          <w:bCs/>
          <w:iCs/>
          <w:color w:val="000000" w:themeColor="text1"/>
          <w:sz w:val="22"/>
          <w:szCs w:val="22"/>
          <w:lang w:val="es-ES_tradnl" w:eastAsia="en-US"/>
        </w:rPr>
      </w:pPr>
    </w:p>
    <w:tbl>
      <w:tblPr>
        <w:tblStyle w:val="Tablaconcuadrcula"/>
        <w:tblW w:w="8724" w:type="dxa"/>
        <w:jc w:val="center"/>
        <w:tblLayout w:type="fixed"/>
        <w:tblCellMar>
          <w:top w:w="28" w:type="dxa"/>
          <w:left w:w="85" w:type="dxa"/>
          <w:bottom w:w="28" w:type="dxa"/>
          <w:right w:w="85" w:type="dxa"/>
        </w:tblCellMar>
        <w:tblLook w:val="04A0" w:firstRow="1" w:lastRow="0" w:firstColumn="1" w:lastColumn="0" w:noHBand="0" w:noVBand="1"/>
      </w:tblPr>
      <w:tblGrid>
        <w:gridCol w:w="2993"/>
        <w:gridCol w:w="770"/>
        <w:gridCol w:w="3118"/>
        <w:gridCol w:w="1843"/>
      </w:tblGrid>
      <w:tr w:rsidR="00E23608" w:rsidRPr="00E23608" w14:paraId="70A3D577" w14:textId="77777777" w:rsidTr="00654CC6">
        <w:trPr>
          <w:trHeight w:val="413"/>
          <w:jc w:val="center"/>
        </w:trPr>
        <w:tc>
          <w:tcPr>
            <w:tcW w:w="2993" w:type="dxa"/>
            <w:shd w:val="clear" w:color="auto" w:fill="D9D9D9" w:themeFill="background1" w:themeFillShade="D9"/>
            <w:vAlign w:val="center"/>
          </w:tcPr>
          <w:p w14:paraId="71B4FCF6" w14:textId="77777777" w:rsidR="00E23608" w:rsidRPr="00E23608" w:rsidRDefault="00E23608" w:rsidP="00E23608">
            <w:pPr>
              <w:jc w:val="center"/>
              <w:rPr>
                <w:rFonts w:ascii="Arial" w:hAnsi="Arial" w:cs="Arial"/>
                <w:bCs/>
                <w:color w:val="000000" w:themeColor="text1"/>
                <w:sz w:val="18"/>
                <w:szCs w:val="18"/>
                <w:lang w:eastAsia="es-CO"/>
              </w:rPr>
            </w:pPr>
            <w:r w:rsidRPr="00E23608">
              <w:rPr>
                <w:rFonts w:ascii="Arial" w:hAnsi="Arial" w:cs="Arial"/>
                <w:bCs/>
                <w:color w:val="000000" w:themeColor="text1"/>
                <w:sz w:val="18"/>
                <w:szCs w:val="18"/>
                <w:lang w:eastAsia="es-CO"/>
              </w:rPr>
              <w:t>Amparo</w:t>
            </w:r>
          </w:p>
        </w:tc>
        <w:tc>
          <w:tcPr>
            <w:tcW w:w="770" w:type="dxa"/>
            <w:shd w:val="clear" w:color="auto" w:fill="D9D9D9" w:themeFill="background1" w:themeFillShade="D9"/>
            <w:vAlign w:val="center"/>
          </w:tcPr>
          <w:p w14:paraId="47595963" w14:textId="77777777" w:rsidR="00E23608" w:rsidRPr="00E23608" w:rsidRDefault="00E23608" w:rsidP="00E23608">
            <w:pPr>
              <w:jc w:val="center"/>
              <w:rPr>
                <w:rFonts w:ascii="Arial" w:hAnsi="Arial" w:cs="Arial"/>
                <w:color w:val="000000" w:themeColor="text1"/>
                <w:sz w:val="18"/>
                <w:szCs w:val="18"/>
                <w:lang w:eastAsia="es-CO"/>
              </w:rPr>
            </w:pPr>
            <w:r w:rsidRPr="00E23608">
              <w:rPr>
                <w:rFonts w:ascii="Arial" w:hAnsi="Arial" w:cs="Arial"/>
                <w:bCs/>
                <w:color w:val="000000" w:themeColor="text1"/>
                <w:sz w:val="18"/>
                <w:szCs w:val="18"/>
                <w:lang w:eastAsia="es-CO"/>
              </w:rPr>
              <w:t>Si / No</w:t>
            </w:r>
          </w:p>
        </w:tc>
        <w:tc>
          <w:tcPr>
            <w:tcW w:w="3118" w:type="dxa"/>
            <w:shd w:val="clear" w:color="auto" w:fill="D9D9D9" w:themeFill="background1" w:themeFillShade="D9"/>
            <w:vAlign w:val="center"/>
          </w:tcPr>
          <w:p w14:paraId="49C6F3B8" w14:textId="77777777" w:rsidR="00E23608" w:rsidRPr="00E23608" w:rsidRDefault="00E23608" w:rsidP="00E23608">
            <w:pPr>
              <w:jc w:val="center"/>
              <w:rPr>
                <w:rFonts w:ascii="Arial" w:hAnsi="Arial" w:cs="Arial"/>
                <w:bCs/>
                <w:color w:val="000000" w:themeColor="text1"/>
                <w:sz w:val="18"/>
                <w:szCs w:val="18"/>
                <w:lang w:eastAsia="es-CO"/>
              </w:rPr>
            </w:pPr>
            <w:r w:rsidRPr="00E23608">
              <w:rPr>
                <w:rFonts w:ascii="Arial" w:hAnsi="Arial" w:cs="Arial"/>
                <w:bCs/>
                <w:color w:val="000000" w:themeColor="text1"/>
                <w:sz w:val="18"/>
                <w:szCs w:val="18"/>
                <w:lang w:eastAsia="es-CO"/>
              </w:rPr>
              <w:t>Vigencia</w:t>
            </w:r>
          </w:p>
        </w:tc>
        <w:tc>
          <w:tcPr>
            <w:tcW w:w="1843" w:type="dxa"/>
            <w:shd w:val="clear" w:color="auto" w:fill="D9D9D9" w:themeFill="background1" w:themeFillShade="D9"/>
            <w:vAlign w:val="center"/>
          </w:tcPr>
          <w:p w14:paraId="7080C1FE" w14:textId="77777777" w:rsidR="00E23608" w:rsidRPr="00E23608" w:rsidRDefault="00E23608" w:rsidP="00E23608">
            <w:pPr>
              <w:jc w:val="center"/>
              <w:rPr>
                <w:rFonts w:ascii="Arial" w:hAnsi="Arial" w:cs="Arial"/>
                <w:bCs/>
                <w:color w:val="000000" w:themeColor="text1"/>
                <w:sz w:val="18"/>
                <w:szCs w:val="18"/>
                <w:lang w:eastAsia="es-CO"/>
              </w:rPr>
            </w:pPr>
            <w:r w:rsidRPr="00E23608">
              <w:rPr>
                <w:rFonts w:ascii="Arial" w:hAnsi="Arial" w:cs="Arial"/>
                <w:bCs/>
                <w:color w:val="000000" w:themeColor="text1"/>
                <w:sz w:val="18"/>
                <w:szCs w:val="18"/>
                <w:lang w:eastAsia="es-CO"/>
              </w:rPr>
              <w:t>Valor asegurado</w:t>
            </w:r>
          </w:p>
          <w:p w14:paraId="169F198C" w14:textId="77777777" w:rsidR="00E23608" w:rsidRPr="00E23608" w:rsidRDefault="00E23608" w:rsidP="00E23608">
            <w:pPr>
              <w:jc w:val="center"/>
              <w:rPr>
                <w:rFonts w:ascii="Arial" w:hAnsi="Arial" w:cs="Arial"/>
                <w:bCs/>
                <w:color w:val="000000" w:themeColor="text1"/>
                <w:sz w:val="18"/>
                <w:szCs w:val="18"/>
                <w:lang w:eastAsia="es-CO"/>
              </w:rPr>
            </w:pPr>
            <w:r w:rsidRPr="00E23608">
              <w:rPr>
                <w:rFonts w:ascii="Arial" w:hAnsi="Arial" w:cs="Arial"/>
                <w:bCs/>
                <w:color w:val="000000" w:themeColor="text1"/>
                <w:sz w:val="18"/>
                <w:szCs w:val="18"/>
                <w:lang w:eastAsia="es-CO"/>
              </w:rPr>
              <w:t>(</w:t>
            </w:r>
            <w:r w:rsidRPr="00E23608">
              <w:rPr>
                <w:rFonts w:ascii="Arial" w:hAnsi="Arial" w:cs="Arial"/>
                <w:color w:val="000000" w:themeColor="text1"/>
                <w:sz w:val="18"/>
                <w:szCs w:val="18"/>
                <w:lang w:eastAsia="es-CO"/>
              </w:rPr>
              <w:t>% del contrato</w:t>
            </w:r>
            <w:r w:rsidRPr="00E23608">
              <w:rPr>
                <w:rFonts w:ascii="Arial" w:hAnsi="Arial" w:cs="Arial"/>
                <w:bCs/>
                <w:color w:val="000000" w:themeColor="text1"/>
                <w:sz w:val="18"/>
                <w:szCs w:val="18"/>
                <w:lang w:eastAsia="es-CO"/>
              </w:rPr>
              <w:t>)</w:t>
            </w:r>
          </w:p>
        </w:tc>
      </w:tr>
      <w:tr w:rsidR="00E23608" w:rsidRPr="00E23608" w14:paraId="738A32FA" w14:textId="77777777" w:rsidTr="00654CC6">
        <w:trPr>
          <w:trHeight w:val="413"/>
          <w:jc w:val="center"/>
        </w:trPr>
        <w:tc>
          <w:tcPr>
            <w:tcW w:w="2993" w:type="dxa"/>
            <w:vAlign w:val="center"/>
          </w:tcPr>
          <w:p w14:paraId="58412C9E" w14:textId="77777777" w:rsidR="00E23608" w:rsidRPr="00E23608" w:rsidRDefault="00E23608" w:rsidP="00654CC6">
            <w:pPr>
              <w:jc w:val="both"/>
              <w:rPr>
                <w:rFonts w:ascii="Arial" w:hAnsi="Arial" w:cs="Arial"/>
                <w:color w:val="000000" w:themeColor="text1"/>
                <w:sz w:val="18"/>
                <w:szCs w:val="18"/>
                <w:highlight w:val="green"/>
                <w:lang w:eastAsia="es-CO"/>
              </w:rPr>
            </w:pPr>
            <w:r w:rsidRPr="00E23608">
              <w:rPr>
                <w:rFonts w:ascii="Arial" w:hAnsi="Arial" w:cs="Arial"/>
                <w:color w:val="000000" w:themeColor="text1"/>
                <w:sz w:val="18"/>
                <w:szCs w:val="18"/>
                <w:lang w:eastAsia="es-CO"/>
              </w:rPr>
              <w:t>Cumplimiento de obligaciones contractuales</w:t>
            </w:r>
          </w:p>
        </w:tc>
        <w:tc>
          <w:tcPr>
            <w:tcW w:w="770" w:type="dxa"/>
            <w:vAlign w:val="center"/>
          </w:tcPr>
          <w:p w14:paraId="575982F0" w14:textId="77777777" w:rsidR="00E23608" w:rsidRPr="00E23608" w:rsidRDefault="00E23608" w:rsidP="00654CC6">
            <w:pPr>
              <w:jc w:val="center"/>
              <w:rPr>
                <w:rFonts w:ascii="Arial" w:hAnsi="Arial" w:cs="Arial"/>
                <w:color w:val="000000" w:themeColor="text1"/>
                <w:sz w:val="18"/>
                <w:szCs w:val="18"/>
                <w:lang w:eastAsia="es-CO"/>
              </w:rPr>
            </w:pPr>
            <w:r w:rsidRPr="00E23608">
              <w:rPr>
                <w:rFonts w:ascii="Arial" w:hAnsi="Arial" w:cs="Arial"/>
                <w:color w:val="000000" w:themeColor="text1"/>
                <w:sz w:val="18"/>
                <w:szCs w:val="18"/>
                <w:lang w:eastAsia="es-CO"/>
              </w:rPr>
              <w:t>SI</w:t>
            </w:r>
          </w:p>
        </w:tc>
        <w:tc>
          <w:tcPr>
            <w:tcW w:w="3118" w:type="dxa"/>
            <w:vAlign w:val="center"/>
          </w:tcPr>
          <w:p w14:paraId="20010D5A" w14:textId="77777777" w:rsidR="00E23608" w:rsidRPr="00E23608" w:rsidRDefault="00E23608" w:rsidP="00654CC6">
            <w:pPr>
              <w:jc w:val="both"/>
              <w:rPr>
                <w:rFonts w:ascii="Arial" w:hAnsi="Arial" w:cs="Arial"/>
                <w:color w:val="000000" w:themeColor="text1"/>
                <w:sz w:val="18"/>
                <w:szCs w:val="18"/>
                <w:lang w:eastAsia="es-CO"/>
              </w:rPr>
            </w:pPr>
            <w:r w:rsidRPr="00E23608">
              <w:rPr>
                <w:rFonts w:ascii="Arial" w:hAnsi="Arial" w:cs="Arial"/>
                <w:color w:val="000000" w:themeColor="text1"/>
                <w:sz w:val="18"/>
                <w:szCs w:val="18"/>
                <w:lang w:eastAsia="es-CO"/>
              </w:rPr>
              <w:t>El plazo de ejecución del contrato y seis (6) meses más</w:t>
            </w:r>
          </w:p>
        </w:tc>
        <w:tc>
          <w:tcPr>
            <w:tcW w:w="1843" w:type="dxa"/>
          </w:tcPr>
          <w:p w14:paraId="6369F934" w14:textId="77777777" w:rsidR="00E23608" w:rsidRPr="00E23608" w:rsidRDefault="00E23608" w:rsidP="00654CC6">
            <w:pPr>
              <w:jc w:val="center"/>
              <w:rPr>
                <w:rFonts w:ascii="Arial" w:hAnsi="Arial" w:cs="Arial"/>
                <w:color w:val="000000" w:themeColor="text1"/>
                <w:sz w:val="18"/>
                <w:szCs w:val="18"/>
                <w:lang w:eastAsia="es-CO"/>
              </w:rPr>
            </w:pPr>
            <w:r w:rsidRPr="00E23608">
              <w:rPr>
                <w:rFonts w:ascii="Arial" w:hAnsi="Arial" w:cs="Arial"/>
                <w:color w:val="000000" w:themeColor="text1"/>
                <w:sz w:val="18"/>
                <w:szCs w:val="18"/>
                <w:lang w:eastAsia="es-CO"/>
              </w:rPr>
              <w:t>10</w:t>
            </w:r>
          </w:p>
        </w:tc>
      </w:tr>
      <w:tr w:rsidR="00E23608" w:rsidRPr="00E23608" w14:paraId="091F7ECD" w14:textId="77777777" w:rsidTr="00654CC6">
        <w:trPr>
          <w:trHeight w:val="567"/>
          <w:jc w:val="center"/>
        </w:trPr>
        <w:tc>
          <w:tcPr>
            <w:tcW w:w="2993" w:type="dxa"/>
            <w:vAlign w:val="center"/>
          </w:tcPr>
          <w:p w14:paraId="17D2A107" w14:textId="77777777" w:rsidR="00E23608" w:rsidRPr="00E23608" w:rsidRDefault="00E23608" w:rsidP="00654CC6">
            <w:pPr>
              <w:jc w:val="both"/>
              <w:rPr>
                <w:rFonts w:ascii="Arial" w:hAnsi="Arial" w:cs="Arial"/>
                <w:color w:val="000000" w:themeColor="text1"/>
                <w:sz w:val="18"/>
                <w:szCs w:val="18"/>
                <w:highlight w:val="green"/>
                <w:lang w:eastAsia="es-CO"/>
              </w:rPr>
            </w:pPr>
            <w:r w:rsidRPr="00E23608">
              <w:rPr>
                <w:rFonts w:ascii="Arial" w:hAnsi="Arial" w:cs="Arial"/>
                <w:color w:val="000000" w:themeColor="text1"/>
                <w:sz w:val="18"/>
                <w:szCs w:val="18"/>
                <w:lang w:eastAsia="es-CO"/>
              </w:rPr>
              <w:t>Calidad y correcto funcionamiento de los bienes</w:t>
            </w:r>
          </w:p>
        </w:tc>
        <w:tc>
          <w:tcPr>
            <w:tcW w:w="770" w:type="dxa"/>
            <w:vAlign w:val="center"/>
          </w:tcPr>
          <w:p w14:paraId="067834EE" w14:textId="77777777" w:rsidR="00E23608" w:rsidRPr="00E23608" w:rsidRDefault="00E23608" w:rsidP="00654CC6">
            <w:pPr>
              <w:jc w:val="center"/>
              <w:rPr>
                <w:rFonts w:ascii="Arial" w:hAnsi="Arial" w:cs="Arial"/>
                <w:color w:val="000000" w:themeColor="text1"/>
                <w:sz w:val="18"/>
                <w:szCs w:val="18"/>
                <w:lang w:eastAsia="es-CO"/>
              </w:rPr>
            </w:pPr>
            <w:r w:rsidRPr="00E23608">
              <w:rPr>
                <w:rFonts w:ascii="Arial" w:hAnsi="Arial" w:cs="Arial"/>
                <w:color w:val="000000" w:themeColor="text1"/>
                <w:sz w:val="18"/>
                <w:szCs w:val="18"/>
                <w:lang w:eastAsia="es-CO"/>
              </w:rPr>
              <w:t>SI</w:t>
            </w:r>
          </w:p>
        </w:tc>
        <w:tc>
          <w:tcPr>
            <w:tcW w:w="3118" w:type="dxa"/>
            <w:vAlign w:val="center"/>
          </w:tcPr>
          <w:p w14:paraId="4C934874" w14:textId="77777777" w:rsidR="00E23608" w:rsidRPr="00E23608" w:rsidRDefault="00E23608" w:rsidP="00654CC6">
            <w:pPr>
              <w:jc w:val="both"/>
              <w:rPr>
                <w:rFonts w:ascii="Arial" w:hAnsi="Arial" w:cs="Arial"/>
                <w:color w:val="000000" w:themeColor="text1"/>
                <w:sz w:val="18"/>
                <w:szCs w:val="18"/>
                <w:lang w:eastAsia="es-CO"/>
              </w:rPr>
            </w:pPr>
            <w:r w:rsidRPr="00E23608">
              <w:rPr>
                <w:rFonts w:ascii="Arial" w:hAnsi="Arial" w:cs="Arial"/>
                <w:color w:val="000000" w:themeColor="text1"/>
                <w:sz w:val="18"/>
                <w:szCs w:val="18"/>
                <w:lang w:eastAsia="es-CO"/>
              </w:rPr>
              <w:t>El plazo de ejecución del contrato y seis (6) meses más</w:t>
            </w:r>
          </w:p>
        </w:tc>
        <w:tc>
          <w:tcPr>
            <w:tcW w:w="1843" w:type="dxa"/>
          </w:tcPr>
          <w:p w14:paraId="494F7A9C" w14:textId="77777777" w:rsidR="00E23608" w:rsidRPr="00E23608" w:rsidRDefault="00E23608" w:rsidP="00654CC6">
            <w:pPr>
              <w:jc w:val="center"/>
              <w:rPr>
                <w:rFonts w:ascii="Arial" w:hAnsi="Arial" w:cs="Arial"/>
                <w:color w:val="000000" w:themeColor="text1"/>
                <w:sz w:val="18"/>
                <w:szCs w:val="18"/>
                <w:lang w:eastAsia="es-CO"/>
              </w:rPr>
            </w:pPr>
            <w:r w:rsidRPr="00E23608">
              <w:rPr>
                <w:rFonts w:ascii="Arial" w:hAnsi="Arial" w:cs="Arial"/>
                <w:color w:val="000000" w:themeColor="text1"/>
                <w:sz w:val="18"/>
                <w:szCs w:val="18"/>
                <w:lang w:eastAsia="es-CO"/>
              </w:rPr>
              <w:t>10</w:t>
            </w:r>
          </w:p>
        </w:tc>
      </w:tr>
    </w:tbl>
    <w:p w14:paraId="7EAA98CD" w14:textId="77777777" w:rsidR="00E23608" w:rsidRPr="00E23608" w:rsidRDefault="00E23608" w:rsidP="00E23608">
      <w:pPr>
        <w:ind w:right="107"/>
        <w:jc w:val="both"/>
        <w:rPr>
          <w:rFonts w:ascii="Arial" w:hAnsi="Arial" w:cs="Arial"/>
          <w:bCs/>
          <w:iCs/>
          <w:color w:val="000000" w:themeColor="text1"/>
          <w:sz w:val="22"/>
          <w:szCs w:val="22"/>
          <w:lang w:val="es-ES_tradnl" w:eastAsia="en-US"/>
        </w:rPr>
      </w:pPr>
    </w:p>
    <w:p w14:paraId="49C342F9" w14:textId="77777777" w:rsidR="00E23608" w:rsidRDefault="00E23608" w:rsidP="00E23608">
      <w:pPr>
        <w:pStyle w:val="TableParagraph"/>
        <w:ind w:left="22" w:right="46"/>
        <w:jc w:val="both"/>
      </w:pPr>
      <w:r>
        <w:t>Así mismo, se debe incluir en el Contrato a celebrar, una CLÁUSULA DE INDEMNIDAD conforme a la cual,</w:t>
      </w:r>
      <w:r>
        <w:rPr>
          <w:spacing w:val="1"/>
        </w:rPr>
        <w:t xml:space="preserve"> </w:t>
      </w:r>
      <w:r>
        <w:t>será obligación del contratista mantener a la Entidad indemne de cualquier reclamación proveniente de</w:t>
      </w:r>
      <w:r>
        <w:rPr>
          <w:spacing w:val="1"/>
        </w:rPr>
        <w:t xml:space="preserve"> </w:t>
      </w:r>
      <w:r>
        <w:t>terceros que tenga como causa las actuaciones del contratista, derivadas de la ejecución del respectivo</w:t>
      </w:r>
      <w:r>
        <w:rPr>
          <w:spacing w:val="1"/>
        </w:rPr>
        <w:t xml:space="preserve"> </w:t>
      </w:r>
      <w:r>
        <w:t>contrato.</w:t>
      </w:r>
    </w:p>
    <w:p w14:paraId="62ED37B3" w14:textId="77777777" w:rsidR="00E23608" w:rsidRDefault="00E23608" w:rsidP="00E23608">
      <w:pPr>
        <w:pStyle w:val="TableParagraph"/>
        <w:spacing w:before="4"/>
      </w:pPr>
    </w:p>
    <w:p w14:paraId="417EC7C9" w14:textId="77777777" w:rsidR="00E23608" w:rsidRDefault="00E23608" w:rsidP="00E23608">
      <w:pPr>
        <w:pStyle w:val="TableParagraph"/>
        <w:ind w:left="22" w:right="48"/>
        <w:jc w:val="both"/>
      </w:pPr>
      <w:r>
        <w:t xml:space="preserve">El monto de la garantía se repondrá por el contratista, cada vez que, debido a las multas </w:t>
      </w:r>
      <w:r>
        <w:lastRenderedPageBreak/>
        <w:t>impuestas, el valor</w:t>
      </w:r>
      <w:r>
        <w:rPr>
          <w:spacing w:val="1"/>
        </w:rPr>
        <w:t xml:space="preserve"> </w:t>
      </w:r>
      <w:r>
        <w:t>asegurado</w:t>
      </w:r>
      <w:r>
        <w:rPr>
          <w:spacing w:val="-1"/>
        </w:rPr>
        <w:t xml:space="preserve"> </w:t>
      </w:r>
      <w:r>
        <w:t>se disminuyere o agotare.</w:t>
      </w:r>
    </w:p>
    <w:p w14:paraId="37C34A3A" w14:textId="77777777" w:rsidR="00E23608" w:rsidRDefault="00E23608" w:rsidP="00E23608">
      <w:pPr>
        <w:pStyle w:val="TableParagraph"/>
        <w:spacing w:before="8"/>
        <w:rPr>
          <w:sz w:val="21"/>
        </w:rPr>
      </w:pPr>
    </w:p>
    <w:p w14:paraId="0BDE33CF" w14:textId="5E82B7F2" w:rsidR="0071568E" w:rsidRDefault="00E23608" w:rsidP="006E3B0D">
      <w:pPr>
        <w:ind w:right="107"/>
        <w:jc w:val="both"/>
        <w:rPr>
          <w:rFonts w:ascii="Arial" w:hAnsi="Arial" w:cs="Arial"/>
          <w:bCs/>
          <w:iCs/>
          <w:color w:val="000000" w:themeColor="text1"/>
          <w:sz w:val="22"/>
          <w:szCs w:val="22"/>
          <w:lang w:val="es-ES_tradnl" w:eastAsia="en-US"/>
        </w:rPr>
      </w:pPr>
      <w:r w:rsidRPr="00E23608">
        <w:rPr>
          <w:rFonts w:ascii="Arial" w:hAnsi="Arial" w:cs="Arial"/>
          <w:sz w:val="22"/>
        </w:rPr>
        <w:t>Así mismo, el Contratista se compromete a ajustar la vigencia de los amparos de la garantía a partir del inicio</w:t>
      </w:r>
      <w:r w:rsidRPr="00E23608">
        <w:rPr>
          <w:rFonts w:ascii="Arial" w:hAnsi="Arial" w:cs="Arial"/>
          <w:spacing w:val="-59"/>
          <w:sz w:val="22"/>
        </w:rPr>
        <w:t xml:space="preserve"> </w:t>
      </w:r>
      <w:r w:rsidRPr="00E23608">
        <w:rPr>
          <w:rFonts w:ascii="Arial" w:hAnsi="Arial" w:cs="Arial"/>
          <w:sz w:val="22"/>
        </w:rPr>
        <w:t>del</w:t>
      </w:r>
      <w:r w:rsidRPr="00E23608">
        <w:rPr>
          <w:rFonts w:ascii="Arial" w:hAnsi="Arial" w:cs="Arial"/>
          <w:spacing w:val="-11"/>
          <w:sz w:val="22"/>
        </w:rPr>
        <w:t xml:space="preserve"> </w:t>
      </w:r>
      <w:r w:rsidRPr="00E23608">
        <w:rPr>
          <w:rFonts w:ascii="Arial" w:hAnsi="Arial" w:cs="Arial"/>
          <w:sz w:val="22"/>
        </w:rPr>
        <w:t>contrato,</w:t>
      </w:r>
      <w:r w:rsidRPr="00E23608">
        <w:rPr>
          <w:rFonts w:ascii="Arial" w:hAnsi="Arial" w:cs="Arial"/>
          <w:spacing w:val="-9"/>
          <w:sz w:val="22"/>
        </w:rPr>
        <w:t xml:space="preserve"> </w:t>
      </w:r>
      <w:r w:rsidRPr="00E23608">
        <w:rPr>
          <w:rFonts w:ascii="Arial" w:hAnsi="Arial" w:cs="Arial"/>
          <w:sz w:val="22"/>
        </w:rPr>
        <w:t>así</w:t>
      </w:r>
      <w:r w:rsidRPr="00E23608">
        <w:rPr>
          <w:rFonts w:ascii="Arial" w:hAnsi="Arial" w:cs="Arial"/>
          <w:spacing w:val="-8"/>
          <w:sz w:val="22"/>
        </w:rPr>
        <w:t xml:space="preserve"> </w:t>
      </w:r>
      <w:r w:rsidRPr="00E23608">
        <w:rPr>
          <w:rFonts w:ascii="Arial" w:hAnsi="Arial" w:cs="Arial"/>
          <w:sz w:val="22"/>
        </w:rPr>
        <w:t>como</w:t>
      </w:r>
      <w:r w:rsidRPr="00E23608">
        <w:rPr>
          <w:rFonts w:ascii="Arial" w:hAnsi="Arial" w:cs="Arial"/>
          <w:spacing w:val="-9"/>
          <w:sz w:val="22"/>
        </w:rPr>
        <w:t xml:space="preserve"> </w:t>
      </w:r>
      <w:r w:rsidRPr="00E23608">
        <w:rPr>
          <w:rFonts w:ascii="Arial" w:hAnsi="Arial" w:cs="Arial"/>
          <w:sz w:val="22"/>
        </w:rPr>
        <w:t>ampliar</w:t>
      </w:r>
      <w:r w:rsidRPr="00E23608">
        <w:rPr>
          <w:rFonts w:ascii="Arial" w:hAnsi="Arial" w:cs="Arial"/>
          <w:spacing w:val="-8"/>
          <w:sz w:val="22"/>
        </w:rPr>
        <w:t xml:space="preserve"> </w:t>
      </w:r>
      <w:r w:rsidRPr="00E23608">
        <w:rPr>
          <w:rFonts w:ascii="Arial" w:hAnsi="Arial" w:cs="Arial"/>
          <w:sz w:val="22"/>
        </w:rPr>
        <w:t>el</w:t>
      </w:r>
      <w:r w:rsidRPr="00E23608">
        <w:rPr>
          <w:rFonts w:ascii="Arial" w:hAnsi="Arial" w:cs="Arial"/>
          <w:spacing w:val="-11"/>
          <w:sz w:val="22"/>
        </w:rPr>
        <w:t xml:space="preserve"> </w:t>
      </w:r>
      <w:r w:rsidRPr="00E23608">
        <w:rPr>
          <w:rFonts w:ascii="Arial" w:hAnsi="Arial" w:cs="Arial"/>
          <w:sz w:val="22"/>
        </w:rPr>
        <w:t>valor</w:t>
      </w:r>
      <w:r w:rsidRPr="00E23608">
        <w:rPr>
          <w:rFonts w:ascii="Arial" w:hAnsi="Arial" w:cs="Arial"/>
          <w:spacing w:val="-8"/>
          <w:sz w:val="22"/>
        </w:rPr>
        <w:t xml:space="preserve"> </w:t>
      </w:r>
      <w:r w:rsidRPr="00E23608">
        <w:rPr>
          <w:rFonts w:ascii="Arial" w:hAnsi="Arial" w:cs="Arial"/>
          <w:sz w:val="22"/>
        </w:rPr>
        <w:t>de</w:t>
      </w:r>
      <w:r w:rsidRPr="00E23608">
        <w:rPr>
          <w:rFonts w:ascii="Arial" w:hAnsi="Arial" w:cs="Arial"/>
          <w:spacing w:val="-5"/>
          <w:sz w:val="22"/>
        </w:rPr>
        <w:t xml:space="preserve"> </w:t>
      </w:r>
      <w:r w:rsidRPr="00E23608">
        <w:rPr>
          <w:rFonts w:ascii="Arial" w:hAnsi="Arial" w:cs="Arial"/>
          <w:sz w:val="22"/>
        </w:rPr>
        <w:t>la</w:t>
      </w:r>
      <w:r w:rsidRPr="00E23608">
        <w:rPr>
          <w:rFonts w:ascii="Arial" w:hAnsi="Arial" w:cs="Arial"/>
          <w:spacing w:val="-9"/>
          <w:sz w:val="22"/>
        </w:rPr>
        <w:t xml:space="preserve"> </w:t>
      </w:r>
      <w:r w:rsidRPr="00E23608">
        <w:rPr>
          <w:rFonts w:ascii="Arial" w:hAnsi="Arial" w:cs="Arial"/>
          <w:sz w:val="22"/>
        </w:rPr>
        <w:t>misma</w:t>
      </w:r>
      <w:r w:rsidRPr="00E23608">
        <w:rPr>
          <w:rFonts w:ascii="Arial" w:hAnsi="Arial" w:cs="Arial"/>
          <w:spacing w:val="-5"/>
          <w:sz w:val="22"/>
        </w:rPr>
        <w:t xml:space="preserve"> </w:t>
      </w:r>
      <w:r w:rsidRPr="00E23608">
        <w:rPr>
          <w:rFonts w:ascii="Arial" w:hAnsi="Arial" w:cs="Arial"/>
          <w:sz w:val="22"/>
        </w:rPr>
        <w:t>y/o</w:t>
      </w:r>
      <w:r w:rsidRPr="00E23608">
        <w:rPr>
          <w:rFonts w:ascii="Arial" w:hAnsi="Arial" w:cs="Arial"/>
          <w:spacing w:val="-5"/>
          <w:sz w:val="22"/>
        </w:rPr>
        <w:t xml:space="preserve"> </w:t>
      </w:r>
      <w:r w:rsidRPr="00E23608">
        <w:rPr>
          <w:rFonts w:ascii="Arial" w:hAnsi="Arial" w:cs="Arial"/>
          <w:sz w:val="22"/>
        </w:rPr>
        <w:t>su</w:t>
      </w:r>
      <w:r w:rsidRPr="00E23608">
        <w:rPr>
          <w:rFonts w:ascii="Arial" w:hAnsi="Arial" w:cs="Arial"/>
          <w:spacing w:val="-13"/>
          <w:sz w:val="22"/>
        </w:rPr>
        <w:t xml:space="preserve"> </w:t>
      </w:r>
      <w:r w:rsidRPr="00E23608">
        <w:rPr>
          <w:rFonts w:ascii="Arial" w:hAnsi="Arial" w:cs="Arial"/>
          <w:sz w:val="22"/>
        </w:rPr>
        <w:t>vigencia,</w:t>
      </w:r>
      <w:r w:rsidRPr="00E23608">
        <w:rPr>
          <w:rFonts w:ascii="Arial" w:hAnsi="Arial" w:cs="Arial"/>
          <w:spacing w:val="-8"/>
          <w:sz w:val="22"/>
        </w:rPr>
        <w:t xml:space="preserve"> </w:t>
      </w:r>
      <w:r w:rsidRPr="00E23608">
        <w:rPr>
          <w:rFonts w:ascii="Arial" w:hAnsi="Arial" w:cs="Arial"/>
          <w:sz w:val="22"/>
        </w:rPr>
        <w:t>en</w:t>
      </w:r>
      <w:r w:rsidRPr="00E23608">
        <w:rPr>
          <w:rFonts w:ascii="Arial" w:hAnsi="Arial" w:cs="Arial"/>
          <w:spacing w:val="-5"/>
          <w:sz w:val="22"/>
        </w:rPr>
        <w:t xml:space="preserve"> </w:t>
      </w:r>
      <w:r w:rsidRPr="00E23608">
        <w:rPr>
          <w:rFonts w:ascii="Arial" w:hAnsi="Arial" w:cs="Arial"/>
          <w:sz w:val="22"/>
        </w:rPr>
        <w:t>el</w:t>
      </w:r>
      <w:r w:rsidRPr="00E23608">
        <w:rPr>
          <w:rFonts w:ascii="Arial" w:hAnsi="Arial" w:cs="Arial"/>
          <w:spacing w:val="-11"/>
          <w:sz w:val="22"/>
        </w:rPr>
        <w:t xml:space="preserve"> </w:t>
      </w:r>
      <w:r w:rsidRPr="00E23608">
        <w:rPr>
          <w:rFonts w:ascii="Arial" w:hAnsi="Arial" w:cs="Arial"/>
          <w:sz w:val="22"/>
        </w:rPr>
        <w:t>evento</w:t>
      </w:r>
      <w:r w:rsidRPr="00E23608">
        <w:rPr>
          <w:rFonts w:ascii="Arial" w:hAnsi="Arial" w:cs="Arial"/>
          <w:spacing w:val="-5"/>
          <w:sz w:val="22"/>
        </w:rPr>
        <w:t xml:space="preserve"> </w:t>
      </w:r>
      <w:r w:rsidRPr="00E23608">
        <w:rPr>
          <w:rFonts w:ascii="Arial" w:hAnsi="Arial" w:cs="Arial"/>
          <w:sz w:val="22"/>
        </w:rPr>
        <w:t>en</w:t>
      </w:r>
      <w:r w:rsidRPr="00E23608">
        <w:rPr>
          <w:rFonts w:ascii="Arial" w:hAnsi="Arial" w:cs="Arial"/>
          <w:spacing w:val="-9"/>
          <w:sz w:val="22"/>
        </w:rPr>
        <w:t xml:space="preserve"> </w:t>
      </w:r>
      <w:r w:rsidRPr="00E23608">
        <w:rPr>
          <w:rFonts w:ascii="Arial" w:hAnsi="Arial" w:cs="Arial"/>
          <w:sz w:val="22"/>
        </w:rPr>
        <w:t>que</w:t>
      </w:r>
      <w:r w:rsidRPr="00E23608">
        <w:rPr>
          <w:rFonts w:ascii="Arial" w:hAnsi="Arial" w:cs="Arial"/>
          <w:spacing w:val="-9"/>
          <w:sz w:val="22"/>
        </w:rPr>
        <w:t xml:space="preserve"> </w:t>
      </w:r>
      <w:r w:rsidRPr="00E23608">
        <w:rPr>
          <w:rFonts w:ascii="Arial" w:hAnsi="Arial" w:cs="Arial"/>
          <w:sz w:val="22"/>
        </w:rPr>
        <w:t>se</w:t>
      </w:r>
      <w:r w:rsidRPr="00E23608">
        <w:rPr>
          <w:rFonts w:ascii="Arial" w:hAnsi="Arial" w:cs="Arial"/>
          <w:spacing w:val="-9"/>
          <w:sz w:val="22"/>
        </w:rPr>
        <w:t xml:space="preserve"> </w:t>
      </w:r>
      <w:r w:rsidRPr="00E23608">
        <w:rPr>
          <w:rFonts w:ascii="Arial" w:hAnsi="Arial" w:cs="Arial"/>
          <w:sz w:val="22"/>
        </w:rPr>
        <w:t>aumente</w:t>
      </w:r>
      <w:r w:rsidRPr="00E23608">
        <w:rPr>
          <w:rFonts w:ascii="Arial" w:hAnsi="Arial" w:cs="Arial"/>
          <w:spacing w:val="-9"/>
          <w:sz w:val="22"/>
        </w:rPr>
        <w:t xml:space="preserve"> </w:t>
      </w:r>
      <w:r w:rsidRPr="00E23608">
        <w:rPr>
          <w:rFonts w:ascii="Arial" w:hAnsi="Arial" w:cs="Arial"/>
          <w:sz w:val="22"/>
        </w:rPr>
        <w:t>o</w:t>
      </w:r>
      <w:r w:rsidRPr="00E23608">
        <w:rPr>
          <w:rFonts w:ascii="Arial" w:hAnsi="Arial" w:cs="Arial"/>
          <w:spacing w:val="-5"/>
          <w:sz w:val="22"/>
        </w:rPr>
        <w:t xml:space="preserve"> </w:t>
      </w:r>
      <w:r w:rsidRPr="00E23608">
        <w:rPr>
          <w:rFonts w:ascii="Arial" w:hAnsi="Arial" w:cs="Arial"/>
          <w:sz w:val="22"/>
        </w:rPr>
        <w:t>adicione</w:t>
      </w:r>
      <w:r w:rsidRPr="00E23608">
        <w:rPr>
          <w:rFonts w:ascii="Arial" w:hAnsi="Arial" w:cs="Arial"/>
          <w:spacing w:val="-59"/>
          <w:sz w:val="22"/>
        </w:rPr>
        <w:t xml:space="preserve"> </w:t>
      </w:r>
      <w:r w:rsidRPr="00E23608">
        <w:rPr>
          <w:rFonts w:ascii="Arial" w:hAnsi="Arial" w:cs="Arial"/>
          <w:sz w:val="22"/>
        </w:rPr>
        <w:t>el valor del contrato o se prorrogue su término, en virtud de lo consagrado en el inciso 2 del artículo</w:t>
      </w:r>
      <w:r w:rsidRPr="00E23608">
        <w:rPr>
          <w:rFonts w:ascii="Arial" w:hAnsi="Arial" w:cs="Arial"/>
          <w:spacing w:val="1"/>
          <w:sz w:val="22"/>
        </w:rPr>
        <w:t xml:space="preserve"> </w:t>
      </w:r>
      <w:r w:rsidRPr="00E23608">
        <w:rPr>
          <w:rFonts w:ascii="Arial" w:hAnsi="Arial" w:cs="Arial"/>
          <w:sz w:val="22"/>
        </w:rPr>
        <w:t>2.2.1.2.3.1.18 del Decreto 1082 de 2015, para lo cual cuenta con un término de tres (3) días para que allegue</w:t>
      </w:r>
      <w:r w:rsidRPr="00E23608">
        <w:rPr>
          <w:rFonts w:ascii="Arial" w:hAnsi="Arial" w:cs="Arial"/>
          <w:spacing w:val="-59"/>
          <w:sz w:val="22"/>
        </w:rPr>
        <w:t xml:space="preserve"> </w:t>
      </w:r>
      <w:r w:rsidRPr="00E23608">
        <w:rPr>
          <w:rFonts w:ascii="Arial" w:hAnsi="Arial" w:cs="Arial"/>
          <w:spacing w:val="-1"/>
          <w:sz w:val="22"/>
        </w:rPr>
        <w:t>el</w:t>
      </w:r>
      <w:r w:rsidRPr="00E23608">
        <w:rPr>
          <w:rFonts w:ascii="Arial" w:hAnsi="Arial" w:cs="Arial"/>
          <w:spacing w:val="-15"/>
          <w:sz w:val="22"/>
        </w:rPr>
        <w:t xml:space="preserve"> </w:t>
      </w:r>
      <w:r w:rsidRPr="00E23608">
        <w:rPr>
          <w:rFonts w:ascii="Arial" w:hAnsi="Arial" w:cs="Arial"/>
          <w:spacing w:val="-1"/>
          <w:sz w:val="22"/>
        </w:rPr>
        <w:t>correspondiente</w:t>
      </w:r>
      <w:r w:rsidRPr="00E23608">
        <w:rPr>
          <w:rFonts w:ascii="Arial" w:hAnsi="Arial" w:cs="Arial"/>
          <w:spacing w:val="-11"/>
          <w:sz w:val="22"/>
        </w:rPr>
        <w:t xml:space="preserve"> </w:t>
      </w:r>
      <w:r w:rsidRPr="00E23608">
        <w:rPr>
          <w:rFonts w:ascii="Arial" w:hAnsi="Arial" w:cs="Arial"/>
          <w:spacing w:val="-1"/>
          <w:sz w:val="22"/>
        </w:rPr>
        <w:t>certificado</w:t>
      </w:r>
      <w:r w:rsidRPr="00E23608">
        <w:rPr>
          <w:rFonts w:ascii="Arial" w:hAnsi="Arial" w:cs="Arial"/>
          <w:spacing w:val="-12"/>
          <w:sz w:val="22"/>
        </w:rPr>
        <w:t xml:space="preserve"> </w:t>
      </w:r>
      <w:r w:rsidRPr="00E23608">
        <w:rPr>
          <w:rFonts w:ascii="Arial" w:hAnsi="Arial" w:cs="Arial"/>
          <w:spacing w:val="-1"/>
          <w:sz w:val="22"/>
        </w:rPr>
        <w:t>modificatorio</w:t>
      </w:r>
      <w:r w:rsidRPr="00E23608">
        <w:rPr>
          <w:rFonts w:ascii="Arial" w:hAnsi="Arial" w:cs="Arial"/>
          <w:spacing w:val="-7"/>
          <w:sz w:val="22"/>
        </w:rPr>
        <w:t xml:space="preserve"> </w:t>
      </w:r>
      <w:r w:rsidRPr="00E23608">
        <w:rPr>
          <w:rFonts w:ascii="Arial" w:hAnsi="Arial" w:cs="Arial"/>
          <w:sz w:val="22"/>
        </w:rPr>
        <w:t>de</w:t>
      </w:r>
      <w:r w:rsidRPr="00E23608">
        <w:rPr>
          <w:rFonts w:ascii="Arial" w:hAnsi="Arial" w:cs="Arial"/>
          <w:spacing w:val="-12"/>
          <w:sz w:val="22"/>
        </w:rPr>
        <w:t xml:space="preserve"> </w:t>
      </w:r>
      <w:r w:rsidRPr="00E23608">
        <w:rPr>
          <w:rFonts w:ascii="Arial" w:hAnsi="Arial" w:cs="Arial"/>
          <w:sz w:val="22"/>
        </w:rPr>
        <w:t>la</w:t>
      </w:r>
      <w:r w:rsidRPr="00E23608">
        <w:rPr>
          <w:rFonts w:ascii="Arial" w:hAnsi="Arial" w:cs="Arial"/>
          <w:spacing w:val="-7"/>
          <w:sz w:val="22"/>
        </w:rPr>
        <w:t xml:space="preserve"> </w:t>
      </w:r>
      <w:r w:rsidRPr="00E23608">
        <w:rPr>
          <w:rFonts w:ascii="Arial" w:hAnsi="Arial" w:cs="Arial"/>
          <w:sz w:val="22"/>
        </w:rPr>
        <w:t>póliza</w:t>
      </w:r>
      <w:r w:rsidRPr="00E23608">
        <w:rPr>
          <w:rFonts w:ascii="Arial" w:hAnsi="Arial" w:cs="Arial"/>
          <w:spacing w:val="-8"/>
          <w:sz w:val="22"/>
        </w:rPr>
        <w:t xml:space="preserve"> </w:t>
      </w:r>
      <w:r w:rsidRPr="00E23608">
        <w:rPr>
          <w:rFonts w:ascii="Arial" w:hAnsi="Arial" w:cs="Arial"/>
          <w:sz w:val="22"/>
        </w:rPr>
        <w:t>en</w:t>
      </w:r>
      <w:r w:rsidRPr="00E23608">
        <w:rPr>
          <w:rFonts w:ascii="Arial" w:hAnsi="Arial" w:cs="Arial"/>
          <w:spacing w:val="-7"/>
          <w:sz w:val="22"/>
        </w:rPr>
        <w:t xml:space="preserve"> </w:t>
      </w:r>
      <w:r w:rsidRPr="00E23608">
        <w:rPr>
          <w:rFonts w:ascii="Arial" w:hAnsi="Arial" w:cs="Arial"/>
          <w:sz w:val="22"/>
        </w:rPr>
        <w:t>el</w:t>
      </w:r>
      <w:r w:rsidRPr="00E23608">
        <w:rPr>
          <w:rFonts w:ascii="Arial" w:hAnsi="Arial" w:cs="Arial"/>
          <w:spacing w:val="-15"/>
          <w:sz w:val="22"/>
        </w:rPr>
        <w:t xml:space="preserve"> </w:t>
      </w:r>
      <w:r w:rsidRPr="00E23608">
        <w:rPr>
          <w:rFonts w:ascii="Arial" w:hAnsi="Arial" w:cs="Arial"/>
          <w:sz w:val="22"/>
        </w:rPr>
        <w:t>Área</w:t>
      </w:r>
      <w:r w:rsidRPr="00E23608">
        <w:rPr>
          <w:rFonts w:ascii="Arial" w:hAnsi="Arial" w:cs="Arial"/>
          <w:spacing w:val="-7"/>
          <w:sz w:val="22"/>
        </w:rPr>
        <w:t xml:space="preserve"> </w:t>
      </w:r>
      <w:r w:rsidRPr="00E23608">
        <w:rPr>
          <w:rFonts w:ascii="Arial" w:hAnsi="Arial" w:cs="Arial"/>
          <w:sz w:val="22"/>
        </w:rPr>
        <w:t>de</w:t>
      </w:r>
      <w:r w:rsidRPr="00E23608">
        <w:rPr>
          <w:rFonts w:ascii="Arial" w:hAnsi="Arial" w:cs="Arial"/>
          <w:spacing w:val="-12"/>
          <w:sz w:val="22"/>
        </w:rPr>
        <w:t xml:space="preserve"> </w:t>
      </w:r>
      <w:r w:rsidRPr="00E23608">
        <w:rPr>
          <w:rFonts w:ascii="Arial" w:hAnsi="Arial" w:cs="Arial"/>
          <w:sz w:val="22"/>
        </w:rPr>
        <w:t>Asistencia</w:t>
      </w:r>
      <w:r w:rsidRPr="00E23608">
        <w:rPr>
          <w:rFonts w:ascii="Arial" w:hAnsi="Arial" w:cs="Arial"/>
          <w:spacing w:val="-7"/>
          <w:sz w:val="22"/>
        </w:rPr>
        <w:t xml:space="preserve"> </w:t>
      </w:r>
      <w:r w:rsidRPr="00E23608">
        <w:rPr>
          <w:rFonts w:ascii="Arial" w:hAnsi="Arial" w:cs="Arial"/>
          <w:sz w:val="22"/>
        </w:rPr>
        <w:t>legal</w:t>
      </w:r>
      <w:r w:rsidRPr="00E23608">
        <w:rPr>
          <w:rFonts w:ascii="Arial" w:hAnsi="Arial" w:cs="Arial"/>
          <w:spacing w:val="-15"/>
          <w:sz w:val="22"/>
        </w:rPr>
        <w:t xml:space="preserve"> </w:t>
      </w:r>
      <w:r w:rsidRPr="00E23608">
        <w:rPr>
          <w:rFonts w:ascii="Arial" w:hAnsi="Arial" w:cs="Arial"/>
          <w:sz w:val="22"/>
        </w:rPr>
        <w:t>de</w:t>
      </w:r>
      <w:r w:rsidRPr="00E23608">
        <w:rPr>
          <w:rFonts w:ascii="Arial" w:hAnsi="Arial" w:cs="Arial"/>
          <w:spacing w:val="-7"/>
          <w:sz w:val="22"/>
        </w:rPr>
        <w:t xml:space="preserve"> </w:t>
      </w:r>
      <w:r w:rsidRPr="00E23608">
        <w:rPr>
          <w:rFonts w:ascii="Arial" w:hAnsi="Arial" w:cs="Arial"/>
          <w:sz w:val="22"/>
        </w:rPr>
        <w:t>la</w:t>
      </w:r>
      <w:r w:rsidRPr="00E23608">
        <w:rPr>
          <w:rFonts w:ascii="Arial" w:hAnsi="Arial" w:cs="Arial"/>
          <w:spacing w:val="-8"/>
          <w:sz w:val="22"/>
        </w:rPr>
        <w:t xml:space="preserve"> </w:t>
      </w:r>
      <w:r w:rsidRPr="00E23608">
        <w:rPr>
          <w:rFonts w:ascii="Arial" w:hAnsi="Arial" w:cs="Arial"/>
          <w:sz w:val="22"/>
        </w:rPr>
        <w:t>Dirección</w:t>
      </w:r>
      <w:r w:rsidRPr="00E23608">
        <w:rPr>
          <w:rFonts w:ascii="Arial" w:hAnsi="Arial" w:cs="Arial"/>
          <w:spacing w:val="-7"/>
          <w:sz w:val="22"/>
        </w:rPr>
        <w:t xml:space="preserve"> </w:t>
      </w:r>
      <w:r w:rsidRPr="00E23608">
        <w:rPr>
          <w:rFonts w:ascii="Arial" w:hAnsi="Arial" w:cs="Arial"/>
          <w:sz w:val="22"/>
        </w:rPr>
        <w:t>Seccional</w:t>
      </w:r>
      <w:r w:rsidRPr="00E23608">
        <w:rPr>
          <w:rFonts w:ascii="Arial" w:hAnsi="Arial" w:cs="Arial"/>
          <w:spacing w:val="-59"/>
          <w:sz w:val="22"/>
        </w:rPr>
        <w:t xml:space="preserve"> </w:t>
      </w:r>
      <w:r w:rsidRPr="00E23608">
        <w:rPr>
          <w:rFonts w:ascii="Arial" w:hAnsi="Arial" w:cs="Arial"/>
          <w:sz w:val="22"/>
        </w:rPr>
        <w:t>de</w:t>
      </w:r>
      <w:r w:rsidRPr="00E23608">
        <w:rPr>
          <w:rFonts w:ascii="Arial" w:hAnsi="Arial" w:cs="Arial"/>
          <w:spacing w:val="-2"/>
          <w:sz w:val="22"/>
        </w:rPr>
        <w:t xml:space="preserve"> </w:t>
      </w:r>
      <w:r w:rsidRPr="00E23608">
        <w:rPr>
          <w:rFonts w:ascii="Arial" w:hAnsi="Arial" w:cs="Arial"/>
          <w:sz w:val="22"/>
        </w:rPr>
        <w:t>Administración</w:t>
      </w:r>
      <w:r w:rsidRPr="00E23608">
        <w:rPr>
          <w:rFonts w:ascii="Arial" w:hAnsi="Arial" w:cs="Arial"/>
          <w:spacing w:val="-2"/>
          <w:sz w:val="22"/>
        </w:rPr>
        <w:t xml:space="preserve"> </w:t>
      </w:r>
      <w:r w:rsidRPr="00E23608">
        <w:rPr>
          <w:rFonts w:ascii="Arial" w:hAnsi="Arial" w:cs="Arial"/>
          <w:sz w:val="22"/>
        </w:rPr>
        <w:t>Judicial</w:t>
      </w:r>
      <w:r w:rsidRPr="00E23608">
        <w:rPr>
          <w:rFonts w:ascii="Arial" w:hAnsi="Arial" w:cs="Arial"/>
          <w:spacing w:val="-8"/>
          <w:sz w:val="22"/>
        </w:rPr>
        <w:t xml:space="preserve"> </w:t>
      </w:r>
      <w:r w:rsidRPr="00E23608">
        <w:rPr>
          <w:rFonts w:ascii="Arial" w:hAnsi="Arial" w:cs="Arial"/>
          <w:sz w:val="22"/>
        </w:rPr>
        <w:t>de</w:t>
      </w:r>
      <w:r w:rsidRPr="00E23608">
        <w:rPr>
          <w:rFonts w:ascii="Arial" w:hAnsi="Arial" w:cs="Arial"/>
          <w:spacing w:val="-2"/>
          <w:sz w:val="22"/>
        </w:rPr>
        <w:t xml:space="preserve"> </w:t>
      </w:r>
      <w:r>
        <w:rPr>
          <w:rFonts w:ascii="Arial" w:hAnsi="Arial" w:cs="Arial"/>
          <w:sz w:val="22"/>
        </w:rPr>
        <w:t>Cúcuta</w:t>
      </w:r>
      <w:r w:rsidRPr="00E23608">
        <w:rPr>
          <w:rFonts w:ascii="Arial" w:hAnsi="Arial" w:cs="Arial"/>
          <w:sz w:val="22"/>
        </w:rPr>
        <w:t>,</w:t>
      </w:r>
      <w:r w:rsidRPr="00E23608">
        <w:rPr>
          <w:rFonts w:ascii="Arial" w:hAnsi="Arial" w:cs="Arial"/>
          <w:spacing w:val="-8"/>
          <w:sz w:val="22"/>
        </w:rPr>
        <w:t xml:space="preserve"> </w:t>
      </w:r>
      <w:r w:rsidRPr="00E23608">
        <w:rPr>
          <w:rFonts w:ascii="Arial" w:hAnsi="Arial" w:cs="Arial"/>
          <w:sz w:val="22"/>
        </w:rPr>
        <w:t>con</w:t>
      </w:r>
      <w:r w:rsidRPr="00E23608">
        <w:rPr>
          <w:rFonts w:ascii="Arial" w:hAnsi="Arial" w:cs="Arial"/>
          <w:spacing w:val="-6"/>
          <w:sz w:val="22"/>
        </w:rPr>
        <w:t xml:space="preserve"> </w:t>
      </w:r>
      <w:r w:rsidRPr="00E23608">
        <w:rPr>
          <w:rFonts w:ascii="Arial" w:hAnsi="Arial" w:cs="Arial"/>
          <w:sz w:val="22"/>
        </w:rPr>
        <w:t>el</w:t>
      </w:r>
      <w:r w:rsidRPr="00E23608">
        <w:rPr>
          <w:rFonts w:ascii="Arial" w:hAnsi="Arial" w:cs="Arial"/>
          <w:spacing w:val="-8"/>
          <w:sz w:val="22"/>
        </w:rPr>
        <w:t xml:space="preserve"> </w:t>
      </w:r>
      <w:r w:rsidRPr="00E23608">
        <w:rPr>
          <w:rFonts w:ascii="Arial" w:hAnsi="Arial" w:cs="Arial"/>
          <w:sz w:val="22"/>
        </w:rPr>
        <w:t>fin</w:t>
      </w:r>
      <w:r w:rsidRPr="00E23608">
        <w:rPr>
          <w:rFonts w:ascii="Arial" w:hAnsi="Arial" w:cs="Arial"/>
          <w:spacing w:val="-2"/>
          <w:sz w:val="22"/>
        </w:rPr>
        <w:t xml:space="preserve"> </w:t>
      </w:r>
      <w:r w:rsidRPr="00E23608">
        <w:rPr>
          <w:rFonts w:ascii="Arial" w:hAnsi="Arial" w:cs="Arial"/>
          <w:sz w:val="22"/>
        </w:rPr>
        <w:t>de</w:t>
      </w:r>
      <w:r w:rsidRPr="00E23608">
        <w:rPr>
          <w:rFonts w:ascii="Arial" w:hAnsi="Arial" w:cs="Arial"/>
          <w:spacing w:val="-2"/>
          <w:sz w:val="22"/>
        </w:rPr>
        <w:t xml:space="preserve"> </w:t>
      </w:r>
      <w:r w:rsidRPr="00E23608">
        <w:rPr>
          <w:rFonts w:ascii="Arial" w:hAnsi="Arial" w:cs="Arial"/>
          <w:sz w:val="22"/>
        </w:rPr>
        <w:t>evitar</w:t>
      </w:r>
      <w:r w:rsidRPr="00E23608">
        <w:rPr>
          <w:rFonts w:ascii="Arial" w:hAnsi="Arial" w:cs="Arial"/>
          <w:spacing w:val="-4"/>
          <w:sz w:val="22"/>
        </w:rPr>
        <w:t xml:space="preserve"> </w:t>
      </w:r>
      <w:r w:rsidRPr="00E23608">
        <w:rPr>
          <w:rFonts w:ascii="Arial" w:hAnsi="Arial" w:cs="Arial"/>
          <w:sz w:val="22"/>
        </w:rPr>
        <w:t>el</w:t>
      </w:r>
      <w:r w:rsidRPr="00E23608">
        <w:rPr>
          <w:rFonts w:ascii="Arial" w:hAnsi="Arial" w:cs="Arial"/>
          <w:spacing w:val="-5"/>
          <w:sz w:val="22"/>
        </w:rPr>
        <w:t xml:space="preserve"> </w:t>
      </w:r>
      <w:r w:rsidRPr="00E23608">
        <w:rPr>
          <w:rFonts w:ascii="Arial" w:hAnsi="Arial" w:cs="Arial"/>
          <w:sz w:val="22"/>
        </w:rPr>
        <w:t>inicio</w:t>
      </w:r>
      <w:r w:rsidRPr="00E23608">
        <w:rPr>
          <w:rFonts w:ascii="Arial" w:hAnsi="Arial" w:cs="Arial"/>
          <w:spacing w:val="-2"/>
          <w:sz w:val="22"/>
        </w:rPr>
        <w:t xml:space="preserve"> </w:t>
      </w:r>
      <w:r w:rsidRPr="00E23608">
        <w:rPr>
          <w:rFonts w:ascii="Arial" w:hAnsi="Arial" w:cs="Arial"/>
          <w:sz w:val="22"/>
        </w:rPr>
        <w:t>de</w:t>
      </w:r>
      <w:r w:rsidRPr="00E23608">
        <w:rPr>
          <w:rFonts w:ascii="Arial" w:hAnsi="Arial" w:cs="Arial"/>
          <w:spacing w:val="-2"/>
          <w:sz w:val="22"/>
        </w:rPr>
        <w:t xml:space="preserve"> </w:t>
      </w:r>
      <w:r w:rsidRPr="00E23608">
        <w:rPr>
          <w:rFonts w:ascii="Arial" w:hAnsi="Arial" w:cs="Arial"/>
          <w:sz w:val="22"/>
        </w:rPr>
        <w:t>procesos</w:t>
      </w:r>
      <w:r w:rsidRPr="00E23608">
        <w:rPr>
          <w:rFonts w:ascii="Arial" w:hAnsi="Arial" w:cs="Arial"/>
          <w:spacing w:val="-6"/>
          <w:sz w:val="22"/>
        </w:rPr>
        <w:t xml:space="preserve"> </w:t>
      </w:r>
      <w:r w:rsidRPr="00E23608">
        <w:rPr>
          <w:rFonts w:ascii="Arial" w:hAnsi="Arial" w:cs="Arial"/>
          <w:sz w:val="22"/>
        </w:rPr>
        <w:t>sancionatorios</w:t>
      </w:r>
      <w:r w:rsidRPr="00E23608">
        <w:rPr>
          <w:rFonts w:ascii="Arial" w:hAnsi="Arial" w:cs="Arial"/>
          <w:spacing w:val="-2"/>
          <w:sz w:val="22"/>
        </w:rPr>
        <w:t xml:space="preserve"> </w:t>
      </w:r>
      <w:r w:rsidRPr="00E23608">
        <w:rPr>
          <w:rFonts w:ascii="Arial" w:hAnsi="Arial" w:cs="Arial"/>
          <w:sz w:val="22"/>
        </w:rPr>
        <w:t>por</w:t>
      </w:r>
      <w:r w:rsidRPr="00E23608">
        <w:rPr>
          <w:rFonts w:ascii="Arial" w:hAnsi="Arial" w:cs="Arial"/>
          <w:spacing w:val="-4"/>
          <w:sz w:val="22"/>
        </w:rPr>
        <w:t xml:space="preserve"> </w:t>
      </w:r>
      <w:r w:rsidRPr="00E23608">
        <w:rPr>
          <w:rFonts w:ascii="Arial" w:hAnsi="Arial" w:cs="Arial"/>
          <w:sz w:val="22"/>
        </w:rPr>
        <w:t>presunto</w:t>
      </w:r>
      <w:r w:rsidRPr="00E23608">
        <w:rPr>
          <w:rFonts w:ascii="Arial" w:hAnsi="Arial" w:cs="Arial"/>
          <w:spacing w:val="1"/>
          <w:sz w:val="22"/>
        </w:rPr>
        <w:t xml:space="preserve"> </w:t>
      </w:r>
      <w:r w:rsidRPr="00E23608">
        <w:rPr>
          <w:rFonts w:ascii="Arial" w:hAnsi="Arial" w:cs="Arial"/>
          <w:sz w:val="22"/>
        </w:rPr>
        <w:t>incumplimiento</w:t>
      </w:r>
      <w:r w:rsidRPr="00E23608">
        <w:rPr>
          <w:rFonts w:ascii="Arial" w:hAnsi="Arial" w:cs="Arial"/>
          <w:spacing w:val="-1"/>
          <w:sz w:val="22"/>
        </w:rPr>
        <w:t xml:space="preserve"> </w:t>
      </w:r>
      <w:r w:rsidRPr="00E23608">
        <w:rPr>
          <w:rFonts w:ascii="Arial" w:hAnsi="Arial" w:cs="Arial"/>
          <w:sz w:val="22"/>
        </w:rPr>
        <w:t>en la</w:t>
      </w:r>
      <w:r w:rsidRPr="00E23608">
        <w:rPr>
          <w:rFonts w:ascii="Arial" w:hAnsi="Arial" w:cs="Arial"/>
          <w:spacing w:val="-1"/>
          <w:sz w:val="22"/>
        </w:rPr>
        <w:t xml:space="preserve"> </w:t>
      </w:r>
      <w:r w:rsidRPr="00E23608">
        <w:rPr>
          <w:rFonts w:ascii="Arial" w:hAnsi="Arial" w:cs="Arial"/>
          <w:sz w:val="22"/>
        </w:rPr>
        <w:t>correspondiente obligación</w:t>
      </w:r>
      <w:r w:rsidRPr="00E23608">
        <w:rPr>
          <w:rFonts w:ascii="Arial" w:hAnsi="Arial" w:cs="Arial"/>
          <w:spacing w:val="-1"/>
          <w:sz w:val="22"/>
        </w:rPr>
        <w:t xml:space="preserve"> </w:t>
      </w:r>
      <w:r w:rsidRPr="00E23608">
        <w:rPr>
          <w:rFonts w:ascii="Arial" w:hAnsi="Arial" w:cs="Arial"/>
          <w:sz w:val="22"/>
        </w:rPr>
        <w:t>contractual.</w:t>
      </w:r>
    </w:p>
    <w:p w14:paraId="34B7AB03" w14:textId="77777777" w:rsidR="00305EB0" w:rsidRPr="00D92BBE" w:rsidRDefault="00305EB0" w:rsidP="006E3B0D">
      <w:pPr>
        <w:ind w:right="107"/>
        <w:jc w:val="both"/>
        <w:rPr>
          <w:rFonts w:ascii="Arial" w:hAnsi="Arial" w:cs="Arial"/>
          <w:bCs/>
          <w:iCs/>
          <w:color w:val="000000" w:themeColor="text1"/>
          <w:sz w:val="22"/>
          <w:szCs w:val="22"/>
          <w:lang w:val="es-ES_tradnl" w:eastAsia="en-US"/>
        </w:rPr>
      </w:pPr>
    </w:p>
    <w:p w14:paraId="5459B543" w14:textId="77777777" w:rsidR="00E23608" w:rsidRPr="001F130D" w:rsidRDefault="00E23608">
      <w:pPr>
        <w:pStyle w:val="Prrafodelista"/>
        <w:numPr>
          <w:ilvl w:val="0"/>
          <w:numId w:val="5"/>
        </w:numPr>
        <w:tabs>
          <w:tab w:val="left" w:pos="7938"/>
          <w:tab w:val="left" w:pos="8080"/>
        </w:tabs>
        <w:ind w:left="1491" w:right="51" w:hanging="357"/>
        <w:jc w:val="both"/>
        <w:rPr>
          <w:rFonts w:ascii="Arial" w:hAnsi="Arial" w:cs="Arial"/>
          <w:b/>
          <w:bCs/>
          <w:sz w:val="22"/>
          <w:szCs w:val="22"/>
          <w:lang w:val="es-MX"/>
        </w:rPr>
      </w:pPr>
      <w:r w:rsidRPr="001F130D">
        <w:rPr>
          <w:rFonts w:ascii="Arial" w:hAnsi="Arial" w:cs="Arial"/>
          <w:b/>
          <w:bCs/>
          <w:sz w:val="22"/>
          <w:szCs w:val="22"/>
        </w:rPr>
        <w:t>ANÁLISIS DE RIESGOS.</w:t>
      </w:r>
    </w:p>
    <w:p w14:paraId="7B30B0E2" w14:textId="146CA723" w:rsidR="003A73B1" w:rsidRPr="00E23608" w:rsidRDefault="003A73B1" w:rsidP="00E23608">
      <w:pPr>
        <w:ind w:left="1276"/>
        <w:jc w:val="both"/>
        <w:rPr>
          <w:rFonts w:ascii="Arial" w:hAnsi="Arial" w:cs="Arial"/>
          <w:sz w:val="22"/>
          <w:szCs w:val="22"/>
        </w:rPr>
      </w:pPr>
    </w:p>
    <w:p w14:paraId="32832E1F" w14:textId="77777777" w:rsidR="00E23608" w:rsidRPr="001F130D" w:rsidRDefault="00E23608" w:rsidP="00E23608">
      <w:pPr>
        <w:tabs>
          <w:tab w:val="left" w:pos="7938"/>
          <w:tab w:val="left" w:pos="8080"/>
        </w:tabs>
        <w:ind w:right="51"/>
        <w:jc w:val="both"/>
        <w:rPr>
          <w:rFonts w:ascii="Arial" w:hAnsi="Arial" w:cs="Arial"/>
          <w:b/>
          <w:bCs/>
          <w:sz w:val="22"/>
          <w:szCs w:val="22"/>
          <w:lang w:val="es-MX"/>
        </w:rPr>
      </w:pPr>
      <w:r w:rsidRPr="001F130D">
        <w:rPr>
          <w:rFonts w:ascii="Arial" w:hAnsi="Arial" w:cs="Arial"/>
          <w:sz w:val="22"/>
          <w:szCs w:val="22"/>
        </w:rPr>
        <w:t>De conformidad con el Artículo 4 de la Ley 1150 de 2007 y en el numeral 8 del Artículo 2.2.1.1.2.1.3 del Decreto 1082 de 2015, se procede en el presente estudio a enumerar y asignar los riesgos asociados al contrato, la forma de mitigarlos y la asignación de riesgos entre las partes contratantes. Ver Anexo al final del presente estudio. VER ANEXO. MATRIZ DE RIESGOS.</w:t>
      </w:r>
    </w:p>
    <w:p w14:paraId="005E8617" w14:textId="77777777" w:rsidR="005D6BDB" w:rsidRPr="001F130D" w:rsidRDefault="005D6BDB" w:rsidP="005D6BDB">
      <w:pPr>
        <w:jc w:val="both"/>
        <w:rPr>
          <w:rFonts w:ascii="Arial" w:hAnsi="Arial" w:cs="Arial"/>
          <w:bCs/>
          <w:sz w:val="22"/>
          <w:szCs w:val="22"/>
          <w:lang w:val="es-CO"/>
        </w:rPr>
      </w:pPr>
    </w:p>
    <w:p w14:paraId="239F3596" w14:textId="5A73F1B2" w:rsidR="00CF6E8D" w:rsidRPr="001F130D" w:rsidRDefault="00CF6E8D">
      <w:pPr>
        <w:pStyle w:val="Prrafodelista"/>
        <w:numPr>
          <w:ilvl w:val="0"/>
          <w:numId w:val="5"/>
        </w:numPr>
        <w:tabs>
          <w:tab w:val="left" w:pos="7938"/>
          <w:tab w:val="left" w:pos="8080"/>
        </w:tabs>
        <w:ind w:right="51"/>
        <w:jc w:val="both"/>
        <w:rPr>
          <w:rFonts w:ascii="Arial" w:hAnsi="Arial" w:cs="Arial"/>
          <w:b/>
          <w:bCs/>
          <w:sz w:val="22"/>
          <w:szCs w:val="22"/>
        </w:rPr>
      </w:pPr>
      <w:r w:rsidRPr="001F130D">
        <w:rPr>
          <w:rFonts w:ascii="Arial" w:hAnsi="Arial" w:cs="Arial"/>
          <w:b/>
          <w:bCs/>
          <w:sz w:val="22"/>
          <w:szCs w:val="22"/>
        </w:rPr>
        <w:t>PRESUPUESTO OFICIAL.</w:t>
      </w:r>
    </w:p>
    <w:p w14:paraId="2D0C1634" w14:textId="26D546B8" w:rsidR="00CF6E8D" w:rsidRPr="001F130D" w:rsidRDefault="00CF6E8D" w:rsidP="00CF6E8D">
      <w:pPr>
        <w:tabs>
          <w:tab w:val="left" w:pos="7938"/>
          <w:tab w:val="left" w:pos="8080"/>
        </w:tabs>
        <w:ind w:right="51"/>
        <w:jc w:val="both"/>
        <w:rPr>
          <w:rFonts w:ascii="Arial" w:hAnsi="Arial" w:cs="Arial"/>
          <w:b/>
          <w:bCs/>
          <w:sz w:val="22"/>
          <w:szCs w:val="22"/>
        </w:rPr>
      </w:pPr>
    </w:p>
    <w:p w14:paraId="30CD499D" w14:textId="363D884F" w:rsidR="00C74C38" w:rsidRDefault="00F13E32" w:rsidP="00C74C38">
      <w:pPr>
        <w:jc w:val="both"/>
        <w:rPr>
          <w:rFonts w:ascii="Arial" w:hAnsi="Arial" w:cs="Arial"/>
          <w:sz w:val="22"/>
          <w:szCs w:val="22"/>
          <w:lang w:eastAsia="ar-SA"/>
        </w:rPr>
      </w:pPr>
      <w:bookmarkStart w:id="0" w:name="_Hlk87351809"/>
      <w:r w:rsidRPr="002533C5">
        <w:rPr>
          <w:rFonts w:ascii="Arial" w:hAnsi="Arial" w:cs="Arial"/>
          <w:spacing w:val="1"/>
          <w:sz w:val="22"/>
          <w:szCs w:val="22"/>
          <w:lang w:eastAsia="ar-SA"/>
        </w:rPr>
        <w:t>El valor estimado es de</w:t>
      </w:r>
      <w:r w:rsidR="00A30DEB">
        <w:rPr>
          <w:rFonts w:ascii="Arial" w:hAnsi="Arial" w:cs="Arial"/>
          <w:spacing w:val="1"/>
          <w:sz w:val="22"/>
          <w:szCs w:val="22"/>
          <w:u w:val="single"/>
          <w:lang w:eastAsia="ar-SA"/>
        </w:rPr>
        <w:t xml:space="preserve"> </w:t>
      </w:r>
      <w:r w:rsidR="00A30DEB">
        <w:rPr>
          <w:rFonts w:ascii="Arial" w:hAnsi="Arial" w:cs="Arial"/>
          <w:sz w:val="22"/>
          <w:szCs w:val="22"/>
          <w:u w:val="single"/>
        </w:rPr>
        <w:t xml:space="preserve">TRESCIENTOS TREINTA Y </w:t>
      </w:r>
      <w:proofErr w:type="gramStart"/>
      <w:r w:rsidR="00A30DEB">
        <w:rPr>
          <w:rFonts w:ascii="Arial" w:hAnsi="Arial" w:cs="Arial"/>
          <w:sz w:val="22"/>
          <w:szCs w:val="22"/>
          <w:u w:val="single"/>
        </w:rPr>
        <w:t>SEIS  MILLONES</w:t>
      </w:r>
      <w:proofErr w:type="gramEnd"/>
      <w:r w:rsidR="00A30DEB">
        <w:rPr>
          <w:rFonts w:ascii="Arial" w:hAnsi="Arial" w:cs="Arial"/>
          <w:sz w:val="22"/>
          <w:szCs w:val="22"/>
          <w:u w:val="single"/>
        </w:rPr>
        <w:t xml:space="preserve"> NOVECIENTOS SEIS MIL SEISCIENTOS TREINTA Y DOS DE PESOS ($ 336.906.632)</w:t>
      </w:r>
      <w:r>
        <w:rPr>
          <w:rFonts w:ascii="Arial" w:hAnsi="Arial" w:cs="Arial"/>
          <w:spacing w:val="1"/>
          <w:sz w:val="22"/>
          <w:szCs w:val="22"/>
          <w:u w:val="single"/>
          <w:lang w:eastAsia="ar-SA"/>
        </w:rPr>
        <w:t xml:space="preserve">, </w:t>
      </w:r>
      <w:r w:rsidRPr="002533C5">
        <w:rPr>
          <w:rFonts w:ascii="Arial" w:hAnsi="Arial" w:cs="Arial"/>
          <w:sz w:val="22"/>
          <w:szCs w:val="22"/>
          <w:lang w:eastAsia="ar-SA"/>
        </w:rPr>
        <w:t xml:space="preserve">incluido </w:t>
      </w:r>
      <w:r w:rsidRPr="002533C5">
        <w:rPr>
          <w:rFonts w:ascii="Arial" w:hAnsi="Arial" w:cs="Arial"/>
          <w:spacing w:val="-1"/>
          <w:sz w:val="22"/>
          <w:szCs w:val="22"/>
          <w:lang w:eastAsia="ar-SA"/>
        </w:rPr>
        <w:t>e</w:t>
      </w:r>
      <w:r w:rsidRPr="002533C5">
        <w:rPr>
          <w:rFonts w:ascii="Arial" w:hAnsi="Arial" w:cs="Arial"/>
          <w:sz w:val="22"/>
          <w:szCs w:val="22"/>
          <w:lang w:eastAsia="ar-SA"/>
        </w:rPr>
        <w:t xml:space="preserve">l impuesto al valor agregado y </w:t>
      </w:r>
      <w:r w:rsidRPr="002533C5">
        <w:rPr>
          <w:rFonts w:ascii="Arial" w:hAnsi="Arial" w:cs="Arial"/>
          <w:spacing w:val="1"/>
          <w:sz w:val="22"/>
          <w:szCs w:val="22"/>
          <w:lang w:eastAsia="ar-SA"/>
        </w:rPr>
        <w:t>t</w:t>
      </w:r>
      <w:r w:rsidRPr="002533C5">
        <w:rPr>
          <w:rFonts w:ascii="Arial" w:hAnsi="Arial" w:cs="Arial"/>
          <w:spacing w:val="-1"/>
          <w:sz w:val="22"/>
          <w:szCs w:val="22"/>
          <w:lang w:eastAsia="ar-SA"/>
        </w:rPr>
        <w:t>odo</w:t>
      </w:r>
      <w:r w:rsidRPr="002533C5">
        <w:rPr>
          <w:rFonts w:ascii="Arial" w:hAnsi="Arial" w:cs="Arial"/>
          <w:sz w:val="22"/>
          <w:szCs w:val="22"/>
          <w:lang w:eastAsia="ar-SA"/>
        </w:rPr>
        <w:t xml:space="preserve">s los </w:t>
      </w:r>
      <w:r w:rsidRPr="002533C5">
        <w:rPr>
          <w:rFonts w:ascii="Arial" w:hAnsi="Arial" w:cs="Arial"/>
          <w:spacing w:val="1"/>
          <w:sz w:val="22"/>
          <w:szCs w:val="22"/>
          <w:lang w:eastAsia="ar-SA"/>
        </w:rPr>
        <w:t>t</w:t>
      </w:r>
      <w:r w:rsidRPr="002533C5">
        <w:rPr>
          <w:rFonts w:ascii="Arial" w:hAnsi="Arial" w:cs="Arial"/>
          <w:spacing w:val="-1"/>
          <w:sz w:val="22"/>
          <w:szCs w:val="22"/>
          <w:lang w:eastAsia="ar-SA"/>
        </w:rPr>
        <w:t>r</w:t>
      </w:r>
      <w:r w:rsidRPr="002533C5">
        <w:rPr>
          <w:rFonts w:ascii="Arial" w:hAnsi="Arial" w:cs="Arial"/>
          <w:sz w:val="22"/>
          <w:szCs w:val="22"/>
          <w:lang w:eastAsia="ar-SA"/>
        </w:rPr>
        <w:t>ib</w:t>
      </w:r>
      <w:r w:rsidRPr="002533C5">
        <w:rPr>
          <w:rFonts w:ascii="Arial" w:hAnsi="Arial" w:cs="Arial"/>
          <w:spacing w:val="-1"/>
          <w:sz w:val="22"/>
          <w:szCs w:val="22"/>
          <w:lang w:eastAsia="ar-SA"/>
        </w:rPr>
        <w:t>u</w:t>
      </w:r>
      <w:r w:rsidRPr="002533C5">
        <w:rPr>
          <w:rFonts w:ascii="Arial" w:hAnsi="Arial" w:cs="Arial"/>
          <w:spacing w:val="1"/>
          <w:sz w:val="22"/>
          <w:szCs w:val="22"/>
          <w:lang w:eastAsia="ar-SA"/>
        </w:rPr>
        <w:t>t</w:t>
      </w:r>
      <w:r w:rsidRPr="002533C5">
        <w:rPr>
          <w:rFonts w:ascii="Arial" w:hAnsi="Arial" w:cs="Arial"/>
          <w:spacing w:val="-3"/>
          <w:sz w:val="22"/>
          <w:szCs w:val="22"/>
          <w:lang w:eastAsia="ar-SA"/>
        </w:rPr>
        <w:t>o</w:t>
      </w:r>
      <w:r w:rsidRPr="002533C5">
        <w:rPr>
          <w:rFonts w:ascii="Arial" w:hAnsi="Arial" w:cs="Arial"/>
          <w:sz w:val="22"/>
          <w:szCs w:val="22"/>
          <w:lang w:eastAsia="ar-SA"/>
        </w:rPr>
        <w:t xml:space="preserve">s </w:t>
      </w:r>
      <w:r w:rsidRPr="002533C5">
        <w:rPr>
          <w:rFonts w:ascii="Arial" w:hAnsi="Arial" w:cs="Arial"/>
          <w:spacing w:val="-1"/>
          <w:sz w:val="22"/>
          <w:szCs w:val="22"/>
          <w:lang w:eastAsia="ar-SA"/>
        </w:rPr>
        <w:t>qu</w:t>
      </w:r>
      <w:r w:rsidRPr="002533C5">
        <w:rPr>
          <w:rFonts w:ascii="Arial" w:hAnsi="Arial" w:cs="Arial"/>
          <w:sz w:val="22"/>
          <w:szCs w:val="22"/>
          <w:lang w:eastAsia="ar-SA"/>
        </w:rPr>
        <w:t xml:space="preserve">e </w:t>
      </w:r>
      <w:r w:rsidRPr="002533C5">
        <w:rPr>
          <w:rFonts w:ascii="Arial" w:hAnsi="Arial" w:cs="Arial"/>
          <w:spacing w:val="1"/>
          <w:sz w:val="22"/>
          <w:szCs w:val="22"/>
          <w:lang w:eastAsia="ar-SA"/>
        </w:rPr>
        <w:t>s</w:t>
      </w:r>
      <w:r w:rsidRPr="002533C5">
        <w:rPr>
          <w:rFonts w:ascii="Arial" w:hAnsi="Arial" w:cs="Arial"/>
          <w:sz w:val="22"/>
          <w:szCs w:val="22"/>
          <w:lang w:eastAsia="ar-SA"/>
        </w:rPr>
        <w:t xml:space="preserve">e </w:t>
      </w:r>
      <w:r w:rsidRPr="002533C5">
        <w:rPr>
          <w:rFonts w:ascii="Arial" w:hAnsi="Arial" w:cs="Arial"/>
          <w:spacing w:val="-1"/>
          <w:sz w:val="22"/>
          <w:szCs w:val="22"/>
          <w:lang w:eastAsia="ar-SA"/>
        </w:rPr>
        <w:t>genere</w:t>
      </w:r>
      <w:r w:rsidRPr="002533C5">
        <w:rPr>
          <w:rFonts w:ascii="Arial" w:hAnsi="Arial" w:cs="Arial"/>
          <w:sz w:val="22"/>
          <w:szCs w:val="22"/>
          <w:lang w:eastAsia="ar-SA"/>
        </w:rPr>
        <w:t xml:space="preserve">n </w:t>
      </w:r>
      <w:r w:rsidRPr="002533C5">
        <w:rPr>
          <w:rFonts w:ascii="Arial" w:hAnsi="Arial" w:cs="Arial"/>
          <w:spacing w:val="1"/>
          <w:sz w:val="22"/>
          <w:szCs w:val="22"/>
          <w:lang w:eastAsia="ar-SA"/>
        </w:rPr>
        <w:t>c</w:t>
      </w:r>
      <w:r w:rsidRPr="002533C5">
        <w:rPr>
          <w:rFonts w:ascii="Arial" w:hAnsi="Arial" w:cs="Arial"/>
          <w:spacing w:val="-1"/>
          <w:sz w:val="22"/>
          <w:szCs w:val="22"/>
          <w:lang w:eastAsia="ar-SA"/>
        </w:rPr>
        <w:t>o</w:t>
      </w:r>
      <w:r w:rsidRPr="002533C5">
        <w:rPr>
          <w:rFonts w:ascii="Arial" w:hAnsi="Arial" w:cs="Arial"/>
          <w:sz w:val="22"/>
          <w:szCs w:val="22"/>
          <w:lang w:eastAsia="ar-SA"/>
        </w:rPr>
        <w:t xml:space="preserve">n </w:t>
      </w:r>
      <w:r w:rsidRPr="002533C5">
        <w:rPr>
          <w:rFonts w:ascii="Arial" w:hAnsi="Arial" w:cs="Arial"/>
          <w:spacing w:val="-3"/>
          <w:sz w:val="22"/>
          <w:szCs w:val="22"/>
          <w:lang w:eastAsia="ar-SA"/>
        </w:rPr>
        <w:t>o</w:t>
      </w:r>
      <w:r w:rsidRPr="002533C5">
        <w:rPr>
          <w:rFonts w:ascii="Arial" w:hAnsi="Arial" w:cs="Arial"/>
          <w:spacing w:val="1"/>
          <w:sz w:val="22"/>
          <w:szCs w:val="22"/>
          <w:lang w:eastAsia="ar-SA"/>
        </w:rPr>
        <w:t>c</w:t>
      </w:r>
      <w:r w:rsidRPr="002533C5">
        <w:rPr>
          <w:rFonts w:ascii="Arial" w:hAnsi="Arial" w:cs="Arial"/>
          <w:spacing w:val="-1"/>
          <w:sz w:val="22"/>
          <w:szCs w:val="22"/>
          <w:lang w:eastAsia="ar-SA"/>
        </w:rPr>
        <w:t>a</w:t>
      </w:r>
      <w:r w:rsidRPr="002533C5">
        <w:rPr>
          <w:rFonts w:ascii="Arial" w:hAnsi="Arial" w:cs="Arial"/>
          <w:spacing w:val="1"/>
          <w:sz w:val="22"/>
          <w:szCs w:val="22"/>
          <w:lang w:eastAsia="ar-SA"/>
        </w:rPr>
        <w:t>s</w:t>
      </w:r>
      <w:r w:rsidRPr="002533C5">
        <w:rPr>
          <w:rFonts w:ascii="Arial" w:hAnsi="Arial" w:cs="Arial"/>
          <w:sz w:val="22"/>
          <w:szCs w:val="22"/>
          <w:lang w:eastAsia="ar-SA"/>
        </w:rPr>
        <w:t xml:space="preserve">ión a la </w:t>
      </w:r>
      <w:r w:rsidRPr="002533C5">
        <w:rPr>
          <w:rFonts w:ascii="Arial" w:hAnsi="Arial" w:cs="Arial"/>
          <w:spacing w:val="1"/>
          <w:sz w:val="22"/>
          <w:szCs w:val="22"/>
          <w:lang w:eastAsia="ar-SA"/>
        </w:rPr>
        <w:t>c</w:t>
      </w:r>
      <w:r w:rsidRPr="002533C5">
        <w:rPr>
          <w:rFonts w:ascii="Arial" w:hAnsi="Arial" w:cs="Arial"/>
          <w:spacing w:val="-1"/>
          <w:sz w:val="22"/>
          <w:szCs w:val="22"/>
          <w:lang w:eastAsia="ar-SA"/>
        </w:rPr>
        <w:t>e</w:t>
      </w:r>
      <w:r w:rsidRPr="002533C5">
        <w:rPr>
          <w:rFonts w:ascii="Arial" w:hAnsi="Arial" w:cs="Arial"/>
          <w:sz w:val="22"/>
          <w:szCs w:val="22"/>
          <w:lang w:eastAsia="ar-SA"/>
        </w:rPr>
        <w:t>le</w:t>
      </w:r>
      <w:r w:rsidRPr="002533C5">
        <w:rPr>
          <w:rFonts w:ascii="Arial" w:hAnsi="Arial" w:cs="Arial"/>
          <w:spacing w:val="-1"/>
          <w:sz w:val="22"/>
          <w:szCs w:val="22"/>
          <w:lang w:eastAsia="ar-SA"/>
        </w:rPr>
        <w:t>br</w:t>
      </w:r>
      <w:r w:rsidRPr="002533C5">
        <w:rPr>
          <w:rFonts w:ascii="Arial" w:hAnsi="Arial" w:cs="Arial"/>
          <w:spacing w:val="-3"/>
          <w:sz w:val="22"/>
          <w:szCs w:val="22"/>
          <w:lang w:eastAsia="ar-SA"/>
        </w:rPr>
        <w:t>a</w:t>
      </w:r>
      <w:r w:rsidRPr="002533C5">
        <w:rPr>
          <w:rFonts w:ascii="Arial" w:hAnsi="Arial" w:cs="Arial"/>
          <w:spacing w:val="1"/>
          <w:sz w:val="22"/>
          <w:szCs w:val="22"/>
          <w:lang w:eastAsia="ar-SA"/>
        </w:rPr>
        <w:t>c</w:t>
      </w:r>
      <w:r w:rsidRPr="002533C5">
        <w:rPr>
          <w:rFonts w:ascii="Arial" w:hAnsi="Arial" w:cs="Arial"/>
          <w:sz w:val="22"/>
          <w:szCs w:val="22"/>
          <w:lang w:eastAsia="ar-SA"/>
        </w:rPr>
        <w:t>ió</w:t>
      </w:r>
      <w:r w:rsidRPr="002533C5">
        <w:rPr>
          <w:rFonts w:ascii="Arial" w:hAnsi="Arial" w:cs="Arial"/>
          <w:spacing w:val="-1"/>
          <w:sz w:val="22"/>
          <w:szCs w:val="22"/>
          <w:lang w:eastAsia="ar-SA"/>
        </w:rPr>
        <w:t>n</w:t>
      </w:r>
      <w:r w:rsidRPr="002533C5">
        <w:rPr>
          <w:rFonts w:ascii="Arial" w:hAnsi="Arial" w:cs="Arial"/>
          <w:sz w:val="22"/>
          <w:szCs w:val="22"/>
          <w:lang w:eastAsia="ar-SA"/>
        </w:rPr>
        <w:t>,</w:t>
      </w:r>
      <w:r w:rsidRPr="002533C5">
        <w:rPr>
          <w:rFonts w:ascii="Arial" w:hAnsi="Arial" w:cs="Arial"/>
          <w:spacing w:val="-3"/>
          <w:sz w:val="22"/>
          <w:szCs w:val="22"/>
          <w:lang w:eastAsia="ar-SA"/>
        </w:rPr>
        <w:t xml:space="preserve"> </w:t>
      </w:r>
      <w:r w:rsidRPr="002533C5">
        <w:rPr>
          <w:rFonts w:ascii="Arial" w:hAnsi="Arial" w:cs="Arial"/>
          <w:spacing w:val="-2"/>
          <w:sz w:val="22"/>
          <w:szCs w:val="22"/>
          <w:lang w:eastAsia="ar-SA"/>
        </w:rPr>
        <w:t>e</w:t>
      </w:r>
      <w:r w:rsidRPr="002533C5">
        <w:rPr>
          <w:rFonts w:ascii="Arial" w:hAnsi="Arial" w:cs="Arial"/>
          <w:spacing w:val="-1"/>
          <w:sz w:val="22"/>
          <w:szCs w:val="22"/>
          <w:lang w:eastAsia="ar-SA"/>
        </w:rPr>
        <w:t>j</w:t>
      </w:r>
      <w:r w:rsidRPr="002533C5">
        <w:rPr>
          <w:rFonts w:ascii="Arial" w:hAnsi="Arial" w:cs="Arial"/>
          <w:spacing w:val="1"/>
          <w:sz w:val="22"/>
          <w:szCs w:val="22"/>
          <w:lang w:eastAsia="ar-SA"/>
        </w:rPr>
        <w:t>e</w:t>
      </w:r>
      <w:r w:rsidRPr="002533C5">
        <w:rPr>
          <w:rFonts w:ascii="Arial" w:hAnsi="Arial" w:cs="Arial"/>
          <w:spacing w:val="-1"/>
          <w:sz w:val="22"/>
          <w:szCs w:val="22"/>
          <w:lang w:eastAsia="ar-SA"/>
        </w:rPr>
        <w:t>c</w:t>
      </w:r>
      <w:r w:rsidRPr="002533C5">
        <w:rPr>
          <w:rFonts w:ascii="Arial" w:hAnsi="Arial" w:cs="Arial"/>
          <w:spacing w:val="1"/>
          <w:sz w:val="22"/>
          <w:szCs w:val="22"/>
          <w:lang w:eastAsia="ar-SA"/>
        </w:rPr>
        <w:t>u</w:t>
      </w:r>
      <w:r w:rsidRPr="002533C5">
        <w:rPr>
          <w:rFonts w:ascii="Arial" w:hAnsi="Arial" w:cs="Arial"/>
          <w:sz w:val="22"/>
          <w:szCs w:val="22"/>
          <w:lang w:eastAsia="ar-SA"/>
        </w:rPr>
        <w:t>ción y li</w:t>
      </w:r>
      <w:r w:rsidRPr="002533C5">
        <w:rPr>
          <w:rFonts w:ascii="Arial" w:hAnsi="Arial" w:cs="Arial"/>
          <w:spacing w:val="-1"/>
          <w:sz w:val="22"/>
          <w:szCs w:val="22"/>
          <w:lang w:eastAsia="ar-SA"/>
        </w:rPr>
        <w:t>qu</w:t>
      </w:r>
      <w:r w:rsidRPr="002533C5">
        <w:rPr>
          <w:rFonts w:ascii="Arial" w:hAnsi="Arial" w:cs="Arial"/>
          <w:sz w:val="22"/>
          <w:szCs w:val="22"/>
          <w:lang w:eastAsia="ar-SA"/>
        </w:rPr>
        <w:t>id</w:t>
      </w:r>
      <w:r w:rsidRPr="002533C5">
        <w:rPr>
          <w:rFonts w:ascii="Arial" w:hAnsi="Arial" w:cs="Arial"/>
          <w:spacing w:val="-3"/>
          <w:sz w:val="22"/>
          <w:szCs w:val="22"/>
          <w:lang w:eastAsia="ar-SA"/>
        </w:rPr>
        <w:t>a</w:t>
      </w:r>
      <w:r w:rsidRPr="002533C5">
        <w:rPr>
          <w:rFonts w:ascii="Arial" w:hAnsi="Arial" w:cs="Arial"/>
          <w:spacing w:val="1"/>
          <w:sz w:val="22"/>
          <w:szCs w:val="22"/>
          <w:lang w:eastAsia="ar-SA"/>
        </w:rPr>
        <w:t>c</w:t>
      </w:r>
      <w:r w:rsidRPr="002533C5">
        <w:rPr>
          <w:rFonts w:ascii="Arial" w:hAnsi="Arial" w:cs="Arial"/>
          <w:sz w:val="22"/>
          <w:szCs w:val="22"/>
          <w:lang w:eastAsia="ar-SA"/>
        </w:rPr>
        <w:t xml:space="preserve">ión </w:t>
      </w:r>
      <w:r w:rsidRPr="002533C5">
        <w:rPr>
          <w:rFonts w:ascii="Arial" w:hAnsi="Arial" w:cs="Arial"/>
          <w:spacing w:val="-1"/>
          <w:sz w:val="22"/>
          <w:szCs w:val="22"/>
          <w:lang w:eastAsia="ar-SA"/>
        </w:rPr>
        <w:t>de</w:t>
      </w:r>
      <w:r w:rsidRPr="002533C5">
        <w:rPr>
          <w:rFonts w:ascii="Arial" w:hAnsi="Arial" w:cs="Arial"/>
          <w:sz w:val="22"/>
          <w:szCs w:val="22"/>
          <w:lang w:eastAsia="ar-SA"/>
        </w:rPr>
        <w:t>l contrato.</w:t>
      </w:r>
      <w:r>
        <w:rPr>
          <w:rFonts w:ascii="Arial" w:hAnsi="Arial" w:cs="Arial"/>
          <w:sz w:val="22"/>
          <w:szCs w:val="22"/>
          <w:lang w:eastAsia="ar-SA"/>
        </w:rPr>
        <w:t xml:space="preserve"> S</w:t>
      </w:r>
      <w:r w:rsidRPr="0086411F">
        <w:rPr>
          <w:rFonts w:ascii="Arial" w:hAnsi="Arial" w:cs="Arial"/>
          <w:sz w:val="22"/>
          <w:szCs w:val="22"/>
          <w:lang w:eastAsia="ar-SA"/>
        </w:rPr>
        <w:t>uma obteni</w:t>
      </w:r>
      <w:r>
        <w:rPr>
          <w:rFonts w:ascii="Arial" w:hAnsi="Arial" w:cs="Arial"/>
          <w:sz w:val="22"/>
          <w:szCs w:val="22"/>
          <w:lang w:eastAsia="ar-SA"/>
        </w:rPr>
        <w:t>da</w:t>
      </w:r>
      <w:r w:rsidRPr="0086411F">
        <w:rPr>
          <w:rFonts w:ascii="Arial" w:hAnsi="Arial" w:cs="Arial"/>
          <w:sz w:val="22"/>
          <w:szCs w:val="22"/>
          <w:lang w:eastAsia="ar-SA"/>
        </w:rPr>
        <w:t xml:space="preserve"> de la información contenida en el presupuesto, </w:t>
      </w:r>
      <w:r>
        <w:rPr>
          <w:rFonts w:ascii="Arial" w:hAnsi="Arial" w:cs="Arial"/>
          <w:sz w:val="22"/>
          <w:szCs w:val="22"/>
          <w:lang w:eastAsia="ar-SA"/>
        </w:rPr>
        <w:t>y valores señalados en la Tienda Virtual del Estado Colombiano</w:t>
      </w:r>
      <w:r w:rsidRPr="0086411F">
        <w:rPr>
          <w:rFonts w:ascii="Arial" w:hAnsi="Arial" w:cs="Arial"/>
          <w:sz w:val="22"/>
          <w:szCs w:val="22"/>
          <w:lang w:eastAsia="ar-SA"/>
        </w:rPr>
        <w:t>.</w:t>
      </w:r>
    </w:p>
    <w:p w14:paraId="0906AE08" w14:textId="77777777" w:rsidR="00F13E32" w:rsidRPr="00C74C38" w:rsidRDefault="00F13E32" w:rsidP="00C74C38">
      <w:pPr>
        <w:jc w:val="both"/>
        <w:rPr>
          <w:rFonts w:ascii="Arial" w:eastAsia="Arial" w:hAnsi="Arial" w:cs="Arial"/>
          <w:sz w:val="22"/>
          <w:szCs w:val="22"/>
          <w:lang w:eastAsia="en-US"/>
        </w:rPr>
      </w:pPr>
    </w:p>
    <w:p w14:paraId="4E8DCD13" w14:textId="0B114CEC" w:rsidR="00C74C38" w:rsidRPr="00C74C38" w:rsidRDefault="00C74C38" w:rsidP="00C74C38">
      <w:pPr>
        <w:jc w:val="both"/>
        <w:rPr>
          <w:rFonts w:ascii="Arial" w:eastAsia="Arial" w:hAnsi="Arial" w:cs="Arial"/>
          <w:sz w:val="22"/>
          <w:szCs w:val="22"/>
          <w:lang w:eastAsia="en-US"/>
        </w:rPr>
      </w:pPr>
      <w:r w:rsidRPr="00BB1CE3">
        <w:rPr>
          <w:rFonts w:ascii="Arial" w:eastAsia="Arial" w:hAnsi="Arial" w:cs="Arial"/>
          <w:b/>
          <w:bCs/>
          <w:sz w:val="22"/>
          <w:szCs w:val="22"/>
          <w:lang w:eastAsia="en-US"/>
        </w:rPr>
        <w:t>Nota 1:</w:t>
      </w:r>
      <w:r w:rsidRPr="00C74C38">
        <w:rPr>
          <w:rFonts w:ascii="Arial" w:eastAsia="Arial" w:hAnsi="Arial" w:cs="Arial"/>
          <w:sz w:val="22"/>
          <w:szCs w:val="22"/>
          <w:lang w:eastAsia="en-US"/>
        </w:rPr>
        <w:t xml:space="preserve"> En ningún caso el valor estimado propuesto podrá superar la cifra establecida en el estudio del sector, es decir, </w:t>
      </w:r>
      <w:r w:rsidR="00A30DEB">
        <w:rPr>
          <w:rFonts w:ascii="Arial" w:hAnsi="Arial" w:cs="Arial"/>
          <w:sz w:val="22"/>
          <w:szCs w:val="22"/>
          <w:u w:val="single"/>
        </w:rPr>
        <w:t>TRESCIENTOS TREINTA Y SEIS  MILLONES NOVECIENTOS SEIS MIL SEISCIENTOS TREINTA Y DOS DE PESOS ($ 336.906.632)</w:t>
      </w:r>
      <w:r w:rsidR="00F13E32">
        <w:rPr>
          <w:rFonts w:ascii="Arial" w:hAnsi="Arial" w:cs="Arial"/>
          <w:spacing w:val="1"/>
          <w:sz w:val="22"/>
          <w:szCs w:val="22"/>
          <w:u w:val="single"/>
          <w:lang w:eastAsia="ar-SA"/>
        </w:rPr>
        <w:t xml:space="preserve">, </w:t>
      </w:r>
      <w:r w:rsidR="00F13E32" w:rsidRPr="002533C5">
        <w:rPr>
          <w:rFonts w:ascii="Arial" w:hAnsi="Arial" w:cs="Arial"/>
          <w:sz w:val="22"/>
          <w:szCs w:val="22"/>
          <w:lang w:eastAsia="ar-SA"/>
        </w:rPr>
        <w:t xml:space="preserve">incluido </w:t>
      </w:r>
      <w:r w:rsidR="00F13E32" w:rsidRPr="002533C5">
        <w:rPr>
          <w:rFonts w:ascii="Arial" w:hAnsi="Arial" w:cs="Arial"/>
          <w:spacing w:val="-1"/>
          <w:sz w:val="22"/>
          <w:szCs w:val="22"/>
          <w:lang w:eastAsia="ar-SA"/>
        </w:rPr>
        <w:t>e</w:t>
      </w:r>
      <w:r w:rsidR="00F13E32" w:rsidRPr="002533C5">
        <w:rPr>
          <w:rFonts w:ascii="Arial" w:hAnsi="Arial" w:cs="Arial"/>
          <w:sz w:val="22"/>
          <w:szCs w:val="22"/>
          <w:lang w:eastAsia="ar-SA"/>
        </w:rPr>
        <w:t xml:space="preserve">l impuesto al valor agregado y </w:t>
      </w:r>
      <w:r w:rsidR="00F13E32" w:rsidRPr="002533C5">
        <w:rPr>
          <w:rFonts w:ascii="Arial" w:hAnsi="Arial" w:cs="Arial"/>
          <w:spacing w:val="1"/>
          <w:sz w:val="22"/>
          <w:szCs w:val="22"/>
          <w:lang w:eastAsia="ar-SA"/>
        </w:rPr>
        <w:t>t</w:t>
      </w:r>
      <w:r w:rsidR="00F13E32" w:rsidRPr="002533C5">
        <w:rPr>
          <w:rFonts w:ascii="Arial" w:hAnsi="Arial" w:cs="Arial"/>
          <w:spacing w:val="-1"/>
          <w:sz w:val="22"/>
          <w:szCs w:val="22"/>
          <w:lang w:eastAsia="ar-SA"/>
        </w:rPr>
        <w:t>odo</w:t>
      </w:r>
      <w:r w:rsidR="00F13E32" w:rsidRPr="002533C5">
        <w:rPr>
          <w:rFonts w:ascii="Arial" w:hAnsi="Arial" w:cs="Arial"/>
          <w:sz w:val="22"/>
          <w:szCs w:val="22"/>
          <w:lang w:eastAsia="ar-SA"/>
        </w:rPr>
        <w:t xml:space="preserve">s los </w:t>
      </w:r>
      <w:r w:rsidR="00F13E32" w:rsidRPr="002533C5">
        <w:rPr>
          <w:rFonts w:ascii="Arial" w:hAnsi="Arial" w:cs="Arial"/>
          <w:spacing w:val="1"/>
          <w:sz w:val="22"/>
          <w:szCs w:val="22"/>
          <w:lang w:eastAsia="ar-SA"/>
        </w:rPr>
        <w:t>t</w:t>
      </w:r>
      <w:r w:rsidR="00F13E32" w:rsidRPr="002533C5">
        <w:rPr>
          <w:rFonts w:ascii="Arial" w:hAnsi="Arial" w:cs="Arial"/>
          <w:spacing w:val="-1"/>
          <w:sz w:val="22"/>
          <w:szCs w:val="22"/>
          <w:lang w:eastAsia="ar-SA"/>
        </w:rPr>
        <w:t>r</w:t>
      </w:r>
      <w:r w:rsidR="00F13E32" w:rsidRPr="002533C5">
        <w:rPr>
          <w:rFonts w:ascii="Arial" w:hAnsi="Arial" w:cs="Arial"/>
          <w:sz w:val="22"/>
          <w:szCs w:val="22"/>
          <w:lang w:eastAsia="ar-SA"/>
        </w:rPr>
        <w:t>ib</w:t>
      </w:r>
      <w:r w:rsidR="00F13E32" w:rsidRPr="002533C5">
        <w:rPr>
          <w:rFonts w:ascii="Arial" w:hAnsi="Arial" w:cs="Arial"/>
          <w:spacing w:val="-1"/>
          <w:sz w:val="22"/>
          <w:szCs w:val="22"/>
          <w:lang w:eastAsia="ar-SA"/>
        </w:rPr>
        <w:t>u</w:t>
      </w:r>
      <w:r w:rsidR="00F13E32" w:rsidRPr="002533C5">
        <w:rPr>
          <w:rFonts w:ascii="Arial" w:hAnsi="Arial" w:cs="Arial"/>
          <w:spacing w:val="1"/>
          <w:sz w:val="22"/>
          <w:szCs w:val="22"/>
          <w:lang w:eastAsia="ar-SA"/>
        </w:rPr>
        <w:t>t</w:t>
      </w:r>
      <w:r w:rsidR="00F13E32" w:rsidRPr="002533C5">
        <w:rPr>
          <w:rFonts w:ascii="Arial" w:hAnsi="Arial" w:cs="Arial"/>
          <w:spacing w:val="-3"/>
          <w:sz w:val="22"/>
          <w:szCs w:val="22"/>
          <w:lang w:eastAsia="ar-SA"/>
        </w:rPr>
        <w:t>o</w:t>
      </w:r>
      <w:r w:rsidR="00F13E32" w:rsidRPr="002533C5">
        <w:rPr>
          <w:rFonts w:ascii="Arial" w:hAnsi="Arial" w:cs="Arial"/>
          <w:sz w:val="22"/>
          <w:szCs w:val="22"/>
          <w:lang w:eastAsia="ar-SA"/>
        </w:rPr>
        <w:t xml:space="preserve">s </w:t>
      </w:r>
      <w:r w:rsidR="00F13E32" w:rsidRPr="002533C5">
        <w:rPr>
          <w:rFonts w:ascii="Arial" w:hAnsi="Arial" w:cs="Arial"/>
          <w:spacing w:val="-1"/>
          <w:sz w:val="22"/>
          <w:szCs w:val="22"/>
          <w:lang w:eastAsia="ar-SA"/>
        </w:rPr>
        <w:t>qu</w:t>
      </w:r>
      <w:r w:rsidR="00F13E32" w:rsidRPr="002533C5">
        <w:rPr>
          <w:rFonts w:ascii="Arial" w:hAnsi="Arial" w:cs="Arial"/>
          <w:sz w:val="22"/>
          <w:szCs w:val="22"/>
          <w:lang w:eastAsia="ar-SA"/>
        </w:rPr>
        <w:t xml:space="preserve">e </w:t>
      </w:r>
      <w:r w:rsidR="00F13E32" w:rsidRPr="002533C5">
        <w:rPr>
          <w:rFonts w:ascii="Arial" w:hAnsi="Arial" w:cs="Arial"/>
          <w:spacing w:val="1"/>
          <w:sz w:val="22"/>
          <w:szCs w:val="22"/>
          <w:lang w:eastAsia="ar-SA"/>
        </w:rPr>
        <w:t>s</w:t>
      </w:r>
      <w:r w:rsidR="00F13E32" w:rsidRPr="002533C5">
        <w:rPr>
          <w:rFonts w:ascii="Arial" w:hAnsi="Arial" w:cs="Arial"/>
          <w:sz w:val="22"/>
          <w:szCs w:val="22"/>
          <w:lang w:eastAsia="ar-SA"/>
        </w:rPr>
        <w:t xml:space="preserve">e </w:t>
      </w:r>
      <w:r w:rsidR="00F13E32" w:rsidRPr="002533C5">
        <w:rPr>
          <w:rFonts w:ascii="Arial" w:hAnsi="Arial" w:cs="Arial"/>
          <w:spacing w:val="-1"/>
          <w:sz w:val="22"/>
          <w:szCs w:val="22"/>
          <w:lang w:eastAsia="ar-SA"/>
        </w:rPr>
        <w:t>genere</w:t>
      </w:r>
      <w:r w:rsidR="00F13E32" w:rsidRPr="002533C5">
        <w:rPr>
          <w:rFonts w:ascii="Arial" w:hAnsi="Arial" w:cs="Arial"/>
          <w:sz w:val="22"/>
          <w:szCs w:val="22"/>
          <w:lang w:eastAsia="ar-SA"/>
        </w:rPr>
        <w:t xml:space="preserve">n </w:t>
      </w:r>
      <w:r w:rsidR="00F13E32" w:rsidRPr="002533C5">
        <w:rPr>
          <w:rFonts w:ascii="Arial" w:hAnsi="Arial" w:cs="Arial"/>
          <w:spacing w:val="1"/>
          <w:sz w:val="22"/>
          <w:szCs w:val="22"/>
          <w:lang w:eastAsia="ar-SA"/>
        </w:rPr>
        <w:t>c</w:t>
      </w:r>
      <w:r w:rsidR="00F13E32" w:rsidRPr="002533C5">
        <w:rPr>
          <w:rFonts w:ascii="Arial" w:hAnsi="Arial" w:cs="Arial"/>
          <w:spacing w:val="-1"/>
          <w:sz w:val="22"/>
          <w:szCs w:val="22"/>
          <w:lang w:eastAsia="ar-SA"/>
        </w:rPr>
        <w:t>o</w:t>
      </w:r>
      <w:r w:rsidR="00F13E32" w:rsidRPr="002533C5">
        <w:rPr>
          <w:rFonts w:ascii="Arial" w:hAnsi="Arial" w:cs="Arial"/>
          <w:sz w:val="22"/>
          <w:szCs w:val="22"/>
          <w:lang w:eastAsia="ar-SA"/>
        </w:rPr>
        <w:t xml:space="preserve">n </w:t>
      </w:r>
      <w:r w:rsidR="00F13E32" w:rsidRPr="002533C5">
        <w:rPr>
          <w:rFonts w:ascii="Arial" w:hAnsi="Arial" w:cs="Arial"/>
          <w:spacing w:val="-3"/>
          <w:sz w:val="22"/>
          <w:szCs w:val="22"/>
          <w:lang w:eastAsia="ar-SA"/>
        </w:rPr>
        <w:t>o</w:t>
      </w:r>
      <w:r w:rsidR="00F13E32" w:rsidRPr="002533C5">
        <w:rPr>
          <w:rFonts w:ascii="Arial" w:hAnsi="Arial" w:cs="Arial"/>
          <w:spacing w:val="1"/>
          <w:sz w:val="22"/>
          <w:szCs w:val="22"/>
          <w:lang w:eastAsia="ar-SA"/>
        </w:rPr>
        <w:t>c</w:t>
      </w:r>
      <w:r w:rsidR="00F13E32" w:rsidRPr="002533C5">
        <w:rPr>
          <w:rFonts w:ascii="Arial" w:hAnsi="Arial" w:cs="Arial"/>
          <w:spacing w:val="-1"/>
          <w:sz w:val="22"/>
          <w:szCs w:val="22"/>
          <w:lang w:eastAsia="ar-SA"/>
        </w:rPr>
        <w:t>a</w:t>
      </w:r>
      <w:r w:rsidR="00F13E32" w:rsidRPr="002533C5">
        <w:rPr>
          <w:rFonts w:ascii="Arial" w:hAnsi="Arial" w:cs="Arial"/>
          <w:spacing w:val="1"/>
          <w:sz w:val="22"/>
          <w:szCs w:val="22"/>
          <w:lang w:eastAsia="ar-SA"/>
        </w:rPr>
        <w:t>s</w:t>
      </w:r>
      <w:r w:rsidR="00F13E32" w:rsidRPr="002533C5">
        <w:rPr>
          <w:rFonts w:ascii="Arial" w:hAnsi="Arial" w:cs="Arial"/>
          <w:sz w:val="22"/>
          <w:szCs w:val="22"/>
          <w:lang w:eastAsia="ar-SA"/>
        </w:rPr>
        <w:t xml:space="preserve">ión a la </w:t>
      </w:r>
      <w:r w:rsidR="00F13E32" w:rsidRPr="002533C5">
        <w:rPr>
          <w:rFonts w:ascii="Arial" w:hAnsi="Arial" w:cs="Arial"/>
          <w:spacing w:val="1"/>
          <w:sz w:val="22"/>
          <w:szCs w:val="22"/>
          <w:lang w:eastAsia="ar-SA"/>
        </w:rPr>
        <w:t>c</w:t>
      </w:r>
      <w:r w:rsidR="00F13E32" w:rsidRPr="002533C5">
        <w:rPr>
          <w:rFonts w:ascii="Arial" w:hAnsi="Arial" w:cs="Arial"/>
          <w:spacing w:val="-1"/>
          <w:sz w:val="22"/>
          <w:szCs w:val="22"/>
          <w:lang w:eastAsia="ar-SA"/>
        </w:rPr>
        <w:t>e</w:t>
      </w:r>
      <w:r w:rsidR="00F13E32" w:rsidRPr="002533C5">
        <w:rPr>
          <w:rFonts w:ascii="Arial" w:hAnsi="Arial" w:cs="Arial"/>
          <w:sz w:val="22"/>
          <w:szCs w:val="22"/>
          <w:lang w:eastAsia="ar-SA"/>
        </w:rPr>
        <w:t>le</w:t>
      </w:r>
      <w:r w:rsidR="00F13E32" w:rsidRPr="002533C5">
        <w:rPr>
          <w:rFonts w:ascii="Arial" w:hAnsi="Arial" w:cs="Arial"/>
          <w:spacing w:val="-1"/>
          <w:sz w:val="22"/>
          <w:szCs w:val="22"/>
          <w:lang w:eastAsia="ar-SA"/>
        </w:rPr>
        <w:t>br</w:t>
      </w:r>
      <w:r w:rsidR="00F13E32" w:rsidRPr="002533C5">
        <w:rPr>
          <w:rFonts w:ascii="Arial" w:hAnsi="Arial" w:cs="Arial"/>
          <w:spacing w:val="-3"/>
          <w:sz w:val="22"/>
          <w:szCs w:val="22"/>
          <w:lang w:eastAsia="ar-SA"/>
        </w:rPr>
        <w:t>a</w:t>
      </w:r>
      <w:r w:rsidR="00F13E32" w:rsidRPr="002533C5">
        <w:rPr>
          <w:rFonts w:ascii="Arial" w:hAnsi="Arial" w:cs="Arial"/>
          <w:spacing w:val="1"/>
          <w:sz w:val="22"/>
          <w:szCs w:val="22"/>
          <w:lang w:eastAsia="ar-SA"/>
        </w:rPr>
        <w:t>c</w:t>
      </w:r>
      <w:r w:rsidR="00F13E32" w:rsidRPr="002533C5">
        <w:rPr>
          <w:rFonts w:ascii="Arial" w:hAnsi="Arial" w:cs="Arial"/>
          <w:sz w:val="22"/>
          <w:szCs w:val="22"/>
          <w:lang w:eastAsia="ar-SA"/>
        </w:rPr>
        <w:t>ió</w:t>
      </w:r>
      <w:r w:rsidR="00F13E32" w:rsidRPr="002533C5">
        <w:rPr>
          <w:rFonts w:ascii="Arial" w:hAnsi="Arial" w:cs="Arial"/>
          <w:spacing w:val="-1"/>
          <w:sz w:val="22"/>
          <w:szCs w:val="22"/>
          <w:lang w:eastAsia="ar-SA"/>
        </w:rPr>
        <w:t>n</w:t>
      </w:r>
      <w:r w:rsidR="00F13E32" w:rsidRPr="002533C5">
        <w:rPr>
          <w:rFonts w:ascii="Arial" w:hAnsi="Arial" w:cs="Arial"/>
          <w:sz w:val="22"/>
          <w:szCs w:val="22"/>
          <w:lang w:eastAsia="ar-SA"/>
        </w:rPr>
        <w:t>,</w:t>
      </w:r>
      <w:r w:rsidR="00F13E32" w:rsidRPr="002533C5">
        <w:rPr>
          <w:rFonts w:ascii="Arial" w:hAnsi="Arial" w:cs="Arial"/>
          <w:spacing w:val="-3"/>
          <w:sz w:val="22"/>
          <w:szCs w:val="22"/>
          <w:lang w:eastAsia="ar-SA"/>
        </w:rPr>
        <w:t xml:space="preserve"> </w:t>
      </w:r>
      <w:r w:rsidR="00F13E32" w:rsidRPr="002533C5">
        <w:rPr>
          <w:rFonts w:ascii="Arial" w:hAnsi="Arial" w:cs="Arial"/>
          <w:spacing w:val="-2"/>
          <w:sz w:val="22"/>
          <w:szCs w:val="22"/>
          <w:lang w:eastAsia="ar-SA"/>
        </w:rPr>
        <w:t>e</w:t>
      </w:r>
      <w:r w:rsidR="00F13E32" w:rsidRPr="002533C5">
        <w:rPr>
          <w:rFonts w:ascii="Arial" w:hAnsi="Arial" w:cs="Arial"/>
          <w:spacing w:val="-1"/>
          <w:sz w:val="22"/>
          <w:szCs w:val="22"/>
          <w:lang w:eastAsia="ar-SA"/>
        </w:rPr>
        <w:t>j</w:t>
      </w:r>
      <w:r w:rsidR="00F13E32" w:rsidRPr="002533C5">
        <w:rPr>
          <w:rFonts w:ascii="Arial" w:hAnsi="Arial" w:cs="Arial"/>
          <w:spacing w:val="1"/>
          <w:sz w:val="22"/>
          <w:szCs w:val="22"/>
          <w:lang w:eastAsia="ar-SA"/>
        </w:rPr>
        <w:t>e</w:t>
      </w:r>
      <w:r w:rsidR="00F13E32" w:rsidRPr="002533C5">
        <w:rPr>
          <w:rFonts w:ascii="Arial" w:hAnsi="Arial" w:cs="Arial"/>
          <w:spacing w:val="-1"/>
          <w:sz w:val="22"/>
          <w:szCs w:val="22"/>
          <w:lang w:eastAsia="ar-SA"/>
        </w:rPr>
        <w:t>c</w:t>
      </w:r>
      <w:r w:rsidR="00F13E32" w:rsidRPr="002533C5">
        <w:rPr>
          <w:rFonts w:ascii="Arial" w:hAnsi="Arial" w:cs="Arial"/>
          <w:spacing w:val="1"/>
          <w:sz w:val="22"/>
          <w:szCs w:val="22"/>
          <w:lang w:eastAsia="ar-SA"/>
        </w:rPr>
        <w:t>u</w:t>
      </w:r>
      <w:r w:rsidR="00F13E32" w:rsidRPr="002533C5">
        <w:rPr>
          <w:rFonts w:ascii="Arial" w:hAnsi="Arial" w:cs="Arial"/>
          <w:sz w:val="22"/>
          <w:szCs w:val="22"/>
          <w:lang w:eastAsia="ar-SA"/>
        </w:rPr>
        <w:t>ción y li</w:t>
      </w:r>
      <w:r w:rsidR="00F13E32" w:rsidRPr="002533C5">
        <w:rPr>
          <w:rFonts w:ascii="Arial" w:hAnsi="Arial" w:cs="Arial"/>
          <w:spacing w:val="-1"/>
          <w:sz w:val="22"/>
          <w:szCs w:val="22"/>
          <w:lang w:eastAsia="ar-SA"/>
        </w:rPr>
        <w:t>qu</w:t>
      </w:r>
      <w:r w:rsidR="00F13E32" w:rsidRPr="002533C5">
        <w:rPr>
          <w:rFonts w:ascii="Arial" w:hAnsi="Arial" w:cs="Arial"/>
          <w:sz w:val="22"/>
          <w:szCs w:val="22"/>
          <w:lang w:eastAsia="ar-SA"/>
        </w:rPr>
        <w:t>id</w:t>
      </w:r>
      <w:r w:rsidR="00F13E32" w:rsidRPr="002533C5">
        <w:rPr>
          <w:rFonts w:ascii="Arial" w:hAnsi="Arial" w:cs="Arial"/>
          <w:spacing w:val="-3"/>
          <w:sz w:val="22"/>
          <w:szCs w:val="22"/>
          <w:lang w:eastAsia="ar-SA"/>
        </w:rPr>
        <w:t>a</w:t>
      </w:r>
      <w:r w:rsidR="00F13E32" w:rsidRPr="002533C5">
        <w:rPr>
          <w:rFonts w:ascii="Arial" w:hAnsi="Arial" w:cs="Arial"/>
          <w:spacing w:val="1"/>
          <w:sz w:val="22"/>
          <w:szCs w:val="22"/>
          <w:lang w:eastAsia="ar-SA"/>
        </w:rPr>
        <w:t>c</w:t>
      </w:r>
      <w:r w:rsidR="00F13E32" w:rsidRPr="002533C5">
        <w:rPr>
          <w:rFonts w:ascii="Arial" w:hAnsi="Arial" w:cs="Arial"/>
          <w:sz w:val="22"/>
          <w:szCs w:val="22"/>
          <w:lang w:eastAsia="ar-SA"/>
        </w:rPr>
        <w:t xml:space="preserve">ión </w:t>
      </w:r>
      <w:r w:rsidR="00F13E32" w:rsidRPr="002533C5">
        <w:rPr>
          <w:rFonts w:ascii="Arial" w:hAnsi="Arial" w:cs="Arial"/>
          <w:spacing w:val="-1"/>
          <w:sz w:val="22"/>
          <w:szCs w:val="22"/>
          <w:lang w:eastAsia="ar-SA"/>
        </w:rPr>
        <w:t>de</w:t>
      </w:r>
      <w:r w:rsidR="00F13E32" w:rsidRPr="002533C5">
        <w:rPr>
          <w:rFonts w:ascii="Arial" w:hAnsi="Arial" w:cs="Arial"/>
          <w:sz w:val="22"/>
          <w:szCs w:val="22"/>
          <w:lang w:eastAsia="ar-SA"/>
        </w:rPr>
        <w:t>l contrato.</w:t>
      </w:r>
      <w:r w:rsidR="00F13E32">
        <w:rPr>
          <w:rFonts w:ascii="Arial" w:hAnsi="Arial" w:cs="Arial"/>
          <w:sz w:val="22"/>
          <w:szCs w:val="22"/>
          <w:lang w:eastAsia="ar-SA"/>
        </w:rPr>
        <w:t xml:space="preserve"> </w:t>
      </w:r>
      <w:r w:rsidR="00F13E32">
        <w:rPr>
          <w:rFonts w:ascii="Arial" w:hAnsi="Arial" w:cs="Arial"/>
          <w:spacing w:val="1"/>
          <w:sz w:val="22"/>
          <w:szCs w:val="22"/>
          <w:u w:val="single"/>
          <w:lang w:eastAsia="ar-SA"/>
        </w:rPr>
        <w:t xml:space="preserve"> </w:t>
      </w:r>
    </w:p>
    <w:p w14:paraId="31011EDB" w14:textId="77777777" w:rsidR="00C74C38" w:rsidRPr="00C74C38" w:rsidRDefault="00C74C38" w:rsidP="00C74C38">
      <w:pPr>
        <w:jc w:val="both"/>
        <w:rPr>
          <w:rFonts w:ascii="Arial" w:eastAsia="Arial" w:hAnsi="Arial" w:cs="Arial"/>
          <w:sz w:val="22"/>
          <w:szCs w:val="22"/>
          <w:lang w:eastAsia="en-US"/>
        </w:rPr>
      </w:pPr>
    </w:p>
    <w:p w14:paraId="13097FF1" w14:textId="77777777" w:rsidR="00C74C38" w:rsidRPr="00C74C38" w:rsidRDefault="00C74C38" w:rsidP="00C74C38">
      <w:pPr>
        <w:jc w:val="both"/>
        <w:rPr>
          <w:rFonts w:ascii="Arial" w:eastAsia="Arial" w:hAnsi="Arial" w:cs="Arial"/>
          <w:sz w:val="22"/>
          <w:szCs w:val="22"/>
          <w:lang w:eastAsia="en-US"/>
        </w:rPr>
      </w:pPr>
      <w:r w:rsidRPr="00BB1CE3">
        <w:rPr>
          <w:rFonts w:ascii="Arial" w:eastAsia="Arial" w:hAnsi="Arial" w:cs="Arial"/>
          <w:b/>
          <w:bCs/>
          <w:sz w:val="22"/>
          <w:szCs w:val="22"/>
          <w:lang w:eastAsia="en-US"/>
        </w:rPr>
        <w:t>Nota 2:</w:t>
      </w:r>
      <w:r w:rsidRPr="00C74C38">
        <w:rPr>
          <w:rFonts w:ascii="Arial" w:eastAsia="Arial" w:hAnsi="Arial" w:cs="Arial"/>
          <w:sz w:val="22"/>
          <w:szCs w:val="22"/>
          <w:lang w:eastAsia="en-US"/>
        </w:rPr>
        <w:t xml:space="preserve"> El contratista no podrá ejecutar actividades no previstas contractualmente (ítems nuevos), ni ejecutar actividades que den lugar a superar el valor total del contrato, que no se encuentren respaldas por el correspondiente adicional u </w:t>
      </w:r>
      <w:proofErr w:type="spellStart"/>
      <w:r w:rsidRPr="00C74C38">
        <w:rPr>
          <w:rFonts w:ascii="Arial" w:eastAsia="Arial" w:hAnsi="Arial" w:cs="Arial"/>
          <w:sz w:val="22"/>
          <w:szCs w:val="22"/>
          <w:lang w:eastAsia="en-US"/>
        </w:rPr>
        <w:t>otrosí</w:t>
      </w:r>
      <w:proofErr w:type="spellEnd"/>
      <w:r w:rsidRPr="00C74C38">
        <w:rPr>
          <w:rFonts w:ascii="Arial" w:eastAsia="Arial" w:hAnsi="Arial" w:cs="Arial"/>
          <w:sz w:val="22"/>
          <w:szCs w:val="22"/>
          <w:lang w:eastAsia="en-US"/>
        </w:rPr>
        <w:t xml:space="preserve"> al contrato de obra.</w:t>
      </w:r>
    </w:p>
    <w:p w14:paraId="6E7E05DB" w14:textId="77777777" w:rsidR="00C74C38" w:rsidRPr="00C74C38" w:rsidRDefault="00C74C38" w:rsidP="00C74C38">
      <w:pPr>
        <w:jc w:val="both"/>
        <w:rPr>
          <w:rFonts w:ascii="Arial" w:eastAsia="Arial" w:hAnsi="Arial" w:cs="Arial"/>
          <w:sz w:val="22"/>
          <w:szCs w:val="22"/>
          <w:lang w:eastAsia="en-US"/>
        </w:rPr>
      </w:pPr>
    </w:p>
    <w:p w14:paraId="73B3A36F" w14:textId="081C6E86" w:rsidR="00C74C38" w:rsidRDefault="00C74C38" w:rsidP="00C74C38">
      <w:pPr>
        <w:jc w:val="both"/>
        <w:rPr>
          <w:rFonts w:ascii="Arial" w:eastAsia="Arial" w:hAnsi="Arial" w:cs="Arial"/>
          <w:sz w:val="22"/>
          <w:szCs w:val="22"/>
          <w:lang w:eastAsia="en-US"/>
        </w:rPr>
      </w:pPr>
      <w:r w:rsidRPr="00BB1CE3">
        <w:rPr>
          <w:rFonts w:ascii="Arial" w:eastAsia="Arial" w:hAnsi="Arial" w:cs="Arial"/>
          <w:b/>
          <w:bCs/>
          <w:sz w:val="22"/>
          <w:szCs w:val="22"/>
          <w:lang w:eastAsia="en-US"/>
        </w:rPr>
        <w:t>Nota 3:</w:t>
      </w:r>
      <w:r w:rsidRPr="00C74C38">
        <w:rPr>
          <w:rFonts w:ascii="Arial" w:eastAsia="Arial" w:hAnsi="Arial" w:cs="Arial"/>
          <w:sz w:val="22"/>
          <w:szCs w:val="22"/>
          <w:lang w:eastAsia="en-US"/>
        </w:rPr>
        <w:t xml:space="preserve"> RETENCIONES Y DESCUENTOS DE LEY: La Entidad efectuará los descuentos de ley </w:t>
      </w:r>
      <w:r w:rsidR="00F13E32" w:rsidRPr="00C74C38">
        <w:rPr>
          <w:rFonts w:ascii="Arial" w:eastAsia="Arial" w:hAnsi="Arial" w:cs="Arial"/>
          <w:sz w:val="22"/>
          <w:szCs w:val="22"/>
          <w:lang w:eastAsia="en-US"/>
        </w:rPr>
        <w:t>de acuerdo con</w:t>
      </w:r>
      <w:r w:rsidRPr="00C74C38">
        <w:rPr>
          <w:rFonts w:ascii="Arial" w:eastAsia="Arial" w:hAnsi="Arial" w:cs="Arial"/>
          <w:sz w:val="22"/>
          <w:szCs w:val="22"/>
          <w:lang w:eastAsia="en-US"/>
        </w:rPr>
        <w:t xml:space="preserve"> las normas tributarias vigentes, a la información tributaria suministrada por el contratista y a la actividad objeto del contrato, descuentos como retención en la fuente, retención de IVA y retención de Industria y Comercio.</w:t>
      </w:r>
    </w:p>
    <w:p w14:paraId="45C8D250" w14:textId="4439136A" w:rsidR="00F13E32" w:rsidRDefault="00F13E32" w:rsidP="00C74C38">
      <w:pPr>
        <w:jc w:val="both"/>
        <w:rPr>
          <w:rFonts w:ascii="Arial" w:eastAsia="Arial" w:hAnsi="Arial" w:cs="Arial"/>
          <w:sz w:val="22"/>
          <w:szCs w:val="22"/>
          <w:lang w:eastAsia="en-US"/>
        </w:rPr>
      </w:pPr>
    </w:p>
    <w:p w14:paraId="33EFFED2" w14:textId="77777777" w:rsidR="00F13E32" w:rsidRDefault="00F13E32">
      <w:pPr>
        <w:pStyle w:val="TableParagraph"/>
        <w:numPr>
          <w:ilvl w:val="0"/>
          <w:numId w:val="5"/>
        </w:numPr>
        <w:spacing w:before="56"/>
        <w:rPr>
          <w:b/>
        </w:rPr>
      </w:pPr>
      <w:r>
        <w:rPr>
          <w:b/>
        </w:rPr>
        <w:t>CONCLUSIÓN</w:t>
      </w:r>
    </w:p>
    <w:p w14:paraId="5BB629D0" w14:textId="77777777" w:rsidR="00F13E32" w:rsidRDefault="00F13E32" w:rsidP="00F13E32">
      <w:pPr>
        <w:jc w:val="both"/>
        <w:rPr>
          <w:rFonts w:ascii="Arial" w:eastAsia="Arial" w:hAnsi="Arial" w:cs="Arial"/>
          <w:sz w:val="22"/>
          <w:szCs w:val="22"/>
          <w:lang w:eastAsia="en-US"/>
        </w:rPr>
      </w:pPr>
    </w:p>
    <w:p w14:paraId="5CAAA6DE" w14:textId="11E5BC31" w:rsidR="00F13E32" w:rsidRDefault="00F13E32" w:rsidP="00F13E32">
      <w:pPr>
        <w:jc w:val="both"/>
        <w:rPr>
          <w:rFonts w:ascii="Arial" w:eastAsia="Arial" w:hAnsi="Arial" w:cs="Arial"/>
          <w:sz w:val="22"/>
          <w:szCs w:val="22"/>
          <w:lang w:eastAsia="en-US"/>
        </w:rPr>
      </w:pPr>
      <w:r w:rsidRPr="00F13E32">
        <w:rPr>
          <w:rFonts w:ascii="Arial" w:eastAsia="Arial" w:hAnsi="Arial" w:cs="Arial"/>
          <w:sz w:val="22"/>
          <w:szCs w:val="22"/>
          <w:lang w:eastAsia="en-US"/>
        </w:rPr>
        <w:t xml:space="preserve">La Dirección Ejecutiva Seccional de Administración Judicial de </w:t>
      </w:r>
      <w:r>
        <w:rPr>
          <w:rFonts w:ascii="Arial" w:eastAsia="Arial" w:hAnsi="Arial" w:cs="Arial"/>
          <w:sz w:val="22"/>
          <w:szCs w:val="22"/>
          <w:lang w:eastAsia="en-US"/>
        </w:rPr>
        <w:t>Cúcuta</w:t>
      </w:r>
      <w:r w:rsidRPr="00F13E32">
        <w:rPr>
          <w:rFonts w:ascii="Arial" w:eastAsia="Arial" w:hAnsi="Arial" w:cs="Arial"/>
          <w:sz w:val="22"/>
          <w:szCs w:val="22"/>
          <w:lang w:eastAsia="en-US"/>
        </w:rPr>
        <w:t xml:space="preserve"> analizó desde diferentes ópticas el comportamiento del sector donde se desenvuelve económicamente potenciales proveedores de los bienes y servicios que requiere la entidad. Este análisis incluyó aspectos técnicos, regulatorios, comerciales, jurídicos, económicos, así como las contrataciones desarrolladas por la Rama Judicial con similar objeto al de la convocatoria ahora pretendida.</w:t>
      </w:r>
    </w:p>
    <w:p w14:paraId="3571660A" w14:textId="5A6456FC" w:rsidR="00F13E32" w:rsidRDefault="00F13E32" w:rsidP="00F13E32">
      <w:pPr>
        <w:jc w:val="both"/>
        <w:rPr>
          <w:rFonts w:ascii="Arial" w:eastAsia="Arial" w:hAnsi="Arial" w:cs="Arial"/>
          <w:sz w:val="22"/>
          <w:szCs w:val="22"/>
          <w:lang w:eastAsia="en-US"/>
        </w:rPr>
      </w:pPr>
    </w:p>
    <w:p w14:paraId="3AD21FEF" w14:textId="57DD07E5" w:rsidR="00F13E32" w:rsidRDefault="00F13E32" w:rsidP="00F13E32">
      <w:pPr>
        <w:pStyle w:val="TableParagraph"/>
        <w:ind w:left="22" w:right="43"/>
        <w:jc w:val="both"/>
      </w:pPr>
      <w:r>
        <w:t>Se</w:t>
      </w:r>
      <w:r>
        <w:rPr>
          <w:spacing w:val="-3"/>
        </w:rPr>
        <w:t xml:space="preserve"> </w:t>
      </w:r>
      <w:r>
        <w:t>evidenció</w:t>
      </w:r>
      <w:r>
        <w:rPr>
          <w:spacing w:val="-2"/>
        </w:rPr>
        <w:t xml:space="preserve"> </w:t>
      </w:r>
      <w:r>
        <w:t>que</w:t>
      </w:r>
      <w:r>
        <w:rPr>
          <w:spacing w:val="-6"/>
        </w:rPr>
        <w:t xml:space="preserve"> </w:t>
      </w:r>
      <w:r>
        <w:t>hay</w:t>
      </w:r>
      <w:r>
        <w:rPr>
          <w:spacing w:val="-5"/>
        </w:rPr>
        <w:t xml:space="preserve"> </w:t>
      </w:r>
      <w:r>
        <w:t>atractivo</w:t>
      </w:r>
      <w:r>
        <w:rPr>
          <w:spacing w:val="-6"/>
        </w:rPr>
        <w:t xml:space="preserve"> </w:t>
      </w:r>
      <w:r>
        <w:t>en</w:t>
      </w:r>
      <w:r>
        <w:rPr>
          <w:spacing w:val="-2"/>
        </w:rPr>
        <w:t xml:space="preserve"> </w:t>
      </w:r>
      <w:r>
        <w:t>los</w:t>
      </w:r>
      <w:r>
        <w:rPr>
          <w:spacing w:val="-3"/>
        </w:rPr>
        <w:t xml:space="preserve"> </w:t>
      </w:r>
      <w:r>
        <w:t>procesos</w:t>
      </w:r>
      <w:r>
        <w:rPr>
          <w:spacing w:val="-2"/>
        </w:rPr>
        <w:t xml:space="preserve"> </w:t>
      </w:r>
      <w:r>
        <w:t>para</w:t>
      </w:r>
      <w:r>
        <w:rPr>
          <w:spacing w:val="-2"/>
        </w:rPr>
        <w:t xml:space="preserve"> </w:t>
      </w:r>
      <w:r>
        <w:t>los</w:t>
      </w:r>
      <w:r>
        <w:rPr>
          <w:spacing w:val="-2"/>
        </w:rPr>
        <w:t xml:space="preserve"> </w:t>
      </w:r>
      <w:r>
        <w:t>proveedores,</w:t>
      </w:r>
      <w:r>
        <w:rPr>
          <w:spacing w:val="-5"/>
        </w:rPr>
        <w:t xml:space="preserve"> </w:t>
      </w:r>
      <w:r>
        <w:t>como</w:t>
      </w:r>
      <w:r>
        <w:rPr>
          <w:spacing w:val="-2"/>
        </w:rPr>
        <w:t xml:space="preserve"> </w:t>
      </w:r>
      <w:r>
        <w:t>lo</w:t>
      </w:r>
      <w:r>
        <w:rPr>
          <w:spacing w:val="-2"/>
        </w:rPr>
        <w:t xml:space="preserve"> </w:t>
      </w:r>
      <w:r>
        <w:t>evidencia</w:t>
      </w:r>
      <w:r>
        <w:rPr>
          <w:spacing w:val="-2"/>
        </w:rPr>
        <w:t xml:space="preserve"> </w:t>
      </w:r>
      <w:r>
        <w:t>el</w:t>
      </w:r>
      <w:r>
        <w:rPr>
          <w:spacing w:val="-8"/>
        </w:rPr>
        <w:t xml:space="preserve"> </w:t>
      </w:r>
      <w:r>
        <w:t xml:space="preserve">hecho </w:t>
      </w:r>
      <w:r>
        <w:rPr>
          <w:spacing w:val="-59"/>
        </w:rPr>
        <w:t xml:space="preserve">      </w:t>
      </w:r>
      <w:r>
        <w:t>que, en diferentes procesos de contratación con objetos contractuales similares al actual, en la presente</w:t>
      </w:r>
      <w:r>
        <w:rPr>
          <w:spacing w:val="1"/>
        </w:rPr>
        <w:t xml:space="preserve"> </w:t>
      </w:r>
      <w:r>
        <w:t>vigencia,</w:t>
      </w:r>
      <w:r>
        <w:rPr>
          <w:spacing w:val="-4"/>
        </w:rPr>
        <w:t xml:space="preserve"> </w:t>
      </w:r>
      <w:r>
        <w:t>varios proveedores hayan concurrido.</w:t>
      </w:r>
    </w:p>
    <w:p w14:paraId="5669FB14" w14:textId="77777777" w:rsidR="00F13E32" w:rsidRPr="00F13E32" w:rsidRDefault="00F13E32" w:rsidP="00F13E32">
      <w:pPr>
        <w:jc w:val="both"/>
        <w:rPr>
          <w:rFonts w:ascii="Arial" w:eastAsia="Arial" w:hAnsi="Arial" w:cs="Arial"/>
          <w:sz w:val="22"/>
          <w:szCs w:val="22"/>
          <w:lang w:eastAsia="en-US"/>
        </w:rPr>
      </w:pPr>
    </w:p>
    <w:p w14:paraId="50BFF362" w14:textId="77777777" w:rsidR="00F13E32" w:rsidRDefault="00F13E32" w:rsidP="00F13E32">
      <w:pPr>
        <w:pStyle w:val="TableParagraph"/>
        <w:ind w:left="22" w:right="56"/>
        <w:jc w:val="both"/>
      </w:pPr>
      <w:r>
        <w:t>Por ello, en la medida que las ofertas que se reciban mejoren los precios promedios obtenidos en el estudio</w:t>
      </w:r>
      <w:r>
        <w:rPr>
          <w:spacing w:val="1"/>
        </w:rPr>
        <w:t xml:space="preserve"> </w:t>
      </w:r>
      <w:r>
        <w:t>de</w:t>
      </w:r>
      <w:r>
        <w:rPr>
          <w:spacing w:val="-5"/>
        </w:rPr>
        <w:t xml:space="preserve"> </w:t>
      </w:r>
      <w:r>
        <w:t>mercado,</w:t>
      </w:r>
      <w:r>
        <w:rPr>
          <w:spacing w:val="-3"/>
        </w:rPr>
        <w:t xml:space="preserve"> </w:t>
      </w:r>
      <w:r>
        <w:t>se debe</w:t>
      </w:r>
      <w:r>
        <w:rPr>
          <w:spacing w:val="-1"/>
        </w:rPr>
        <w:t xml:space="preserve"> </w:t>
      </w:r>
      <w:r>
        <w:t>adquirir</w:t>
      </w:r>
      <w:r>
        <w:rPr>
          <w:spacing w:val="5"/>
        </w:rPr>
        <w:t xml:space="preserve"> </w:t>
      </w:r>
      <w:r>
        <w:t>la mayor</w:t>
      </w:r>
      <w:r>
        <w:rPr>
          <w:spacing w:val="-3"/>
        </w:rPr>
        <w:t xml:space="preserve"> </w:t>
      </w:r>
      <w:r>
        <w:t>cantidad</w:t>
      </w:r>
      <w:r>
        <w:rPr>
          <w:spacing w:val="-1"/>
        </w:rPr>
        <w:t xml:space="preserve"> </w:t>
      </w:r>
      <w:r>
        <w:t>de elementos.</w:t>
      </w:r>
    </w:p>
    <w:p w14:paraId="6EE8DE26" w14:textId="77777777" w:rsidR="00F13E32" w:rsidRDefault="00F13E32" w:rsidP="00F13E32">
      <w:pPr>
        <w:pStyle w:val="TableParagraph"/>
        <w:spacing w:before="1"/>
      </w:pPr>
    </w:p>
    <w:p w14:paraId="769F590E" w14:textId="1848BF3E" w:rsidR="00F13E32" w:rsidRDefault="00F13E32" w:rsidP="00F13E32">
      <w:pPr>
        <w:pStyle w:val="TableParagraph"/>
        <w:ind w:left="22" w:right="38"/>
        <w:jc w:val="both"/>
      </w:pPr>
      <w:r>
        <w:t>Así, teniendo en cuenta que la entidad requiere el suministro de bienes y servicios de características técnicas</w:t>
      </w:r>
      <w:r>
        <w:rPr>
          <w:spacing w:val="-59"/>
        </w:rPr>
        <w:t xml:space="preserve">        </w:t>
      </w:r>
      <w:r>
        <w:t>uniformes</w:t>
      </w:r>
      <w:r>
        <w:rPr>
          <w:spacing w:val="-10"/>
        </w:rPr>
        <w:t xml:space="preserve"> </w:t>
      </w:r>
      <w:r>
        <w:t>y</w:t>
      </w:r>
      <w:r>
        <w:rPr>
          <w:spacing w:val="-14"/>
        </w:rPr>
        <w:t xml:space="preserve"> </w:t>
      </w:r>
      <w:r>
        <w:t>de</w:t>
      </w:r>
      <w:r>
        <w:rPr>
          <w:spacing w:val="-9"/>
        </w:rPr>
        <w:t xml:space="preserve"> </w:t>
      </w:r>
      <w:r>
        <w:t>común</w:t>
      </w:r>
      <w:r>
        <w:rPr>
          <w:spacing w:val="-10"/>
        </w:rPr>
        <w:t xml:space="preserve"> </w:t>
      </w:r>
      <w:r>
        <w:t>utilización</w:t>
      </w:r>
      <w:r>
        <w:rPr>
          <w:spacing w:val="-10"/>
        </w:rPr>
        <w:t xml:space="preserve"> </w:t>
      </w:r>
      <w:r>
        <w:t>por</w:t>
      </w:r>
      <w:r>
        <w:rPr>
          <w:spacing w:val="-12"/>
        </w:rPr>
        <w:t xml:space="preserve"> </w:t>
      </w:r>
      <w:r>
        <w:t>parte</w:t>
      </w:r>
      <w:r>
        <w:rPr>
          <w:spacing w:val="-10"/>
        </w:rPr>
        <w:t xml:space="preserve"> </w:t>
      </w:r>
      <w:r>
        <w:t>de</w:t>
      </w:r>
      <w:r>
        <w:rPr>
          <w:spacing w:val="-10"/>
        </w:rPr>
        <w:t xml:space="preserve"> </w:t>
      </w:r>
      <w:r>
        <w:t>las</w:t>
      </w:r>
      <w:r>
        <w:rPr>
          <w:spacing w:val="-9"/>
        </w:rPr>
        <w:t xml:space="preserve"> </w:t>
      </w:r>
      <w:r>
        <w:t>entidades</w:t>
      </w:r>
      <w:r>
        <w:rPr>
          <w:spacing w:val="-10"/>
        </w:rPr>
        <w:t xml:space="preserve"> </w:t>
      </w:r>
      <w:r>
        <w:t>y,</w:t>
      </w:r>
      <w:r>
        <w:rPr>
          <w:spacing w:val="-13"/>
        </w:rPr>
        <w:t xml:space="preserve"> </w:t>
      </w:r>
      <w:r>
        <w:t>con</w:t>
      </w:r>
      <w:r>
        <w:rPr>
          <w:spacing w:val="-9"/>
        </w:rPr>
        <w:t xml:space="preserve"> </w:t>
      </w:r>
      <w:r>
        <w:t>el</w:t>
      </w:r>
      <w:r>
        <w:rPr>
          <w:spacing w:val="-13"/>
        </w:rPr>
        <w:t xml:space="preserve"> </w:t>
      </w:r>
      <w:r>
        <w:t>fin</w:t>
      </w:r>
      <w:r>
        <w:rPr>
          <w:spacing w:val="-9"/>
        </w:rPr>
        <w:t xml:space="preserve"> </w:t>
      </w:r>
      <w:r>
        <w:t>de</w:t>
      </w:r>
      <w:r>
        <w:rPr>
          <w:spacing w:val="-10"/>
        </w:rPr>
        <w:t xml:space="preserve"> </w:t>
      </w:r>
      <w:r>
        <w:t>garantizar</w:t>
      </w:r>
      <w:r>
        <w:rPr>
          <w:spacing w:val="-9"/>
        </w:rPr>
        <w:t xml:space="preserve"> </w:t>
      </w:r>
      <w:r>
        <w:t>la</w:t>
      </w:r>
      <w:r>
        <w:rPr>
          <w:spacing w:val="-9"/>
        </w:rPr>
        <w:t xml:space="preserve"> </w:t>
      </w:r>
      <w:r>
        <w:t>eficiencia</w:t>
      </w:r>
      <w:r>
        <w:rPr>
          <w:spacing w:val="-10"/>
        </w:rPr>
        <w:t xml:space="preserve"> </w:t>
      </w:r>
      <w:r>
        <w:t>de</w:t>
      </w:r>
      <w:r>
        <w:rPr>
          <w:spacing w:val="-6"/>
        </w:rPr>
        <w:t xml:space="preserve"> </w:t>
      </w:r>
      <w:r>
        <w:t>la</w:t>
      </w:r>
      <w:r>
        <w:rPr>
          <w:spacing w:val="-10"/>
        </w:rPr>
        <w:t xml:space="preserve"> </w:t>
      </w:r>
      <w:r>
        <w:t xml:space="preserve">gestión </w:t>
      </w:r>
      <w:r>
        <w:rPr>
          <w:spacing w:val="-58"/>
        </w:rPr>
        <w:t xml:space="preserve"> </w:t>
      </w:r>
      <w:r>
        <w:rPr>
          <w:spacing w:val="-1"/>
        </w:rPr>
        <w:t>contractual,</w:t>
      </w:r>
      <w:r>
        <w:rPr>
          <w:spacing w:val="-15"/>
        </w:rPr>
        <w:t xml:space="preserve"> </w:t>
      </w:r>
      <w:r>
        <w:rPr>
          <w:spacing w:val="-1"/>
        </w:rPr>
        <w:t>la</w:t>
      </w:r>
      <w:r>
        <w:rPr>
          <w:spacing w:val="-15"/>
        </w:rPr>
        <w:t xml:space="preserve"> </w:t>
      </w:r>
      <w:r>
        <w:rPr>
          <w:spacing w:val="-1"/>
        </w:rPr>
        <w:t>entidad</w:t>
      </w:r>
      <w:r>
        <w:rPr>
          <w:spacing w:val="-16"/>
        </w:rPr>
        <w:t xml:space="preserve"> </w:t>
      </w:r>
      <w:r>
        <w:rPr>
          <w:spacing w:val="-1"/>
        </w:rPr>
        <w:t>debe</w:t>
      </w:r>
      <w:r>
        <w:rPr>
          <w:spacing w:val="-16"/>
        </w:rPr>
        <w:t xml:space="preserve"> </w:t>
      </w:r>
      <w:r>
        <w:t>optar</w:t>
      </w:r>
      <w:r>
        <w:rPr>
          <w:spacing w:val="-19"/>
        </w:rPr>
        <w:t xml:space="preserve"> </w:t>
      </w:r>
      <w:r>
        <w:t>por</w:t>
      </w:r>
      <w:r>
        <w:rPr>
          <w:spacing w:val="-19"/>
        </w:rPr>
        <w:t xml:space="preserve"> </w:t>
      </w:r>
      <w:r>
        <w:t>la</w:t>
      </w:r>
      <w:r>
        <w:rPr>
          <w:spacing w:val="-16"/>
        </w:rPr>
        <w:t xml:space="preserve"> </w:t>
      </w:r>
      <w:r>
        <w:t>modalidad</w:t>
      </w:r>
      <w:r>
        <w:rPr>
          <w:spacing w:val="-16"/>
        </w:rPr>
        <w:t xml:space="preserve"> </w:t>
      </w:r>
      <w:r>
        <w:lastRenderedPageBreak/>
        <w:t>de</w:t>
      </w:r>
      <w:r>
        <w:rPr>
          <w:spacing w:val="-16"/>
        </w:rPr>
        <w:t xml:space="preserve"> </w:t>
      </w:r>
      <w:r>
        <w:t>contratación</w:t>
      </w:r>
      <w:r>
        <w:rPr>
          <w:spacing w:val="-16"/>
        </w:rPr>
        <w:t xml:space="preserve"> </w:t>
      </w:r>
      <w:r>
        <w:t>de</w:t>
      </w:r>
      <w:r>
        <w:rPr>
          <w:spacing w:val="-16"/>
        </w:rPr>
        <w:t xml:space="preserve"> </w:t>
      </w:r>
      <w:r>
        <w:t>selección</w:t>
      </w:r>
      <w:r>
        <w:rPr>
          <w:spacing w:val="-16"/>
        </w:rPr>
        <w:t xml:space="preserve"> </w:t>
      </w:r>
      <w:r>
        <w:t>abreviada</w:t>
      </w:r>
      <w:r>
        <w:rPr>
          <w:spacing w:val="-16"/>
        </w:rPr>
        <w:t xml:space="preserve"> </w:t>
      </w:r>
      <w:r>
        <w:t>con</w:t>
      </w:r>
      <w:r>
        <w:rPr>
          <w:spacing w:val="-16"/>
        </w:rPr>
        <w:t xml:space="preserve"> </w:t>
      </w:r>
      <w:r>
        <w:t>subasta</w:t>
      </w:r>
      <w:r>
        <w:rPr>
          <w:spacing w:val="-16"/>
        </w:rPr>
        <w:t xml:space="preserve"> </w:t>
      </w:r>
      <w:r>
        <w:t>inversa,</w:t>
      </w:r>
      <w:r>
        <w:rPr>
          <w:spacing w:val="-58"/>
        </w:rPr>
        <w:t xml:space="preserve"> </w:t>
      </w:r>
      <w:r>
        <w:t>precios</w:t>
      </w:r>
      <w:r>
        <w:rPr>
          <w:spacing w:val="-1"/>
        </w:rPr>
        <w:t xml:space="preserve"> </w:t>
      </w:r>
      <w:r>
        <w:t>unitarios y monto agotable.</w:t>
      </w:r>
    </w:p>
    <w:p w14:paraId="5A2854A9" w14:textId="77777777" w:rsidR="00F13E32" w:rsidRDefault="00F13E32" w:rsidP="00F13E32">
      <w:pPr>
        <w:pStyle w:val="TableParagraph"/>
      </w:pPr>
    </w:p>
    <w:p w14:paraId="5844CADC" w14:textId="77777777" w:rsidR="00F13E32" w:rsidRDefault="00F13E32" w:rsidP="00F13E32">
      <w:pPr>
        <w:pStyle w:val="TableParagraph"/>
        <w:ind w:left="22" w:right="42"/>
        <w:jc w:val="both"/>
      </w:pPr>
      <w:r>
        <w:t>En conclusión, existe un número aceptable de proveedores que prestan el servicio requerido, con las</w:t>
      </w:r>
      <w:r>
        <w:rPr>
          <w:spacing w:val="1"/>
        </w:rPr>
        <w:t xml:space="preserve"> </w:t>
      </w:r>
      <w:r>
        <w:t>especificaciones técnicas que necesita la Entidad, lo que permite prever del presente análisis que el proceso</w:t>
      </w:r>
      <w:r>
        <w:rPr>
          <w:spacing w:val="1"/>
        </w:rPr>
        <w:t xml:space="preserve"> </w:t>
      </w:r>
      <w:r>
        <w:t>concluirá</w:t>
      </w:r>
      <w:r>
        <w:rPr>
          <w:spacing w:val="-1"/>
        </w:rPr>
        <w:t xml:space="preserve"> </w:t>
      </w:r>
      <w:r>
        <w:t>con éxito.</w:t>
      </w:r>
    </w:p>
    <w:p w14:paraId="6227303D" w14:textId="77777777" w:rsidR="00F13E32" w:rsidRDefault="00F13E32" w:rsidP="00F13E32">
      <w:pPr>
        <w:pStyle w:val="TableParagraph"/>
      </w:pPr>
    </w:p>
    <w:p w14:paraId="4D91C359" w14:textId="18B38004" w:rsidR="00C74C38" w:rsidRPr="00F13E32" w:rsidRDefault="00F13E32" w:rsidP="00F13E32">
      <w:pPr>
        <w:jc w:val="both"/>
        <w:rPr>
          <w:rFonts w:ascii="Arial" w:eastAsia="Arial" w:hAnsi="Arial" w:cs="Arial"/>
          <w:sz w:val="22"/>
          <w:szCs w:val="22"/>
          <w:lang w:eastAsia="en-US"/>
        </w:rPr>
      </w:pPr>
      <w:r w:rsidRPr="00F13E32">
        <w:rPr>
          <w:rFonts w:ascii="Arial" w:hAnsi="Arial" w:cs="Arial"/>
          <w:sz w:val="22"/>
        </w:rPr>
        <w:t>En ese orden de ideas, el resultado de los diferentes componentes abarcados por este estudio, servirán de</w:t>
      </w:r>
      <w:r w:rsidRPr="00F13E32">
        <w:rPr>
          <w:rFonts w:ascii="Arial" w:hAnsi="Arial" w:cs="Arial"/>
          <w:spacing w:val="1"/>
          <w:sz w:val="22"/>
        </w:rPr>
        <w:t xml:space="preserve"> </w:t>
      </w:r>
      <w:r w:rsidRPr="00F13E32">
        <w:rPr>
          <w:rFonts w:ascii="Arial" w:hAnsi="Arial" w:cs="Arial"/>
          <w:spacing w:val="-1"/>
          <w:sz w:val="22"/>
        </w:rPr>
        <w:t>insumo</w:t>
      </w:r>
      <w:r w:rsidRPr="00F13E32">
        <w:rPr>
          <w:rFonts w:ascii="Arial" w:hAnsi="Arial" w:cs="Arial"/>
          <w:spacing w:val="-8"/>
          <w:sz w:val="22"/>
        </w:rPr>
        <w:t xml:space="preserve"> </w:t>
      </w:r>
      <w:r w:rsidRPr="00F13E32">
        <w:rPr>
          <w:rFonts w:ascii="Arial" w:hAnsi="Arial" w:cs="Arial"/>
          <w:spacing w:val="-1"/>
          <w:sz w:val="22"/>
        </w:rPr>
        <w:t>para</w:t>
      </w:r>
      <w:r w:rsidRPr="00F13E32">
        <w:rPr>
          <w:rFonts w:ascii="Arial" w:hAnsi="Arial" w:cs="Arial"/>
          <w:spacing w:val="-8"/>
          <w:sz w:val="22"/>
        </w:rPr>
        <w:t xml:space="preserve"> </w:t>
      </w:r>
      <w:r w:rsidRPr="00F13E32">
        <w:rPr>
          <w:rFonts w:ascii="Arial" w:hAnsi="Arial" w:cs="Arial"/>
          <w:spacing w:val="-1"/>
          <w:sz w:val="22"/>
        </w:rPr>
        <w:t>la</w:t>
      </w:r>
      <w:r w:rsidRPr="00F13E32">
        <w:rPr>
          <w:rFonts w:ascii="Arial" w:hAnsi="Arial" w:cs="Arial"/>
          <w:spacing w:val="-7"/>
          <w:sz w:val="22"/>
        </w:rPr>
        <w:t xml:space="preserve"> </w:t>
      </w:r>
      <w:r w:rsidRPr="00F13E32">
        <w:rPr>
          <w:rFonts w:ascii="Arial" w:hAnsi="Arial" w:cs="Arial"/>
          <w:spacing w:val="-1"/>
          <w:sz w:val="22"/>
        </w:rPr>
        <w:t>elaboración</w:t>
      </w:r>
      <w:r w:rsidRPr="00F13E32">
        <w:rPr>
          <w:rFonts w:ascii="Arial" w:hAnsi="Arial" w:cs="Arial"/>
          <w:spacing w:val="-8"/>
          <w:sz w:val="22"/>
        </w:rPr>
        <w:t xml:space="preserve"> </w:t>
      </w:r>
      <w:r w:rsidRPr="00F13E32">
        <w:rPr>
          <w:rFonts w:ascii="Arial" w:hAnsi="Arial" w:cs="Arial"/>
          <w:spacing w:val="-1"/>
          <w:sz w:val="22"/>
        </w:rPr>
        <w:t>del</w:t>
      </w:r>
      <w:r w:rsidRPr="00F13E32">
        <w:rPr>
          <w:rFonts w:ascii="Arial" w:hAnsi="Arial" w:cs="Arial"/>
          <w:spacing w:val="-15"/>
          <w:sz w:val="22"/>
        </w:rPr>
        <w:t xml:space="preserve"> </w:t>
      </w:r>
      <w:r w:rsidRPr="00F13E32">
        <w:rPr>
          <w:rFonts w:ascii="Arial" w:hAnsi="Arial" w:cs="Arial"/>
          <w:spacing w:val="-1"/>
          <w:sz w:val="22"/>
        </w:rPr>
        <w:t>documento</w:t>
      </w:r>
      <w:r w:rsidRPr="00F13E32">
        <w:rPr>
          <w:rFonts w:ascii="Arial" w:hAnsi="Arial" w:cs="Arial"/>
          <w:spacing w:val="-7"/>
          <w:sz w:val="22"/>
        </w:rPr>
        <w:t xml:space="preserve"> </w:t>
      </w:r>
      <w:r w:rsidRPr="00F13E32">
        <w:rPr>
          <w:rFonts w:ascii="Arial" w:hAnsi="Arial" w:cs="Arial"/>
          <w:spacing w:val="-1"/>
          <w:sz w:val="22"/>
        </w:rPr>
        <w:t>de</w:t>
      </w:r>
      <w:r w:rsidRPr="00F13E32">
        <w:rPr>
          <w:rFonts w:ascii="Arial" w:hAnsi="Arial" w:cs="Arial"/>
          <w:spacing w:val="-12"/>
          <w:sz w:val="22"/>
        </w:rPr>
        <w:t xml:space="preserve"> </w:t>
      </w:r>
      <w:r w:rsidRPr="00F13E32">
        <w:rPr>
          <w:rFonts w:ascii="Arial" w:hAnsi="Arial" w:cs="Arial"/>
          <w:spacing w:val="-1"/>
          <w:sz w:val="22"/>
        </w:rPr>
        <w:t>estudios</w:t>
      </w:r>
      <w:r w:rsidRPr="00F13E32">
        <w:rPr>
          <w:rFonts w:ascii="Arial" w:hAnsi="Arial" w:cs="Arial"/>
          <w:spacing w:val="-8"/>
          <w:sz w:val="22"/>
        </w:rPr>
        <w:t xml:space="preserve"> </w:t>
      </w:r>
      <w:r w:rsidRPr="00F13E32">
        <w:rPr>
          <w:rFonts w:ascii="Arial" w:hAnsi="Arial" w:cs="Arial"/>
          <w:spacing w:val="-1"/>
          <w:sz w:val="22"/>
        </w:rPr>
        <w:t>previos,</w:t>
      </w:r>
      <w:r w:rsidRPr="00F13E32">
        <w:rPr>
          <w:rFonts w:ascii="Arial" w:hAnsi="Arial" w:cs="Arial"/>
          <w:spacing w:val="-10"/>
          <w:sz w:val="22"/>
        </w:rPr>
        <w:t xml:space="preserve"> </w:t>
      </w:r>
      <w:r w:rsidRPr="00F13E32">
        <w:rPr>
          <w:rFonts w:ascii="Arial" w:hAnsi="Arial" w:cs="Arial"/>
          <w:sz w:val="22"/>
        </w:rPr>
        <w:t>de</w:t>
      </w:r>
      <w:r w:rsidRPr="00F13E32">
        <w:rPr>
          <w:rFonts w:ascii="Arial" w:hAnsi="Arial" w:cs="Arial"/>
          <w:spacing w:val="-8"/>
          <w:sz w:val="22"/>
        </w:rPr>
        <w:t xml:space="preserve"> </w:t>
      </w:r>
      <w:r w:rsidRPr="00F13E32">
        <w:rPr>
          <w:rFonts w:ascii="Arial" w:hAnsi="Arial" w:cs="Arial"/>
          <w:sz w:val="22"/>
        </w:rPr>
        <w:t>que</w:t>
      </w:r>
      <w:r w:rsidRPr="00F13E32">
        <w:rPr>
          <w:rFonts w:ascii="Arial" w:hAnsi="Arial" w:cs="Arial"/>
          <w:spacing w:val="-8"/>
          <w:sz w:val="22"/>
        </w:rPr>
        <w:t xml:space="preserve"> </w:t>
      </w:r>
      <w:r w:rsidRPr="00F13E32">
        <w:rPr>
          <w:rFonts w:ascii="Arial" w:hAnsi="Arial" w:cs="Arial"/>
          <w:sz w:val="22"/>
        </w:rPr>
        <w:t>trata</w:t>
      </w:r>
      <w:r w:rsidRPr="00F13E32">
        <w:rPr>
          <w:rFonts w:ascii="Arial" w:hAnsi="Arial" w:cs="Arial"/>
          <w:spacing w:val="-7"/>
          <w:sz w:val="22"/>
        </w:rPr>
        <w:t xml:space="preserve"> </w:t>
      </w:r>
      <w:r w:rsidRPr="00F13E32">
        <w:rPr>
          <w:rFonts w:ascii="Arial" w:hAnsi="Arial" w:cs="Arial"/>
          <w:sz w:val="22"/>
        </w:rPr>
        <w:t>el</w:t>
      </w:r>
      <w:r w:rsidRPr="00F13E32">
        <w:rPr>
          <w:rFonts w:ascii="Arial" w:hAnsi="Arial" w:cs="Arial"/>
          <w:spacing w:val="-15"/>
          <w:sz w:val="22"/>
        </w:rPr>
        <w:t xml:space="preserve"> </w:t>
      </w:r>
      <w:r w:rsidRPr="00F13E32">
        <w:rPr>
          <w:rFonts w:ascii="Arial" w:hAnsi="Arial" w:cs="Arial"/>
          <w:sz w:val="22"/>
        </w:rPr>
        <w:t>artículo</w:t>
      </w:r>
      <w:r w:rsidRPr="00F13E32">
        <w:rPr>
          <w:rFonts w:ascii="Arial" w:hAnsi="Arial" w:cs="Arial"/>
          <w:spacing w:val="-8"/>
          <w:sz w:val="22"/>
        </w:rPr>
        <w:t xml:space="preserve"> </w:t>
      </w:r>
      <w:r w:rsidRPr="00F13E32">
        <w:rPr>
          <w:rFonts w:ascii="Arial" w:hAnsi="Arial" w:cs="Arial"/>
          <w:sz w:val="22"/>
        </w:rPr>
        <w:t>2.2.1.1.2.1.1</w:t>
      </w:r>
      <w:r w:rsidRPr="00F13E32">
        <w:rPr>
          <w:rFonts w:ascii="Arial" w:hAnsi="Arial" w:cs="Arial"/>
          <w:spacing w:val="-7"/>
          <w:sz w:val="22"/>
        </w:rPr>
        <w:t xml:space="preserve"> </w:t>
      </w:r>
      <w:r w:rsidRPr="00F13E32">
        <w:rPr>
          <w:rFonts w:ascii="Arial" w:hAnsi="Arial" w:cs="Arial"/>
          <w:sz w:val="22"/>
        </w:rPr>
        <w:t>de</w:t>
      </w:r>
      <w:r w:rsidRPr="00F13E32">
        <w:rPr>
          <w:rFonts w:ascii="Arial" w:hAnsi="Arial" w:cs="Arial"/>
          <w:spacing w:val="-8"/>
          <w:sz w:val="22"/>
        </w:rPr>
        <w:t xml:space="preserve"> </w:t>
      </w:r>
      <w:r w:rsidRPr="00F13E32">
        <w:rPr>
          <w:rFonts w:ascii="Arial" w:hAnsi="Arial" w:cs="Arial"/>
          <w:sz w:val="22"/>
        </w:rPr>
        <w:t>Decreto</w:t>
      </w:r>
      <w:r w:rsidRPr="00F13E32">
        <w:rPr>
          <w:rFonts w:ascii="Arial" w:hAnsi="Arial" w:cs="Arial"/>
          <w:spacing w:val="-59"/>
          <w:sz w:val="22"/>
        </w:rPr>
        <w:t xml:space="preserve"> </w:t>
      </w:r>
      <w:r w:rsidRPr="00F13E32">
        <w:rPr>
          <w:rFonts w:ascii="Arial" w:hAnsi="Arial" w:cs="Arial"/>
          <w:sz w:val="22"/>
        </w:rPr>
        <w:t>1082 de 2015, teniendo en cuenta la inclusión en tales cuerpos documentales de los requisitos habilitantes</w:t>
      </w:r>
      <w:r w:rsidRPr="00F13E32">
        <w:rPr>
          <w:rFonts w:ascii="Arial" w:hAnsi="Arial" w:cs="Arial"/>
          <w:spacing w:val="1"/>
          <w:sz w:val="22"/>
        </w:rPr>
        <w:t xml:space="preserve"> </w:t>
      </w:r>
      <w:r w:rsidRPr="00F13E32">
        <w:rPr>
          <w:rFonts w:ascii="Arial" w:hAnsi="Arial" w:cs="Arial"/>
          <w:spacing w:val="-1"/>
          <w:sz w:val="22"/>
        </w:rPr>
        <w:t>contenidos</w:t>
      </w:r>
      <w:r w:rsidRPr="00F13E32">
        <w:rPr>
          <w:rFonts w:ascii="Arial" w:hAnsi="Arial" w:cs="Arial"/>
          <w:spacing w:val="-12"/>
          <w:sz w:val="22"/>
        </w:rPr>
        <w:t xml:space="preserve"> </w:t>
      </w:r>
      <w:r w:rsidRPr="00F13E32">
        <w:rPr>
          <w:rFonts w:ascii="Arial" w:hAnsi="Arial" w:cs="Arial"/>
          <w:sz w:val="22"/>
        </w:rPr>
        <w:t>en</w:t>
      </w:r>
      <w:r w:rsidRPr="00F13E32">
        <w:rPr>
          <w:rFonts w:ascii="Arial" w:hAnsi="Arial" w:cs="Arial"/>
          <w:spacing w:val="-12"/>
          <w:sz w:val="22"/>
        </w:rPr>
        <w:t xml:space="preserve"> </w:t>
      </w:r>
      <w:r w:rsidRPr="00F13E32">
        <w:rPr>
          <w:rFonts w:ascii="Arial" w:hAnsi="Arial" w:cs="Arial"/>
          <w:sz w:val="22"/>
        </w:rPr>
        <w:t>el</w:t>
      </w:r>
      <w:r w:rsidRPr="00F13E32">
        <w:rPr>
          <w:rFonts w:ascii="Arial" w:hAnsi="Arial" w:cs="Arial"/>
          <w:spacing w:val="-19"/>
          <w:sz w:val="22"/>
        </w:rPr>
        <w:t xml:space="preserve"> </w:t>
      </w:r>
      <w:r w:rsidRPr="00F13E32">
        <w:rPr>
          <w:rFonts w:ascii="Arial" w:hAnsi="Arial" w:cs="Arial"/>
          <w:sz w:val="22"/>
        </w:rPr>
        <w:t>artículo</w:t>
      </w:r>
      <w:r w:rsidRPr="00F13E32">
        <w:rPr>
          <w:rFonts w:ascii="Arial" w:hAnsi="Arial" w:cs="Arial"/>
          <w:spacing w:val="-12"/>
          <w:sz w:val="22"/>
        </w:rPr>
        <w:t xml:space="preserve"> </w:t>
      </w:r>
      <w:r w:rsidRPr="00F13E32">
        <w:rPr>
          <w:rFonts w:ascii="Arial" w:hAnsi="Arial" w:cs="Arial"/>
          <w:sz w:val="22"/>
        </w:rPr>
        <w:t>5</w:t>
      </w:r>
      <w:r w:rsidRPr="00F13E32">
        <w:rPr>
          <w:rFonts w:ascii="Arial" w:hAnsi="Arial" w:cs="Arial"/>
          <w:spacing w:val="-7"/>
          <w:sz w:val="22"/>
        </w:rPr>
        <w:t xml:space="preserve"> </w:t>
      </w:r>
      <w:r w:rsidRPr="00F13E32">
        <w:rPr>
          <w:rFonts w:ascii="Arial" w:hAnsi="Arial" w:cs="Arial"/>
          <w:sz w:val="22"/>
        </w:rPr>
        <w:t>de</w:t>
      </w:r>
      <w:r w:rsidRPr="00F13E32">
        <w:rPr>
          <w:rFonts w:ascii="Arial" w:hAnsi="Arial" w:cs="Arial"/>
          <w:spacing w:val="-8"/>
          <w:sz w:val="22"/>
        </w:rPr>
        <w:t xml:space="preserve"> </w:t>
      </w:r>
      <w:r w:rsidRPr="00F13E32">
        <w:rPr>
          <w:rFonts w:ascii="Arial" w:hAnsi="Arial" w:cs="Arial"/>
          <w:sz w:val="22"/>
        </w:rPr>
        <w:t>la</w:t>
      </w:r>
      <w:r w:rsidRPr="00F13E32">
        <w:rPr>
          <w:rFonts w:ascii="Arial" w:hAnsi="Arial" w:cs="Arial"/>
          <w:spacing w:val="-12"/>
          <w:sz w:val="22"/>
        </w:rPr>
        <w:t xml:space="preserve"> </w:t>
      </w:r>
      <w:r w:rsidRPr="00F13E32">
        <w:rPr>
          <w:rFonts w:ascii="Arial" w:hAnsi="Arial" w:cs="Arial"/>
          <w:sz w:val="22"/>
        </w:rPr>
        <w:t>Ley</w:t>
      </w:r>
      <w:r w:rsidRPr="00F13E32">
        <w:rPr>
          <w:rFonts w:ascii="Arial" w:hAnsi="Arial" w:cs="Arial"/>
          <w:spacing w:val="-16"/>
          <w:sz w:val="22"/>
        </w:rPr>
        <w:t xml:space="preserve"> </w:t>
      </w:r>
      <w:r w:rsidRPr="00F13E32">
        <w:rPr>
          <w:rFonts w:ascii="Arial" w:hAnsi="Arial" w:cs="Arial"/>
          <w:sz w:val="22"/>
        </w:rPr>
        <w:t>1150</w:t>
      </w:r>
      <w:r w:rsidRPr="00F13E32">
        <w:rPr>
          <w:rFonts w:ascii="Arial" w:hAnsi="Arial" w:cs="Arial"/>
          <w:spacing w:val="-8"/>
          <w:sz w:val="22"/>
        </w:rPr>
        <w:t xml:space="preserve"> </w:t>
      </w:r>
      <w:r w:rsidRPr="00F13E32">
        <w:rPr>
          <w:rFonts w:ascii="Arial" w:hAnsi="Arial" w:cs="Arial"/>
          <w:sz w:val="22"/>
        </w:rPr>
        <w:t>y</w:t>
      </w:r>
      <w:r w:rsidRPr="00F13E32">
        <w:rPr>
          <w:rFonts w:ascii="Arial" w:hAnsi="Arial" w:cs="Arial"/>
          <w:spacing w:val="-15"/>
          <w:sz w:val="22"/>
        </w:rPr>
        <w:t xml:space="preserve"> </w:t>
      </w:r>
      <w:r w:rsidRPr="00F13E32">
        <w:rPr>
          <w:rFonts w:ascii="Arial" w:hAnsi="Arial" w:cs="Arial"/>
          <w:sz w:val="22"/>
        </w:rPr>
        <w:t>desarrollados</w:t>
      </w:r>
      <w:r w:rsidRPr="00F13E32">
        <w:rPr>
          <w:rFonts w:ascii="Arial" w:hAnsi="Arial" w:cs="Arial"/>
          <w:spacing w:val="-12"/>
          <w:sz w:val="22"/>
        </w:rPr>
        <w:t xml:space="preserve"> </w:t>
      </w:r>
      <w:r w:rsidRPr="00F13E32">
        <w:rPr>
          <w:rFonts w:ascii="Arial" w:hAnsi="Arial" w:cs="Arial"/>
          <w:sz w:val="22"/>
        </w:rPr>
        <w:t>en</w:t>
      </w:r>
      <w:r w:rsidRPr="00F13E32">
        <w:rPr>
          <w:rFonts w:ascii="Arial" w:hAnsi="Arial" w:cs="Arial"/>
          <w:spacing w:val="-12"/>
          <w:sz w:val="22"/>
        </w:rPr>
        <w:t xml:space="preserve"> </w:t>
      </w:r>
      <w:r w:rsidRPr="00F13E32">
        <w:rPr>
          <w:rFonts w:ascii="Arial" w:hAnsi="Arial" w:cs="Arial"/>
          <w:sz w:val="22"/>
        </w:rPr>
        <w:t>el</w:t>
      </w:r>
      <w:r w:rsidRPr="00F13E32">
        <w:rPr>
          <w:rFonts w:ascii="Arial" w:hAnsi="Arial" w:cs="Arial"/>
          <w:spacing w:val="-15"/>
          <w:sz w:val="22"/>
        </w:rPr>
        <w:t xml:space="preserve"> </w:t>
      </w:r>
      <w:r w:rsidRPr="00F13E32">
        <w:rPr>
          <w:rFonts w:ascii="Arial" w:hAnsi="Arial" w:cs="Arial"/>
          <w:sz w:val="22"/>
        </w:rPr>
        <w:t>artículo</w:t>
      </w:r>
      <w:r w:rsidRPr="00F13E32">
        <w:rPr>
          <w:rFonts w:ascii="Arial" w:hAnsi="Arial" w:cs="Arial"/>
          <w:spacing w:val="-8"/>
          <w:sz w:val="22"/>
        </w:rPr>
        <w:t xml:space="preserve"> </w:t>
      </w:r>
      <w:r w:rsidRPr="00F13E32">
        <w:rPr>
          <w:rFonts w:ascii="Arial" w:hAnsi="Arial" w:cs="Arial"/>
          <w:sz w:val="22"/>
        </w:rPr>
        <w:t>2.2.1.1.1.5.3</w:t>
      </w:r>
      <w:r w:rsidRPr="00F13E32">
        <w:rPr>
          <w:rFonts w:ascii="Arial" w:hAnsi="Arial" w:cs="Arial"/>
          <w:spacing w:val="-16"/>
          <w:sz w:val="22"/>
        </w:rPr>
        <w:t xml:space="preserve"> </w:t>
      </w:r>
      <w:r w:rsidRPr="00F13E32">
        <w:rPr>
          <w:rFonts w:ascii="Arial" w:hAnsi="Arial" w:cs="Arial"/>
          <w:sz w:val="22"/>
        </w:rPr>
        <w:t>del</w:t>
      </w:r>
      <w:r w:rsidRPr="00F13E32">
        <w:rPr>
          <w:rFonts w:ascii="Arial" w:hAnsi="Arial" w:cs="Arial"/>
          <w:spacing w:val="-14"/>
          <w:sz w:val="22"/>
        </w:rPr>
        <w:t xml:space="preserve"> </w:t>
      </w:r>
      <w:r w:rsidRPr="00F13E32">
        <w:rPr>
          <w:rFonts w:ascii="Arial" w:hAnsi="Arial" w:cs="Arial"/>
          <w:sz w:val="22"/>
        </w:rPr>
        <w:t>Decreto</w:t>
      </w:r>
      <w:r w:rsidRPr="00F13E32">
        <w:rPr>
          <w:rFonts w:ascii="Arial" w:hAnsi="Arial" w:cs="Arial"/>
          <w:spacing w:val="-12"/>
          <w:sz w:val="22"/>
        </w:rPr>
        <w:t xml:space="preserve"> </w:t>
      </w:r>
      <w:r w:rsidRPr="00F13E32">
        <w:rPr>
          <w:rFonts w:ascii="Arial" w:hAnsi="Arial" w:cs="Arial"/>
          <w:sz w:val="22"/>
        </w:rPr>
        <w:t>1082</w:t>
      </w:r>
      <w:r w:rsidRPr="00F13E32">
        <w:rPr>
          <w:rFonts w:ascii="Arial" w:hAnsi="Arial" w:cs="Arial"/>
          <w:spacing w:val="-12"/>
          <w:sz w:val="22"/>
        </w:rPr>
        <w:t xml:space="preserve"> </w:t>
      </w:r>
      <w:r w:rsidRPr="00F13E32">
        <w:rPr>
          <w:rFonts w:ascii="Arial" w:hAnsi="Arial" w:cs="Arial"/>
          <w:sz w:val="22"/>
        </w:rPr>
        <w:t>de</w:t>
      </w:r>
      <w:r w:rsidRPr="00F13E32">
        <w:rPr>
          <w:rFonts w:ascii="Arial" w:hAnsi="Arial" w:cs="Arial"/>
          <w:spacing w:val="-12"/>
          <w:sz w:val="22"/>
        </w:rPr>
        <w:t xml:space="preserve"> </w:t>
      </w:r>
      <w:r w:rsidRPr="00F13E32">
        <w:rPr>
          <w:rFonts w:ascii="Arial" w:hAnsi="Arial" w:cs="Arial"/>
          <w:sz w:val="22"/>
        </w:rPr>
        <w:t>2015,</w:t>
      </w:r>
      <w:r w:rsidRPr="00F13E32">
        <w:rPr>
          <w:rFonts w:ascii="Arial" w:hAnsi="Arial" w:cs="Arial"/>
          <w:spacing w:val="-58"/>
          <w:sz w:val="22"/>
        </w:rPr>
        <w:t xml:space="preserve"> </w:t>
      </w:r>
      <w:r w:rsidRPr="00F13E32">
        <w:rPr>
          <w:rFonts w:ascii="Arial" w:hAnsi="Arial" w:cs="Arial"/>
          <w:sz w:val="22"/>
        </w:rPr>
        <w:t>con el propósito que exista coherencia, proporcionalidad y razonabilidad en la exigencia de los mismos,</w:t>
      </w:r>
      <w:r w:rsidRPr="00F13E32">
        <w:rPr>
          <w:rFonts w:ascii="Arial" w:hAnsi="Arial" w:cs="Arial"/>
          <w:spacing w:val="1"/>
          <w:sz w:val="22"/>
        </w:rPr>
        <w:t xml:space="preserve"> </w:t>
      </w:r>
      <w:r w:rsidRPr="00F13E32">
        <w:rPr>
          <w:rFonts w:ascii="Arial" w:hAnsi="Arial" w:cs="Arial"/>
          <w:sz w:val="22"/>
        </w:rPr>
        <w:t xml:space="preserve">facilitando a la Dirección Ejecutiva Seccional de Administración Judicial de </w:t>
      </w:r>
      <w:r>
        <w:rPr>
          <w:rFonts w:ascii="Arial" w:hAnsi="Arial" w:cs="Arial"/>
          <w:sz w:val="22"/>
        </w:rPr>
        <w:t>Cúcuta</w:t>
      </w:r>
      <w:r w:rsidRPr="00F13E32">
        <w:rPr>
          <w:rFonts w:ascii="Arial" w:hAnsi="Arial" w:cs="Arial"/>
          <w:sz w:val="22"/>
        </w:rPr>
        <w:t xml:space="preserve"> seleccionar la</w:t>
      </w:r>
      <w:r w:rsidRPr="00F13E32">
        <w:rPr>
          <w:rFonts w:ascii="Arial" w:hAnsi="Arial" w:cs="Arial"/>
          <w:spacing w:val="1"/>
          <w:sz w:val="22"/>
        </w:rPr>
        <w:t xml:space="preserve"> </w:t>
      </w:r>
      <w:r w:rsidRPr="00F13E32">
        <w:rPr>
          <w:rFonts w:ascii="Arial" w:hAnsi="Arial" w:cs="Arial"/>
          <w:sz w:val="22"/>
        </w:rPr>
        <w:t>oferta</w:t>
      </w:r>
      <w:r w:rsidRPr="00F13E32">
        <w:rPr>
          <w:rFonts w:ascii="Arial" w:hAnsi="Arial" w:cs="Arial"/>
          <w:spacing w:val="-1"/>
          <w:sz w:val="22"/>
        </w:rPr>
        <w:t xml:space="preserve"> </w:t>
      </w:r>
      <w:r w:rsidRPr="00F13E32">
        <w:rPr>
          <w:rFonts w:ascii="Arial" w:hAnsi="Arial" w:cs="Arial"/>
          <w:sz w:val="22"/>
        </w:rPr>
        <w:t>más</w:t>
      </w:r>
      <w:r w:rsidRPr="00F13E32">
        <w:rPr>
          <w:rFonts w:ascii="Arial" w:hAnsi="Arial" w:cs="Arial"/>
          <w:spacing w:val="-1"/>
          <w:sz w:val="22"/>
        </w:rPr>
        <w:t xml:space="preserve"> </w:t>
      </w:r>
      <w:r w:rsidRPr="00F13E32">
        <w:rPr>
          <w:rFonts w:ascii="Arial" w:hAnsi="Arial" w:cs="Arial"/>
          <w:sz w:val="22"/>
        </w:rPr>
        <w:t>favorable,</w:t>
      </w:r>
      <w:r w:rsidRPr="00F13E32">
        <w:rPr>
          <w:rFonts w:ascii="Arial" w:hAnsi="Arial" w:cs="Arial"/>
          <w:spacing w:val="-1"/>
          <w:sz w:val="22"/>
        </w:rPr>
        <w:t xml:space="preserve"> </w:t>
      </w:r>
      <w:r w:rsidRPr="00F13E32">
        <w:rPr>
          <w:rFonts w:ascii="Arial" w:hAnsi="Arial" w:cs="Arial"/>
          <w:sz w:val="22"/>
        </w:rPr>
        <w:t>en</w:t>
      </w:r>
      <w:r w:rsidRPr="00F13E32">
        <w:rPr>
          <w:rFonts w:ascii="Arial" w:hAnsi="Arial" w:cs="Arial"/>
          <w:spacing w:val="-1"/>
          <w:sz w:val="22"/>
        </w:rPr>
        <w:t xml:space="preserve"> </w:t>
      </w:r>
      <w:r w:rsidRPr="00F13E32">
        <w:rPr>
          <w:rFonts w:ascii="Arial" w:hAnsi="Arial" w:cs="Arial"/>
          <w:sz w:val="22"/>
        </w:rPr>
        <w:t>términos de</w:t>
      </w:r>
      <w:r w:rsidRPr="00F13E32">
        <w:rPr>
          <w:rFonts w:ascii="Arial" w:hAnsi="Arial" w:cs="Arial"/>
          <w:spacing w:val="-1"/>
          <w:sz w:val="22"/>
        </w:rPr>
        <w:t xml:space="preserve"> </w:t>
      </w:r>
      <w:r w:rsidRPr="00F13E32">
        <w:rPr>
          <w:rFonts w:ascii="Arial" w:hAnsi="Arial" w:cs="Arial"/>
          <w:sz w:val="22"/>
        </w:rPr>
        <w:t>selección</w:t>
      </w:r>
      <w:r w:rsidRPr="00F13E32">
        <w:rPr>
          <w:rFonts w:ascii="Arial" w:hAnsi="Arial" w:cs="Arial"/>
          <w:spacing w:val="-1"/>
          <w:sz w:val="22"/>
        </w:rPr>
        <w:t xml:space="preserve"> </w:t>
      </w:r>
      <w:r w:rsidRPr="00F13E32">
        <w:rPr>
          <w:rFonts w:ascii="Arial" w:hAnsi="Arial" w:cs="Arial"/>
          <w:sz w:val="22"/>
        </w:rPr>
        <w:t>objetiva,</w:t>
      </w:r>
      <w:r w:rsidRPr="00F13E32">
        <w:rPr>
          <w:rFonts w:ascii="Arial" w:hAnsi="Arial" w:cs="Arial"/>
          <w:spacing w:val="-4"/>
          <w:sz w:val="22"/>
        </w:rPr>
        <w:t xml:space="preserve"> </w:t>
      </w:r>
      <w:r w:rsidRPr="00F13E32">
        <w:rPr>
          <w:rFonts w:ascii="Arial" w:hAnsi="Arial" w:cs="Arial"/>
          <w:sz w:val="22"/>
        </w:rPr>
        <w:t>para la</w:t>
      </w:r>
      <w:r w:rsidRPr="00F13E32">
        <w:rPr>
          <w:rFonts w:ascii="Arial" w:hAnsi="Arial" w:cs="Arial"/>
          <w:spacing w:val="-1"/>
          <w:sz w:val="22"/>
        </w:rPr>
        <w:t xml:space="preserve"> </w:t>
      </w:r>
      <w:r w:rsidRPr="00F13E32">
        <w:rPr>
          <w:rFonts w:ascii="Arial" w:hAnsi="Arial" w:cs="Arial"/>
          <w:sz w:val="22"/>
        </w:rPr>
        <w:t>escogencia</w:t>
      </w:r>
      <w:r w:rsidRPr="00F13E32">
        <w:rPr>
          <w:rFonts w:ascii="Arial" w:hAnsi="Arial" w:cs="Arial"/>
          <w:spacing w:val="-1"/>
          <w:sz w:val="22"/>
        </w:rPr>
        <w:t xml:space="preserve"> </w:t>
      </w:r>
      <w:r w:rsidRPr="00F13E32">
        <w:rPr>
          <w:rFonts w:ascii="Arial" w:hAnsi="Arial" w:cs="Arial"/>
          <w:sz w:val="22"/>
        </w:rPr>
        <w:t>del</w:t>
      </w:r>
      <w:r w:rsidRPr="00F13E32">
        <w:rPr>
          <w:rFonts w:ascii="Arial" w:hAnsi="Arial" w:cs="Arial"/>
          <w:spacing w:val="-7"/>
          <w:sz w:val="22"/>
        </w:rPr>
        <w:t xml:space="preserve"> </w:t>
      </w:r>
      <w:r w:rsidRPr="00F13E32">
        <w:rPr>
          <w:rFonts w:ascii="Arial" w:hAnsi="Arial" w:cs="Arial"/>
          <w:sz w:val="22"/>
        </w:rPr>
        <w:t>proveedor</w:t>
      </w:r>
      <w:r w:rsidR="000435B6">
        <w:rPr>
          <w:rFonts w:ascii="Arial" w:hAnsi="Arial" w:cs="Arial"/>
          <w:sz w:val="22"/>
        </w:rPr>
        <w:t>.</w:t>
      </w:r>
    </w:p>
    <w:p w14:paraId="00C6988B" w14:textId="69D11FFC" w:rsidR="00CF6E8D" w:rsidRPr="001F130D" w:rsidRDefault="00CF6E8D" w:rsidP="00CF6E8D">
      <w:pPr>
        <w:jc w:val="both"/>
        <w:rPr>
          <w:rFonts w:ascii="Arial" w:hAnsi="Arial" w:cs="Arial"/>
          <w:b/>
          <w:bCs/>
          <w:sz w:val="22"/>
          <w:szCs w:val="22"/>
        </w:rPr>
      </w:pPr>
    </w:p>
    <w:p w14:paraId="4974B16E" w14:textId="673C0EC0" w:rsidR="00CF6E8D" w:rsidRDefault="00CF6E8D" w:rsidP="000C04D7">
      <w:pPr>
        <w:jc w:val="center"/>
        <w:rPr>
          <w:rFonts w:ascii="Arial" w:hAnsi="Arial" w:cs="Arial"/>
          <w:b/>
          <w:bCs/>
          <w:sz w:val="22"/>
          <w:szCs w:val="22"/>
        </w:rPr>
      </w:pPr>
    </w:p>
    <w:p w14:paraId="060EC40E" w14:textId="77777777" w:rsidR="00BB1CE3" w:rsidRDefault="00BB1CE3" w:rsidP="000C04D7">
      <w:pPr>
        <w:jc w:val="center"/>
        <w:rPr>
          <w:rFonts w:ascii="Arial" w:hAnsi="Arial" w:cs="Arial"/>
          <w:b/>
          <w:bCs/>
          <w:sz w:val="22"/>
          <w:szCs w:val="22"/>
        </w:rPr>
      </w:pPr>
    </w:p>
    <w:bookmarkEnd w:id="0"/>
    <w:p w14:paraId="61697D4A" w14:textId="77777777" w:rsidR="003A79F4" w:rsidRPr="001F130D" w:rsidRDefault="003A79F4" w:rsidP="003A79F4">
      <w:pPr>
        <w:tabs>
          <w:tab w:val="left" w:pos="7938"/>
          <w:tab w:val="left" w:pos="8080"/>
        </w:tabs>
        <w:ind w:right="51"/>
        <w:jc w:val="both"/>
        <w:rPr>
          <w:rFonts w:ascii="Arial" w:hAnsi="Arial" w:cs="Arial"/>
          <w:b/>
          <w:bCs/>
          <w:sz w:val="22"/>
          <w:szCs w:val="22"/>
          <w:lang w:val="es-MX"/>
        </w:rPr>
      </w:pPr>
    </w:p>
    <w:tbl>
      <w:tblPr>
        <w:tblStyle w:val="TableNormal"/>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38"/>
        <w:gridCol w:w="2678"/>
        <w:gridCol w:w="2436"/>
        <w:gridCol w:w="1548"/>
      </w:tblGrid>
      <w:tr w:rsidR="003A79F4" w:rsidRPr="001F130D" w14:paraId="1277A9A1" w14:textId="77777777" w:rsidTr="00E45CFB">
        <w:trPr>
          <w:trHeight w:val="174"/>
        </w:trPr>
        <w:tc>
          <w:tcPr>
            <w:tcW w:w="1938" w:type="dxa"/>
            <w:tcBorders>
              <w:top w:val="single" w:sz="4" w:space="0" w:color="000000"/>
              <w:left w:val="single" w:sz="4" w:space="0" w:color="000000"/>
              <w:bottom w:val="single" w:sz="4" w:space="0" w:color="000000"/>
              <w:right w:val="single" w:sz="4" w:space="0" w:color="000000"/>
            </w:tcBorders>
          </w:tcPr>
          <w:p w14:paraId="26F87A64" w14:textId="77777777" w:rsidR="003A79F4" w:rsidRPr="001F130D" w:rsidRDefault="003A79F4" w:rsidP="00E45CFB">
            <w:pPr>
              <w:pStyle w:val="TableParagraph"/>
              <w:spacing w:before="1"/>
            </w:pPr>
          </w:p>
          <w:p w14:paraId="257C277F" w14:textId="77777777" w:rsidR="003A79F4" w:rsidRPr="001F130D" w:rsidRDefault="003A79F4" w:rsidP="00E45CFB">
            <w:pPr>
              <w:pStyle w:val="TableParagraph"/>
              <w:ind w:right="-57"/>
              <w:jc w:val="center"/>
            </w:pPr>
            <w:r w:rsidRPr="001F130D">
              <w:t>Aprobaciones</w:t>
            </w:r>
          </w:p>
        </w:tc>
        <w:tc>
          <w:tcPr>
            <w:tcW w:w="2678" w:type="dxa"/>
            <w:tcBorders>
              <w:top w:val="single" w:sz="4" w:space="0" w:color="000000"/>
              <w:left w:val="single" w:sz="4" w:space="0" w:color="000000"/>
              <w:bottom w:val="single" w:sz="4" w:space="0" w:color="000000"/>
              <w:right w:val="single" w:sz="4" w:space="0" w:color="000000"/>
            </w:tcBorders>
          </w:tcPr>
          <w:p w14:paraId="2703EC75" w14:textId="77777777" w:rsidR="003A79F4" w:rsidRPr="001F130D" w:rsidRDefault="003A79F4" w:rsidP="00E45CFB">
            <w:pPr>
              <w:pStyle w:val="TableParagraph"/>
              <w:spacing w:before="1"/>
            </w:pPr>
          </w:p>
          <w:p w14:paraId="5C931C9E" w14:textId="77777777" w:rsidR="003A79F4" w:rsidRPr="001F130D" w:rsidRDefault="003A79F4" w:rsidP="00E45CFB">
            <w:pPr>
              <w:pStyle w:val="TableParagraph"/>
              <w:jc w:val="center"/>
            </w:pPr>
            <w:r w:rsidRPr="001F130D">
              <w:t>Nombres y</w:t>
            </w:r>
            <w:r w:rsidRPr="001F130D">
              <w:rPr>
                <w:spacing w:val="-5"/>
              </w:rPr>
              <w:t xml:space="preserve"> </w:t>
            </w:r>
            <w:r w:rsidRPr="001F130D">
              <w:t>Apellidos</w:t>
            </w:r>
          </w:p>
        </w:tc>
        <w:tc>
          <w:tcPr>
            <w:tcW w:w="2436" w:type="dxa"/>
            <w:tcBorders>
              <w:top w:val="single" w:sz="4" w:space="0" w:color="000000"/>
              <w:left w:val="single" w:sz="4" w:space="0" w:color="000000"/>
              <w:bottom w:val="single" w:sz="4" w:space="0" w:color="000000"/>
              <w:right w:val="single" w:sz="4" w:space="0" w:color="000000"/>
            </w:tcBorders>
          </w:tcPr>
          <w:p w14:paraId="12BDCA9E" w14:textId="77777777" w:rsidR="003A79F4" w:rsidRPr="001F130D" w:rsidRDefault="003A79F4" w:rsidP="00E45CFB">
            <w:pPr>
              <w:pStyle w:val="TableParagraph"/>
              <w:spacing w:before="1"/>
            </w:pPr>
          </w:p>
          <w:p w14:paraId="1612D47C" w14:textId="77777777" w:rsidR="003A79F4" w:rsidRPr="001F130D" w:rsidRDefault="003A79F4" w:rsidP="00E45CFB">
            <w:pPr>
              <w:pStyle w:val="TableParagraph"/>
              <w:jc w:val="center"/>
            </w:pPr>
            <w:r w:rsidRPr="001F130D">
              <w:t>Cargo</w:t>
            </w:r>
            <w:r w:rsidRPr="001F130D">
              <w:rPr>
                <w:spacing w:val="-1"/>
              </w:rPr>
              <w:t xml:space="preserve"> </w:t>
            </w:r>
            <w:r w:rsidRPr="001F130D">
              <w:t>-</w:t>
            </w:r>
            <w:r w:rsidRPr="001F130D">
              <w:rPr>
                <w:spacing w:val="-2"/>
              </w:rPr>
              <w:t xml:space="preserve"> </w:t>
            </w:r>
            <w:r w:rsidRPr="001F130D">
              <w:t>Dependencia</w:t>
            </w:r>
          </w:p>
        </w:tc>
        <w:tc>
          <w:tcPr>
            <w:tcW w:w="1548" w:type="dxa"/>
            <w:tcBorders>
              <w:top w:val="single" w:sz="4" w:space="0" w:color="000000"/>
              <w:left w:val="single" w:sz="4" w:space="0" w:color="000000"/>
              <w:bottom w:val="single" w:sz="4" w:space="0" w:color="000000"/>
              <w:right w:val="single" w:sz="4" w:space="0" w:color="000000"/>
            </w:tcBorders>
          </w:tcPr>
          <w:p w14:paraId="6B6E5EA7" w14:textId="77777777" w:rsidR="003A79F4" w:rsidRPr="001F130D" w:rsidRDefault="003A79F4" w:rsidP="00E45CFB">
            <w:pPr>
              <w:pStyle w:val="TableParagraph"/>
              <w:spacing w:before="1"/>
            </w:pPr>
          </w:p>
          <w:p w14:paraId="0432230F" w14:textId="77777777" w:rsidR="003A79F4" w:rsidRPr="001F130D" w:rsidRDefault="003A79F4" w:rsidP="00E45CFB">
            <w:pPr>
              <w:pStyle w:val="TableParagraph"/>
              <w:jc w:val="center"/>
            </w:pPr>
            <w:r w:rsidRPr="001F130D">
              <w:t>Firma</w:t>
            </w:r>
          </w:p>
        </w:tc>
      </w:tr>
      <w:tr w:rsidR="003A79F4" w:rsidRPr="001F130D" w14:paraId="616B45CA" w14:textId="77777777" w:rsidTr="00E45CFB">
        <w:trPr>
          <w:trHeight w:val="423"/>
        </w:trPr>
        <w:tc>
          <w:tcPr>
            <w:tcW w:w="1938" w:type="dxa"/>
            <w:tcBorders>
              <w:top w:val="single" w:sz="4" w:space="0" w:color="000000"/>
              <w:left w:val="single" w:sz="4" w:space="0" w:color="000000"/>
              <w:bottom w:val="single" w:sz="4" w:space="0" w:color="000000"/>
              <w:right w:val="single" w:sz="4" w:space="0" w:color="000000"/>
            </w:tcBorders>
            <w:vAlign w:val="center"/>
            <w:hideMark/>
          </w:tcPr>
          <w:p w14:paraId="13B33B4A" w14:textId="77777777" w:rsidR="003A79F4" w:rsidRPr="001F130D" w:rsidRDefault="003A79F4" w:rsidP="00E45CFB">
            <w:pPr>
              <w:pStyle w:val="TableParagraph"/>
              <w:spacing w:before="110"/>
              <w:jc w:val="center"/>
            </w:pPr>
            <w:r w:rsidRPr="001F130D">
              <w:t>Revisó y aprobó:</w:t>
            </w:r>
          </w:p>
        </w:tc>
        <w:tc>
          <w:tcPr>
            <w:tcW w:w="2678" w:type="dxa"/>
            <w:tcBorders>
              <w:top w:val="single" w:sz="4" w:space="0" w:color="000000"/>
              <w:left w:val="single" w:sz="4" w:space="0" w:color="000000"/>
              <w:bottom w:val="single" w:sz="4" w:space="0" w:color="000000"/>
              <w:right w:val="single" w:sz="4" w:space="0" w:color="000000"/>
            </w:tcBorders>
            <w:vAlign w:val="center"/>
            <w:hideMark/>
          </w:tcPr>
          <w:p w14:paraId="5DF64964" w14:textId="7A19F580" w:rsidR="003A79F4" w:rsidRPr="001F130D" w:rsidRDefault="00F13E32" w:rsidP="00E45CFB">
            <w:pPr>
              <w:pStyle w:val="TableParagraph"/>
              <w:jc w:val="center"/>
            </w:pPr>
            <w:r>
              <w:t>ANA ISABEL VALENCIA SOLANO</w:t>
            </w:r>
          </w:p>
        </w:tc>
        <w:tc>
          <w:tcPr>
            <w:tcW w:w="2436" w:type="dxa"/>
            <w:tcBorders>
              <w:top w:val="single" w:sz="4" w:space="0" w:color="000000"/>
              <w:left w:val="single" w:sz="4" w:space="0" w:color="000000"/>
              <w:bottom w:val="single" w:sz="4" w:space="0" w:color="000000"/>
              <w:right w:val="single" w:sz="4" w:space="0" w:color="000000"/>
            </w:tcBorders>
            <w:hideMark/>
          </w:tcPr>
          <w:p w14:paraId="4C6A746B" w14:textId="50EC2EBA" w:rsidR="003A79F4" w:rsidRPr="001F130D" w:rsidRDefault="003A79F4" w:rsidP="00E45CFB">
            <w:pPr>
              <w:pStyle w:val="TableParagraph"/>
              <w:spacing w:before="140" w:line="232" w:lineRule="auto"/>
              <w:jc w:val="center"/>
            </w:pPr>
            <w:r w:rsidRPr="001F130D">
              <w:t>Coordinador</w:t>
            </w:r>
            <w:r w:rsidR="00F13E32">
              <w:t>a</w:t>
            </w:r>
            <w:r w:rsidRPr="001F130D">
              <w:t xml:space="preserve"> Área</w:t>
            </w:r>
            <w:r w:rsidRPr="001F130D">
              <w:rPr>
                <w:spacing w:val="-42"/>
              </w:rPr>
              <w:t xml:space="preserve"> </w:t>
            </w:r>
            <w:r w:rsidRPr="001F130D">
              <w:t>Administrativa</w:t>
            </w:r>
          </w:p>
        </w:tc>
        <w:tc>
          <w:tcPr>
            <w:tcW w:w="1548" w:type="dxa"/>
            <w:tcBorders>
              <w:top w:val="single" w:sz="4" w:space="0" w:color="000000"/>
              <w:left w:val="single" w:sz="4" w:space="0" w:color="000000"/>
              <w:bottom w:val="single" w:sz="4" w:space="0" w:color="000000"/>
              <w:right w:val="single" w:sz="4" w:space="0" w:color="000000"/>
            </w:tcBorders>
            <w:hideMark/>
          </w:tcPr>
          <w:p w14:paraId="2B0106B6" w14:textId="085BFC2E" w:rsidR="003A79F4" w:rsidRPr="00E14EA5" w:rsidRDefault="00E14EA5" w:rsidP="00E14EA5">
            <w:pPr>
              <w:pStyle w:val="TableParagraph"/>
              <w:jc w:val="center"/>
              <w:rPr>
                <w:sz w:val="18"/>
                <w:szCs w:val="18"/>
                <w:lang w:val="en-US"/>
              </w:rPr>
            </w:pPr>
            <w:r w:rsidRPr="00E14EA5">
              <w:rPr>
                <w:sz w:val="18"/>
                <w:szCs w:val="18"/>
              </w:rPr>
              <w:t>(Aprobado por correo electrónico)</w:t>
            </w:r>
          </w:p>
        </w:tc>
      </w:tr>
    </w:tbl>
    <w:p w14:paraId="6B612FC5" w14:textId="77777777" w:rsidR="003A79F4" w:rsidRPr="001F130D" w:rsidRDefault="003A79F4" w:rsidP="003A79F4">
      <w:pPr>
        <w:tabs>
          <w:tab w:val="left" w:pos="7938"/>
          <w:tab w:val="left" w:pos="8080"/>
        </w:tabs>
        <w:ind w:right="51"/>
        <w:jc w:val="both"/>
        <w:rPr>
          <w:rFonts w:ascii="Arial" w:hAnsi="Arial" w:cs="Arial"/>
          <w:b/>
          <w:bCs/>
          <w:sz w:val="22"/>
          <w:szCs w:val="22"/>
          <w:lang w:val="es-MX"/>
        </w:rPr>
      </w:pPr>
    </w:p>
    <w:p w14:paraId="3BA78C88" w14:textId="77777777" w:rsidR="00287263" w:rsidRPr="001F130D" w:rsidRDefault="00287263" w:rsidP="003A79F4">
      <w:pPr>
        <w:tabs>
          <w:tab w:val="left" w:pos="7938"/>
          <w:tab w:val="left" w:pos="8080"/>
        </w:tabs>
        <w:ind w:right="51"/>
        <w:jc w:val="both"/>
        <w:rPr>
          <w:rFonts w:ascii="Arial" w:hAnsi="Arial" w:cs="Arial"/>
          <w:sz w:val="22"/>
          <w:szCs w:val="22"/>
          <w:lang w:val="es-MX"/>
        </w:rPr>
      </w:pPr>
    </w:p>
    <w:p w14:paraId="0A728D29" w14:textId="354F4A5B" w:rsidR="003A79F4" w:rsidRPr="00DE49D3" w:rsidRDefault="003A79F4" w:rsidP="003A79F4">
      <w:pPr>
        <w:tabs>
          <w:tab w:val="left" w:pos="7938"/>
          <w:tab w:val="left" w:pos="8080"/>
        </w:tabs>
        <w:ind w:right="51"/>
        <w:jc w:val="both"/>
        <w:rPr>
          <w:rFonts w:ascii="Arial" w:hAnsi="Arial" w:cs="Arial"/>
          <w:b/>
          <w:bCs/>
          <w:sz w:val="18"/>
          <w:szCs w:val="18"/>
          <w:lang w:val="es-MX"/>
        </w:rPr>
      </w:pPr>
      <w:r w:rsidRPr="00DE49D3">
        <w:rPr>
          <w:rFonts w:ascii="Arial" w:hAnsi="Arial" w:cs="Arial"/>
          <w:b/>
          <w:bCs/>
          <w:sz w:val="18"/>
          <w:szCs w:val="18"/>
          <w:lang w:val="es-MX"/>
        </w:rPr>
        <w:t xml:space="preserve">Proyectó: </w:t>
      </w:r>
      <w:r w:rsidR="00F13E32" w:rsidRPr="00DE49D3">
        <w:rPr>
          <w:rFonts w:ascii="Arial" w:hAnsi="Arial" w:cs="Arial"/>
          <w:b/>
          <w:bCs/>
          <w:sz w:val="18"/>
          <w:szCs w:val="18"/>
          <w:lang w:val="es-MX"/>
        </w:rPr>
        <w:t>AIVS</w:t>
      </w:r>
      <w:r w:rsidRPr="00DE49D3">
        <w:rPr>
          <w:rFonts w:ascii="Arial" w:hAnsi="Arial" w:cs="Arial"/>
          <w:b/>
          <w:bCs/>
          <w:sz w:val="18"/>
          <w:szCs w:val="18"/>
          <w:lang w:val="es-MX"/>
        </w:rPr>
        <w:t xml:space="preserve"> / </w:t>
      </w:r>
      <w:r w:rsidR="00F13E32" w:rsidRPr="00DE49D3">
        <w:rPr>
          <w:rFonts w:ascii="Arial" w:hAnsi="Arial" w:cs="Arial"/>
          <w:b/>
          <w:bCs/>
          <w:sz w:val="18"/>
          <w:szCs w:val="18"/>
          <w:lang w:val="es-MX"/>
        </w:rPr>
        <w:t>AMPQ</w:t>
      </w:r>
    </w:p>
    <w:p w14:paraId="2517232B" w14:textId="7D86216D" w:rsidR="001309AB" w:rsidRPr="001F130D" w:rsidRDefault="001309AB" w:rsidP="001309AB">
      <w:pPr>
        <w:rPr>
          <w:rFonts w:ascii="Arial" w:hAnsi="Arial" w:cs="Arial"/>
          <w:sz w:val="22"/>
          <w:szCs w:val="22"/>
        </w:rPr>
        <w:sectPr w:rsidR="001309AB" w:rsidRPr="001F130D" w:rsidSect="00275319">
          <w:headerReference w:type="default" r:id="rId45"/>
          <w:footerReference w:type="default" r:id="rId46"/>
          <w:headerReference w:type="first" r:id="rId47"/>
          <w:footerReference w:type="first" r:id="rId48"/>
          <w:pgSz w:w="12242" w:h="19442"/>
          <w:pgMar w:top="1701" w:right="1701" w:bottom="1701" w:left="1701" w:header="709" w:footer="964" w:gutter="0"/>
          <w:cols w:space="708"/>
          <w:formProt w:val="0"/>
          <w:titlePg/>
          <w:docGrid w:linePitch="360"/>
        </w:sectPr>
      </w:pPr>
    </w:p>
    <w:p w14:paraId="4BAA762A" w14:textId="0E6A74FF" w:rsidR="008F3BFA" w:rsidRPr="001F130D" w:rsidRDefault="008F3BFA" w:rsidP="008F3BFA">
      <w:pPr>
        <w:jc w:val="both"/>
        <w:rPr>
          <w:rFonts w:ascii="Arial" w:hAnsi="Arial" w:cs="Arial"/>
          <w:sz w:val="22"/>
          <w:szCs w:val="22"/>
        </w:rPr>
      </w:pPr>
    </w:p>
    <w:sectPr w:rsidR="008F3BFA" w:rsidRPr="001F130D" w:rsidSect="00DE49D3">
      <w:pgSz w:w="12240" w:h="18720" w:code="14"/>
      <w:pgMar w:top="1418" w:right="1701" w:bottom="1418" w:left="1701" w:header="709" w:footer="709" w:gutter="0"/>
      <w:pgBorders w:offsetFrom="page">
        <w:top w:val="single" w:sz="4" w:space="24" w:color="548DD4" w:shadow="1"/>
        <w:left w:val="single" w:sz="4" w:space="24" w:color="548DD4" w:shadow="1"/>
        <w:bottom w:val="single" w:sz="4" w:space="24" w:color="548DD4" w:shadow="1"/>
        <w:right w:val="single" w:sz="4" w:space="24" w:color="548DD4"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7A31F" w14:textId="77777777" w:rsidR="008F454D" w:rsidRDefault="008F454D">
      <w:r>
        <w:separator/>
      </w:r>
    </w:p>
  </w:endnote>
  <w:endnote w:type="continuationSeparator" w:id="0">
    <w:p w14:paraId="113507D1" w14:textId="77777777" w:rsidR="008F454D" w:rsidRDefault="008F4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panose1 w:val="020B0604020202020204"/>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604020202020204"/>
    <w:charset w:val="00"/>
    <w:family w:val="swiss"/>
    <w:pitch w:val="variable"/>
    <w:sig w:usb0="E4002EFF" w:usb1="C000E47F" w:usb2="00000009" w:usb3="00000000" w:csb0="000001FF" w:csb1="00000000"/>
  </w:font>
  <w:font w:name="ArialMT">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erylium">
    <w:altName w:val="Times New Roman"/>
    <w:panose1 w:val="020B0604020202020204"/>
    <w:charset w:val="00"/>
    <w:family w:val="roman"/>
    <w:notTrueType/>
    <w:pitch w:val="default"/>
  </w:font>
  <w:font w:name="Beryllium">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9580" w14:textId="5359DEEC" w:rsidR="000139AF" w:rsidRDefault="000435B6" w:rsidP="000139AF">
    <w:pPr>
      <w:ind w:right="1430"/>
      <w:rPr>
        <w:sz w:val="22"/>
      </w:rPr>
    </w:pPr>
    <w:r>
      <w:rPr>
        <w:rFonts w:ascii="Berylium" w:eastAsia="Berylium" w:hAnsi="Berylium"/>
        <w:bCs/>
        <w:iCs/>
        <w:noProof/>
        <w:sz w:val="22"/>
        <w:szCs w:val="22"/>
      </w:rPr>
      <mc:AlternateContent>
        <mc:Choice Requires="wpg">
          <w:drawing>
            <wp:anchor distT="0" distB="0" distL="114300" distR="114300" simplePos="0" relativeHeight="251667456" behindDoc="0" locked="0" layoutInCell="1" allowOverlap="1" wp14:anchorId="71C93E02" wp14:editId="0D588A04">
              <wp:simplePos x="0" y="0"/>
              <wp:positionH relativeFrom="margin">
                <wp:posOffset>4587017</wp:posOffset>
              </wp:positionH>
              <wp:positionV relativeFrom="margin">
                <wp:posOffset>10147846</wp:posOffset>
              </wp:positionV>
              <wp:extent cx="905097" cy="682256"/>
              <wp:effectExtent l="0" t="0" r="0" b="0"/>
              <wp:wrapSquare wrapText="bothSides"/>
              <wp:docPr id="72"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5097" cy="682256"/>
                        <a:chOff x="0" y="0"/>
                        <a:chExt cx="10861" cy="9906"/>
                      </a:xfrm>
                    </wpg:grpSpPr>
                    <pic:pic xmlns:pic="http://schemas.openxmlformats.org/drawingml/2006/picture">
                      <pic:nvPicPr>
                        <pic:cNvPr id="73" name="Picture 3"/>
                        <pic:cNvPicPr>
                          <a:picLocks/>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5" y="1607"/>
                          <a:ext cx="4556" cy="4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4" name="3 Rectángulo"/>
                      <wps:cNvSpPr>
                        <a:spLocks/>
                      </wps:cNvSpPr>
                      <wps:spPr bwMode="auto">
                        <a:xfrm>
                          <a:off x="0" y="7900"/>
                          <a:ext cx="7120" cy="20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E561F2" w14:textId="77777777" w:rsidR="001061F3" w:rsidRDefault="001061F3" w:rsidP="001061F3">
                            <w:pPr>
                              <w:pStyle w:val="NormalWeb"/>
                              <w:spacing w:before="0" w:beforeAutospacing="0" w:after="0" w:afterAutospacing="0" w:line="256" w:lineRule="auto"/>
                            </w:pPr>
                            <w:r>
                              <w:rPr>
                                <w:rFonts w:ascii="Arial" w:eastAsia="Arial" w:hAnsi="Arial"/>
                                <w:color w:val="000000"/>
                                <w:kern w:val="24"/>
                                <w:sz w:val="14"/>
                                <w:szCs w:val="14"/>
                                <w:lang w:val="es-CO"/>
                              </w:rPr>
                              <w:t>SC5780-4-17</w:t>
                            </w:r>
                          </w:p>
                        </w:txbxContent>
                      </wps:txbx>
                      <wps:bodyPr rot="0" vert="horz" wrap="square" lIns="91440" tIns="45720" rIns="91440" bIns="45720" anchor="t" anchorCtr="0" upright="1">
                        <a:noAutofit/>
                      </wps:bodyPr>
                    </wps:wsp>
                    <pic:pic xmlns:pic="http://schemas.openxmlformats.org/drawingml/2006/picture">
                      <pic:nvPicPr>
                        <pic:cNvPr id="75" name="Picture 4"/>
                        <pic:cNvPicPr>
                          <a:picLocks/>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5" y="0"/>
                          <a:ext cx="5321"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71C93E02" id="Grupo 10" o:spid="_x0000_s1027" style="position:absolute;margin-left:361.2pt;margin-top:799.05pt;width:71.25pt;height:53.7pt;z-index:251667456;mso-position-horizontal-relative:margin;mso-position-vertical-relative:margin;mso-width-relative:margin;mso-height-relative:margin" coordsize="10861,990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6305;top:1607;width:4556;height:46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">
                <v:imagedata r:id="rId3" o:title="" croptop="3856f" cropbottom="4819f" cropleft="4819f" cropright="2891f"/>
                <v:path arrowok="t"/>
                <o:lock v:ext="edit" aspectratio="f"/>
              </v:shape>
              <v:rect id="3 Rectángulo" o:spid="_x0000_s1029" style="position:absolute;top:7900;width:7120;height:200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" filled="f" stroked="f">
                <v:path arrowok="t"/>
                <v:textbox>
                  <w:txbxContent>
                    <w:p w14:paraId="39E561F2" w14:textId="77777777" w:rsidR="001061F3" w:rsidRDefault="001061F3" w:rsidP="001061F3">
                      <w:pPr>
                        <w:pStyle w:val="NormalWeb"/>
                        <w:spacing w:before="0" w:beforeAutospacing="0" w:after="0" w:afterAutospacing="0" w:line="256" w:lineRule="auto"/>
                      </w:pPr>
                      <w:r>
                        <w:rPr>
                          <w:rFonts w:ascii="Arial" w:eastAsia="Arial" w:hAnsi="Arial"/>
                          <w:color w:val="000000"/>
                          <w:kern w:val="24"/>
                          <w:sz w:val="14"/>
                          <w:szCs w:val="14"/>
                          <w:lang w:val="es-CO"/>
                        </w:rPr>
                        <w:t>SC5780-4-17</w:t>
                      </w:r>
                    </w:p>
                  </w:txbxContent>
                </v:textbox>
              </v:rect>
              <v:shape id="Picture 4" o:spid="_x0000_s1030" type="#_x0000_t75" style="position:absolute;left:675;width:5321;height:790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">
                <v:imagedata r:id="rId4" o:title="" croptop="3710f" cropbottom="3710f" cropleft="4977f" cropright="5807f"/>
                <v:path arrowok="t"/>
                <o:lock v:ext="edit" aspectratio="f"/>
              </v:shape>
              <w10:wrap type="square" anchorx="margin" anchory="margin"/>
            </v:group>
          </w:pict>
        </mc:Fallback>
      </mc:AlternateContent>
    </w:r>
    <w:r w:rsidR="000139AF">
      <w:rPr>
        <w:b/>
        <w:i/>
        <w:u w:val="single"/>
      </w:rPr>
      <w:t xml:space="preserve"> </w:t>
    </w:r>
    <w:r w:rsidR="000139AF">
      <w:rPr>
        <w:sz w:val="22"/>
      </w:rPr>
      <w:t xml:space="preserve">Palacio de Justicia Bloque C, Oficina 201 Tel. 5 755276 </w:t>
    </w:r>
    <w:r w:rsidR="001061F3">
      <w:rPr>
        <w:sz w:val="22"/>
      </w:rPr>
      <w:t xml:space="preserve"> </w:t>
    </w:r>
  </w:p>
  <w:p w14:paraId="4F34F85E" w14:textId="1A4139FA" w:rsidR="001061F3" w:rsidRPr="001061F3" w:rsidRDefault="000139AF" w:rsidP="001061F3">
    <w:pPr>
      <w:ind w:right="1430"/>
      <w:rPr>
        <w:sz w:val="22"/>
      </w:rPr>
    </w:pPr>
    <w:r>
      <w:rPr>
        <w:sz w:val="22"/>
      </w:rPr>
      <w:t xml:space="preserve"> www.ramajudicial.gov.co </w:t>
    </w:r>
  </w:p>
  <w:p w14:paraId="3176D1F0" w14:textId="279C6871" w:rsidR="00B3751E" w:rsidRDefault="00B3751E" w:rsidP="00275319">
    <w:pPr>
      <w:pStyle w:val="Piedepgina"/>
      <w:tabs>
        <w:tab w:val="left" w:pos="7371"/>
      </w:tabs>
      <w:rPr>
        <w:rFonts w:ascii="Beryllium" w:eastAsia="Beryllium" w:hAnsi="Beryllium"/>
        <w:bCs/>
        <w:iCs/>
        <w:sz w:val="22"/>
        <w:szCs w:val="22"/>
      </w:rPr>
    </w:pPr>
  </w:p>
  <w:p w14:paraId="4718B858" w14:textId="1A900EAD" w:rsidR="00B3751E" w:rsidRPr="008F3BFA" w:rsidRDefault="00B3751E" w:rsidP="008F3BF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A729A" w14:textId="7C37E8E3" w:rsidR="000139AF" w:rsidRDefault="000139AF" w:rsidP="000139AF">
    <w:pPr>
      <w:ind w:right="1430"/>
      <w:rPr>
        <w:sz w:val="22"/>
      </w:rPr>
    </w:pPr>
    <w:r>
      <w:rPr>
        <w:sz w:val="22"/>
      </w:rPr>
      <w:t xml:space="preserve">Palacio de Justicia Bloque C, Oficina 201 Tel. 5 755276 </w:t>
    </w:r>
  </w:p>
  <w:p w14:paraId="239B6712" w14:textId="07EE56F0" w:rsidR="000139AF" w:rsidRPr="00F217C6" w:rsidRDefault="000139AF" w:rsidP="000139AF">
    <w:pPr>
      <w:ind w:right="1430"/>
    </w:pPr>
    <w:r>
      <w:rPr>
        <w:noProof/>
        <w:lang w:eastAsia="es-CO"/>
      </w:rPr>
      <w:drawing>
        <wp:anchor distT="0" distB="0" distL="114300" distR="114300" simplePos="0" relativeHeight="251666432" behindDoc="0" locked="0" layoutInCell="1" allowOverlap="1" wp14:anchorId="46AF4063" wp14:editId="195E2414">
          <wp:simplePos x="0" y="0"/>
          <wp:positionH relativeFrom="margin">
            <wp:posOffset>4059304</wp:posOffset>
          </wp:positionH>
          <wp:positionV relativeFrom="margin">
            <wp:posOffset>9902161</wp:posOffset>
          </wp:positionV>
          <wp:extent cx="1600200" cy="819150"/>
          <wp:effectExtent l="0" t="0" r="0" b="0"/>
          <wp:wrapSquare wrapText="bothSides"/>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819150"/>
                  </a:xfrm>
                  <a:prstGeom prst="rect">
                    <a:avLst/>
                  </a:prstGeom>
                  <a:noFill/>
                </pic:spPr>
              </pic:pic>
            </a:graphicData>
          </a:graphic>
          <wp14:sizeRelH relativeFrom="page">
            <wp14:pctWidth>0</wp14:pctWidth>
          </wp14:sizeRelH>
          <wp14:sizeRelV relativeFrom="page">
            <wp14:pctHeight>0</wp14:pctHeight>
          </wp14:sizeRelV>
        </wp:anchor>
      </w:drawing>
    </w:r>
    <w:r>
      <w:rPr>
        <w:sz w:val="22"/>
      </w:rPr>
      <w:t xml:space="preserve"> www.ramajudicial.gov.co </w:t>
    </w:r>
  </w:p>
  <w:p w14:paraId="1BCDF150" w14:textId="37AC5C0D" w:rsidR="000139AF" w:rsidRDefault="000139AF" w:rsidP="000139AF">
    <w:pPr>
      <w:pStyle w:val="Piedepgina"/>
      <w:tabs>
        <w:tab w:val="left" w:pos="7371"/>
      </w:tabs>
      <w:rPr>
        <w:rFonts w:ascii="Beryllium" w:eastAsia="Beryllium" w:hAnsi="Beryllium"/>
        <w:bCs/>
        <w:iCs/>
        <w:sz w:val="22"/>
        <w:szCs w:val="22"/>
      </w:rPr>
    </w:pPr>
  </w:p>
  <w:p w14:paraId="0313FF51" w14:textId="780AB7AC" w:rsidR="00B3751E" w:rsidRDefault="00B3751E">
    <w:pPr>
      <w:pStyle w:val="Piedepgina"/>
      <w:rPr>
        <w:b/>
        <w:i/>
        <w:color w:val="FF0000"/>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0EFE2" w14:textId="77777777" w:rsidR="008F454D" w:rsidRDefault="008F454D">
      <w:r>
        <w:separator/>
      </w:r>
    </w:p>
  </w:footnote>
  <w:footnote w:type="continuationSeparator" w:id="0">
    <w:p w14:paraId="17E3A151" w14:textId="77777777" w:rsidR="008F454D" w:rsidRDefault="008F454D">
      <w:r>
        <w:continuationSeparator/>
      </w:r>
    </w:p>
  </w:footnote>
  <w:footnote w:id="1">
    <w:p w14:paraId="2B37ACF1" w14:textId="77777777" w:rsidR="006F5CFB" w:rsidRPr="00200E82" w:rsidRDefault="006F5CFB" w:rsidP="006F5CFB">
      <w:pPr>
        <w:pStyle w:val="Textonotapie"/>
        <w:rPr>
          <w:rFonts w:ascii="Arial" w:hAnsi="Arial" w:cs="Arial"/>
        </w:rPr>
      </w:pPr>
      <w:r w:rsidRPr="00200E82">
        <w:rPr>
          <w:rStyle w:val="Refdenotaalpie"/>
          <w:rFonts w:ascii="Arial" w:hAnsi="Arial" w:cs="Arial"/>
        </w:rPr>
        <w:footnoteRef/>
      </w:r>
      <w:r w:rsidRPr="00200E82">
        <w:rPr>
          <w:rFonts w:ascii="Arial" w:hAnsi="Arial" w:cs="Arial"/>
        </w:rPr>
        <w:t xml:space="preserve"> </w:t>
      </w:r>
      <w:hyperlink r:id="rId1" w:history="1">
        <w:r w:rsidRPr="006D33D1">
          <w:rPr>
            <w:rStyle w:val="Hipervnculo"/>
            <w:rFonts w:ascii="Arial" w:hAnsi="Arial" w:cs="Arial"/>
          </w:rPr>
          <w:t>https://www.colombiacompra.gov.co/sites/cce_public/files/cce_tienda_virtual/cce-gad-gi-30_guia_compras_estandarizadas_grandes_almacenes_v1_04-10-2022_2.pdf</w:t>
        </w:r>
      </w:hyperlink>
      <w:r>
        <w:rPr>
          <w:rFonts w:ascii="Arial" w:hAnsi="Arial" w:cs="Arial"/>
        </w:rPr>
        <w:t xml:space="preserve"> </w:t>
      </w:r>
    </w:p>
  </w:footnote>
  <w:footnote w:id="2">
    <w:p w14:paraId="3ECAFBC4" w14:textId="77777777" w:rsidR="00681B42" w:rsidRPr="009D5D33" w:rsidRDefault="00681B42" w:rsidP="00681B42">
      <w:pPr>
        <w:pStyle w:val="Textonotapie"/>
        <w:rPr>
          <w:rFonts w:ascii="Arial" w:hAnsi="Arial" w:cs="Arial"/>
        </w:rPr>
      </w:pPr>
      <w:r w:rsidRPr="009D5D33">
        <w:rPr>
          <w:rStyle w:val="Refdenotaalpie"/>
          <w:rFonts w:ascii="Arial" w:hAnsi="Arial" w:cs="Arial"/>
        </w:rPr>
        <w:footnoteRef/>
      </w:r>
      <w:r w:rsidRPr="009D5D33">
        <w:rPr>
          <w:rFonts w:ascii="Arial" w:hAnsi="Arial" w:cs="Arial"/>
        </w:rPr>
        <w:t xml:space="preserve"> </w:t>
      </w:r>
      <w:hyperlink r:id="rId2" w:history="1">
        <w:r w:rsidRPr="000D2D91">
          <w:rPr>
            <w:rStyle w:val="Hipervnculo"/>
            <w:rFonts w:ascii="Arial" w:hAnsi="Arial" w:cs="Arial"/>
          </w:rPr>
          <w:t>https://www.dane.gov.co/files/operaciones/IPC/bol-IPC-may2023.pdf</w:t>
        </w:r>
      </w:hyperlink>
      <w:r>
        <w:rPr>
          <w:rFonts w:ascii="Arial" w:hAnsi="Arial" w:cs="Arial"/>
        </w:rPr>
        <w:t xml:space="preserve"> </w:t>
      </w:r>
    </w:p>
  </w:footnote>
  <w:footnote w:id="3">
    <w:p w14:paraId="29DA0DE8" w14:textId="2D848BAD" w:rsidR="003D3686" w:rsidRPr="003D3686" w:rsidRDefault="003D3686">
      <w:pPr>
        <w:pStyle w:val="Textonotapie"/>
        <w:rPr>
          <w:rFonts w:ascii="Arial" w:hAnsi="Arial" w:cs="Arial"/>
        </w:rPr>
      </w:pPr>
      <w:r w:rsidRPr="003D3686">
        <w:rPr>
          <w:rStyle w:val="Refdenotaalpie"/>
          <w:rFonts w:ascii="Arial" w:hAnsi="Arial" w:cs="Arial"/>
        </w:rPr>
        <w:footnoteRef/>
      </w:r>
      <w:r w:rsidRPr="003D3686">
        <w:rPr>
          <w:rFonts w:ascii="Arial" w:hAnsi="Arial" w:cs="Arial"/>
        </w:rPr>
        <w:t xml:space="preserve"> https://colombiatic.mintic.gov.co/679/articles-73994_recurso_1.pdf</w:t>
      </w:r>
    </w:p>
  </w:footnote>
  <w:footnote w:id="4">
    <w:p w14:paraId="607B56A0" w14:textId="2DE50675" w:rsidR="003F79D9" w:rsidRPr="003F79D9" w:rsidRDefault="003F79D9">
      <w:pPr>
        <w:pStyle w:val="Textonotapie"/>
        <w:rPr>
          <w:rFonts w:ascii="Arial" w:hAnsi="Arial" w:cs="Arial"/>
          <w:sz w:val="18"/>
          <w:szCs w:val="18"/>
        </w:rPr>
      </w:pPr>
      <w:r w:rsidRPr="003F79D9">
        <w:rPr>
          <w:rStyle w:val="Refdenotaalpie"/>
          <w:rFonts w:ascii="Arial" w:hAnsi="Arial" w:cs="Arial"/>
          <w:sz w:val="18"/>
          <w:szCs w:val="18"/>
        </w:rPr>
        <w:footnoteRef/>
      </w:r>
      <w:r w:rsidRPr="003F79D9">
        <w:rPr>
          <w:rFonts w:ascii="Arial" w:hAnsi="Arial" w:cs="Arial"/>
          <w:sz w:val="18"/>
          <w:szCs w:val="18"/>
        </w:rPr>
        <w:t xml:space="preserve"> https://www.cepal.org/es/comunicados/economias-america-latina-caribe-se-desaceleraran-2023-creceran-13</w:t>
      </w:r>
    </w:p>
  </w:footnote>
  <w:footnote w:id="5">
    <w:p w14:paraId="33BE6EFD" w14:textId="795D6D49" w:rsidR="003F79D9" w:rsidRPr="003F79D9" w:rsidRDefault="003F79D9">
      <w:pPr>
        <w:pStyle w:val="Textonotapie"/>
        <w:rPr>
          <w:rFonts w:ascii="Arial" w:hAnsi="Arial" w:cs="Arial"/>
          <w:sz w:val="18"/>
          <w:szCs w:val="18"/>
        </w:rPr>
      </w:pPr>
      <w:r w:rsidRPr="003F79D9">
        <w:rPr>
          <w:rStyle w:val="Refdenotaalpie"/>
          <w:rFonts w:ascii="Arial" w:hAnsi="Arial" w:cs="Arial"/>
          <w:sz w:val="18"/>
          <w:szCs w:val="18"/>
        </w:rPr>
        <w:footnoteRef/>
      </w:r>
      <w:r w:rsidRPr="003F79D9">
        <w:rPr>
          <w:rFonts w:ascii="Arial" w:hAnsi="Arial" w:cs="Arial"/>
          <w:sz w:val="18"/>
          <w:szCs w:val="18"/>
        </w:rPr>
        <w:t xml:space="preserve"> https://www.bancomundial.org/es/news/press-release/2023/01/10/global-economic-prospects</w:t>
      </w:r>
    </w:p>
  </w:footnote>
  <w:footnote w:id="6">
    <w:p w14:paraId="453F1CED" w14:textId="730A1F92" w:rsidR="003F79D9" w:rsidRDefault="003F79D9">
      <w:pPr>
        <w:pStyle w:val="Textonotapie"/>
      </w:pPr>
      <w:r w:rsidRPr="003F79D9">
        <w:rPr>
          <w:rStyle w:val="Refdenotaalpie"/>
          <w:rFonts w:ascii="Arial" w:hAnsi="Arial" w:cs="Arial"/>
          <w:sz w:val="18"/>
          <w:szCs w:val="18"/>
        </w:rPr>
        <w:footnoteRef/>
      </w:r>
      <w:r w:rsidRPr="003F79D9">
        <w:rPr>
          <w:rFonts w:ascii="Arial" w:hAnsi="Arial" w:cs="Arial"/>
          <w:sz w:val="18"/>
          <w:szCs w:val="18"/>
        </w:rPr>
        <w:t xml:space="preserve"> https://www.portafolio.co/economia/pib-de-colombia-2023-pronostico-del-banco-mundial-576654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5D931" w14:textId="77777777" w:rsidR="00B3751E" w:rsidRDefault="00B3751E">
    <w:pPr>
      <w:jc w:val="both"/>
      <w:rPr>
        <w:rFonts w:ascii="Arial" w:eastAsia="Arial" w:hAnsi="Arial" w:cs="Arial"/>
        <w:sz w:val="16"/>
        <w:szCs w:val="16"/>
      </w:rPr>
    </w:pPr>
  </w:p>
  <w:p w14:paraId="19348F3F" w14:textId="77777777" w:rsidR="00B3751E" w:rsidRDefault="00B3751E" w:rsidP="008F3BFA">
    <w:pPr>
      <w:pStyle w:val="Encabezado"/>
      <w:jc w:val="center"/>
      <w:rPr>
        <w:rFonts w:ascii="Berylium" w:eastAsia="Berylium" w:hAnsi="Berylium"/>
        <w:b/>
        <w:bCs/>
        <w:iCs/>
        <w:sz w:val="22"/>
        <w:szCs w:val="22"/>
      </w:rPr>
    </w:pPr>
    <w:r>
      <w:rPr>
        <w:noProof/>
        <w:lang w:val="es-CO" w:eastAsia="es-CO"/>
      </w:rPr>
      <w:drawing>
        <wp:anchor distT="0" distB="0" distL="114300" distR="114300" simplePos="0" relativeHeight="251660288" behindDoc="1" locked="0" layoutInCell="1" allowOverlap="1" wp14:anchorId="51DA37BE" wp14:editId="3B995A14">
          <wp:simplePos x="0" y="0"/>
          <wp:positionH relativeFrom="column">
            <wp:posOffset>-870585</wp:posOffset>
          </wp:positionH>
          <wp:positionV relativeFrom="paragraph">
            <wp:posOffset>-402590</wp:posOffset>
          </wp:positionV>
          <wp:extent cx="2390775" cy="789305"/>
          <wp:effectExtent l="0" t="0" r="9525" b="0"/>
          <wp:wrapNone/>
          <wp:docPr id="1071" name="Imagen 1071"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pic:spPr>
              </pic:pic>
            </a:graphicData>
          </a:graphic>
        </wp:anchor>
      </w:drawing>
    </w:r>
    <w:r>
      <w:rPr>
        <w:rFonts w:ascii="Berylium" w:eastAsia="Berylium" w:hAnsi="Berylium"/>
        <w:b/>
        <w:bCs/>
        <w:iCs/>
        <w:sz w:val="22"/>
        <w:szCs w:val="22"/>
      </w:rPr>
      <w:t>Consejo Superior de la Judicatura</w:t>
    </w:r>
  </w:p>
  <w:p w14:paraId="106823CE" w14:textId="77777777" w:rsidR="00B3751E" w:rsidRDefault="00B3751E" w:rsidP="008F3BFA">
    <w:pPr>
      <w:pStyle w:val="Encabezado"/>
      <w:tabs>
        <w:tab w:val="left" w:pos="708"/>
      </w:tabs>
      <w:jc w:val="center"/>
      <w:rPr>
        <w:rFonts w:ascii="Berylium" w:eastAsia="Berylium" w:hAnsi="Berylium"/>
        <w:b/>
        <w:bCs/>
        <w:iCs/>
        <w:sz w:val="22"/>
        <w:szCs w:val="22"/>
      </w:rPr>
    </w:pPr>
    <w:r>
      <w:rPr>
        <w:rFonts w:ascii="Berylium" w:eastAsia="Berylium" w:hAnsi="Berylium"/>
        <w:b/>
        <w:bCs/>
        <w:iCs/>
        <w:sz w:val="22"/>
        <w:szCs w:val="22"/>
      </w:rPr>
      <w:t>Dirección Ejecutiva Seccional de Administración Judicial</w:t>
    </w:r>
  </w:p>
  <w:p w14:paraId="2E9A2690" w14:textId="7895BE9E" w:rsidR="00B3751E" w:rsidRDefault="0098205F" w:rsidP="008F3BFA">
    <w:pPr>
      <w:jc w:val="center"/>
      <w:rPr>
        <w:rFonts w:ascii="Berylium" w:eastAsia="Berylium" w:hAnsi="Berylium"/>
        <w:bCs/>
        <w:iCs/>
        <w:sz w:val="22"/>
        <w:szCs w:val="22"/>
      </w:rPr>
    </w:pPr>
    <w:r>
      <w:rPr>
        <w:rFonts w:ascii="Berylium" w:eastAsia="Berylium" w:hAnsi="Berylium"/>
        <w:b/>
        <w:bCs/>
        <w:iCs/>
        <w:sz w:val="22"/>
        <w:szCs w:val="22"/>
      </w:rPr>
      <w:t>Cúcuta</w:t>
    </w:r>
    <w:r w:rsidR="00B3751E">
      <w:rPr>
        <w:rFonts w:ascii="Berylium" w:eastAsia="Berylium" w:hAnsi="Berylium"/>
        <w:b/>
        <w:bCs/>
        <w:iCs/>
        <w:sz w:val="22"/>
        <w:szCs w:val="22"/>
      </w:rPr>
      <w:t xml:space="preserve"> – </w:t>
    </w:r>
    <w:r>
      <w:rPr>
        <w:rFonts w:ascii="Berylium" w:eastAsia="Berylium" w:hAnsi="Berylium"/>
        <w:b/>
        <w:bCs/>
        <w:iCs/>
        <w:sz w:val="22"/>
        <w:szCs w:val="22"/>
      </w:rPr>
      <w:t xml:space="preserve">Norte de </w:t>
    </w:r>
    <w:r w:rsidR="00B3751E">
      <w:rPr>
        <w:rFonts w:ascii="Berylium" w:eastAsia="Berylium" w:hAnsi="Berylium"/>
        <w:b/>
        <w:bCs/>
        <w:iCs/>
        <w:sz w:val="22"/>
        <w:szCs w:val="22"/>
      </w:rPr>
      <w:t>Santander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603CC" w14:textId="50887716" w:rsidR="00B3751E" w:rsidRDefault="00B3751E">
    <w:pPr>
      <w:pStyle w:val="Encabezado"/>
      <w:jc w:val="center"/>
      <w:rPr>
        <w:rFonts w:ascii="Berylium" w:eastAsia="Berylium" w:hAnsi="Berylium"/>
        <w:b/>
        <w:bCs/>
        <w:iCs/>
        <w:sz w:val="22"/>
        <w:szCs w:val="22"/>
      </w:rPr>
    </w:pPr>
    <w:r>
      <w:rPr>
        <w:noProof/>
        <w:lang w:val="es-CO" w:eastAsia="es-CO"/>
      </w:rPr>
      <w:drawing>
        <wp:anchor distT="0" distB="0" distL="114300" distR="114300" simplePos="0" relativeHeight="251658240" behindDoc="1" locked="0" layoutInCell="1" allowOverlap="1" wp14:anchorId="0CD5F7EE" wp14:editId="06429CA9">
          <wp:simplePos x="0" y="0"/>
          <wp:positionH relativeFrom="column">
            <wp:posOffset>-321835</wp:posOffset>
          </wp:positionH>
          <wp:positionV relativeFrom="paragraph">
            <wp:posOffset>-328571</wp:posOffset>
          </wp:positionV>
          <wp:extent cx="2390775" cy="789305"/>
          <wp:effectExtent l="0" t="0" r="9525" b="0"/>
          <wp:wrapNone/>
          <wp:docPr id="1072" name="Imagen 1072"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pic:spPr>
              </pic:pic>
            </a:graphicData>
          </a:graphic>
        </wp:anchor>
      </w:drawing>
    </w:r>
  </w:p>
  <w:p w14:paraId="36E517A2" w14:textId="77777777" w:rsidR="00B3751E" w:rsidRDefault="00B3751E">
    <w:pPr>
      <w:pStyle w:val="Encabezado"/>
      <w:jc w:val="center"/>
      <w:rPr>
        <w:rFonts w:ascii="Berylium" w:eastAsia="Berylium" w:hAnsi="Berylium"/>
        <w:b/>
        <w:bCs/>
        <w:iCs/>
        <w:sz w:val="22"/>
        <w:szCs w:val="22"/>
      </w:rPr>
    </w:pPr>
  </w:p>
  <w:p w14:paraId="2DC9D642" w14:textId="112E43A0" w:rsidR="00B3751E" w:rsidRDefault="00B3751E">
    <w:pPr>
      <w:pStyle w:val="Encabezado"/>
      <w:jc w:val="center"/>
      <w:rPr>
        <w:rFonts w:ascii="Berylium" w:eastAsia="Berylium" w:hAnsi="Berylium"/>
        <w:b/>
        <w:bCs/>
        <w:iCs/>
        <w:sz w:val="22"/>
        <w:szCs w:val="22"/>
      </w:rPr>
    </w:pPr>
    <w:r>
      <w:rPr>
        <w:rFonts w:ascii="Berylium" w:eastAsia="Berylium" w:hAnsi="Berylium"/>
        <w:b/>
        <w:bCs/>
        <w:iCs/>
        <w:sz w:val="22"/>
        <w:szCs w:val="22"/>
      </w:rPr>
      <w:t>Consejo Superior de la Judicatura</w:t>
    </w:r>
  </w:p>
  <w:p w14:paraId="332D645D" w14:textId="77777777" w:rsidR="00B3751E" w:rsidRDefault="00B3751E">
    <w:pPr>
      <w:pStyle w:val="Encabezado"/>
      <w:tabs>
        <w:tab w:val="left" w:pos="708"/>
      </w:tabs>
      <w:jc w:val="center"/>
      <w:rPr>
        <w:rFonts w:ascii="Berylium" w:eastAsia="Berylium" w:hAnsi="Berylium"/>
        <w:b/>
        <w:bCs/>
        <w:iCs/>
        <w:sz w:val="22"/>
        <w:szCs w:val="22"/>
      </w:rPr>
    </w:pPr>
    <w:r>
      <w:rPr>
        <w:rFonts w:ascii="Berylium" w:eastAsia="Berylium" w:hAnsi="Berylium"/>
        <w:b/>
        <w:bCs/>
        <w:iCs/>
        <w:sz w:val="22"/>
        <w:szCs w:val="22"/>
      </w:rPr>
      <w:t>Dirección Ejecutiva Seccional de Administración Judicial</w:t>
    </w:r>
  </w:p>
  <w:p w14:paraId="6F701B13" w14:textId="6268679E" w:rsidR="00B3751E" w:rsidRDefault="0098205F">
    <w:pPr>
      <w:pStyle w:val="Encabezado"/>
      <w:tabs>
        <w:tab w:val="left" w:pos="708"/>
      </w:tabs>
      <w:jc w:val="center"/>
      <w:rPr>
        <w:b/>
        <w:bCs/>
        <w:i/>
        <w:iCs/>
      </w:rPr>
    </w:pPr>
    <w:r>
      <w:rPr>
        <w:rFonts w:ascii="Berylium" w:eastAsia="Berylium" w:hAnsi="Berylium"/>
        <w:b/>
        <w:bCs/>
        <w:iCs/>
        <w:sz w:val="22"/>
        <w:szCs w:val="22"/>
      </w:rPr>
      <w:t>Cúcuta</w:t>
    </w:r>
    <w:r w:rsidR="00B3751E">
      <w:rPr>
        <w:rFonts w:ascii="Berylium" w:eastAsia="Berylium" w:hAnsi="Berylium"/>
        <w:b/>
        <w:bCs/>
        <w:iCs/>
        <w:sz w:val="22"/>
        <w:szCs w:val="22"/>
      </w:rPr>
      <w:t xml:space="preserve"> – </w:t>
    </w:r>
    <w:r>
      <w:rPr>
        <w:rFonts w:ascii="Berylium" w:eastAsia="Berylium" w:hAnsi="Berylium"/>
        <w:b/>
        <w:bCs/>
        <w:iCs/>
        <w:sz w:val="22"/>
        <w:szCs w:val="22"/>
      </w:rPr>
      <w:t xml:space="preserve">Norte de </w:t>
    </w:r>
    <w:r w:rsidR="00B3751E">
      <w:rPr>
        <w:rFonts w:ascii="Berylium" w:eastAsia="Berylium" w:hAnsi="Berylium"/>
        <w:b/>
        <w:bCs/>
        <w:iCs/>
        <w:sz w:val="22"/>
        <w:szCs w:val="22"/>
      </w:rPr>
      <w:t>Santander</w:t>
    </w:r>
  </w:p>
  <w:p w14:paraId="3ACB9932" w14:textId="77777777" w:rsidR="00B3751E" w:rsidRDefault="00B3751E">
    <w:pPr>
      <w:pStyle w:val="Encabezado"/>
      <w:tabs>
        <w:tab w:val="clear" w:pos="8504"/>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13EE4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6C465D"/>
    <w:multiLevelType w:val="hybridMultilevel"/>
    <w:tmpl w:val="31E0E316"/>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 w15:restartNumberingAfterBreak="0">
    <w:nsid w:val="029C407C"/>
    <w:multiLevelType w:val="multilevel"/>
    <w:tmpl w:val="0E3213FC"/>
    <w:lvl w:ilvl="0">
      <w:start w:val="2"/>
      <w:numFmt w:val="decimal"/>
      <w:lvlText w:val="%1"/>
      <w:lvlJc w:val="left"/>
      <w:pPr>
        <w:ind w:left="742" w:hanging="720"/>
      </w:pPr>
      <w:rPr>
        <w:rFonts w:hint="default"/>
        <w:lang w:val="es-ES" w:eastAsia="en-US" w:bidi="ar-SA"/>
      </w:rPr>
    </w:lvl>
    <w:lvl w:ilvl="1">
      <w:start w:val="2"/>
      <w:numFmt w:val="decimal"/>
      <w:lvlText w:val="%1.%2"/>
      <w:lvlJc w:val="left"/>
      <w:pPr>
        <w:ind w:left="742" w:hanging="720"/>
      </w:pPr>
      <w:rPr>
        <w:rFonts w:hint="default"/>
        <w:lang w:val="es-ES" w:eastAsia="en-US" w:bidi="ar-SA"/>
      </w:rPr>
    </w:lvl>
    <w:lvl w:ilvl="2">
      <w:start w:val="4"/>
      <w:numFmt w:val="decimal"/>
      <w:lvlText w:val="%1.%2.%3."/>
      <w:lvlJc w:val="left"/>
      <w:pPr>
        <w:ind w:left="742" w:hanging="720"/>
      </w:pPr>
      <w:rPr>
        <w:rFonts w:ascii="Arial" w:eastAsia="Arial" w:hAnsi="Arial" w:cs="Arial" w:hint="default"/>
        <w:b/>
        <w:bCs/>
        <w:spacing w:val="-2"/>
        <w:w w:val="100"/>
        <w:sz w:val="22"/>
        <w:szCs w:val="22"/>
        <w:lang w:val="es-ES" w:eastAsia="en-US" w:bidi="ar-SA"/>
      </w:rPr>
    </w:lvl>
    <w:lvl w:ilvl="3">
      <w:start w:val="1"/>
      <w:numFmt w:val="decimal"/>
      <w:lvlText w:val="%1.%2.%3.%4."/>
      <w:lvlJc w:val="left"/>
      <w:pPr>
        <w:ind w:left="1438" w:hanging="1416"/>
      </w:pPr>
      <w:rPr>
        <w:rFonts w:ascii="Arial" w:eastAsia="Arial" w:hAnsi="Arial" w:cs="Arial" w:hint="default"/>
        <w:b/>
        <w:bCs/>
        <w:spacing w:val="-2"/>
        <w:w w:val="100"/>
        <w:sz w:val="22"/>
        <w:szCs w:val="22"/>
        <w:lang w:val="es-ES" w:eastAsia="en-US" w:bidi="ar-SA"/>
      </w:rPr>
    </w:lvl>
    <w:lvl w:ilvl="4">
      <w:numFmt w:val="bullet"/>
      <w:lvlText w:val="•"/>
      <w:lvlJc w:val="left"/>
      <w:pPr>
        <w:ind w:left="4544" w:hanging="1416"/>
      </w:pPr>
      <w:rPr>
        <w:rFonts w:hint="default"/>
        <w:lang w:val="es-ES" w:eastAsia="en-US" w:bidi="ar-SA"/>
      </w:rPr>
    </w:lvl>
    <w:lvl w:ilvl="5">
      <w:numFmt w:val="bullet"/>
      <w:lvlText w:val="•"/>
      <w:lvlJc w:val="left"/>
      <w:pPr>
        <w:ind w:left="5579" w:hanging="1416"/>
      </w:pPr>
      <w:rPr>
        <w:rFonts w:hint="default"/>
        <w:lang w:val="es-ES" w:eastAsia="en-US" w:bidi="ar-SA"/>
      </w:rPr>
    </w:lvl>
    <w:lvl w:ilvl="6">
      <w:numFmt w:val="bullet"/>
      <w:lvlText w:val="•"/>
      <w:lvlJc w:val="left"/>
      <w:pPr>
        <w:ind w:left="6613" w:hanging="1416"/>
      </w:pPr>
      <w:rPr>
        <w:rFonts w:hint="default"/>
        <w:lang w:val="es-ES" w:eastAsia="en-US" w:bidi="ar-SA"/>
      </w:rPr>
    </w:lvl>
    <w:lvl w:ilvl="7">
      <w:numFmt w:val="bullet"/>
      <w:lvlText w:val="•"/>
      <w:lvlJc w:val="left"/>
      <w:pPr>
        <w:ind w:left="7648" w:hanging="1416"/>
      </w:pPr>
      <w:rPr>
        <w:rFonts w:hint="default"/>
        <w:lang w:val="es-ES" w:eastAsia="en-US" w:bidi="ar-SA"/>
      </w:rPr>
    </w:lvl>
    <w:lvl w:ilvl="8">
      <w:numFmt w:val="bullet"/>
      <w:lvlText w:val="•"/>
      <w:lvlJc w:val="left"/>
      <w:pPr>
        <w:ind w:left="8683" w:hanging="1416"/>
      </w:pPr>
      <w:rPr>
        <w:rFonts w:hint="default"/>
        <w:lang w:val="es-ES" w:eastAsia="en-US" w:bidi="ar-SA"/>
      </w:rPr>
    </w:lvl>
  </w:abstractNum>
  <w:abstractNum w:abstractNumId="3" w15:restartNumberingAfterBreak="0">
    <w:nsid w:val="0B487048"/>
    <w:multiLevelType w:val="hybridMultilevel"/>
    <w:tmpl w:val="A858C2B8"/>
    <w:lvl w:ilvl="0" w:tplc="87401EB4">
      <w:numFmt w:val="bullet"/>
      <w:lvlText w:val="-"/>
      <w:lvlJc w:val="left"/>
      <w:pPr>
        <w:ind w:left="742" w:hanging="360"/>
      </w:pPr>
      <w:rPr>
        <w:rFonts w:ascii="Calibri" w:eastAsia="Calibri" w:hAnsi="Calibri" w:cs="Calibri" w:hint="default"/>
        <w:w w:val="100"/>
        <w:sz w:val="22"/>
        <w:szCs w:val="22"/>
        <w:lang w:val="es-ES" w:eastAsia="en-US" w:bidi="ar-SA"/>
      </w:rPr>
    </w:lvl>
    <w:lvl w:ilvl="1" w:tplc="2AD6A076">
      <w:numFmt w:val="bullet"/>
      <w:lvlText w:val=""/>
      <w:lvlJc w:val="left"/>
      <w:pPr>
        <w:ind w:left="1090" w:hanging="360"/>
      </w:pPr>
      <w:rPr>
        <w:rFonts w:ascii="Symbol" w:eastAsia="Symbol" w:hAnsi="Symbol" w:cs="Symbol" w:hint="default"/>
        <w:w w:val="100"/>
        <w:sz w:val="22"/>
        <w:szCs w:val="22"/>
        <w:lang w:val="es-ES" w:eastAsia="en-US" w:bidi="ar-SA"/>
      </w:rPr>
    </w:lvl>
    <w:lvl w:ilvl="2" w:tplc="564619FE">
      <w:numFmt w:val="bullet"/>
      <w:lvlText w:val="•"/>
      <w:lvlJc w:val="left"/>
      <w:pPr>
        <w:ind w:left="2172" w:hanging="360"/>
      </w:pPr>
      <w:rPr>
        <w:rFonts w:hint="default"/>
        <w:lang w:val="es-ES" w:eastAsia="en-US" w:bidi="ar-SA"/>
      </w:rPr>
    </w:lvl>
    <w:lvl w:ilvl="3" w:tplc="79A08550">
      <w:numFmt w:val="bullet"/>
      <w:lvlText w:val="•"/>
      <w:lvlJc w:val="left"/>
      <w:pPr>
        <w:ind w:left="3245" w:hanging="360"/>
      </w:pPr>
      <w:rPr>
        <w:rFonts w:hint="default"/>
        <w:lang w:val="es-ES" w:eastAsia="en-US" w:bidi="ar-SA"/>
      </w:rPr>
    </w:lvl>
    <w:lvl w:ilvl="4" w:tplc="E5C67E7A">
      <w:numFmt w:val="bullet"/>
      <w:lvlText w:val="•"/>
      <w:lvlJc w:val="left"/>
      <w:pPr>
        <w:ind w:left="4317" w:hanging="360"/>
      </w:pPr>
      <w:rPr>
        <w:rFonts w:hint="default"/>
        <w:lang w:val="es-ES" w:eastAsia="en-US" w:bidi="ar-SA"/>
      </w:rPr>
    </w:lvl>
    <w:lvl w:ilvl="5" w:tplc="A32ECDEC">
      <w:numFmt w:val="bullet"/>
      <w:lvlText w:val="•"/>
      <w:lvlJc w:val="left"/>
      <w:pPr>
        <w:ind w:left="5390" w:hanging="360"/>
      </w:pPr>
      <w:rPr>
        <w:rFonts w:hint="default"/>
        <w:lang w:val="es-ES" w:eastAsia="en-US" w:bidi="ar-SA"/>
      </w:rPr>
    </w:lvl>
    <w:lvl w:ilvl="6" w:tplc="7DE40600">
      <w:numFmt w:val="bullet"/>
      <w:lvlText w:val="•"/>
      <w:lvlJc w:val="left"/>
      <w:pPr>
        <w:ind w:left="6462" w:hanging="360"/>
      </w:pPr>
      <w:rPr>
        <w:rFonts w:hint="default"/>
        <w:lang w:val="es-ES" w:eastAsia="en-US" w:bidi="ar-SA"/>
      </w:rPr>
    </w:lvl>
    <w:lvl w:ilvl="7" w:tplc="8180ACE2">
      <w:numFmt w:val="bullet"/>
      <w:lvlText w:val="•"/>
      <w:lvlJc w:val="left"/>
      <w:pPr>
        <w:ind w:left="7535" w:hanging="360"/>
      </w:pPr>
      <w:rPr>
        <w:rFonts w:hint="default"/>
        <w:lang w:val="es-ES" w:eastAsia="en-US" w:bidi="ar-SA"/>
      </w:rPr>
    </w:lvl>
    <w:lvl w:ilvl="8" w:tplc="DF263290">
      <w:numFmt w:val="bullet"/>
      <w:lvlText w:val="•"/>
      <w:lvlJc w:val="left"/>
      <w:pPr>
        <w:ind w:left="8607" w:hanging="360"/>
      </w:pPr>
      <w:rPr>
        <w:rFonts w:hint="default"/>
        <w:lang w:val="es-ES" w:eastAsia="en-US" w:bidi="ar-SA"/>
      </w:rPr>
    </w:lvl>
  </w:abstractNum>
  <w:abstractNum w:abstractNumId="4" w15:restartNumberingAfterBreak="0">
    <w:nsid w:val="105F4EC2"/>
    <w:multiLevelType w:val="hybridMultilevel"/>
    <w:tmpl w:val="9CF04D68"/>
    <w:lvl w:ilvl="0" w:tplc="299A6AA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B80FCC"/>
    <w:multiLevelType w:val="hybridMultilevel"/>
    <w:tmpl w:val="7F14B4F4"/>
    <w:lvl w:ilvl="0" w:tplc="631A51CC">
      <w:numFmt w:val="bullet"/>
      <w:lvlText w:val=""/>
      <w:lvlJc w:val="left"/>
      <w:pPr>
        <w:ind w:left="742" w:hanging="360"/>
      </w:pPr>
      <w:rPr>
        <w:rFonts w:ascii="Symbol" w:eastAsia="Symbol" w:hAnsi="Symbol" w:cs="Symbol" w:hint="default"/>
        <w:w w:val="100"/>
        <w:sz w:val="22"/>
        <w:szCs w:val="22"/>
        <w:lang w:val="es-ES" w:eastAsia="en-US" w:bidi="ar-SA"/>
      </w:rPr>
    </w:lvl>
    <w:lvl w:ilvl="1" w:tplc="6D94318C">
      <w:numFmt w:val="bullet"/>
      <w:lvlText w:val="•"/>
      <w:lvlJc w:val="left"/>
      <w:pPr>
        <w:ind w:left="1741" w:hanging="360"/>
      </w:pPr>
      <w:rPr>
        <w:rFonts w:hint="default"/>
        <w:lang w:val="es-ES" w:eastAsia="en-US" w:bidi="ar-SA"/>
      </w:rPr>
    </w:lvl>
    <w:lvl w:ilvl="2" w:tplc="4A680E4A">
      <w:numFmt w:val="bullet"/>
      <w:lvlText w:val="•"/>
      <w:lvlJc w:val="left"/>
      <w:pPr>
        <w:ind w:left="2742" w:hanging="360"/>
      </w:pPr>
      <w:rPr>
        <w:rFonts w:hint="default"/>
        <w:lang w:val="es-ES" w:eastAsia="en-US" w:bidi="ar-SA"/>
      </w:rPr>
    </w:lvl>
    <w:lvl w:ilvl="3" w:tplc="AC3E30FE">
      <w:numFmt w:val="bullet"/>
      <w:lvlText w:val="•"/>
      <w:lvlJc w:val="left"/>
      <w:pPr>
        <w:ind w:left="3743" w:hanging="360"/>
      </w:pPr>
      <w:rPr>
        <w:rFonts w:hint="default"/>
        <w:lang w:val="es-ES" w:eastAsia="en-US" w:bidi="ar-SA"/>
      </w:rPr>
    </w:lvl>
    <w:lvl w:ilvl="4" w:tplc="FB8AA99E">
      <w:numFmt w:val="bullet"/>
      <w:lvlText w:val="•"/>
      <w:lvlJc w:val="left"/>
      <w:pPr>
        <w:ind w:left="4745" w:hanging="360"/>
      </w:pPr>
      <w:rPr>
        <w:rFonts w:hint="default"/>
        <w:lang w:val="es-ES" w:eastAsia="en-US" w:bidi="ar-SA"/>
      </w:rPr>
    </w:lvl>
    <w:lvl w:ilvl="5" w:tplc="8B1C550A">
      <w:numFmt w:val="bullet"/>
      <w:lvlText w:val="•"/>
      <w:lvlJc w:val="left"/>
      <w:pPr>
        <w:ind w:left="5746" w:hanging="360"/>
      </w:pPr>
      <w:rPr>
        <w:rFonts w:hint="default"/>
        <w:lang w:val="es-ES" w:eastAsia="en-US" w:bidi="ar-SA"/>
      </w:rPr>
    </w:lvl>
    <w:lvl w:ilvl="6" w:tplc="D4AEA278">
      <w:numFmt w:val="bullet"/>
      <w:lvlText w:val="•"/>
      <w:lvlJc w:val="left"/>
      <w:pPr>
        <w:ind w:left="6747" w:hanging="360"/>
      </w:pPr>
      <w:rPr>
        <w:rFonts w:hint="default"/>
        <w:lang w:val="es-ES" w:eastAsia="en-US" w:bidi="ar-SA"/>
      </w:rPr>
    </w:lvl>
    <w:lvl w:ilvl="7" w:tplc="8116D204">
      <w:numFmt w:val="bullet"/>
      <w:lvlText w:val="•"/>
      <w:lvlJc w:val="left"/>
      <w:pPr>
        <w:ind w:left="7749" w:hanging="360"/>
      </w:pPr>
      <w:rPr>
        <w:rFonts w:hint="default"/>
        <w:lang w:val="es-ES" w:eastAsia="en-US" w:bidi="ar-SA"/>
      </w:rPr>
    </w:lvl>
    <w:lvl w:ilvl="8" w:tplc="774C0D52">
      <w:numFmt w:val="bullet"/>
      <w:lvlText w:val="•"/>
      <w:lvlJc w:val="left"/>
      <w:pPr>
        <w:ind w:left="8750" w:hanging="360"/>
      </w:pPr>
      <w:rPr>
        <w:rFonts w:hint="default"/>
        <w:lang w:val="es-ES" w:eastAsia="en-US" w:bidi="ar-SA"/>
      </w:rPr>
    </w:lvl>
  </w:abstractNum>
  <w:abstractNum w:abstractNumId="6" w15:restartNumberingAfterBreak="0">
    <w:nsid w:val="267E7124"/>
    <w:multiLevelType w:val="hybridMultilevel"/>
    <w:tmpl w:val="9EBE6916"/>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7" w15:restartNumberingAfterBreak="0">
    <w:nsid w:val="2C101367"/>
    <w:multiLevelType w:val="multilevel"/>
    <w:tmpl w:val="22520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F81C6B"/>
    <w:multiLevelType w:val="hybridMultilevel"/>
    <w:tmpl w:val="C2666896"/>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9" w15:restartNumberingAfterBreak="0">
    <w:nsid w:val="3D215B42"/>
    <w:multiLevelType w:val="multilevel"/>
    <w:tmpl w:val="7BE8F034"/>
    <w:lvl w:ilvl="0">
      <w:start w:val="2"/>
      <w:numFmt w:val="decimal"/>
      <w:lvlText w:val="%1"/>
      <w:lvlJc w:val="left"/>
      <w:pPr>
        <w:ind w:left="1438" w:hanging="1416"/>
      </w:pPr>
      <w:rPr>
        <w:rFonts w:hint="default"/>
        <w:lang w:val="es-ES" w:eastAsia="en-US" w:bidi="ar-SA"/>
      </w:rPr>
    </w:lvl>
    <w:lvl w:ilvl="1">
      <w:start w:val="2"/>
      <w:numFmt w:val="decimal"/>
      <w:lvlText w:val="%1.%2"/>
      <w:lvlJc w:val="left"/>
      <w:pPr>
        <w:ind w:left="1438" w:hanging="1416"/>
      </w:pPr>
      <w:rPr>
        <w:rFonts w:hint="default"/>
        <w:lang w:val="es-ES" w:eastAsia="en-US" w:bidi="ar-SA"/>
      </w:rPr>
    </w:lvl>
    <w:lvl w:ilvl="2">
      <w:start w:val="4"/>
      <w:numFmt w:val="decimal"/>
      <w:lvlText w:val="%1.%2.%3"/>
      <w:lvlJc w:val="left"/>
      <w:pPr>
        <w:ind w:left="1438" w:hanging="1416"/>
      </w:pPr>
      <w:rPr>
        <w:rFonts w:hint="default"/>
        <w:lang w:val="es-ES" w:eastAsia="en-US" w:bidi="ar-SA"/>
      </w:rPr>
    </w:lvl>
    <w:lvl w:ilvl="3">
      <w:start w:val="2"/>
      <w:numFmt w:val="decimal"/>
      <w:lvlText w:val="%1.%2.%3.%4."/>
      <w:lvlJc w:val="left"/>
      <w:pPr>
        <w:ind w:left="1438" w:hanging="1416"/>
      </w:pPr>
      <w:rPr>
        <w:rFonts w:ascii="Arial" w:eastAsia="Arial" w:hAnsi="Arial" w:cs="Arial" w:hint="default"/>
        <w:b/>
        <w:bCs/>
        <w:spacing w:val="-2"/>
        <w:w w:val="100"/>
        <w:sz w:val="22"/>
        <w:szCs w:val="22"/>
        <w:lang w:val="es-ES" w:eastAsia="en-US" w:bidi="ar-SA"/>
      </w:rPr>
    </w:lvl>
    <w:lvl w:ilvl="4">
      <w:numFmt w:val="bullet"/>
      <w:lvlText w:val=""/>
      <w:lvlJc w:val="left"/>
      <w:pPr>
        <w:ind w:left="742" w:hanging="360"/>
      </w:pPr>
      <w:rPr>
        <w:rFonts w:ascii="Symbol" w:eastAsia="Symbol" w:hAnsi="Symbol" w:cs="Symbol" w:hint="default"/>
        <w:w w:val="100"/>
        <w:sz w:val="22"/>
        <w:szCs w:val="22"/>
        <w:lang w:val="es-ES" w:eastAsia="en-US" w:bidi="ar-SA"/>
      </w:rPr>
    </w:lvl>
    <w:lvl w:ilvl="5">
      <w:numFmt w:val="bullet"/>
      <w:lvlText w:val="•"/>
      <w:lvlJc w:val="left"/>
      <w:pPr>
        <w:ind w:left="5579" w:hanging="360"/>
      </w:pPr>
      <w:rPr>
        <w:rFonts w:hint="default"/>
        <w:lang w:val="es-ES" w:eastAsia="en-US" w:bidi="ar-SA"/>
      </w:rPr>
    </w:lvl>
    <w:lvl w:ilvl="6">
      <w:numFmt w:val="bullet"/>
      <w:lvlText w:val="•"/>
      <w:lvlJc w:val="left"/>
      <w:pPr>
        <w:ind w:left="6613" w:hanging="360"/>
      </w:pPr>
      <w:rPr>
        <w:rFonts w:hint="default"/>
        <w:lang w:val="es-ES" w:eastAsia="en-US" w:bidi="ar-SA"/>
      </w:rPr>
    </w:lvl>
    <w:lvl w:ilvl="7">
      <w:numFmt w:val="bullet"/>
      <w:lvlText w:val="•"/>
      <w:lvlJc w:val="left"/>
      <w:pPr>
        <w:ind w:left="7648" w:hanging="360"/>
      </w:pPr>
      <w:rPr>
        <w:rFonts w:hint="default"/>
        <w:lang w:val="es-ES" w:eastAsia="en-US" w:bidi="ar-SA"/>
      </w:rPr>
    </w:lvl>
    <w:lvl w:ilvl="8">
      <w:numFmt w:val="bullet"/>
      <w:lvlText w:val="•"/>
      <w:lvlJc w:val="left"/>
      <w:pPr>
        <w:ind w:left="8683" w:hanging="360"/>
      </w:pPr>
      <w:rPr>
        <w:rFonts w:hint="default"/>
        <w:lang w:val="es-ES" w:eastAsia="en-US" w:bidi="ar-SA"/>
      </w:rPr>
    </w:lvl>
  </w:abstractNum>
  <w:abstractNum w:abstractNumId="10" w15:restartNumberingAfterBreak="0">
    <w:nsid w:val="40F2352B"/>
    <w:multiLevelType w:val="hybridMultilevel"/>
    <w:tmpl w:val="E3DACF26"/>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1" w15:restartNumberingAfterBreak="0">
    <w:nsid w:val="410933D9"/>
    <w:multiLevelType w:val="hybridMultilevel"/>
    <w:tmpl w:val="B560CD5E"/>
    <w:lvl w:ilvl="0" w:tplc="414EE30A">
      <w:numFmt w:val="bullet"/>
      <w:lvlText w:val="-"/>
      <w:lvlJc w:val="left"/>
      <w:pPr>
        <w:ind w:left="361" w:hanging="360"/>
      </w:pPr>
      <w:rPr>
        <w:rFonts w:ascii="Arial MT" w:eastAsia="Arial MT" w:hAnsi="Arial MT" w:cs="Arial MT" w:hint="default"/>
        <w:w w:val="100"/>
        <w:sz w:val="22"/>
        <w:szCs w:val="22"/>
        <w:lang w:val="es-ES" w:eastAsia="en-US" w:bidi="ar-SA"/>
      </w:rPr>
    </w:lvl>
    <w:lvl w:ilvl="1" w:tplc="BD2602CA">
      <w:numFmt w:val="bullet"/>
      <w:lvlText w:val="•"/>
      <w:lvlJc w:val="left"/>
      <w:pPr>
        <w:ind w:left="1360" w:hanging="360"/>
      </w:pPr>
      <w:rPr>
        <w:rFonts w:hint="default"/>
        <w:lang w:val="es-ES" w:eastAsia="en-US" w:bidi="ar-SA"/>
      </w:rPr>
    </w:lvl>
    <w:lvl w:ilvl="2" w:tplc="4ACCFABA">
      <w:numFmt w:val="bullet"/>
      <w:lvlText w:val="•"/>
      <w:lvlJc w:val="left"/>
      <w:pPr>
        <w:ind w:left="2361" w:hanging="360"/>
      </w:pPr>
      <w:rPr>
        <w:rFonts w:hint="default"/>
        <w:lang w:val="es-ES" w:eastAsia="en-US" w:bidi="ar-SA"/>
      </w:rPr>
    </w:lvl>
    <w:lvl w:ilvl="3" w:tplc="671E7AC2">
      <w:numFmt w:val="bullet"/>
      <w:lvlText w:val="•"/>
      <w:lvlJc w:val="left"/>
      <w:pPr>
        <w:ind w:left="3362" w:hanging="360"/>
      </w:pPr>
      <w:rPr>
        <w:rFonts w:hint="default"/>
        <w:lang w:val="es-ES" w:eastAsia="en-US" w:bidi="ar-SA"/>
      </w:rPr>
    </w:lvl>
    <w:lvl w:ilvl="4" w:tplc="DB92F3DC">
      <w:numFmt w:val="bullet"/>
      <w:lvlText w:val="•"/>
      <w:lvlJc w:val="left"/>
      <w:pPr>
        <w:ind w:left="4364" w:hanging="360"/>
      </w:pPr>
      <w:rPr>
        <w:rFonts w:hint="default"/>
        <w:lang w:val="es-ES" w:eastAsia="en-US" w:bidi="ar-SA"/>
      </w:rPr>
    </w:lvl>
    <w:lvl w:ilvl="5" w:tplc="F63E2BB6">
      <w:numFmt w:val="bullet"/>
      <w:lvlText w:val="•"/>
      <w:lvlJc w:val="left"/>
      <w:pPr>
        <w:ind w:left="5365" w:hanging="360"/>
      </w:pPr>
      <w:rPr>
        <w:rFonts w:hint="default"/>
        <w:lang w:val="es-ES" w:eastAsia="en-US" w:bidi="ar-SA"/>
      </w:rPr>
    </w:lvl>
    <w:lvl w:ilvl="6" w:tplc="6186DEE8">
      <w:numFmt w:val="bullet"/>
      <w:lvlText w:val="•"/>
      <w:lvlJc w:val="left"/>
      <w:pPr>
        <w:ind w:left="6366" w:hanging="360"/>
      </w:pPr>
      <w:rPr>
        <w:rFonts w:hint="default"/>
        <w:lang w:val="es-ES" w:eastAsia="en-US" w:bidi="ar-SA"/>
      </w:rPr>
    </w:lvl>
    <w:lvl w:ilvl="7" w:tplc="0D665D6A">
      <w:numFmt w:val="bullet"/>
      <w:lvlText w:val="•"/>
      <w:lvlJc w:val="left"/>
      <w:pPr>
        <w:ind w:left="7368" w:hanging="360"/>
      </w:pPr>
      <w:rPr>
        <w:rFonts w:hint="default"/>
        <w:lang w:val="es-ES" w:eastAsia="en-US" w:bidi="ar-SA"/>
      </w:rPr>
    </w:lvl>
    <w:lvl w:ilvl="8" w:tplc="2D4650BC">
      <w:numFmt w:val="bullet"/>
      <w:lvlText w:val="•"/>
      <w:lvlJc w:val="left"/>
      <w:pPr>
        <w:ind w:left="8369" w:hanging="360"/>
      </w:pPr>
      <w:rPr>
        <w:rFonts w:hint="default"/>
        <w:lang w:val="es-ES" w:eastAsia="en-US" w:bidi="ar-SA"/>
      </w:rPr>
    </w:lvl>
  </w:abstractNum>
  <w:abstractNum w:abstractNumId="12" w15:restartNumberingAfterBreak="0">
    <w:nsid w:val="48517CB6"/>
    <w:multiLevelType w:val="multilevel"/>
    <w:tmpl w:val="3590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E3F7F14"/>
    <w:multiLevelType w:val="multilevel"/>
    <w:tmpl w:val="05BA24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E72247"/>
    <w:multiLevelType w:val="hybridMultilevel"/>
    <w:tmpl w:val="730E5010"/>
    <w:lvl w:ilvl="0" w:tplc="04C2D4D0">
      <w:numFmt w:val="bullet"/>
      <w:lvlText w:val="-"/>
      <w:lvlJc w:val="left"/>
      <w:pPr>
        <w:ind w:left="742" w:hanging="360"/>
      </w:pPr>
      <w:rPr>
        <w:rFonts w:ascii="Calibri" w:eastAsia="Calibri" w:hAnsi="Calibri" w:cs="Calibri" w:hint="default"/>
        <w:w w:val="100"/>
        <w:sz w:val="22"/>
        <w:szCs w:val="22"/>
        <w:lang w:val="es-ES" w:eastAsia="en-US" w:bidi="ar-SA"/>
      </w:rPr>
    </w:lvl>
    <w:lvl w:ilvl="1" w:tplc="B6208A62">
      <w:numFmt w:val="bullet"/>
      <w:lvlText w:val="•"/>
      <w:lvlJc w:val="left"/>
      <w:pPr>
        <w:ind w:left="1741" w:hanging="360"/>
      </w:pPr>
      <w:rPr>
        <w:rFonts w:hint="default"/>
        <w:lang w:val="es-ES" w:eastAsia="en-US" w:bidi="ar-SA"/>
      </w:rPr>
    </w:lvl>
    <w:lvl w:ilvl="2" w:tplc="568A4C86">
      <w:numFmt w:val="bullet"/>
      <w:lvlText w:val="•"/>
      <w:lvlJc w:val="left"/>
      <w:pPr>
        <w:ind w:left="2742" w:hanging="360"/>
      </w:pPr>
      <w:rPr>
        <w:rFonts w:hint="default"/>
        <w:lang w:val="es-ES" w:eastAsia="en-US" w:bidi="ar-SA"/>
      </w:rPr>
    </w:lvl>
    <w:lvl w:ilvl="3" w:tplc="480AF986">
      <w:numFmt w:val="bullet"/>
      <w:lvlText w:val="•"/>
      <w:lvlJc w:val="left"/>
      <w:pPr>
        <w:ind w:left="3743" w:hanging="360"/>
      </w:pPr>
      <w:rPr>
        <w:rFonts w:hint="default"/>
        <w:lang w:val="es-ES" w:eastAsia="en-US" w:bidi="ar-SA"/>
      </w:rPr>
    </w:lvl>
    <w:lvl w:ilvl="4" w:tplc="2ECA44B0">
      <w:numFmt w:val="bullet"/>
      <w:lvlText w:val="•"/>
      <w:lvlJc w:val="left"/>
      <w:pPr>
        <w:ind w:left="4745" w:hanging="360"/>
      </w:pPr>
      <w:rPr>
        <w:rFonts w:hint="default"/>
        <w:lang w:val="es-ES" w:eastAsia="en-US" w:bidi="ar-SA"/>
      </w:rPr>
    </w:lvl>
    <w:lvl w:ilvl="5" w:tplc="7B0E4BF4">
      <w:numFmt w:val="bullet"/>
      <w:lvlText w:val="•"/>
      <w:lvlJc w:val="left"/>
      <w:pPr>
        <w:ind w:left="5746" w:hanging="360"/>
      </w:pPr>
      <w:rPr>
        <w:rFonts w:hint="default"/>
        <w:lang w:val="es-ES" w:eastAsia="en-US" w:bidi="ar-SA"/>
      </w:rPr>
    </w:lvl>
    <w:lvl w:ilvl="6" w:tplc="334C5C9A">
      <w:numFmt w:val="bullet"/>
      <w:lvlText w:val="•"/>
      <w:lvlJc w:val="left"/>
      <w:pPr>
        <w:ind w:left="6747" w:hanging="360"/>
      </w:pPr>
      <w:rPr>
        <w:rFonts w:hint="default"/>
        <w:lang w:val="es-ES" w:eastAsia="en-US" w:bidi="ar-SA"/>
      </w:rPr>
    </w:lvl>
    <w:lvl w:ilvl="7" w:tplc="D1CE4F4A">
      <w:numFmt w:val="bullet"/>
      <w:lvlText w:val="•"/>
      <w:lvlJc w:val="left"/>
      <w:pPr>
        <w:ind w:left="7749" w:hanging="360"/>
      </w:pPr>
      <w:rPr>
        <w:rFonts w:hint="default"/>
        <w:lang w:val="es-ES" w:eastAsia="en-US" w:bidi="ar-SA"/>
      </w:rPr>
    </w:lvl>
    <w:lvl w:ilvl="8" w:tplc="2922753C">
      <w:numFmt w:val="bullet"/>
      <w:lvlText w:val="•"/>
      <w:lvlJc w:val="left"/>
      <w:pPr>
        <w:ind w:left="8750" w:hanging="360"/>
      </w:pPr>
      <w:rPr>
        <w:rFonts w:hint="default"/>
        <w:lang w:val="es-ES" w:eastAsia="en-US" w:bidi="ar-SA"/>
      </w:rPr>
    </w:lvl>
  </w:abstractNum>
  <w:abstractNum w:abstractNumId="16" w15:restartNumberingAfterBreak="0">
    <w:nsid w:val="54C60935"/>
    <w:multiLevelType w:val="hybridMultilevel"/>
    <w:tmpl w:val="C00C034E"/>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55764EB1"/>
    <w:multiLevelType w:val="hybridMultilevel"/>
    <w:tmpl w:val="2F646B36"/>
    <w:lvl w:ilvl="0" w:tplc="274A92B6">
      <w:numFmt w:val="bullet"/>
      <w:lvlText w:val="•"/>
      <w:lvlJc w:val="left"/>
      <w:pPr>
        <w:ind w:left="360" w:hanging="360"/>
      </w:pPr>
      <w:rPr>
        <w:rFonts w:hint="default"/>
        <w:lang w:val="es-ES" w:eastAsia="en-US" w:bidi="ar-SA"/>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15:restartNumberingAfterBreak="0">
    <w:nsid w:val="5A552DEC"/>
    <w:multiLevelType w:val="multilevel"/>
    <w:tmpl w:val="6BECB05E"/>
    <w:lvl w:ilvl="0">
      <w:start w:val="1"/>
      <w:numFmt w:val="decimal"/>
      <w:lvlText w:val="%1."/>
      <w:lvlJc w:val="left"/>
      <w:pPr>
        <w:ind w:left="644" w:hanging="360"/>
      </w:pPr>
      <w:rPr>
        <w:rFonts w:hint="default"/>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78A29BB"/>
    <w:multiLevelType w:val="hybridMultilevel"/>
    <w:tmpl w:val="1FBE0970"/>
    <w:lvl w:ilvl="0" w:tplc="240A000F">
      <w:start w:val="1"/>
      <w:numFmt w:val="decimal"/>
      <w:lvlText w:val="%1."/>
      <w:lvlJc w:val="left"/>
      <w:pPr>
        <w:ind w:left="1636"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71144243">
    <w:abstractNumId w:val="18"/>
  </w:num>
  <w:num w:numId="2" w16cid:durableId="1289582798">
    <w:abstractNumId w:val="13"/>
  </w:num>
  <w:num w:numId="3" w16cid:durableId="291332160">
    <w:abstractNumId w:val="19"/>
  </w:num>
  <w:num w:numId="4" w16cid:durableId="1339119854">
    <w:abstractNumId w:val="0"/>
  </w:num>
  <w:num w:numId="5" w16cid:durableId="527717727">
    <w:abstractNumId w:val="20"/>
  </w:num>
  <w:num w:numId="6" w16cid:durableId="1360621901">
    <w:abstractNumId w:val="14"/>
  </w:num>
  <w:num w:numId="7" w16cid:durableId="2130541099">
    <w:abstractNumId w:val="12"/>
  </w:num>
  <w:num w:numId="8" w16cid:durableId="609819504">
    <w:abstractNumId w:val="7"/>
  </w:num>
  <w:num w:numId="9" w16cid:durableId="1321614041">
    <w:abstractNumId w:val="2"/>
  </w:num>
  <w:num w:numId="10" w16cid:durableId="817764886">
    <w:abstractNumId w:val="9"/>
  </w:num>
  <w:num w:numId="11" w16cid:durableId="1914658212">
    <w:abstractNumId w:val="5"/>
  </w:num>
  <w:num w:numId="12" w16cid:durableId="1805193137">
    <w:abstractNumId w:val="15"/>
  </w:num>
  <w:num w:numId="13" w16cid:durableId="1474639592">
    <w:abstractNumId w:val="3"/>
  </w:num>
  <w:num w:numId="14" w16cid:durableId="1515341057">
    <w:abstractNumId w:val="1"/>
  </w:num>
  <w:num w:numId="15" w16cid:durableId="1862433552">
    <w:abstractNumId w:val="16"/>
  </w:num>
  <w:num w:numId="16" w16cid:durableId="128786369">
    <w:abstractNumId w:val="11"/>
  </w:num>
  <w:num w:numId="17" w16cid:durableId="1430270887">
    <w:abstractNumId w:val="8"/>
  </w:num>
  <w:num w:numId="18" w16cid:durableId="565996476">
    <w:abstractNumId w:val="4"/>
  </w:num>
  <w:num w:numId="19" w16cid:durableId="613444849">
    <w:abstractNumId w:val="6"/>
  </w:num>
  <w:num w:numId="20" w16cid:durableId="1226574300">
    <w:abstractNumId w:val="10"/>
  </w:num>
  <w:num w:numId="21" w16cid:durableId="1393236747">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03E"/>
    <w:rsid w:val="000131A5"/>
    <w:rsid w:val="000139AF"/>
    <w:rsid w:val="0001676C"/>
    <w:rsid w:val="00020402"/>
    <w:rsid w:val="00021336"/>
    <w:rsid w:val="00025215"/>
    <w:rsid w:val="00025A55"/>
    <w:rsid w:val="00042EE3"/>
    <w:rsid w:val="000435B6"/>
    <w:rsid w:val="000460BC"/>
    <w:rsid w:val="000655A4"/>
    <w:rsid w:val="0007083D"/>
    <w:rsid w:val="00072126"/>
    <w:rsid w:val="00083138"/>
    <w:rsid w:val="00090097"/>
    <w:rsid w:val="000A6415"/>
    <w:rsid w:val="000B0465"/>
    <w:rsid w:val="000C04D7"/>
    <w:rsid w:val="000D5E11"/>
    <w:rsid w:val="000D7704"/>
    <w:rsid w:val="000E7E99"/>
    <w:rsid w:val="000F31A1"/>
    <w:rsid w:val="000F50D5"/>
    <w:rsid w:val="000F5CA6"/>
    <w:rsid w:val="001061F3"/>
    <w:rsid w:val="00112418"/>
    <w:rsid w:val="0012069A"/>
    <w:rsid w:val="00123D59"/>
    <w:rsid w:val="0012400C"/>
    <w:rsid w:val="001309AB"/>
    <w:rsid w:val="00131397"/>
    <w:rsid w:val="0013699D"/>
    <w:rsid w:val="0014703F"/>
    <w:rsid w:val="00165780"/>
    <w:rsid w:val="00166496"/>
    <w:rsid w:val="001A363F"/>
    <w:rsid w:val="001B3730"/>
    <w:rsid w:val="001C2DA3"/>
    <w:rsid w:val="001C6840"/>
    <w:rsid w:val="001C7D04"/>
    <w:rsid w:val="001D30C9"/>
    <w:rsid w:val="001D617B"/>
    <w:rsid w:val="001F130D"/>
    <w:rsid w:val="001F1F7D"/>
    <w:rsid w:val="001F754D"/>
    <w:rsid w:val="001F7C3D"/>
    <w:rsid w:val="002046C3"/>
    <w:rsid w:val="00204C86"/>
    <w:rsid w:val="00213159"/>
    <w:rsid w:val="00222DF9"/>
    <w:rsid w:val="0024147D"/>
    <w:rsid w:val="00250BF4"/>
    <w:rsid w:val="00250E99"/>
    <w:rsid w:val="00260FCA"/>
    <w:rsid w:val="00275319"/>
    <w:rsid w:val="0028008C"/>
    <w:rsid w:val="00287263"/>
    <w:rsid w:val="00287649"/>
    <w:rsid w:val="0029782B"/>
    <w:rsid w:val="002B2170"/>
    <w:rsid w:val="002B5EF5"/>
    <w:rsid w:val="002C6EA2"/>
    <w:rsid w:val="002C782E"/>
    <w:rsid w:val="002D4BAF"/>
    <w:rsid w:val="002D5293"/>
    <w:rsid w:val="002F05A3"/>
    <w:rsid w:val="00305EB0"/>
    <w:rsid w:val="00312014"/>
    <w:rsid w:val="0032360E"/>
    <w:rsid w:val="00326242"/>
    <w:rsid w:val="00331097"/>
    <w:rsid w:val="00361B6C"/>
    <w:rsid w:val="00364BA5"/>
    <w:rsid w:val="00370C29"/>
    <w:rsid w:val="00373412"/>
    <w:rsid w:val="0039185F"/>
    <w:rsid w:val="00393075"/>
    <w:rsid w:val="003954D8"/>
    <w:rsid w:val="003A200A"/>
    <w:rsid w:val="003A73B1"/>
    <w:rsid w:val="003A79F4"/>
    <w:rsid w:val="003B00D6"/>
    <w:rsid w:val="003C4FC9"/>
    <w:rsid w:val="003D26FD"/>
    <w:rsid w:val="003D3686"/>
    <w:rsid w:val="003D6832"/>
    <w:rsid w:val="003D6A94"/>
    <w:rsid w:val="003D7B47"/>
    <w:rsid w:val="003E64DD"/>
    <w:rsid w:val="003F6ACE"/>
    <w:rsid w:val="003F79D9"/>
    <w:rsid w:val="0040608C"/>
    <w:rsid w:val="0040749D"/>
    <w:rsid w:val="00407E3E"/>
    <w:rsid w:val="004103A1"/>
    <w:rsid w:val="00417DA5"/>
    <w:rsid w:val="00420B2A"/>
    <w:rsid w:val="004219F7"/>
    <w:rsid w:val="00422335"/>
    <w:rsid w:val="00430AB3"/>
    <w:rsid w:val="00473BE5"/>
    <w:rsid w:val="004835B9"/>
    <w:rsid w:val="004864CC"/>
    <w:rsid w:val="00487FFB"/>
    <w:rsid w:val="0049619A"/>
    <w:rsid w:val="004969B9"/>
    <w:rsid w:val="004A0158"/>
    <w:rsid w:val="004A0CF0"/>
    <w:rsid w:val="004B33AA"/>
    <w:rsid w:val="004B4533"/>
    <w:rsid w:val="004B48AD"/>
    <w:rsid w:val="004C6E9C"/>
    <w:rsid w:val="004D337B"/>
    <w:rsid w:val="004D6D27"/>
    <w:rsid w:val="004E18A7"/>
    <w:rsid w:val="004E4776"/>
    <w:rsid w:val="004F6DEF"/>
    <w:rsid w:val="00517FF8"/>
    <w:rsid w:val="00520E89"/>
    <w:rsid w:val="00532FAF"/>
    <w:rsid w:val="00535E29"/>
    <w:rsid w:val="0055226A"/>
    <w:rsid w:val="0055603E"/>
    <w:rsid w:val="005653D1"/>
    <w:rsid w:val="00581A80"/>
    <w:rsid w:val="005A4111"/>
    <w:rsid w:val="005B4D8F"/>
    <w:rsid w:val="005B56B0"/>
    <w:rsid w:val="005C1C2E"/>
    <w:rsid w:val="005C41AC"/>
    <w:rsid w:val="005D4C82"/>
    <w:rsid w:val="005D571B"/>
    <w:rsid w:val="005D5AB7"/>
    <w:rsid w:val="005D6BDB"/>
    <w:rsid w:val="00602405"/>
    <w:rsid w:val="0061156E"/>
    <w:rsid w:val="00614B08"/>
    <w:rsid w:val="00644F27"/>
    <w:rsid w:val="00657CBD"/>
    <w:rsid w:val="00662251"/>
    <w:rsid w:val="00662989"/>
    <w:rsid w:val="0066570C"/>
    <w:rsid w:val="006755B3"/>
    <w:rsid w:val="00676FAA"/>
    <w:rsid w:val="00680D9E"/>
    <w:rsid w:val="00681B42"/>
    <w:rsid w:val="006A1A8E"/>
    <w:rsid w:val="006C29BA"/>
    <w:rsid w:val="006C723C"/>
    <w:rsid w:val="006D3322"/>
    <w:rsid w:val="006D3906"/>
    <w:rsid w:val="006E2746"/>
    <w:rsid w:val="006E3B0D"/>
    <w:rsid w:val="006E5904"/>
    <w:rsid w:val="006E6EDB"/>
    <w:rsid w:val="006F19CB"/>
    <w:rsid w:val="006F5CFB"/>
    <w:rsid w:val="00703AAF"/>
    <w:rsid w:val="007109DC"/>
    <w:rsid w:val="007112C2"/>
    <w:rsid w:val="00712166"/>
    <w:rsid w:val="00713942"/>
    <w:rsid w:val="0071568E"/>
    <w:rsid w:val="00716A7F"/>
    <w:rsid w:val="00720D2A"/>
    <w:rsid w:val="00726197"/>
    <w:rsid w:val="00726C65"/>
    <w:rsid w:val="0073280C"/>
    <w:rsid w:val="007362C1"/>
    <w:rsid w:val="0074687F"/>
    <w:rsid w:val="00750230"/>
    <w:rsid w:val="007572C5"/>
    <w:rsid w:val="0075777B"/>
    <w:rsid w:val="00761CA1"/>
    <w:rsid w:val="00764A33"/>
    <w:rsid w:val="00771DEC"/>
    <w:rsid w:val="007765FE"/>
    <w:rsid w:val="00776617"/>
    <w:rsid w:val="00781EA8"/>
    <w:rsid w:val="00792CB6"/>
    <w:rsid w:val="0079701A"/>
    <w:rsid w:val="007B6AF0"/>
    <w:rsid w:val="007C7F18"/>
    <w:rsid w:val="007D5C7C"/>
    <w:rsid w:val="007E4F9F"/>
    <w:rsid w:val="007E5748"/>
    <w:rsid w:val="007F5D34"/>
    <w:rsid w:val="00810BFD"/>
    <w:rsid w:val="008163BB"/>
    <w:rsid w:val="00836A55"/>
    <w:rsid w:val="0084333B"/>
    <w:rsid w:val="008517D7"/>
    <w:rsid w:val="00851FA9"/>
    <w:rsid w:val="00855E16"/>
    <w:rsid w:val="00863E1D"/>
    <w:rsid w:val="008645CF"/>
    <w:rsid w:val="00870C00"/>
    <w:rsid w:val="00877193"/>
    <w:rsid w:val="008824B4"/>
    <w:rsid w:val="00894B43"/>
    <w:rsid w:val="008954A0"/>
    <w:rsid w:val="00896792"/>
    <w:rsid w:val="008971DC"/>
    <w:rsid w:val="008A1DDB"/>
    <w:rsid w:val="008B0D17"/>
    <w:rsid w:val="008B6421"/>
    <w:rsid w:val="008C0338"/>
    <w:rsid w:val="008C2FE9"/>
    <w:rsid w:val="008C671C"/>
    <w:rsid w:val="008D2E7B"/>
    <w:rsid w:val="008E00A6"/>
    <w:rsid w:val="008E34FC"/>
    <w:rsid w:val="008E660B"/>
    <w:rsid w:val="008E7022"/>
    <w:rsid w:val="008F09FC"/>
    <w:rsid w:val="008F3BFA"/>
    <w:rsid w:val="008F454D"/>
    <w:rsid w:val="008F7C70"/>
    <w:rsid w:val="0090216B"/>
    <w:rsid w:val="009101B5"/>
    <w:rsid w:val="0092002B"/>
    <w:rsid w:val="00940269"/>
    <w:rsid w:val="00944029"/>
    <w:rsid w:val="00950925"/>
    <w:rsid w:val="00956809"/>
    <w:rsid w:val="00960E0C"/>
    <w:rsid w:val="00962672"/>
    <w:rsid w:val="0098205F"/>
    <w:rsid w:val="0098495B"/>
    <w:rsid w:val="009960CB"/>
    <w:rsid w:val="009A1D11"/>
    <w:rsid w:val="009A5550"/>
    <w:rsid w:val="009B536A"/>
    <w:rsid w:val="009B6BEE"/>
    <w:rsid w:val="009D14EE"/>
    <w:rsid w:val="009D1709"/>
    <w:rsid w:val="009D57BA"/>
    <w:rsid w:val="009E255E"/>
    <w:rsid w:val="009F2946"/>
    <w:rsid w:val="009F5D5E"/>
    <w:rsid w:val="009F7F8E"/>
    <w:rsid w:val="00A00780"/>
    <w:rsid w:val="00A03FA7"/>
    <w:rsid w:val="00A132D5"/>
    <w:rsid w:val="00A20160"/>
    <w:rsid w:val="00A27114"/>
    <w:rsid w:val="00A30DEB"/>
    <w:rsid w:val="00A34AD8"/>
    <w:rsid w:val="00A35F3F"/>
    <w:rsid w:val="00A55686"/>
    <w:rsid w:val="00A5682D"/>
    <w:rsid w:val="00A65C51"/>
    <w:rsid w:val="00A72EE4"/>
    <w:rsid w:val="00A804E5"/>
    <w:rsid w:val="00A81A8E"/>
    <w:rsid w:val="00A92D2A"/>
    <w:rsid w:val="00A96BD1"/>
    <w:rsid w:val="00AA5885"/>
    <w:rsid w:val="00AA6F8A"/>
    <w:rsid w:val="00AB20FC"/>
    <w:rsid w:val="00AB3E73"/>
    <w:rsid w:val="00AC68A2"/>
    <w:rsid w:val="00AD0972"/>
    <w:rsid w:val="00AD36BC"/>
    <w:rsid w:val="00AE1D0C"/>
    <w:rsid w:val="00AE4E52"/>
    <w:rsid w:val="00AF73FA"/>
    <w:rsid w:val="00B07143"/>
    <w:rsid w:val="00B10ED6"/>
    <w:rsid w:val="00B3751E"/>
    <w:rsid w:val="00B43F42"/>
    <w:rsid w:val="00B4535F"/>
    <w:rsid w:val="00B5646F"/>
    <w:rsid w:val="00B84CFB"/>
    <w:rsid w:val="00B8762A"/>
    <w:rsid w:val="00B92F42"/>
    <w:rsid w:val="00B94F14"/>
    <w:rsid w:val="00BB0F90"/>
    <w:rsid w:val="00BB1CE3"/>
    <w:rsid w:val="00BB5504"/>
    <w:rsid w:val="00BC5B23"/>
    <w:rsid w:val="00BD3D9E"/>
    <w:rsid w:val="00BE089C"/>
    <w:rsid w:val="00BE32A6"/>
    <w:rsid w:val="00BF0F43"/>
    <w:rsid w:val="00BF5D73"/>
    <w:rsid w:val="00BF68CC"/>
    <w:rsid w:val="00C03773"/>
    <w:rsid w:val="00C128F8"/>
    <w:rsid w:val="00C21287"/>
    <w:rsid w:val="00C21289"/>
    <w:rsid w:val="00C23B69"/>
    <w:rsid w:val="00C25B1A"/>
    <w:rsid w:val="00C40276"/>
    <w:rsid w:val="00C550D5"/>
    <w:rsid w:val="00C57AED"/>
    <w:rsid w:val="00C60DE2"/>
    <w:rsid w:val="00C65375"/>
    <w:rsid w:val="00C74C38"/>
    <w:rsid w:val="00C7544B"/>
    <w:rsid w:val="00C77307"/>
    <w:rsid w:val="00C917E8"/>
    <w:rsid w:val="00C934DA"/>
    <w:rsid w:val="00CA2DCA"/>
    <w:rsid w:val="00CB4953"/>
    <w:rsid w:val="00CC5667"/>
    <w:rsid w:val="00CC603F"/>
    <w:rsid w:val="00CF6E8D"/>
    <w:rsid w:val="00D16192"/>
    <w:rsid w:val="00D171BB"/>
    <w:rsid w:val="00D17928"/>
    <w:rsid w:val="00D27942"/>
    <w:rsid w:val="00D30F3C"/>
    <w:rsid w:val="00D32B0C"/>
    <w:rsid w:val="00D407FA"/>
    <w:rsid w:val="00D61DF9"/>
    <w:rsid w:val="00D77F35"/>
    <w:rsid w:val="00D92BBE"/>
    <w:rsid w:val="00DA0D8B"/>
    <w:rsid w:val="00DA13AE"/>
    <w:rsid w:val="00DB59F1"/>
    <w:rsid w:val="00DC28FB"/>
    <w:rsid w:val="00DD3646"/>
    <w:rsid w:val="00DE1876"/>
    <w:rsid w:val="00DE49D3"/>
    <w:rsid w:val="00DF2F02"/>
    <w:rsid w:val="00DF35A3"/>
    <w:rsid w:val="00DF5EA2"/>
    <w:rsid w:val="00E0115B"/>
    <w:rsid w:val="00E14EA5"/>
    <w:rsid w:val="00E15EB2"/>
    <w:rsid w:val="00E21360"/>
    <w:rsid w:val="00E23608"/>
    <w:rsid w:val="00E24EB1"/>
    <w:rsid w:val="00E25EE4"/>
    <w:rsid w:val="00E45CFB"/>
    <w:rsid w:val="00E55BED"/>
    <w:rsid w:val="00E60F5E"/>
    <w:rsid w:val="00E61DB7"/>
    <w:rsid w:val="00E67586"/>
    <w:rsid w:val="00E677C6"/>
    <w:rsid w:val="00E769C2"/>
    <w:rsid w:val="00E7740E"/>
    <w:rsid w:val="00E81430"/>
    <w:rsid w:val="00E917B6"/>
    <w:rsid w:val="00E97DA8"/>
    <w:rsid w:val="00EA1831"/>
    <w:rsid w:val="00EA2FF8"/>
    <w:rsid w:val="00EB2F1D"/>
    <w:rsid w:val="00EB6756"/>
    <w:rsid w:val="00EE74C8"/>
    <w:rsid w:val="00EF0B4C"/>
    <w:rsid w:val="00EF7E32"/>
    <w:rsid w:val="00F132EF"/>
    <w:rsid w:val="00F13E32"/>
    <w:rsid w:val="00F1425E"/>
    <w:rsid w:val="00F15E3E"/>
    <w:rsid w:val="00F31E69"/>
    <w:rsid w:val="00F35A32"/>
    <w:rsid w:val="00F4418D"/>
    <w:rsid w:val="00F511CE"/>
    <w:rsid w:val="00F5605B"/>
    <w:rsid w:val="00F72805"/>
    <w:rsid w:val="00F772B2"/>
    <w:rsid w:val="00F879D1"/>
    <w:rsid w:val="00F96463"/>
    <w:rsid w:val="00F97089"/>
    <w:rsid w:val="00FA2EBB"/>
    <w:rsid w:val="00FA538E"/>
    <w:rsid w:val="00FA6AEC"/>
    <w:rsid w:val="00FB0B4A"/>
    <w:rsid w:val="00FB1384"/>
    <w:rsid w:val="00FD179E"/>
    <w:rsid w:val="00FD420D"/>
    <w:rsid w:val="00FE4557"/>
    <w:rsid w:val="00FE52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F40543"/>
  <w15:docId w15:val="{C3793D50-0044-45A2-9A25-84F68461B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Body Text" w:qFormat="1"/>
    <w:lsdException w:name="Body Text Indent" w:uiPriority="99"/>
    <w:lsdException w:name="Subtitle" w:qFormat="1"/>
    <w:lsdException w:name="Body Text First Indent 2" w:uiPriority="99"/>
    <w:lsdException w:name="Body Text 2" w:uiPriority="99"/>
    <w:lsdException w:name="Hyperlink" w:uiPriority="99"/>
    <w:lsdException w:name="Strong" w:uiPriority="22" w:qFormat="1"/>
    <w:lsdException w:name="Emphasis" w:qFormat="1"/>
    <w:lsdException w:name="Normal (Web)" w:uiPriority="99"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uiPriority w:val="9"/>
    <w:semiHidden/>
    <w:unhideWhenUsed/>
    <w:qFormat/>
    <w:rsid w:val="008F3BF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FA6AEC"/>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ar"/>
    <w:uiPriority w:val="9"/>
    <w:semiHidden/>
    <w:unhideWhenUsed/>
    <w:qFormat/>
    <w:rsid w:val="00FA6AEC"/>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qFormat/>
    <w:pPr>
      <w:keepNext/>
      <w:jc w:val="both"/>
      <w:outlineLvl w:val="4"/>
    </w:pPr>
    <w:rPr>
      <w:rFonts w:ascii="Tahoma" w:eastAsia="Arial Unicode MS" w:hAnsi="Tahoma" w:cs="Tahoma"/>
      <w:b/>
      <w:b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aliases w:val="Ecotabl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Encabezado">
    <w:name w:val="header"/>
    <w:aliases w:val="Encabezado1,Encabezado11,Header Bold,h,TENDER,*Header,*Header1,*Header2,*Header3,Encabezado111 Car Car,Encabezado1 Car Car,*Header3 Car1 Car Car Car,*Header3 Car,*Header3 Car1 Car Car,Car Car Car,Car Car,*Header21 Car,*Header3 Car Car1"/>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character" w:customStyle="1" w:styleId="PiedepginaCar">
    <w:name w:val="Pie de página Car"/>
    <w:basedOn w:val="Fuentedeprrafopredeter"/>
    <w:rPr>
      <w:sz w:val="24"/>
      <w:szCs w:val="24"/>
      <w:lang w:val="es-ES" w:eastAsia="es-ES"/>
    </w:rPr>
  </w:style>
  <w:style w:type="character" w:customStyle="1" w:styleId="Ttulo5Car">
    <w:name w:val="Título 5 Car"/>
    <w:basedOn w:val="Fuentedeprrafopredeter"/>
    <w:rPr>
      <w:rFonts w:ascii="Tahoma" w:eastAsia="Arial Unicode MS" w:hAnsi="Tahoma" w:cs="Tahoma"/>
      <w:b/>
      <w:bCs/>
      <w:sz w:val="24"/>
      <w:szCs w:val="24"/>
      <w:lang w:eastAsia="es-ES"/>
    </w:rPr>
  </w:style>
  <w:style w:type="character" w:customStyle="1" w:styleId="EncabezadoCar">
    <w:name w:val="Encabezado Car"/>
    <w:aliases w:val="Encabezado1 Car,Encabezado11 Car,Header Bold Car,h Car,TENDER Car,*Header Car,*Header1 Car,*Header2 Car,*Header3 Car1,Encabezado111 Car Car Car,Encabezado1 Car Car Car,*Header3 Car1 Car Car Car Car,*Header3 Car Car,Car Car Car Car"/>
    <w:basedOn w:val="Fuentedeprrafopredeter"/>
    <w:link w:val="Encabezado"/>
    <w:rPr>
      <w:sz w:val="24"/>
      <w:szCs w:val="24"/>
      <w:lang w:val="es-ES" w:eastAsia="es-ES"/>
    </w:rPr>
  </w:style>
  <w:style w:type="paragraph" w:styleId="Textodeglobo">
    <w:name w:val="Balloon Text"/>
    <w:basedOn w:val="Normal"/>
    <w:link w:val="TextodegloboCar"/>
    <w:uiPriority w:val="99"/>
    <w:rPr>
      <w:rFonts w:ascii="Segoe UI" w:eastAsia="Segoe UI" w:hAnsi="Segoe UI" w:cs="Segoe UI"/>
      <w:sz w:val="18"/>
      <w:szCs w:val="18"/>
    </w:rPr>
  </w:style>
  <w:style w:type="character" w:customStyle="1" w:styleId="TextodegloboCar">
    <w:name w:val="Texto de globo Car"/>
    <w:basedOn w:val="Fuentedeprrafopredeter"/>
    <w:link w:val="Textodeglobo"/>
    <w:uiPriority w:val="99"/>
    <w:rPr>
      <w:rFonts w:ascii="Segoe UI" w:eastAsia="Segoe UI" w:hAnsi="Segoe UI" w:cs="Segoe UI"/>
      <w:sz w:val="18"/>
      <w:szCs w:val="18"/>
    </w:rPr>
  </w:style>
  <w:style w:type="paragraph" w:styleId="NormalWeb">
    <w:name w:val="Normal (Web)"/>
    <w:basedOn w:val="Normal"/>
    <w:uiPriority w:val="99"/>
    <w:unhideWhenUsed/>
    <w:qFormat/>
    <w:pPr>
      <w:spacing w:before="100" w:beforeAutospacing="1" w:after="100" w:afterAutospacing="1"/>
    </w:pPr>
    <w:rPr>
      <w:lang w:val="es-MX" w:eastAsia="es-MX"/>
    </w:rPr>
  </w:style>
  <w:style w:type="paragraph" w:styleId="Textoindependiente">
    <w:name w:val="Body Text"/>
    <w:aliases w:val="Subsection Body Text"/>
    <w:basedOn w:val="Normal"/>
    <w:link w:val="TextoindependienteCar"/>
    <w:qFormat/>
    <w:pPr>
      <w:widowControl w:val="0"/>
      <w:autoSpaceDE w:val="0"/>
      <w:autoSpaceDN w:val="0"/>
    </w:pPr>
    <w:rPr>
      <w:rFonts w:ascii="Arial" w:eastAsia="Arial" w:hAnsi="Arial" w:cs="Arial"/>
      <w:sz w:val="22"/>
      <w:szCs w:val="22"/>
      <w:lang w:eastAsia="en-US"/>
    </w:rPr>
  </w:style>
  <w:style w:type="character" w:customStyle="1" w:styleId="TextoindependienteCar">
    <w:name w:val="Texto independiente Car"/>
    <w:aliases w:val="Subsection Body Text Car"/>
    <w:basedOn w:val="Fuentedeprrafopredeter"/>
    <w:link w:val="Textoindependiente"/>
    <w:rPr>
      <w:rFonts w:ascii="Arial" w:eastAsia="Arial" w:hAnsi="Arial" w:cs="Arial"/>
      <w:sz w:val="22"/>
      <w:szCs w:val="22"/>
      <w:lang w:eastAsia="en-US"/>
    </w:rPr>
  </w:style>
  <w:style w:type="character" w:styleId="Hipervnculo">
    <w:name w:val="Hyperlink"/>
    <w:basedOn w:val="Fuentedeprrafopredeter"/>
    <w:uiPriority w:val="99"/>
    <w:unhideWhenUsed/>
    <w:rPr>
      <w:color w:val="0563C1"/>
      <w:u w:val="single"/>
    </w:rPr>
  </w:style>
  <w:style w:type="paragraph" w:styleId="Sinespaciado">
    <w:name w:val="No Spacing"/>
    <w:link w:val="SinespaciadoCar"/>
    <w:qFormat/>
    <w:rsid w:val="008F3BFA"/>
    <w:rPr>
      <w:rFonts w:ascii="Calibri" w:eastAsia="Calibri" w:hAnsi="Calibri" w:cs="Calibri"/>
      <w:sz w:val="22"/>
      <w:szCs w:val="22"/>
      <w:lang w:val="es-AR" w:eastAsia="en-US"/>
    </w:rPr>
  </w:style>
  <w:style w:type="paragraph" w:customStyle="1" w:styleId="CarCar1Car">
    <w:name w:val="Car Car1 Car"/>
    <w:basedOn w:val="Ttulo2"/>
    <w:rsid w:val="008F3BFA"/>
    <w:pPr>
      <w:keepLines w:val="0"/>
      <w:pageBreakBefore/>
      <w:tabs>
        <w:tab w:val="left" w:pos="850"/>
        <w:tab w:val="left" w:pos="1191"/>
        <w:tab w:val="left" w:pos="1531"/>
      </w:tabs>
      <w:suppressAutoHyphens/>
      <w:spacing w:before="120" w:after="120"/>
      <w:jc w:val="center"/>
    </w:pPr>
    <w:rPr>
      <w:rFonts w:ascii="Tahoma" w:eastAsia="Times New Roman" w:hAnsi="Tahoma" w:cs="Tahoma"/>
      <w:b/>
      <w:color w:val="FFFFFF"/>
      <w:spacing w:val="20"/>
      <w:sz w:val="22"/>
      <w:szCs w:val="22"/>
      <w:lang w:val="en-GB" w:eastAsia="zh-CN"/>
    </w:rPr>
  </w:style>
  <w:style w:type="paragraph" w:styleId="Textocomentario">
    <w:name w:val="annotation text"/>
    <w:basedOn w:val="Normal"/>
    <w:link w:val="TextocomentarioCar"/>
    <w:rsid w:val="008F3BFA"/>
    <w:rPr>
      <w:sz w:val="20"/>
      <w:szCs w:val="20"/>
    </w:rPr>
  </w:style>
  <w:style w:type="character" w:customStyle="1" w:styleId="TextocomentarioCar">
    <w:name w:val="Texto comentario Car"/>
    <w:basedOn w:val="Fuentedeprrafopredeter"/>
    <w:link w:val="Textocomentario"/>
    <w:rsid w:val="008F3BFA"/>
  </w:style>
  <w:style w:type="paragraph" w:styleId="Prrafodelista">
    <w:name w:val="List Paragraph"/>
    <w:aliases w:val="lp1,Bullet List,FooterText,Use Case List Paragraph,List1,numbered,Paragraphe de liste1,titulo 3,List Paragraph,Ha,HOJA,Bolita,BOLADEF,Párrafo de lista21,BOLA,Nivel 1 OS,Colorful List Accent 1,Bullets,Párrafo de lista3,List,LISTA,NORMAL"/>
    <w:basedOn w:val="Normal"/>
    <w:link w:val="PrrafodelistaCar"/>
    <w:uiPriority w:val="34"/>
    <w:qFormat/>
    <w:rsid w:val="008F3BFA"/>
    <w:pPr>
      <w:ind w:left="708"/>
    </w:pPr>
  </w:style>
  <w:style w:type="character" w:customStyle="1" w:styleId="SinespaciadoCar">
    <w:name w:val="Sin espaciado Car"/>
    <w:link w:val="Sinespaciado"/>
    <w:locked/>
    <w:rsid w:val="008F3BFA"/>
    <w:rPr>
      <w:rFonts w:ascii="Calibri" w:eastAsia="Calibri" w:hAnsi="Calibri" w:cs="Calibri"/>
      <w:sz w:val="22"/>
      <w:szCs w:val="22"/>
      <w:lang w:val="es-AR" w:eastAsia="en-US"/>
    </w:rPr>
  </w:style>
  <w:style w:type="character" w:customStyle="1" w:styleId="Ttulo2Car">
    <w:name w:val="Título 2 Car"/>
    <w:basedOn w:val="Fuentedeprrafopredeter"/>
    <w:link w:val="Ttulo2"/>
    <w:uiPriority w:val="9"/>
    <w:semiHidden/>
    <w:rsid w:val="008F3BFA"/>
    <w:rPr>
      <w:rFonts w:asciiTheme="majorHAnsi" w:eastAsiaTheme="majorEastAsia" w:hAnsiTheme="majorHAnsi" w:cstheme="majorBidi"/>
      <w:color w:val="2E74B5" w:themeColor="accent1" w:themeShade="BF"/>
      <w:sz w:val="26"/>
      <w:szCs w:val="26"/>
    </w:rPr>
  </w:style>
  <w:style w:type="paragraph" w:customStyle="1" w:styleId="TableParagraph">
    <w:name w:val="Table Paragraph"/>
    <w:basedOn w:val="Normal"/>
    <w:uiPriority w:val="1"/>
    <w:qFormat/>
    <w:rsid w:val="00713942"/>
    <w:pPr>
      <w:widowControl w:val="0"/>
      <w:autoSpaceDE w:val="0"/>
      <w:autoSpaceDN w:val="0"/>
    </w:pPr>
    <w:rPr>
      <w:rFonts w:ascii="Arial" w:eastAsia="Arial" w:hAnsi="Arial" w:cs="Arial"/>
      <w:sz w:val="22"/>
      <w:szCs w:val="22"/>
      <w:lang w:val="es-CO" w:eastAsia="es-CO" w:bidi="es-CO"/>
    </w:rPr>
  </w:style>
  <w:style w:type="table" w:customStyle="1" w:styleId="TableNormal">
    <w:name w:val="Table Normal"/>
    <w:uiPriority w:val="2"/>
    <w:semiHidden/>
    <w:unhideWhenUsed/>
    <w:qFormat/>
    <w:rsid w:val="007139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00780"/>
    <w:rPr>
      <w:color w:val="605E5C"/>
      <w:shd w:val="clear" w:color="auto" w:fill="E1DFDD"/>
    </w:rPr>
  </w:style>
  <w:style w:type="paragraph" w:customStyle="1" w:styleId="xxxmsonormal">
    <w:name w:val="x_x_x_msonormal"/>
    <w:basedOn w:val="Normal"/>
    <w:rsid w:val="008C671C"/>
    <w:pPr>
      <w:spacing w:before="100" w:beforeAutospacing="1" w:after="100" w:afterAutospacing="1"/>
    </w:pPr>
    <w:rPr>
      <w:lang w:val="es-CO" w:eastAsia="es-CO"/>
    </w:rPr>
  </w:style>
  <w:style w:type="paragraph" w:styleId="Textonotapie">
    <w:name w:val="footnote text"/>
    <w:basedOn w:val="Normal"/>
    <w:link w:val="TextonotapieCar"/>
    <w:uiPriority w:val="99"/>
    <w:rsid w:val="008E7022"/>
    <w:rPr>
      <w:sz w:val="20"/>
      <w:szCs w:val="20"/>
    </w:rPr>
  </w:style>
  <w:style w:type="character" w:customStyle="1" w:styleId="TextonotapieCar">
    <w:name w:val="Texto nota pie Car"/>
    <w:basedOn w:val="Fuentedeprrafopredeter"/>
    <w:link w:val="Textonotapie"/>
    <w:uiPriority w:val="99"/>
    <w:qFormat/>
    <w:rsid w:val="008E7022"/>
  </w:style>
  <w:style w:type="character" w:styleId="Refdenotaalpie">
    <w:name w:val="footnote reference"/>
    <w:basedOn w:val="Fuentedeprrafopredeter"/>
    <w:uiPriority w:val="99"/>
    <w:rsid w:val="008E7022"/>
    <w:rPr>
      <w:vertAlign w:val="superscript"/>
    </w:rPr>
  </w:style>
  <w:style w:type="character" w:customStyle="1" w:styleId="Ttulo3Car">
    <w:name w:val="Título 3 Car"/>
    <w:basedOn w:val="Fuentedeprrafopredeter"/>
    <w:link w:val="Ttulo3"/>
    <w:uiPriority w:val="9"/>
    <w:semiHidden/>
    <w:rsid w:val="00FA6AEC"/>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FA6AEC"/>
    <w:rPr>
      <w:rFonts w:asciiTheme="majorHAnsi" w:eastAsiaTheme="majorEastAsia" w:hAnsiTheme="majorHAnsi" w:cstheme="majorBidi"/>
      <w:i/>
      <w:iCs/>
      <w:color w:val="2E74B5" w:themeColor="accent1" w:themeShade="BF"/>
      <w:sz w:val="24"/>
      <w:szCs w:val="24"/>
    </w:rPr>
  </w:style>
  <w:style w:type="paragraph" w:styleId="Sangra2detindependiente">
    <w:name w:val="Body Text Indent 2"/>
    <w:basedOn w:val="Normal"/>
    <w:link w:val="Sangra2detindependienteCar"/>
    <w:rsid w:val="00FA6AEC"/>
    <w:pPr>
      <w:ind w:left="252" w:hanging="252"/>
    </w:pPr>
    <w:rPr>
      <w:rFonts w:ascii="Arial" w:hAnsi="Arial"/>
      <w:b/>
      <w:sz w:val="18"/>
      <w:lang w:val="es-MX"/>
    </w:rPr>
  </w:style>
  <w:style w:type="character" w:customStyle="1" w:styleId="Sangra2detindependienteCar">
    <w:name w:val="Sangría 2 de t. independiente Car"/>
    <w:basedOn w:val="Fuentedeprrafopredeter"/>
    <w:link w:val="Sangra2detindependiente"/>
    <w:rsid w:val="00FA6AEC"/>
    <w:rPr>
      <w:rFonts w:ascii="Arial" w:hAnsi="Arial"/>
      <w:b/>
      <w:sz w:val="18"/>
      <w:szCs w:val="24"/>
      <w:lang w:val="es-MX"/>
    </w:rPr>
  </w:style>
  <w:style w:type="paragraph" w:customStyle="1" w:styleId="Estilo2">
    <w:name w:val="Estilo2"/>
    <w:basedOn w:val="Ttulo2"/>
    <w:qFormat/>
    <w:rsid w:val="00FA6AEC"/>
    <w:pPr>
      <w:keepLines w:val="0"/>
      <w:numPr>
        <w:numId w:val="2"/>
      </w:numPr>
      <w:spacing w:before="240"/>
    </w:pPr>
    <w:rPr>
      <w:rFonts w:ascii="Arial Narrow" w:eastAsia="Times New Roman" w:hAnsi="Arial Narrow" w:cs="Times New Roman"/>
      <w:b/>
      <w:bCs/>
      <w:i/>
      <w:iCs/>
      <w:color w:val="auto"/>
      <w:sz w:val="24"/>
      <w:szCs w:val="24"/>
      <w:lang w:val="es-MX" w:eastAsia="en-US"/>
    </w:rPr>
  </w:style>
  <w:style w:type="paragraph" w:customStyle="1" w:styleId="Estilo3">
    <w:name w:val="Estilo3"/>
    <w:basedOn w:val="Ttulo3"/>
    <w:qFormat/>
    <w:rsid w:val="00FA6AEC"/>
    <w:pPr>
      <w:keepLines w:val="0"/>
      <w:numPr>
        <w:numId w:val="3"/>
      </w:numPr>
      <w:spacing w:before="240"/>
    </w:pPr>
    <w:rPr>
      <w:rFonts w:ascii="Arial Narrow" w:eastAsia="Times New Roman" w:hAnsi="Arial Narrow" w:cs="Times New Roman"/>
      <w:b/>
      <w:bCs/>
      <w:color w:val="auto"/>
      <w:lang w:val="es-MX" w:eastAsia="en-US"/>
    </w:rPr>
  </w:style>
  <w:style w:type="paragraph" w:customStyle="1" w:styleId="Default">
    <w:name w:val="Default"/>
    <w:rsid w:val="00FA6AEC"/>
    <w:pPr>
      <w:autoSpaceDE w:val="0"/>
      <w:autoSpaceDN w:val="0"/>
      <w:adjustRightInd w:val="0"/>
    </w:pPr>
    <w:rPr>
      <w:rFonts w:ascii="Arial" w:hAnsi="Arial" w:cs="Arial"/>
      <w:color w:val="000000"/>
      <w:sz w:val="24"/>
      <w:szCs w:val="24"/>
      <w:lang w:eastAsia="es-CO"/>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link w:val="Prrafodelista"/>
    <w:uiPriority w:val="34"/>
    <w:qFormat/>
    <w:locked/>
    <w:rsid w:val="00FA6AEC"/>
    <w:rPr>
      <w:sz w:val="24"/>
      <w:szCs w:val="24"/>
    </w:rPr>
  </w:style>
  <w:style w:type="paragraph" w:styleId="Textosinformato">
    <w:name w:val="Plain Text"/>
    <w:basedOn w:val="Normal"/>
    <w:link w:val="TextosinformatoCar"/>
    <w:rsid w:val="00FA6AEC"/>
    <w:rPr>
      <w:rFonts w:ascii="Courier New" w:hAnsi="Courier New"/>
      <w:sz w:val="20"/>
      <w:szCs w:val="20"/>
    </w:rPr>
  </w:style>
  <w:style w:type="character" w:customStyle="1" w:styleId="TextosinformatoCar">
    <w:name w:val="Texto sin formato Car"/>
    <w:basedOn w:val="Fuentedeprrafopredeter"/>
    <w:link w:val="Textosinformato"/>
    <w:rsid w:val="00FA6AEC"/>
    <w:rPr>
      <w:rFonts w:ascii="Courier New" w:hAnsi="Courier New"/>
    </w:rPr>
  </w:style>
  <w:style w:type="paragraph" w:styleId="Listaconvietas">
    <w:name w:val="List Bullet"/>
    <w:basedOn w:val="Normal"/>
    <w:autoRedefine/>
    <w:rsid w:val="00FA6AEC"/>
    <w:pPr>
      <w:numPr>
        <w:numId w:val="4"/>
      </w:numPr>
    </w:pPr>
    <w:rPr>
      <w:rFonts w:ascii="Arial" w:hAnsi="Arial"/>
      <w:szCs w:val="20"/>
      <w:lang w:val="es-ES_tradnl"/>
    </w:rPr>
  </w:style>
  <w:style w:type="paragraph" w:customStyle="1" w:styleId="Prrafodelista1">
    <w:name w:val="Párrafo de lista1"/>
    <w:basedOn w:val="Normal"/>
    <w:qFormat/>
    <w:rsid w:val="00FA6AEC"/>
    <w:pPr>
      <w:ind w:left="720"/>
      <w:jc w:val="both"/>
    </w:pPr>
    <w:rPr>
      <w:rFonts w:ascii="Arial" w:eastAsia="Calibri" w:hAnsi="Arial" w:cs="Arial"/>
      <w:sz w:val="22"/>
      <w:szCs w:val="22"/>
      <w:lang w:val="es-CO" w:eastAsia="en-US"/>
    </w:rPr>
  </w:style>
  <w:style w:type="paragraph" w:styleId="Textoindependiente2">
    <w:name w:val="Body Text 2"/>
    <w:basedOn w:val="Normal"/>
    <w:link w:val="Textoindependiente2Car"/>
    <w:uiPriority w:val="99"/>
    <w:unhideWhenUsed/>
    <w:rsid w:val="00FA6AEC"/>
    <w:pPr>
      <w:spacing w:after="120" w:line="480" w:lineRule="auto"/>
    </w:pPr>
  </w:style>
  <w:style w:type="character" w:customStyle="1" w:styleId="Textoindependiente2Car">
    <w:name w:val="Texto independiente 2 Car"/>
    <w:basedOn w:val="Fuentedeprrafopredeter"/>
    <w:link w:val="Textoindependiente2"/>
    <w:uiPriority w:val="99"/>
    <w:rsid w:val="00FA6AEC"/>
    <w:rPr>
      <w:sz w:val="24"/>
      <w:szCs w:val="24"/>
    </w:rPr>
  </w:style>
  <w:style w:type="paragraph" w:customStyle="1" w:styleId="CarCar5">
    <w:name w:val="Car Car5"/>
    <w:basedOn w:val="Ttulo2"/>
    <w:rsid w:val="00FA6AEC"/>
    <w:pPr>
      <w:keepLines w:val="0"/>
      <w:pageBreakBefore/>
      <w:tabs>
        <w:tab w:val="left" w:pos="850"/>
        <w:tab w:val="left" w:pos="1191"/>
        <w:tab w:val="left" w:pos="1531"/>
      </w:tabs>
      <w:suppressAutoHyphens/>
      <w:spacing w:before="120" w:after="120"/>
      <w:jc w:val="center"/>
    </w:pPr>
    <w:rPr>
      <w:rFonts w:ascii="Tahoma" w:eastAsia="Times New Roman" w:hAnsi="Tahoma" w:cs="Tahoma"/>
      <w:b/>
      <w:color w:val="FFFFFF"/>
      <w:spacing w:val="20"/>
      <w:sz w:val="22"/>
      <w:szCs w:val="22"/>
      <w:lang w:val="en-GB" w:eastAsia="zh-CN"/>
    </w:rPr>
  </w:style>
  <w:style w:type="character" w:styleId="Textoennegrita">
    <w:name w:val="Strong"/>
    <w:basedOn w:val="Fuentedeprrafopredeter"/>
    <w:uiPriority w:val="22"/>
    <w:qFormat/>
    <w:rsid w:val="00FA6AEC"/>
    <w:rPr>
      <w:b/>
      <w:bCs/>
    </w:rPr>
  </w:style>
  <w:style w:type="paragraph" w:styleId="Sangradetextonormal">
    <w:name w:val="Body Text Indent"/>
    <w:basedOn w:val="Normal"/>
    <w:link w:val="SangradetextonormalCar"/>
    <w:uiPriority w:val="99"/>
    <w:unhideWhenUsed/>
    <w:rsid w:val="00FA6AEC"/>
    <w:pPr>
      <w:spacing w:after="120"/>
      <w:ind w:left="283"/>
    </w:pPr>
  </w:style>
  <w:style w:type="character" w:customStyle="1" w:styleId="SangradetextonormalCar">
    <w:name w:val="Sangría de texto normal Car"/>
    <w:basedOn w:val="Fuentedeprrafopredeter"/>
    <w:link w:val="Sangradetextonormal"/>
    <w:uiPriority w:val="99"/>
    <w:rsid w:val="00FA6AEC"/>
    <w:rPr>
      <w:sz w:val="24"/>
      <w:szCs w:val="24"/>
    </w:rPr>
  </w:style>
  <w:style w:type="paragraph" w:styleId="Textoindependienteprimerasangra2">
    <w:name w:val="Body Text First Indent 2"/>
    <w:basedOn w:val="Sangradetextonormal"/>
    <w:link w:val="Textoindependienteprimerasangra2Car"/>
    <w:uiPriority w:val="99"/>
    <w:unhideWhenUsed/>
    <w:rsid w:val="00FA6AEC"/>
    <w:pPr>
      <w:ind w:firstLine="210"/>
      <w:jc w:val="both"/>
    </w:pPr>
    <w:rPr>
      <w:rFonts w:ascii="Arial" w:hAnsi="Arial" w:cs="Arial"/>
      <w:sz w:val="22"/>
      <w:szCs w:val="22"/>
      <w:lang w:val="es-CO" w:eastAsia="en-US"/>
    </w:rPr>
  </w:style>
  <w:style w:type="character" w:customStyle="1" w:styleId="Textoindependienteprimerasangra2Car">
    <w:name w:val="Texto independiente primera sangría 2 Car"/>
    <w:basedOn w:val="SangradetextonormalCar"/>
    <w:link w:val="Textoindependienteprimerasangra2"/>
    <w:uiPriority w:val="99"/>
    <w:rsid w:val="00FA6AEC"/>
    <w:rPr>
      <w:rFonts w:ascii="Arial" w:hAnsi="Arial" w:cs="Arial"/>
      <w:sz w:val="22"/>
      <w:szCs w:val="22"/>
      <w:lang w:val="es-CO" w:eastAsia="en-US"/>
    </w:rPr>
  </w:style>
  <w:style w:type="paragraph" w:customStyle="1" w:styleId="CarCar4">
    <w:name w:val="Car Car4"/>
    <w:basedOn w:val="Ttulo2"/>
    <w:rsid w:val="00FA6AEC"/>
    <w:pPr>
      <w:keepLines w:val="0"/>
      <w:pageBreakBefore/>
      <w:tabs>
        <w:tab w:val="left" w:pos="850"/>
        <w:tab w:val="left" w:pos="1191"/>
        <w:tab w:val="left" w:pos="1531"/>
      </w:tabs>
      <w:suppressAutoHyphens/>
      <w:spacing w:before="120" w:after="120"/>
      <w:jc w:val="center"/>
    </w:pPr>
    <w:rPr>
      <w:rFonts w:ascii="Tahoma" w:eastAsia="Times New Roman" w:hAnsi="Tahoma" w:cs="Tahoma"/>
      <w:b/>
      <w:color w:val="FFFFFF"/>
      <w:spacing w:val="20"/>
      <w:sz w:val="22"/>
      <w:szCs w:val="22"/>
      <w:lang w:val="en-GB" w:eastAsia="zh-CN"/>
    </w:rPr>
  </w:style>
  <w:style w:type="character" w:customStyle="1" w:styleId="marka263ngt2p">
    <w:name w:val="marka263ngt2p"/>
    <w:basedOn w:val="Fuentedeprrafopredeter"/>
    <w:rsid w:val="00FA6AEC"/>
  </w:style>
  <w:style w:type="character" w:customStyle="1" w:styleId="mark2a39yc0c2">
    <w:name w:val="mark2a39yc0c2"/>
    <w:basedOn w:val="Fuentedeprrafopredeter"/>
    <w:rsid w:val="00FA6AEC"/>
  </w:style>
  <w:style w:type="character" w:styleId="Hipervnculovisitado">
    <w:name w:val="FollowedHyperlink"/>
    <w:basedOn w:val="Fuentedeprrafopredeter"/>
    <w:rsid w:val="00297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28531">
      <w:bodyDiv w:val="1"/>
      <w:marLeft w:val="0"/>
      <w:marRight w:val="0"/>
      <w:marTop w:val="0"/>
      <w:marBottom w:val="0"/>
      <w:divBdr>
        <w:top w:val="none" w:sz="0" w:space="0" w:color="auto"/>
        <w:left w:val="none" w:sz="0" w:space="0" w:color="auto"/>
        <w:bottom w:val="none" w:sz="0" w:space="0" w:color="auto"/>
        <w:right w:val="none" w:sz="0" w:space="0" w:color="auto"/>
      </w:divBdr>
      <w:divsChild>
        <w:div w:id="1766069740">
          <w:marLeft w:val="0"/>
          <w:marRight w:val="0"/>
          <w:marTop w:val="0"/>
          <w:marBottom w:val="0"/>
          <w:divBdr>
            <w:top w:val="none" w:sz="0" w:space="0" w:color="auto"/>
            <w:left w:val="none" w:sz="0" w:space="0" w:color="auto"/>
            <w:bottom w:val="none" w:sz="0" w:space="0" w:color="auto"/>
            <w:right w:val="none" w:sz="0" w:space="0" w:color="auto"/>
          </w:divBdr>
          <w:divsChild>
            <w:div w:id="1431513307">
              <w:marLeft w:val="0"/>
              <w:marRight w:val="0"/>
              <w:marTop w:val="0"/>
              <w:marBottom w:val="0"/>
              <w:divBdr>
                <w:top w:val="none" w:sz="0" w:space="0" w:color="auto"/>
                <w:left w:val="none" w:sz="0" w:space="0" w:color="auto"/>
                <w:bottom w:val="none" w:sz="0" w:space="0" w:color="auto"/>
                <w:right w:val="none" w:sz="0" w:space="0" w:color="auto"/>
              </w:divBdr>
              <w:divsChild>
                <w:div w:id="641152369">
                  <w:marLeft w:val="0"/>
                  <w:marRight w:val="0"/>
                  <w:marTop w:val="0"/>
                  <w:marBottom w:val="0"/>
                  <w:divBdr>
                    <w:top w:val="none" w:sz="0" w:space="0" w:color="auto"/>
                    <w:left w:val="none" w:sz="0" w:space="0" w:color="auto"/>
                    <w:bottom w:val="none" w:sz="0" w:space="0" w:color="auto"/>
                    <w:right w:val="none" w:sz="0" w:space="0" w:color="auto"/>
                  </w:divBdr>
                  <w:divsChild>
                    <w:div w:id="68964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740225">
      <w:bodyDiv w:val="1"/>
      <w:marLeft w:val="0"/>
      <w:marRight w:val="0"/>
      <w:marTop w:val="0"/>
      <w:marBottom w:val="0"/>
      <w:divBdr>
        <w:top w:val="none" w:sz="0" w:space="0" w:color="auto"/>
        <w:left w:val="none" w:sz="0" w:space="0" w:color="auto"/>
        <w:bottom w:val="none" w:sz="0" w:space="0" w:color="auto"/>
        <w:right w:val="none" w:sz="0" w:space="0" w:color="auto"/>
      </w:divBdr>
      <w:divsChild>
        <w:div w:id="991905227">
          <w:marLeft w:val="0"/>
          <w:marRight w:val="0"/>
          <w:marTop w:val="0"/>
          <w:marBottom w:val="0"/>
          <w:divBdr>
            <w:top w:val="none" w:sz="0" w:space="0" w:color="auto"/>
            <w:left w:val="none" w:sz="0" w:space="0" w:color="auto"/>
            <w:bottom w:val="none" w:sz="0" w:space="0" w:color="auto"/>
            <w:right w:val="none" w:sz="0" w:space="0" w:color="auto"/>
          </w:divBdr>
          <w:divsChild>
            <w:div w:id="640228515">
              <w:marLeft w:val="0"/>
              <w:marRight w:val="0"/>
              <w:marTop w:val="0"/>
              <w:marBottom w:val="0"/>
              <w:divBdr>
                <w:top w:val="none" w:sz="0" w:space="0" w:color="auto"/>
                <w:left w:val="none" w:sz="0" w:space="0" w:color="auto"/>
                <w:bottom w:val="none" w:sz="0" w:space="0" w:color="auto"/>
                <w:right w:val="none" w:sz="0" w:space="0" w:color="auto"/>
              </w:divBdr>
              <w:divsChild>
                <w:div w:id="153834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343355">
      <w:bodyDiv w:val="1"/>
      <w:marLeft w:val="0"/>
      <w:marRight w:val="0"/>
      <w:marTop w:val="0"/>
      <w:marBottom w:val="0"/>
      <w:divBdr>
        <w:top w:val="none" w:sz="0" w:space="0" w:color="auto"/>
        <w:left w:val="none" w:sz="0" w:space="0" w:color="auto"/>
        <w:bottom w:val="none" w:sz="0" w:space="0" w:color="auto"/>
        <w:right w:val="none" w:sz="0" w:space="0" w:color="auto"/>
      </w:divBdr>
      <w:divsChild>
        <w:div w:id="517551425">
          <w:marLeft w:val="0"/>
          <w:marRight w:val="0"/>
          <w:marTop w:val="0"/>
          <w:marBottom w:val="0"/>
          <w:divBdr>
            <w:top w:val="none" w:sz="0" w:space="0" w:color="auto"/>
            <w:left w:val="none" w:sz="0" w:space="0" w:color="auto"/>
            <w:bottom w:val="none" w:sz="0" w:space="0" w:color="auto"/>
            <w:right w:val="none" w:sz="0" w:space="0" w:color="auto"/>
          </w:divBdr>
          <w:divsChild>
            <w:div w:id="287709550">
              <w:marLeft w:val="0"/>
              <w:marRight w:val="0"/>
              <w:marTop w:val="0"/>
              <w:marBottom w:val="0"/>
              <w:divBdr>
                <w:top w:val="none" w:sz="0" w:space="0" w:color="auto"/>
                <w:left w:val="none" w:sz="0" w:space="0" w:color="auto"/>
                <w:bottom w:val="none" w:sz="0" w:space="0" w:color="auto"/>
                <w:right w:val="none" w:sz="0" w:space="0" w:color="auto"/>
              </w:divBdr>
              <w:divsChild>
                <w:div w:id="9837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786755">
      <w:bodyDiv w:val="1"/>
      <w:marLeft w:val="0"/>
      <w:marRight w:val="0"/>
      <w:marTop w:val="0"/>
      <w:marBottom w:val="0"/>
      <w:divBdr>
        <w:top w:val="none" w:sz="0" w:space="0" w:color="auto"/>
        <w:left w:val="none" w:sz="0" w:space="0" w:color="auto"/>
        <w:bottom w:val="none" w:sz="0" w:space="0" w:color="auto"/>
        <w:right w:val="none" w:sz="0" w:space="0" w:color="auto"/>
      </w:divBdr>
      <w:divsChild>
        <w:div w:id="120727629">
          <w:marLeft w:val="0"/>
          <w:marRight w:val="0"/>
          <w:marTop w:val="0"/>
          <w:marBottom w:val="0"/>
          <w:divBdr>
            <w:top w:val="none" w:sz="0" w:space="0" w:color="auto"/>
            <w:left w:val="none" w:sz="0" w:space="0" w:color="auto"/>
            <w:bottom w:val="none" w:sz="0" w:space="0" w:color="auto"/>
            <w:right w:val="none" w:sz="0" w:space="0" w:color="auto"/>
          </w:divBdr>
          <w:divsChild>
            <w:div w:id="573858866">
              <w:marLeft w:val="0"/>
              <w:marRight w:val="0"/>
              <w:marTop w:val="0"/>
              <w:marBottom w:val="0"/>
              <w:divBdr>
                <w:top w:val="none" w:sz="0" w:space="0" w:color="auto"/>
                <w:left w:val="none" w:sz="0" w:space="0" w:color="auto"/>
                <w:bottom w:val="none" w:sz="0" w:space="0" w:color="auto"/>
                <w:right w:val="none" w:sz="0" w:space="0" w:color="auto"/>
              </w:divBdr>
              <w:divsChild>
                <w:div w:id="1383214721">
                  <w:marLeft w:val="0"/>
                  <w:marRight w:val="0"/>
                  <w:marTop w:val="0"/>
                  <w:marBottom w:val="0"/>
                  <w:divBdr>
                    <w:top w:val="none" w:sz="0" w:space="0" w:color="auto"/>
                    <w:left w:val="none" w:sz="0" w:space="0" w:color="auto"/>
                    <w:bottom w:val="none" w:sz="0" w:space="0" w:color="auto"/>
                    <w:right w:val="none" w:sz="0" w:space="0" w:color="auto"/>
                  </w:divBdr>
                  <w:divsChild>
                    <w:div w:id="14565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598393">
      <w:bodyDiv w:val="1"/>
      <w:marLeft w:val="0"/>
      <w:marRight w:val="0"/>
      <w:marTop w:val="0"/>
      <w:marBottom w:val="0"/>
      <w:divBdr>
        <w:top w:val="none" w:sz="0" w:space="0" w:color="auto"/>
        <w:left w:val="none" w:sz="0" w:space="0" w:color="auto"/>
        <w:bottom w:val="none" w:sz="0" w:space="0" w:color="auto"/>
        <w:right w:val="none" w:sz="0" w:space="0" w:color="auto"/>
      </w:divBdr>
      <w:divsChild>
        <w:div w:id="1594631795">
          <w:marLeft w:val="0"/>
          <w:marRight w:val="0"/>
          <w:marTop w:val="0"/>
          <w:marBottom w:val="0"/>
          <w:divBdr>
            <w:top w:val="none" w:sz="0" w:space="0" w:color="auto"/>
            <w:left w:val="none" w:sz="0" w:space="0" w:color="auto"/>
            <w:bottom w:val="none" w:sz="0" w:space="0" w:color="auto"/>
            <w:right w:val="none" w:sz="0" w:space="0" w:color="auto"/>
          </w:divBdr>
          <w:divsChild>
            <w:div w:id="164710354">
              <w:marLeft w:val="0"/>
              <w:marRight w:val="0"/>
              <w:marTop w:val="0"/>
              <w:marBottom w:val="0"/>
              <w:divBdr>
                <w:top w:val="none" w:sz="0" w:space="0" w:color="auto"/>
                <w:left w:val="none" w:sz="0" w:space="0" w:color="auto"/>
                <w:bottom w:val="none" w:sz="0" w:space="0" w:color="auto"/>
                <w:right w:val="none" w:sz="0" w:space="0" w:color="auto"/>
              </w:divBdr>
              <w:divsChild>
                <w:div w:id="1643584864">
                  <w:marLeft w:val="0"/>
                  <w:marRight w:val="0"/>
                  <w:marTop w:val="0"/>
                  <w:marBottom w:val="0"/>
                  <w:divBdr>
                    <w:top w:val="none" w:sz="0" w:space="0" w:color="auto"/>
                    <w:left w:val="none" w:sz="0" w:space="0" w:color="auto"/>
                    <w:bottom w:val="none" w:sz="0" w:space="0" w:color="auto"/>
                    <w:right w:val="none" w:sz="0" w:space="0" w:color="auto"/>
                  </w:divBdr>
                  <w:divsChild>
                    <w:div w:id="15446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383741">
      <w:bodyDiv w:val="1"/>
      <w:marLeft w:val="0"/>
      <w:marRight w:val="0"/>
      <w:marTop w:val="0"/>
      <w:marBottom w:val="0"/>
      <w:divBdr>
        <w:top w:val="none" w:sz="0" w:space="0" w:color="auto"/>
        <w:left w:val="none" w:sz="0" w:space="0" w:color="auto"/>
        <w:bottom w:val="none" w:sz="0" w:space="0" w:color="auto"/>
        <w:right w:val="none" w:sz="0" w:space="0" w:color="auto"/>
      </w:divBdr>
      <w:divsChild>
        <w:div w:id="793670091">
          <w:marLeft w:val="0"/>
          <w:marRight w:val="0"/>
          <w:marTop w:val="0"/>
          <w:marBottom w:val="0"/>
          <w:divBdr>
            <w:top w:val="none" w:sz="0" w:space="0" w:color="auto"/>
            <w:left w:val="none" w:sz="0" w:space="0" w:color="auto"/>
            <w:bottom w:val="none" w:sz="0" w:space="0" w:color="auto"/>
            <w:right w:val="none" w:sz="0" w:space="0" w:color="auto"/>
          </w:divBdr>
          <w:divsChild>
            <w:div w:id="1747455779">
              <w:marLeft w:val="0"/>
              <w:marRight w:val="0"/>
              <w:marTop w:val="0"/>
              <w:marBottom w:val="0"/>
              <w:divBdr>
                <w:top w:val="none" w:sz="0" w:space="0" w:color="auto"/>
                <w:left w:val="none" w:sz="0" w:space="0" w:color="auto"/>
                <w:bottom w:val="none" w:sz="0" w:space="0" w:color="auto"/>
                <w:right w:val="none" w:sz="0" w:space="0" w:color="auto"/>
              </w:divBdr>
              <w:divsChild>
                <w:div w:id="3095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681315">
      <w:bodyDiv w:val="1"/>
      <w:marLeft w:val="0"/>
      <w:marRight w:val="0"/>
      <w:marTop w:val="0"/>
      <w:marBottom w:val="0"/>
      <w:divBdr>
        <w:top w:val="none" w:sz="0" w:space="0" w:color="auto"/>
        <w:left w:val="none" w:sz="0" w:space="0" w:color="auto"/>
        <w:bottom w:val="none" w:sz="0" w:space="0" w:color="auto"/>
        <w:right w:val="none" w:sz="0" w:space="0" w:color="auto"/>
      </w:divBdr>
      <w:divsChild>
        <w:div w:id="1272543539">
          <w:marLeft w:val="0"/>
          <w:marRight w:val="0"/>
          <w:marTop w:val="0"/>
          <w:marBottom w:val="0"/>
          <w:divBdr>
            <w:top w:val="none" w:sz="0" w:space="0" w:color="auto"/>
            <w:left w:val="none" w:sz="0" w:space="0" w:color="auto"/>
            <w:bottom w:val="none" w:sz="0" w:space="0" w:color="auto"/>
            <w:right w:val="none" w:sz="0" w:space="0" w:color="auto"/>
          </w:divBdr>
          <w:divsChild>
            <w:div w:id="1612014527">
              <w:marLeft w:val="0"/>
              <w:marRight w:val="0"/>
              <w:marTop w:val="0"/>
              <w:marBottom w:val="0"/>
              <w:divBdr>
                <w:top w:val="none" w:sz="0" w:space="0" w:color="auto"/>
                <w:left w:val="none" w:sz="0" w:space="0" w:color="auto"/>
                <w:bottom w:val="none" w:sz="0" w:space="0" w:color="auto"/>
                <w:right w:val="none" w:sz="0" w:space="0" w:color="auto"/>
              </w:divBdr>
              <w:divsChild>
                <w:div w:id="1198664786">
                  <w:marLeft w:val="0"/>
                  <w:marRight w:val="0"/>
                  <w:marTop w:val="0"/>
                  <w:marBottom w:val="0"/>
                  <w:divBdr>
                    <w:top w:val="none" w:sz="0" w:space="0" w:color="auto"/>
                    <w:left w:val="none" w:sz="0" w:space="0" w:color="auto"/>
                    <w:bottom w:val="none" w:sz="0" w:space="0" w:color="auto"/>
                    <w:right w:val="none" w:sz="0" w:space="0" w:color="auto"/>
                  </w:divBdr>
                  <w:divsChild>
                    <w:div w:id="110750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0458107">
      <w:bodyDiv w:val="1"/>
      <w:marLeft w:val="0"/>
      <w:marRight w:val="0"/>
      <w:marTop w:val="0"/>
      <w:marBottom w:val="0"/>
      <w:divBdr>
        <w:top w:val="none" w:sz="0" w:space="0" w:color="auto"/>
        <w:left w:val="none" w:sz="0" w:space="0" w:color="auto"/>
        <w:bottom w:val="none" w:sz="0" w:space="0" w:color="auto"/>
        <w:right w:val="none" w:sz="0" w:space="0" w:color="auto"/>
      </w:divBdr>
      <w:divsChild>
        <w:div w:id="2112625566">
          <w:marLeft w:val="0"/>
          <w:marRight w:val="0"/>
          <w:marTop w:val="0"/>
          <w:marBottom w:val="0"/>
          <w:divBdr>
            <w:top w:val="none" w:sz="0" w:space="0" w:color="auto"/>
            <w:left w:val="none" w:sz="0" w:space="0" w:color="auto"/>
            <w:bottom w:val="none" w:sz="0" w:space="0" w:color="auto"/>
            <w:right w:val="none" w:sz="0" w:space="0" w:color="auto"/>
          </w:divBdr>
          <w:divsChild>
            <w:div w:id="1966112510">
              <w:marLeft w:val="0"/>
              <w:marRight w:val="0"/>
              <w:marTop w:val="0"/>
              <w:marBottom w:val="0"/>
              <w:divBdr>
                <w:top w:val="none" w:sz="0" w:space="0" w:color="auto"/>
                <w:left w:val="none" w:sz="0" w:space="0" w:color="auto"/>
                <w:bottom w:val="none" w:sz="0" w:space="0" w:color="auto"/>
                <w:right w:val="none" w:sz="0" w:space="0" w:color="auto"/>
              </w:divBdr>
              <w:divsChild>
                <w:div w:id="2109306911">
                  <w:marLeft w:val="0"/>
                  <w:marRight w:val="0"/>
                  <w:marTop w:val="0"/>
                  <w:marBottom w:val="0"/>
                  <w:divBdr>
                    <w:top w:val="none" w:sz="0" w:space="0" w:color="auto"/>
                    <w:left w:val="none" w:sz="0" w:space="0" w:color="auto"/>
                    <w:bottom w:val="none" w:sz="0" w:space="0" w:color="auto"/>
                    <w:right w:val="none" w:sz="0" w:space="0" w:color="auto"/>
                  </w:divBdr>
                  <w:divsChild>
                    <w:div w:id="70083290">
                      <w:marLeft w:val="0"/>
                      <w:marRight w:val="0"/>
                      <w:marTop w:val="0"/>
                      <w:marBottom w:val="0"/>
                      <w:divBdr>
                        <w:top w:val="none" w:sz="0" w:space="0" w:color="auto"/>
                        <w:left w:val="none" w:sz="0" w:space="0" w:color="auto"/>
                        <w:bottom w:val="none" w:sz="0" w:space="0" w:color="auto"/>
                        <w:right w:val="none" w:sz="0" w:space="0" w:color="auto"/>
                      </w:divBdr>
                      <w:divsChild>
                        <w:div w:id="915936638">
                          <w:marLeft w:val="0"/>
                          <w:marRight w:val="0"/>
                          <w:marTop w:val="0"/>
                          <w:marBottom w:val="0"/>
                          <w:divBdr>
                            <w:top w:val="none" w:sz="0" w:space="0" w:color="auto"/>
                            <w:left w:val="none" w:sz="0" w:space="0" w:color="auto"/>
                            <w:bottom w:val="none" w:sz="0" w:space="0" w:color="auto"/>
                            <w:right w:val="none" w:sz="0" w:space="0" w:color="auto"/>
                          </w:divBdr>
                          <w:divsChild>
                            <w:div w:id="1906450659">
                              <w:marLeft w:val="0"/>
                              <w:marRight w:val="0"/>
                              <w:marTop w:val="0"/>
                              <w:marBottom w:val="0"/>
                              <w:divBdr>
                                <w:top w:val="none" w:sz="0" w:space="0" w:color="auto"/>
                                <w:left w:val="none" w:sz="0" w:space="0" w:color="auto"/>
                                <w:bottom w:val="none" w:sz="0" w:space="0" w:color="auto"/>
                                <w:right w:val="none" w:sz="0" w:space="0" w:color="auto"/>
                              </w:divBdr>
                              <w:divsChild>
                                <w:div w:id="1172642989">
                                  <w:marLeft w:val="0"/>
                                  <w:marRight w:val="0"/>
                                  <w:marTop w:val="0"/>
                                  <w:marBottom w:val="0"/>
                                  <w:divBdr>
                                    <w:top w:val="none" w:sz="0" w:space="0" w:color="auto"/>
                                    <w:left w:val="none" w:sz="0" w:space="0" w:color="auto"/>
                                    <w:bottom w:val="none" w:sz="0" w:space="0" w:color="auto"/>
                                    <w:right w:val="none" w:sz="0" w:space="0" w:color="auto"/>
                                  </w:divBdr>
                                </w:div>
                                <w:div w:id="635910561">
                                  <w:marLeft w:val="0"/>
                                  <w:marRight w:val="0"/>
                                  <w:marTop w:val="0"/>
                                  <w:marBottom w:val="0"/>
                                  <w:divBdr>
                                    <w:top w:val="none" w:sz="0" w:space="0" w:color="auto"/>
                                    <w:left w:val="none" w:sz="0" w:space="0" w:color="auto"/>
                                    <w:bottom w:val="none" w:sz="0" w:space="0" w:color="auto"/>
                                    <w:right w:val="none" w:sz="0" w:space="0" w:color="auto"/>
                                  </w:divBdr>
                                </w:div>
                                <w:div w:id="1903827163">
                                  <w:marLeft w:val="0"/>
                                  <w:marRight w:val="0"/>
                                  <w:marTop w:val="0"/>
                                  <w:marBottom w:val="0"/>
                                  <w:divBdr>
                                    <w:top w:val="none" w:sz="0" w:space="0" w:color="auto"/>
                                    <w:left w:val="none" w:sz="0" w:space="0" w:color="auto"/>
                                    <w:bottom w:val="none" w:sz="0" w:space="0" w:color="auto"/>
                                    <w:right w:val="none" w:sz="0" w:space="0" w:color="auto"/>
                                  </w:divBdr>
                                </w:div>
                                <w:div w:id="728458034">
                                  <w:marLeft w:val="0"/>
                                  <w:marRight w:val="0"/>
                                  <w:marTop w:val="0"/>
                                  <w:marBottom w:val="0"/>
                                  <w:divBdr>
                                    <w:top w:val="none" w:sz="0" w:space="0" w:color="auto"/>
                                    <w:left w:val="none" w:sz="0" w:space="0" w:color="auto"/>
                                    <w:bottom w:val="none" w:sz="0" w:space="0" w:color="auto"/>
                                    <w:right w:val="none" w:sz="0" w:space="0" w:color="auto"/>
                                  </w:divBdr>
                                </w:div>
                                <w:div w:id="27270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10535">
                      <w:marLeft w:val="0"/>
                      <w:marRight w:val="0"/>
                      <w:marTop w:val="0"/>
                      <w:marBottom w:val="0"/>
                      <w:divBdr>
                        <w:top w:val="none" w:sz="0" w:space="0" w:color="auto"/>
                        <w:left w:val="none" w:sz="0" w:space="0" w:color="auto"/>
                        <w:bottom w:val="none" w:sz="0" w:space="0" w:color="auto"/>
                        <w:right w:val="none" w:sz="0" w:space="0" w:color="auto"/>
                      </w:divBdr>
                      <w:divsChild>
                        <w:div w:id="2113697237">
                          <w:marLeft w:val="0"/>
                          <w:marRight w:val="0"/>
                          <w:marTop w:val="120"/>
                          <w:marBottom w:val="0"/>
                          <w:divBdr>
                            <w:top w:val="none" w:sz="0" w:space="0" w:color="auto"/>
                            <w:left w:val="none" w:sz="0" w:space="0" w:color="auto"/>
                            <w:bottom w:val="none" w:sz="0" w:space="0" w:color="auto"/>
                            <w:right w:val="none" w:sz="0" w:space="0" w:color="auto"/>
                          </w:divBdr>
                        </w:div>
                      </w:divsChild>
                    </w:div>
                    <w:div w:id="990452521">
                      <w:marLeft w:val="0"/>
                      <w:marRight w:val="0"/>
                      <w:marTop w:val="0"/>
                      <w:marBottom w:val="0"/>
                      <w:divBdr>
                        <w:top w:val="none" w:sz="0" w:space="0" w:color="auto"/>
                        <w:left w:val="none" w:sz="0" w:space="0" w:color="auto"/>
                        <w:bottom w:val="none" w:sz="0" w:space="0" w:color="auto"/>
                        <w:right w:val="none" w:sz="0" w:space="0" w:color="auto"/>
                      </w:divBdr>
                      <w:divsChild>
                        <w:div w:id="99584287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50613671">
          <w:marLeft w:val="0"/>
          <w:marRight w:val="0"/>
          <w:marTop w:val="0"/>
          <w:marBottom w:val="0"/>
          <w:divBdr>
            <w:top w:val="none" w:sz="0" w:space="0" w:color="auto"/>
            <w:left w:val="none" w:sz="0" w:space="0" w:color="auto"/>
            <w:bottom w:val="none" w:sz="0" w:space="0" w:color="auto"/>
            <w:right w:val="none" w:sz="0" w:space="0" w:color="auto"/>
          </w:divBdr>
          <w:divsChild>
            <w:div w:id="1632130257">
              <w:marLeft w:val="0"/>
              <w:marRight w:val="0"/>
              <w:marTop w:val="0"/>
              <w:marBottom w:val="0"/>
              <w:divBdr>
                <w:top w:val="none" w:sz="0" w:space="0" w:color="auto"/>
                <w:left w:val="none" w:sz="0" w:space="0" w:color="auto"/>
                <w:bottom w:val="none" w:sz="0" w:space="0" w:color="auto"/>
                <w:right w:val="none" w:sz="0" w:space="0" w:color="auto"/>
              </w:divBdr>
              <w:divsChild>
                <w:div w:id="1763605965">
                  <w:marLeft w:val="0"/>
                  <w:marRight w:val="0"/>
                  <w:marTop w:val="0"/>
                  <w:marBottom w:val="0"/>
                  <w:divBdr>
                    <w:top w:val="none" w:sz="0" w:space="0" w:color="auto"/>
                    <w:left w:val="none" w:sz="0" w:space="0" w:color="auto"/>
                    <w:bottom w:val="none" w:sz="0" w:space="0" w:color="auto"/>
                    <w:right w:val="none" w:sz="0" w:space="0" w:color="auto"/>
                  </w:divBdr>
                  <w:divsChild>
                    <w:div w:id="1195851300">
                      <w:marLeft w:val="0"/>
                      <w:marRight w:val="0"/>
                      <w:marTop w:val="0"/>
                      <w:marBottom w:val="0"/>
                      <w:divBdr>
                        <w:top w:val="none" w:sz="0" w:space="0" w:color="auto"/>
                        <w:left w:val="none" w:sz="0" w:space="0" w:color="auto"/>
                        <w:bottom w:val="none" w:sz="0" w:space="0" w:color="auto"/>
                        <w:right w:val="none" w:sz="0" w:space="0" w:color="auto"/>
                      </w:divBdr>
                      <w:divsChild>
                        <w:div w:id="1956129960">
                          <w:marLeft w:val="0"/>
                          <w:marRight w:val="0"/>
                          <w:marTop w:val="0"/>
                          <w:marBottom w:val="0"/>
                          <w:divBdr>
                            <w:top w:val="none" w:sz="0" w:space="0" w:color="auto"/>
                            <w:left w:val="none" w:sz="0" w:space="0" w:color="auto"/>
                            <w:bottom w:val="none" w:sz="0" w:space="0" w:color="auto"/>
                            <w:right w:val="none" w:sz="0" w:space="0" w:color="auto"/>
                          </w:divBdr>
                          <w:divsChild>
                            <w:div w:id="591620253">
                              <w:marLeft w:val="0"/>
                              <w:marRight w:val="0"/>
                              <w:marTop w:val="0"/>
                              <w:marBottom w:val="0"/>
                              <w:divBdr>
                                <w:top w:val="none" w:sz="0" w:space="0" w:color="auto"/>
                                <w:left w:val="none" w:sz="0" w:space="0" w:color="auto"/>
                                <w:bottom w:val="none" w:sz="0" w:space="0" w:color="auto"/>
                                <w:right w:val="none" w:sz="0" w:space="0" w:color="auto"/>
                              </w:divBdr>
                              <w:divsChild>
                                <w:div w:id="506871051">
                                  <w:marLeft w:val="0"/>
                                  <w:marRight w:val="0"/>
                                  <w:marTop w:val="0"/>
                                  <w:marBottom w:val="0"/>
                                  <w:divBdr>
                                    <w:top w:val="none" w:sz="0" w:space="0" w:color="auto"/>
                                    <w:left w:val="none" w:sz="0" w:space="0" w:color="auto"/>
                                    <w:bottom w:val="none" w:sz="0" w:space="0" w:color="auto"/>
                                    <w:right w:val="none" w:sz="0" w:space="0" w:color="auto"/>
                                  </w:divBdr>
                                </w:div>
                                <w:div w:id="1636527082">
                                  <w:marLeft w:val="0"/>
                                  <w:marRight w:val="0"/>
                                  <w:marTop w:val="0"/>
                                  <w:marBottom w:val="0"/>
                                  <w:divBdr>
                                    <w:top w:val="none" w:sz="0" w:space="0" w:color="auto"/>
                                    <w:left w:val="none" w:sz="0" w:space="0" w:color="auto"/>
                                    <w:bottom w:val="none" w:sz="0" w:space="0" w:color="auto"/>
                                    <w:right w:val="none" w:sz="0" w:space="0" w:color="auto"/>
                                  </w:divBdr>
                                </w:div>
                                <w:div w:id="509681238">
                                  <w:marLeft w:val="0"/>
                                  <w:marRight w:val="0"/>
                                  <w:marTop w:val="0"/>
                                  <w:marBottom w:val="0"/>
                                  <w:divBdr>
                                    <w:top w:val="none" w:sz="0" w:space="0" w:color="auto"/>
                                    <w:left w:val="none" w:sz="0" w:space="0" w:color="auto"/>
                                    <w:bottom w:val="none" w:sz="0" w:space="0" w:color="auto"/>
                                    <w:right w:val="none" w:sz="0" w:space="0" w:color="auto"/>
                                  </w:divBdr>
                                </w:div>
                                <w:div w:id="1642926666">
                                  <w:marLeft w:val="0"/>
                                  <w:marRight w:val="0"/>
                                  <w:marTop w:val="0"/>
                                  <w:marBottom w:val="0"/>
                                  <w:divBdr>
                                    <w:top w:val="none" w:sz="0" w:space="0" w:color="auto"/>
                                    <w:left w:val="none" w:sz="0" w:space="0" w:color="auto"/>
                                    <w:bottom w:val="none" w:sz="0" w:space="0" w:color="auto"/>
                                    <w:right w:val="none" w:sz="0" w:space="0" w:color="auto"/>
                                  </w:divBdr>
                                </w:div>
                                <w:div w:id="52621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84996">
                      <w:marLeft w:val="0"/>
                      <w:marRight w:val="0"/>
                      <w:marTop w:val="0"/>
                      <w:marBottom w:val="0"/>
                      <w:divBdr>
                        <w:top w:val="none" w:sz="0" w:space="0" w:color="auto"/>
                        <w:left w:val="none" w:sz="0" w:space="0" w:color="auto"/>
                        <w:bottom w:val="none" w:sz="0" w:space="0" w:color="auto"/>
                        <w:right w:val="none" w:sz="0" w:space="0" w:color="auto"/>
                      </w:divBdr>
                      <w:divsChild>
                        <w:div w:id="1660889537">
                          <w:marLeft w:val="0"/>
                          <w:marRight w:val="0"/>
                          <w:marTop w:val="120"/>
                          <w:marBottom w:val="0"/>
                          <w:divBdr>
                            <w:top w:val="none" w:sz="0" w:space="0" w:color="auto"/>
                            <w:left w:val="none" w:sz="0" w:space="0" w:color="auto"/>
                            <w:bottom w:val="none" w:sz="0" w:space="0" w:color="auto"/>
                            <w:right w:val="none" w:sz="0" w:space="0" w:color="auto"/>
                          </w:divBdr>
                        </w:div>
                      </w:divsChild>
                    </w:div>
                    <w:div w:id="779495713">
                      <w:marLeft w:val="0"/>
                      <w:marRight w:val="0"/>
                      <w:marTop w:val="0"/>
                      <w:marBottom w:val="0"/>
                      <w:divBdr>
                        <w:top w:val="none" w:sz="0" w:space="0" w:color="auto"/>
                        <w:left w:val="none" w:sz="0" w:space="0" w:color="auto"/>
                        <w:bottom w:val="none" w:sz="0" w:space="0" w:color="auto"/>
                        <w:right w:val="none" w:sz="0" w:space="0" w:color="auto"/>
                      </w:divBdr>
                      <w:divsChild>
                        <w:div w:id="6550333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513030829">
          <w:marLeft w:val="0"/>
          <w:marRight w:val="0"/>
          <w:marTop w:val="0"/>
          <w:marBottom w:val="0"/>
          <w:divBdr>
            <w:top w:val="none" w:sz="0" w:space="0" w:color="auto"/>
            <w:left w:val="none" w:sz="0" w:space="0" w:color="auto"/>
            <w:bottom w:val="none" w:sz="0" w:space="0" w:color="auto"/>
            <w:right w:val="none" w:sz="0" w:space="0" w:color="auto"/>
          </w:divBdr>
          <w:divsChild>
            <w:div w:id="1857767518">
              <w:marLeft w:val="0"/>
              <w:marRight w:val="0"/>
              <w:marTop w:val="0"/>
              <w:marBottom w:val="0"/>
              <w:divBdr>
                <w:top w:val="none" w:sz="0" w:space="0" w:color="auto"/>
                <w:left w:val="none" w:sz="0" w:space="0" w:color="auto"/>
                <w:bottom w:val="none" w:sz="0" w:space="0" w:color="auto"/>
                <w:right w:val="none" w:sz="0" w:space="0" w:color="auto"/>
              </w:divBdr>
              <w:divsChild>
                <w:div w:id="1643121557">
                  <w:marLeft w:val="0"/>
                  <w:marRight w:val="0"/>
                  <w:marTop w:val="0"/>
                  <w:marBottom w:val="0"/>
                  <w:divBdr>
                    <w:top w:val="none" w:sz="0" w:space="0" w:color="auto"/>
                    <w:left w:val="none" w:sz="0" w:space="0" w:color="auto"/>
                    <w:bottom w:val="none" w:sz="0" w:space="0" w:color="auto"/>
                    <w:right w:val="none" w:sz="0" w:space="0" w:color="auto"/>
                  </w:divBdr>
                  <w:divsChild>
                    <w:div w:id="1641888089">
                      <w:marLeft w:val="0"/>
                      <w:marRight w:val="0"/>
                      <w:marTop w:val="0"/>
                      <w:marBottom w:val="0"/>
                      <w:divBdr>
                        <w:top w:val="none" w:sz="0" w:space="0" w:color="auto"/>
                        <w:left w:val="none" w:sz="0" w:space="0" w:color="auto"/>
                        <w:bottom w:val="none" w:sz="0" w:space="0" w:color="auto"/>
                        <w:right w:val="none" w:sz="0" w:space="0" w:color="auto"/>
                      </w:divBdr>
                      <w:divsChild>
                        <w:div w:id="618024905">
                          <w:marLeft w:val="0"/>
                          <w:marRight w:val="0"/>
                          <w:marTop w:val="0"/>
                          <w:marBottom w:val="0"/>
                          <w:divBdr>
                            <w:top w:val="none" w:sz="0" w:space="0" w:color="auto"/>
                            <w:left w:val="none" w:sz="0" w:space="0" w:color="auto"/>
                            <w:bottom w:val="none" w:sz="0" w:space="0" w:color="auto"/>
                            <w:right w:val="none" w:sz="0" w:space="0" w:color="auto"/>
                          </w:divBdr>
                          <w:divsChild>
                            <w:div w:id="517044413">
                              <w:marLeft w:val="0"/>
                              <w:marRight w:val="0"/>
                              <w:marTop w:val="0"/>
                              <w:marBottom w:val="0"/>
                              <w:divBdr>
                                <w:top w:val="none" w:sz="0" w:space="0" w:color="auto"/>
                                <w:left w:val="none" w:sz="0" w:space="0" w:color="auto"/>
                                <w:bottom w:val="none" w:sz="0" w:space="0" w:color="auto"/>
                                <w:right w:val="none" w:sz="0" w:space="0" w:color="auto"/>
                              </w:divBdr>
                              <w:divsChild>
                                <w:div w:id="284045953">
                                  <w:marLeft w:val="0"/>
                                  <w:marRight w:val="0"/>
                                  <w:marTop w:val="0"/>
                                  <w:marBottom w:val="0"/>
                                  <w:divBdr>
                                    <w:top w:val="none" w:sz="0" w:space="0" w:color="auto"/>
                                    <w:left w:val="none" w:sz="0" w:space="0" w:color="auto"/>
                                    <w:bottom w:val="none" w:sz="0" w:space="0" w:color="auto"/>
                                    <w:right w:val="none" w:sz="0" w:space="0" w:color="auto"/>
                                  </w:divBdr>
                                </w:div>
                                <w:div w:id="671300896">
                                  <w:marLeft w:val="0"/>
                                  <w:marRight w:val="0"/>
                                  <w:marTop w:val="0"/>
                                  <w:marBottom w:val="0"/>
                                  <w:divBdr>
                                    <w:top w:val="none" w:sz="0" w:space="0" w:color="auto"/>
                                    <w:left w:val="none" w:sz="0" w:space="0" w:color="auto"/>
                                    <w:bottom w:val="none" w:sz="0" w:space="0" w:color="auto"/>
                                    <w:right w:val="none" w:sz="0" w:space="0" w:color="auto"/>
                                  </w:divBdr>
                                </w:div>
                                <w:div w:id="418602846">
                                  <w:marLeft w:val="0"/>
                                  <w:marRight w:val="0"/>
                                  <w:marTop w:val="0"/>
                                  <w:marBottom w:val="0"/>
                                  <w:divBdr>
                                    <w:top w:val="none" w:sz="0" w:space="0" w:color="auto"/>
                                    <w:left w:val="none" w:sz="0" w:space="0" w:color="auto"/>
                                    <w:bottom w:val="none" w:sz="0" w:space="0" w:color="auto"/>
                                    <w:right w:val="none" w:sz="0" w:space="0" w:color="auto"/>
                                  </w:divBdr>
                                </w:div>
                                <w:div w:id="75898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200505">
                      <w:marLeft w:val="0"/>
                      <w:marRight w:val="0"/>
                      <w:marTop w:val="0"/>
                      <w:marBottom w:val="0"/>
                      <w:divBdr>
                        <w:top w:val="none" w:sz="0" w:space="0" w:color="auto"/>
                        <w:left w:val="none" w:sz="0" w:space="0" w:color="auto"/>
                        <w:bottom w:val="none" w:sz="0" w:space="0" w:color="auto"/>
                        <w:right w:val="none" w:sz="0" w:space="0" w:color="auto"/>
                      </w:divBdr>
                      <w:divsChild>
                        <w:div w:id="60935773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32985479">
          <w:marLeft w:val="0"/>
          <w:marRight w:val="0"/>
          <w:marTop w:val="0"/>
          <w:marBottom w:val="0"/>
          <w:divBdr>
            <w:top w:val="none" w:sz="0" w:space="0" w:color="auto"/>
            <w:left w:val="none" w:sz="0" w:space="0" w:color="auto"/>
            <w:bottom w:val="none" w:sz="0" w:space="0" w:color="auto"/>
            <w:right w:val="none" w:sz="0" w:space="0" w:color="auto"/>
          </w:divBdr>
          <w:divsChild>
            <w:div w:id="1714426778">
              <w:marLeft w:val="0"/>
              <w:marRight w:val="0"/>
              <w:marTop w:val="0"/>
              <w:marBottom w:val="0"/>
              <w:divBdr>
                <w:top w:val="none" w:sz="0" w:space="0" w:color="auto"/>
                <w:left w:val="none" w:sz="0" w:space="0" w:color="auto"/>
                <w:bottom w:val="none" w:sz="0" w:space="0" w:color="auto"/>
                <w:right w:val="none" w:sz="0" w:space="0" w:color="auto"/>
              </w:divBdr>
              <w:divsChild>
                <w:div w:id="299766564">
                  <w:marLeft w:val="0"/>
                  <w:marRight w:val="0"/>
                  <w:marTop w:val="0"/>
                  <w:marBottom w:val="0"/>
                  <w:divBdr>
                    <w:top w:val="none" w:sz="0" w:space="0" w:color="auto"/>
                    <w:left w:val="none" w:sz="0" w:space="0" w:color="auto"/>
                    <w:bottom w:val="none" w:sz="0" w:space="0" w:color="auto"/>
                    <w:right w:val="none" w:sz="0" w:space="0" w:color="auto"/>
                  </w:divBdr>
                  <w:divsChild>
                    <w:div w:id="301812891">
                      <w:marLeft w:val="0"/>
                      <w:marRight w:val="0"/>
                      <w:marTop w:val="0"/>
                      <w:marBottom w:val="0"/>
                      <w:divBdr>
                        <w:top w:val="none" w:sz="0" w:space="0" w:color="auto"/>
                        <w:left w:val="none" w:sz="0" w:space="0" w:color="auto"/>
                        <w:bottom w:val="none" w:sz="0" w:space="0" w:color="auto"/>
                        <w:right w:val="none" w:sz="0" w:space="0" w:color="auto"/>
                      </w:divBdr>
                      <w:divsChild>
                        <w:div w:id="1864829112">
                          <w:marLeft w:val="0"/>
                          <w:marRight w:val="0"/>
                          <w:marTop w:val="0"/>
                          <w:marBottom w:val="0"/>
                          <w:divBdr>
                            <w:top w:val="none" w:sz="0" w:space="0" w:color="auto"/>
                            <w:left w:val="none" w:sz="0" w:space="0" w:color="auto"/>
                            <w:bottom w:val="none" w:sz="0" w:space="0" w:color="auto"/>
                            <w:right w:val="none" w:sz="0" w:space="0" w:color="auto"/>
                          </w:divBdr>
                          <w:divsChild>
                            <w:div w:id="1349798753">
                              <w:marLeft w:val="0"/>
                              <w:marRight w:val="0"/>
                              <w:marTop w:val="0"/>
                              <w:marBottom w:val="0"/>
                              <w:divBdr>
                                <w:top w:val="none" w:sz="0" w:space="0" w:color="auto"/>
                                <w:left w:val="none" w:sz="0" w:space="0" w:color="auto"/>
                                <w:bottom w:val="none" w:sz="0" w:space="0" w:color="auto"/>
                                <w:right w:val="none" w:sz="0" w:space="0" w:color="auto"/>
                              </w:divBdr>
                              <w:divsChild>
                                <w:div w:id="1536578342">
                                  <w:marLeft w:val="0"/>
                                  <w:marRight w:val="0"/>
                                  <w:marTop w:val="0"/>
                                  <w:marBottom w:val="0"/>
                                  <w:divBdr>
                                    <w:top w:val="none" w:sz="0" w:space="0" w:color="auto"/>
                                    <w:left w:val="none" w:sz="0" w:space="0" w:color="auto"/>
                                    <w:bottom w:val="none" w:sz="0" w:space="0" w:color="auto"/>
                                    <w:right w:val="none" w:sz="0" w:space="0" w:color="auto"/>
                                  </w:divBdr>
                                </w:div>
                                <w:div w:id="2071921619">
                                  <w:marLeft w:val="0"/>
                                  <w:marRight w:val="0"/>
                                  <w:marTop w:val="0"/>
                                  <w:marBottom w:val="0"/>
                                  <w:divBdr>
                                    <w:top w:val="none" w:sz="0" w:space="0" w:color="auto"/>
                                    <w:left w:val="none" w:sz="0" w:space="0" w:color="auto"/>
                                    <w:bottom w:val="none" w:sz="0" w:space="0" w:color="auto"/>
                                    <w:right w:val="none" w:sz="0" w:space="0" w:color="auto"/>
                                  </w:divBdr>
                                </w:div>
                                <w:div w:id="924611840">
                                  <w:marLeft w:val="0"/>
                                  <w:marRight w:val="0"/>
                                  <w:marTop w:val="0"/>
                                  <w:marBottom w:val="0"/>
                                  <w:divBdr>
                                    <w:top w:val="none" w:sz="0" w:space="0" w:color="auto"/>
                                    <w:left w:val="none" w:sz="0" w:space="0" w:color="auto"/>
                                    <w:bottom w:val="none" w:sz="0" w:space="0" w:color="auto"/>
                                    <w:right w:val="none" w:sz="0" w:space="0" w:color="auto"/>
                                  </w:divBdr>
                                </w:div>
                                <w:div w:id="99800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52144">
                      <w:marLeft w:val="0"/>
                      <w:marRight w:val="0"/>
                      <w:marTop w:val="0"/>
                      <w:marBottom w:val="0"/>
                      <w:divBdr>
                        <w:top w:val="none" w:sz="0" w:space="0" w:color="auto"/>
                        <w:left w:val="none" w:sz="0" w:space="0" w:color="auto"/>
                        <w:bottom w:val="none" w:sz="0" w:space="0" w:color="auto"/>
                        <w:right w:val="none" w:sz="0" w:space="0" w:color="auto"/>
                      </w:divBdr>
                      <w:divsChild>
                        <w:div w:id="1174958844">
                          <w:marLeft w:val="0"/>
                          <w:marRight w:val="0"/>
                          <w:marTop w:val="120"/>
                          <w:marBottom w:val="0"/>
                          <w:divBdr>
                            <w:top w:val="none" w:sz="0" w:space="0" w:color="auto"/>
                            <w:left w:val="none" w:sz="0" w:space="0" w:color="auto"/>
                            <w:bottom w:val="none" w:sz="0" w:space="0" w:color="auto"/>
                            <w:right w:val="none" w:sz="0" w:space="0" w:color="auto"/>
                          </w:divBdr>
                        </w:div>
                      </w:divsChild>
                    </w:div>
                    <w:div w:id="1582107756">
                      <w:marLeft w:val="0"/>
                      <w:marRight w:val="0"/>
                      <w:marTop w:val="0"/>
                      <w:marBottom w:val="0"/>
                      <w:divBdr>
                        <w:top w:val="none" w:sz="0" w:space="0" w:color="auto"/>
                        <w:left w:val="none" w:sz="0" w:space="0" w:color="auto"/>
                        <w:bottom w:val="none" w:sz="0" w:space="0" w:color="auto"/>
                        <w:right w:val="none" w:sz="0" w:space="0" w:color="auto"/>
                      </w:divBdr>
                      <w:divsChild>
                        <w:div w:id="136736925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635450822">
          <w:marLeft w:val="0"/>
          <w:marRight w:val="0"/>
          <w:marTop w:val="0"/>
          <w:marBottom w:val="0"/>
          <w:divBdr>
            <w:top w:val="none" w:sz="0" w:space="0" w:color="auto"/>
            <w:left w:val="none" w:sz="0" w:space="0" w:color="auto"/>
            <w:bottom w:val="none" w:sz="0" w:space="0" w:color="auto"/>
            <w:right w:val="none" w:sz="0" w:space="0" w:color="auto"/>
          </w:divBdr>
          <w:divsChild>
            <w:div w:id="138614720">
              <w:marLeft w:val="0"/>
              <w:marRight w:val="0"/>
              <w:marTop w:val="0"/>
              <w:marBottom w:val="0"/>
              <w:divBdr>
                <w:top w:val="none" w:sz="0" w:space="0" w:color="auto"/>
                <w:left w:val="none" w:sz="0" w:space="0" w:color="auto"/>
                <w:bottom w:val="none" w:sz="0" w:space="0" w:color="auto"/>
                <w:right w:val="none" w:sz="0" w:space="0" w:color="auto"/>
              </w:divBdr>
              <w:divsChild>
                <w:div w:id="559681187">
                  <w:marLeft w:val="0"/>
                  <w:marRight w:val="0"/>
                  <w:marTop w:val="0"/>
                  <w:marBottom w:val="0"/>
                  <w:divBdr>
                    <w:top w:val="none" w:sz="0" w:space="0" w:color="auto"/>
                    <w:left w:val="none" w:sz="0" w:space="0" w:color="auto"/>
                    <w:bottom w:val="none" w:sz="0" w:space="0" w:color="auto"/>
                    <w:right w:val="none" w:sz="0" w:space="0" w:color="auto"/>
                  </w:divBdr>
                  <w:divsChild>
                    <w:div w:id="1303651801">
                      <w:marLeft w:val="0"/>
                      <w:marRight w:val="0"/>
                      <w:marTop w:val="0"/>
                      <w:marBottom w:val="0"/>
                      <w:divBdr>
                        <w:top w:val="none" w:sz="0" w:space="0" w:color="auto"/>
                        <w:left w:val="none" w:sz="0" w:space="0" w:color="auto"/>
                        <w:bottom w:val="none" w:sz="0" w:space="0" w:color="auto"/>
                        <w:right w:val="none" w:sz="0" w:space="0" w:color="auto"/>
                      </w:divBdr>
                      <w:divsChild>
                        <w:div w:id="187837338">
                          <w:marLeft w:val="0"/>
                          <w:marRight w:val="0"/>
                          <w:marTop w:val="0"/>
                          <w:marBottom w:val="0"/>
                          <w:divBdr>
                            <w:top w:val="none" w:sz="0" w:space="0" w:color="auto"/>
                            <w:left w:val="none" w:sz="0" w:space="0" w:color="auto"/>
                            <w:bottom w:val="none" w:sz="0" w:space="0" w:color="auto"/>
                            <w:right w:val="none" w:sz="0" w:space="0" w:color="auto"/>
                          </w:divBdr>
                          <w:divsChild>
                            <w:div w:id="1217743227">
                              <w:marLeft w:val="0"/>
                              <w:marRight w:val="0"/>
                              <w:marTop w:val="0"/>
                              <w:marBottom w:val="0"/>
                              <w:divBdr>
                                <w:top w:val="none" w:sz="0" w:space="0" w:color="auto"/>
                                <w:left w:val="none" w:sz="0" w:space="0" w:color="auto"/>
                                <w:bottom w:val="none" w:sz="0" w:space="0" w:color="auto"/>
                                <w:right w:val="none" w:sz="0" w:space="0" w:color="auto"/>
                              </w:divBdr>
                              <w:divsChild>
                                <w:div w:id="1921212107">
                                  <w:marLeft w:val="0"/>
                                  <w:marRight w:val="0"/>
                                  <w:marTop w:val="0"/>
                                  <w:marBottom w:val="0"/>
                                  <w:divBdr>
                                    <w:top w:val="none" w:sz="0" w:space="0" w:color="auto"/>
                                    <w:left w:val="none" w:sz="0" w:space="0" w:color="auto"/>
                                    <w:bottom w:val="none" w:sz="0" w:space="0" w:color="auto"/>
                                    <w:right w:val="none" w:sz="0" w:space="0" w:color="auto"/>
                                  </w:divBdr>
                                </w:div>
                                <w:div w:id="1071538751">
                                  <w:marLeft w:val="0"/>
                                  <w:marRight w:val="0"/>
                                  <w:marTop w:val="0"/>
                                  <w:marBottom w:val="0"/>
                                  <w:divBdr>
                                    <w:top w:val="none" w:sz="0" w:space="0" w:color="auto"/>
                                    <w:left w:val="none" w:sz="0" w:space="0" w:color="auto"/>
                                    <w:bottom w:val="none" w:sz="0" w:space="0" w:color="auto"/>
                                    <w:right w:val="none" w:sz="0" w:space="0" w:color="auto"/>
                                  </w:divBdr>
                                </w:div>
                                <w:div w:id="1044714772">
                                  <w:marLeft w:val="0"/>
                                  <w:marRight w:val="0"/>
                                  <w:marTop w:val="0"/>
                                  <w:marBottom w:val="0"/>
                                  <w:divBdr>
                                    <w:top w:val="none" w:sz="0" w:space="0" w:color="auto"/>
                                    <w:left w:val="none" w:sz="0" w:space="0" w:color="auto"/>
                                    <w:bottom w:val="none" w:sz="0" w:space="0" w:color="auto"/>
                                    <w:right w:val="none" w:sz="0" w:space="0" w:color="auto"/>
                                  </w:divBdr>
                                </w:div>
                                <w:div w:id="728114836">
                                  <w:marLeft w:val="0"/>
                                  <w:marRight w:val="0"/>
                                  <w:marTop w:val="0"/>
                                  <w:marBottom w:val="0"/>
                                  <w:divBdr>
                                    <w:top w:val="none" w:sz="0" w:space="0" w:color="auto"/>
                                    <w:left w:val="none" w:sz="0" w:space="0" w:color="auto"/>
                                    <w:bottom w:val="none" w:sz="0" w:space="0" w:color="auto"/>
                                    <w:right w:val="none" w:sz="0" w:space="0" w:color="auto"/>
                                  </w:divBdr>
                                </w:div>
                                <w:div w:id="18837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127263">
                      <w:marLeft w:val="0"/>
                      <w:marRight w:val="0"/>
                      <w:marTop w:val="0"/>
                      <w:marBottom w:val="0"/>
                      <w:divBdr>
                        <w:top w:val="none" w:sz="0" w:space="0" w:color="auto"/>
                        <w:left w:val="none" w:sz="0" w:space="0" w:color="auto"/>
                        <w:bottom w:val="none" w:sz="0" w:space="0" w:color="auto"/>
                        <w:right w:val="none" w:sz="0" w:space="0" w:color="auto"/>
                      </w:divBdr>
                      <w:divsChild>
                        <w:div w:id="2078435822">
                          <w:marLeft w:val="0"/>
                          <w:marRight w:val="0"/>
                          <w:marTop w:val="120"/>
                          <w:marBottom w:val="0"/>
                          <w:divBdr>
                            <w:top w:val="none" w:sz="0" w:space="0" w:color="auto"/>
                            <w:left w:val="none" w:sz="0" w:space="0" w:color="auto"/>
                            <w:bottom w:val="none" w:sz="0" w:space="0" w:color="auto"/>
                            <w:right w:val="none" w:sz="0" w:space="0" w:color="auto"/>
                          </w:divBdr>
                        </w:div>
                      </w:divsChild>
                    </w:div>
                    <w:div w:id="778986143">
                      <w:marLeft w:val="0"/>
                      <w:marRight w:val="0"/>
                      <w:marTop w:val="0"/>
                      <w:marBottom w:val="0"/>
                      <w:divBdr>
                        <w:top w:val="none" w:sz="0" w:space="0" w:color="auto"/>
                        <w:left w:val="none" w:sz="0" w:space="0" w:color="auto"/>
                        <w:bottom w:val="none" w:sz="0" w:space="0" w:color="auto"/>
                        <w:right w:val="none" w:sz="0" w:space="0" w:color="auto"/>
                      </w:divBdr>
                      <w:divsChild>
                        <w:div w:id="1736003691">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5876746">
          <w:marLeft w:val="0"/>
          <w:marRight w:val="0"/>
          <w:marTop w:val="0"/>
          <w:marBottom w:val="0"/>
          <w:divBdr>
            <w:top w:val="none" w:sz="0" w:space="0" w:color="auto"/>
            <w:left w:val="none" w:sz="0" w:space="0" w:color="auto"/>
            <w:bottom w:val="none" w:sz="0" w:space="0" w:color="auto"/>
            <w:right w:val="none" w:sz="0" w:space="0" w:color="auto"/>
          </w:divBdr>
          <w:divsChild>
            <w:div w:id="2099978055">
              <w:marLeft w:val="0"/>
              <w:marRight w:val="0"/>
              <w:marTop w:val="0"/>
              <w:marBottom w:val="0"/>
              <w:divBdr>
                <w:top w:val="none" w:sz="0" w:space="0" w:color="auto"/>
                <w:left w:val="none" w:sz="0" w:space="0" w:color="auto"/>
                <w:bottom w:val="none" w:sz="0" w:space="0" w:color="auto"/>
                <w:right w:val="none" w:sz="0" w:space="0" w:color="auto"/>
              </w:divBdr>
              <w:divsChild>
                <w:div w:id="179394569">
                  <w:marLeft w:val="0"/>
                  <w:marRight w:val="0"/>
                  <w:marTop w:val="0"/>
                  <w:marBottom w:val="0"/>
                  <w:divBdr>
                    <w:top w:val="none" w:sz="0" w:space="0" w:color="auto"/>
                    <w:left w:val="none" w:sz="0" w:space="0" w:color="auto"/>
                    <w:bottom w:val="none" w:sz="0" w:space="0" w:color="auto"/>
                    <w:right w:val="none" w:sz="0" w:space="0" w:color="auto"/>
                  </w:divBdr>
                  <w:divsChild>
                    <w:div w:id="1568028605">
                      <w:marLeft w:val="0"/>
                      <w:marRight w:val="0"/>
                      <w:marTop w:val="0"/>
                      <w:marBottom w:val="0"/>
                      <w:divBdr>
                        <w:top w:val="none" w:sz="0" w:space="0" w:color="auto"/>
                        <w:left w:val="none" w:sz="0" w:space="0" w:color="auto"/>
                        <w:bottom w:val="none" w:sz="0" w:space="0" w:color="auto"/>
                        <w:right w:val="none" w:sz="0" w:space="0" w:color="auto"/>
                      </w:divBdr>
                      <w:divsChild>
                        <w:div w:id="59137677">
                          <w:marLeft w:val="0"/>
                          <w:marRight w:val="0"/>
                          <w:marTop w:val="0"/>
                          <w:marBottom w:val="0"/>
                          <w:divBdr>
                            <w:top w:val="none" w:sz="0" w:space="0" w:color="auto"/>
                            <w:left w:val="none" w:sz="0" w:space="0" w:color="auto"/>
                            <w:bottom w:val="none" w:sz="0" w:space="0" w:color="auto"/>
                            <w:right w:val="none" w:sz="0" w:space="0" w:color="auto"/>
                          </w:divBdr>
                          <w:divsChild>
                            <w:div w:id="138347981">
                              <w:marLeft w:val="0"/>
                              <w:marRight w:val="0"/>
                              <w:marTop w:val="0"/>
                              <w:marBottom w:val="0"/>
                              <w:divBdr>
                                <w:top w:val="none" w:sz="0" w:space="0" w:color="auto"/>
                                <w:left w:val="none" w:sz="0" w:space="0" w:color="auto"/>
                                <w:bottom w:val="none" w:sz="0" w:space="0" w:color="auto"/>
                                <w:right w:val="none" w:sz="0" w:space="0" w:color="auto"/>
                              </w:divBdr>
                              <w:divsChild>
                                <w:div w:id="152646801">
                                  <w:marLeft w:val="0"/>
                                  <w:marRight w:val="0"/>
                                  <w:marTop w:val="0"/>
                                  <w:marBottom w:val="0"/>
                                  <w:divBdr>
                                    <w:top w:val="none" w:sz="0" w:space="0" w:color="auto"/>
                                    <w:left w:val="none" w:sz="0" w:space="0" w:color="auto"/>
                                    <w:bottom w:val="none" w:sz="0" w:space="0" w:color="auto"/>
                                    <w:right w:val="none" w:sz="0" w:space="0" w:color="auto"/>
                                  </w:divBdr>
                                </w:div>
                                <w:div w:id="1138231787">
                                  <w:marLeft w:val="0"/>
                                  <w:marRight w:val="0"/>
                                  <w:marTop w:val="0"/>
                                  <w:marBottom w:val="0"/>
                                  <w:divBdr>
                                    <w:top w:val="none" w:sz="0" w:space="0" w:color="auto"/>
                                    <w:left w:val="none" w:sz="0" w:space="0" w:color="auto"/>
                                    <w:bottom w:val="none" w:sz="0" w:space="0" w:color="auto"/>
                                    <w:right w:val="none" w:sz="0" w:space="0" w:color="auto"/>
                                  </w:divBdr>
                                </w:div>
                                <w:div w:id="201527189">
                                  <w:marLeft w:val="0"/>
                                  <w:marRight w:val="0"/>
                                  <w:marTop w:val="0"/>
                                  <w:marBottom w:val="0"/>
                                  <w:divBdr>
                                    <w:top w:val="none" w:sz="0" w:space="0" w:color="auto"/>
                                    <w:left w:val="none" w:sz="0" w:space="0" w:color="auto"/>
                                    <w:bottom w:val="none" w:sz="0" w:space="0" w:color="auto"/>
                                    <w:right w:val="none" w:sz="0" w:space="0" w:color="auto"/>
                                  </w:divBdr>
                                </w:div>
                                <w:div w:id="1203522653">
                                  <w:marLeft w:val="0"/>
                                  <w:marRight w:val="0"/>
                                  <w:marTop w:val="0"/>
                                  <w:marBottom w:val="0"/>
                                  <w:divBdr>
                                    <w:top w:val="none" w:sz="0" w:space="0" w:color="auto"/>
                                    <w:left w:val="none" w:sz="0" w:space="0" w:color="auto"/>
                                    <w:bottom w:val="none" w:sz="0" w:space="0" w:color="auto"/>
                                    <w:right w:val="none" w:sz="0" w:space="0" w:color="auto"/>
                                  </w:divBdr>
                                </w:div>
                                <w:div w:id="9674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15186">
                      <w:marLeft w:val="0"/>
                      <w:marRight w:val="0"/>
                      <w:marTop w:val="0"/>
                      <w:marBottom w:val="0"/>
                      <w:divBdr>
                        <w:top w:val="none" w:sz="0" w:space="0" w:color="auto"/>
                        <w:left w:val="none" w:sz="0" w:space="0" w:color="auto"/>
                        <w:bottom w:val="none" w:sz="0" w:space="0" w:color="auto"/>
                        <w:right w:val="none" w:sz="0" w:space="0" w:color="auto"/>
                      </w:divBdr>
                      <w:divsChild>
                        <w:div w:id="214264616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681732848">
          <w:marLeft w:val="0"/>
          <w:marRight w:val="0"/>
          <w:marTop w:val="0"/>
          <w:marBottom w:val="0"/>
          <w:divBdr>
            <w:top w:val="none" w:sz="0" w:space="0" w:color="auto"/>
            <w:left w:val="none" w:sz="0" w:space="0" w:color="auto"/>
            <w:bottom w:val="none" w:sz="0" w:space="0" w:color="auto"/>
            <w:right w:val="none" w:sz="0" w:space="0" w:color="auto"/>
          </w:divBdr>
          <w:divsChild>
            <w:div w:id="1248689850">
              <w:marLeft w:val="0"/>
              <w:marRight w:val="0"/>
              <w:marTop w:val="0"/>
              <w:marBottom w:val="0"/>
              <w:divBdr>
                <w:top w:val="none" w:sz="0" w:space="0" w:color="auto"/>
                <w:left w:val="none" w:sz="0" w:space="0" w:color="auto"/>
                <w:bottom w:val="none" w:sz="0" w:space="0" w:color="auto"/>
                <w:right w:val="none" w:sz="0" w:space="0" w:color="auto"/>
              </w:divBdr>
              <w:divsChild>
                <w:div w:id="901016068">
                  <w:marLeft w:val="0"/>
                  <w:marRight w:val="0"/>
                  <w:marTop w:val="0"/>
                  <w:marBottom w:val="0"/>
                  <w:divBdr>
                    <w:top w:val="none" w:sz="0" w:space="0" w:color="auto"/>
                    <w:left w:val="none" w:sz="0" w:space="0" w:color="auto"/>
                    <w:bottom w:val="none" w:sz="0" w:space="0" w:color="auto"/>
                    <w:right w:val="none" w:sz="0" w:space="0" w:color="auto"/>
                  </w:divBdr>
                  <w:divsChild>
                    <w:div w:id="1854025752">
                      <w:marLeft w:val="0"/>
                      <w:marRight w:val="0"/>
                      <w:marTop w:val="0"/>
                      <w:marBottom w:val="0"/>
                      <w:divBdr>
                        <w:top w:val="none" w:sz="0" w:space="0" w:color="auto"/>
                        <w:left w:val="none" w:sz="0" w:space="0" w:color="auto"/>
                        <w:bottom w:val="none" w:sz="0" w:space="0" w:color="auto"/>
                        <w:right w:val="none" w:sz="0" w:space="0" w:color="auto"/>
                      </w:divBdr>
                      <w:divsChild>
                        <w:div w:id="1304313479">
                          <w:marLeft w:val="0"/>
                          <w:marRight w:val="0"/>
                          <w:marTop w:val="0"/>
                          <w:marBottom w:val="0"/>
                          <w:divBdr>
                            <w:top w:val="none" w:sz="0" w:space="0" w:color="auto"/>
                            <w:left w:val="none" w:sz="0" w:space="0" w:color="auto"/>
                            <w:bottom w:val="none" w:sz="0" w:space="0" w:color="auto"/>
                            <w:right w:val="none" w:sz="0" w:space="0" w:color="auto"/>
                          </w:divBdr>
                          <w:divsChild>
                            <w:div w:id="1567959875">
                              <w:marLeft w:val="0"/>
                              <w:marRight w:val="0"/>
                              <w:marTop w:val="0"/>
                              <w:marBottom w:val="0"/>
                              <w:divBdr>
                                <w:top w:val="none" w:sz="0" w:space="0" w:color="auto"/>
                                <w:left w:val="none" w:sz="0" w:space="0" w:color="auto"/>
                                <w:bottom w:val="none" w:sz="0" w:space="0" w:color="auto"/>
                                <w:right w:val="none" w:sz="0" w:space="0" w:color="auto"/>
                              </w:divBdr>
                              <w:divsChild>
                                <w:div w:id="1138910365">
                                  <w:marLeft w:val="0"/>
                                  <w:marRight w:val="0"/>
                                  <w:marTop w:val="0"/>
                                  <w:marBottom w:val="0"/>
                                  <w:divBdr>
                                    <w:top w:val="none" w:sz="0" w:space="0" w:color="auto"/>
                                    <w:left w:val="none" w:sz="0" w:space="0" w:color="auto"/>
                                    <w:bottom w:val="none" w:sz="0" w:space="0" w:color="auto"/>
                                    <w:right w:val="none" w:sz="0" w:space="0" w:color="auto"/>
                                  </w:divBdr>
                                </w:div>
                                <w:div w:id="335815772">
                                  <w:marLeft w:val="0"/>
                                  <w:marRight w:val="0"/>
                                  <w:marTop w:val="0"/>
                                  <w:marBottom w:val="0"/>
                                  <w:divBdr>
                                    <w:top w:val="none" w:sz="0" w:space="0" w:color="auto"/>
                                    <w:left w:val="none" w:sz="0" w:space="0" w:color="auto"/>
                                    <w:bottom w:val="none" w:sz="0" w:space="0" w:color="auto"/>
                                    <w:right w:val="none" w:sz="0" w:space="0" w:color="auto"/>
                                  </w:divBdr>
                                </w:div>
                                <w:div w:id="2142534663">
                                  <w:marLeft w:val="0"/>
                                  <w:marRight w:val="0"/>
                                  <w:marTop w:val="0"/>
                                  <w:marBottom w:val="0"/>
                                  <w:divBdr>
                                    <w:top w:val="none" w:sz="0" w:space="0" w:color="auto"/>
                                    <w:left w:val="none" w:sz="0" w:space="0" w:color="auto"/>
                                    <w:bottom w:val="none" w:sz="0" w:space="0" w:color="auto"/>
                                    <w:right w:val="none" w:sz="0" w:space="0" w:color="auto"/>
                                  </w:divBdr>
                                </w:div>
                                <w:div w:id="124187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259401">
                      <w:marLeft w:val="0"/>
                      <w:marRight w:val="0"/>
                      <w:marTop w:val="0"/>
                      <w:marBottom w:val="0"/>
                      <w:divBdr>
                        <w:top w:val="none" w:sz="0" w:space="0" w:color="auto"/>
                        <w:left w:val="none" w:sz="0" w:space="0" w:color="auto"/>
                        <w:bottom w:val="none" w:sz="0" w:space="0" w:color="auto"/>
                        <w:right w:val="none" w:sz="0" w:space="0" w:color="auto"/>
                      </w:divBdr>
                      <w:divsChild>
                        <w:div w:id="23594145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107773985">
          <w:marLeft w:val="0"/>
          <w:marRight w:val="0"/>
          <w:marTop w:val="0"/>
          <w:marBottom w:val="0"/>
          <w:divBdr>
            <w:top w:val="none" w:sz="0" w:space="0" w:color="auto"/>
            <w:left w:val="none" w:sz="0" w:space="0" w:color="auto"/>
            <w:bottom w:val="none" w:sz="0" w:space="0" w:color="auto"/>
            <w:right w:val="none" w:sz="0" w:space="0" w:color="auto"/>
          </w:divBdr>
          <w:divsChild>
            <w:div w:id="554003150">
              <w:marLeft w:val="0"/>
              <w:marRight w:val="0"/>
              <w:marTop w:val="0"/>
              <w:marBottom w:val="0"/>
              <w:divBdr>
                <w:top w:val="none" w:sz="0" w:space="0" w:color="auto"/>
                <w:left w:val="none" w:sz="0" w:space="0" w:color="auto"/>
                <w:bottom w:val="none" w:sz="0" w:space="0" w:color="auto"/>
                <w:right w:val="none" w:sz="0" w:space="0" w:color="auto"/>
              </w:divBdr>
              <w:divsChild>
                <w:div w:id="1655986413">
                  <w:marLeft w:val="0"/>
                  <w:marRight w:val="0"/>
                  <w:marTop w:val="0"/>
                  <w:marBottom w:val="0"/>
                  <w:divBdr>
                    <w:top w:val="none" w:sz="0" w:space="0" w:color="auto"/>
                    <w:left w:val="none" w:sz="0" w:space="0" w:color="auto"/>
                    <w:bottom w:val="none" w:sz="0" w:space="0" w:color="auto"/>
                    <w:right w:val="none" w:sz="0" w:space="0" w:color="auto"/>
                  </w:divBdr>
                  <w:divsChild>
                    <w:div w:id="915674675">
                      <w:marLeft w:val="0"/>
                      <w:marRight w:val="0"/>
                      <w:marTop w:val="0"/>
                      <w:marBottom w:val="0"/>
                      <w:divBdr>
                        <w:top w:val="none" w:sz="0" w:space="0" w:color="auto"/>
                        <w:left w:val="none" w:sz="0" w:space="0" w:color="auto"/>
                        <w:bottom w:val="none" w:sz="0" w:space="0" w:color="auto"/>
                        <w:right w:val="none" w:sz="0" w:space="0" w:color="auto"/>
                      </w:divBdr>
                      <w:divsChild>
                        <w:div w:id="590742970">
                          <w:marLeft w:val="0"/>
                          <w:marRight w:val="0"/>
                          <w:marTop w:val="0"/>
                          <w:marBottom w:val="0"/>
                          <w:divBdr>
                            <w:top w:val="none" w:sz="0" w:space="0" w:color="auto"/>
                            <w:left w:val="none" w:sz="0" w:space="0" w:color="auto"/>
                            <w:bottom w:val="none" w:sz="0" w:space="0" w:color="auto"/>
                            <w:right w:val="none" w:sz="0" w:space="0" w:color="auto"/>
                          </w:divBdr>
                          <w:divsChild>
                            <w:div w:id="1820226712">
                              <w:marLeft w:val="0"/>
                              <w:marRight w:val="0"/>
                              <w:marTop w:val="0"/>
                              <w:marBottom w:val="0"/>
                              <w:divBdr>
                                <w:top w:val="none" w:sz="0" w:space="0" w:color="auto"/>
                                <w:left w:val="none" w:sz="0" w:space="0" w:color="auto"/>
                                <w:bottom w:val="none" w:sz="0" w:space="0" w:color="auto"/>
                                <w:right w:val="none" w:sz="0" w:space="0" w:color="auto"/>
                              </w:divBdr>
                              <w:divsChild>
                                <w:div w:id="2045253044">
                                  <w:marLeft w:val="0"/>
                                  <w:marRight w:val="0"/>
                                  <w:marTop w:val="0"/>
                                  <w:marBottom w:val="0"/>
                                  <w:divBdr>
                                    <w:top w:val="none" w:sz="0" w:space="0" w:color="auto"/>
                                    <w:left w:val="none" w:sz="0" w:space="0" w:color="auto"/>
                                    <w:bottom w:val="none" w:sz="0" w:space="0" w:color="auto"/>
                                    <w:right w:val="none" w:sz="0" w:space="0" w:color="auto"/>
                                  </w:divBdr>
                                </w:div>
                                <w:div w:id="952637701">
                                  <w:marLeft w:val="0"/>
                                  <w:marRight w:val="0"/>
                                  <w:marTop w:val="0"/>
                                  <w:marBottom w:val="0"/>
                                  <w:divBdr>
                                    <w:top w:val="none" w:sz="0" w:space="0" w:color="auto"/>
                                    <w:left w:val="none" w:sz="0" w:space="0" w:color="auto"/>
                                    <w:bottom w:val="none" w:sz="0" w:space="0" w:color="auto"/>
                                    <w:right w:val="none" w:sz="0" w:space="0" w:color="auto"/>
                                  </w:divBdr>
                                </w:div>
                                <w:div w:id="161821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743635">
                      <w:marLeft w:val="0"/>
                      <w:marRight w:val="0"/>
                      <w:marTop w:val="0"/>
                      <w:marBottom w:val="0"/>
                      <w:divBdr>
                        <w:top w:val="none" w:sz="0" w:space="0" w:color="auto"/>
                        <w:left w:val="none" w:sz="0" w:space="0" w:color="auto"/>
                        <w:bottom w:val="none" w:sz="0" w:space="0" w:color="auto"/>
                        <w:right w:val="none" w:sz="0" w:space="0" w:color="auto"/>
                      </w:divBdr>
                      <w:divsChild>
                        <w:div w:id="59402169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820119834">
          <w:marLeft w:val="0"/>
          <w:marRight w:val="0"/>
          <w:marTop w:val="0"/>
          <w:marBottom w:val="0"/>
          <w:divBdr>
            <w:top w:val="none" w:sz="0" w:space="0" w:color="auto"/>
            <w:left w:val="none" w:sz="0" w:space="0" w:color="auto"/>
            <w:bottom w:val="none" w:sz="0" w:space="0" w:color="auto"/>
            <w:right w:val="none" w:sz="0" w:space="0" w:color="auto"/>
          </w:divBdr>
          <w:divsChild>
            <w:div w:id="764962971">
              <w:marLeft w:val="0"/>
              <w:marRight w:val="0"/>
              <w:marTop w:val="0"/>
              <w:marBottom w:val="0"/>
              <w:divBdr>
                <w:top w:val="none" w:sz="0" w:space="0" w:color="auto"/>
                <w:left w:val="none" w:sz="0" w:space="0" w:color="auto"/>
                <w:bottom w:val="none" w:sz="0" w:space="0" w:color="auto"/>
                <w:right w:val="none" w:sz="0" w:space="0" w:color="auto"/>
              </w:divBdr>
              <w:divsChild>
                <w:div w:id="1623685850">
                  <w:marLeft w:val="0"/>
                  <w:marRight w:val="0"/>
                  <w:marTop w:val="0"/>
                  <w:marBottom w:val="0"/>
                  <w:divBdr>
                    <w:top w:val="none" w:sz="0" w:space="0" w:color="auto"/>
                    <w:left w:val="none" w:sz="0" w:space="0" w:color="auto"/>
                    <w:bottom w:val="none" w:sz="0" w:space="0" w:color="auto"/>
                    <w:right w:val="none" w:sz="0" w:space="0" w:color="auto"/>
                  </w:divBdr>
                  <w:divsChild>
                    <w:div w:id="1960642776">
                      <w:marLeft w:val="0"/>
                      <w:marRight w:val="0"/>
                      <w:marTop w:val="0"/>
                      <w:marBottom w:val="0"/>
                      <w:divBdr>
                        <w:top w:val="none" w:sz="0" w:space="0" w:color="auto"/>
                        <w:left w:val="none" w:sz="0" w:space="0" w:color="auto"/>
                        <w:bottom w:val="none" w:sz="0" w:space="0" w:color="auto"/>
                        <w:right w:val="none" w:sz="0" w:space="0" w:color="auto"/>
                      </w:divBdr>
                      <w:divsChild>
                        <w:div w:id="1227257450">
                          <w:marLeft w:val="0"/>
                          <w:marRight w:val="0"/>
                          <w:marTop w:val="0"/>
                          <w:marBottom w:val="0"/>
                          <w:divBdr>
                            <w:top w:val="none" w:sz="0" w:space="0" w:color="auto"/>
                            <w:left w:val="none" w:sz="0" w:space="0" w:color="auto"/>
                            <w:bottom w:val="none" w:sz="0" w:space="0" w:color="auto"/>
                            <w:right w:val="none" w:sz="0" w:space="0" w:color="auto"/>
                          </w:divBdr>
                          <w:divsChild>
                            <w:div w:id="1431898585">
                              <w:marLeft w:val="0"/>
                              <w:marRight w:val="0"/>
                              <w:marTop w:val="0"/>
                              <w:marBottom w:val="0"/>
                              <w:divBdr>
                                <w:top w:val="none" w:sz="0" w:space="0" w:color="auto"/>
                                <w:left w:val="none" w:sz="0" w:space="0" w:color="auto"/>
                                <w:bottom w:val="none" w:sz="0" w:space="0" w:color="auto"/>
                                <w:right w:val="none" w:sz="0" w:space="0" w:color="auto"/>
                              </w:divBdr>
                              <w:divsChild>
                                <w:div w:id="988940273">
                                  <w:marLeft w:val="0"/>
                                  <w:marRight w:val="0"/>
                                  <w:marTop w:val="0"/>
                                  <w:marBottom w:val="0"/>
                                  <w:divBdr>
                                    <w:top w:val="none" w:sz="0" w:space="0" w:color="auto"/>
                                    <w:left w:val="none" w:sz="0" w:space="0" w:color="auto"/>
                                    <w:bottom w:val="none" w:sz="0" w:space="0" w:color="auto"/>
                                    <w:right w:val="none" w:sz="0" w:space="0" w:color="auto"/>
                                  </w:divBdr>
                                </w:div>
                                <w:div w:id="1010989953">
                                  <w:marLeft w:val="0"/>
                                  <w:marRight w:val="0"/>
                                  <w:marTop w:val="0"/>
                                  <w:marBottom w:val="0"/>
                                  <w:divBdr>
                                    <w:top w:val="none" w:sz="0" w:space="0" w:color="auto"/>
                                    <w:left w:val="none" w:sz="0" w:space="0" w:color="auto"/>
                                    <w:bottom w:val="none" w:sz="0" w:space="0" w:color="auto"/>
                                    <w:right w:val="none" w:sz="0" w:space="0" w:color="auto"/>
                                  </w:divBdr>
                                </w:div>
                                <w:div w:id="552808607">
                                  <w:marLeft w:val="0"/>
                                  <w:marRight w:val="0"/>
                                  <w:marTop w:val="0"/>
                                  <w:marBottom w:val="0"/>
                                  <w:divBdr>
                                    <w:top w:val="none" w:sz="0" w:space="0" w:color="auto"/>
                                    <w:left w:val="none" w:sz="0" w:space="0" w:color="auto"/>
                                    <w:bottom w:val="none" w:sz="0" w:space="0" w:color="auto"/>
                                    <w:right w:val="none" w:sz="0" w:space="0" w:color="auto"/>
                                  </w:divBdr>
                                </w:div>
                                <w:div w:id="1823305599">
                                  <w:marLeft w:val="0"/>
                                  <w:marRight w:val="0"/>
                                  <w:marTop w:val="0"/>
                                  <w:marBottom w:val="0"/>
                                  <w:divBdr>
                                    <w:top w:val="none" w:sz="0" w:space="0" w:color="auto"/>
                                    <w:left w:val="none" w:sz="0" w:space="0" w:color="auto"/>
                                    <w:bottom w:val="none" w:sz="0" w:space="0" w:color="auto"/>
                                    <w:right w:val="none" w:sz="0" w:space="0" w:color="auto"/>
                                  </w:divBdr>
                                </w:div>
                                <w:div w:id="29807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567593">
                      <w:marLeft w:val="0"/>
                      <w:marRight w:val="0"/>
                      <w:marTop w:val="0"/>
                      <w:marBottom w:val="0"/>
                      <w:divBdr>
                        <w:top w:val="none" w:sz="0" w:space="0" w:color="auto"/>
                        <w:left w:val="none" w:sz="0" w:space="0" w:color="auto"/>
                        <w:bottom w:val="none" w:sz="0" w:space="0" w:color="auto"/>
                        <w:right w:val="none" w:sz="0" w:space="0" w:color="auto"/>
                      </w:divBdr>
                      <w:divsChild>
                        <w:div w:id="103064529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776553076">
          <w:marLeft w:val="0"/>
          <w:marRight w:val="0"/>
          <w:marTop w:val="0"/>
          <w:marBottom w:val="0"/>
          <w:divBdr>
            <w:top w:val="none" w:sz="0" w:space="0" w:color="auto"/>
            <w:left w:val="none" w:sz="0" w:space="0" w:color="auto"/>
            <w:bottom w:val="none" w:sz="0" w:space="0" w:color="auto"/>
            <w:right w:val="none" w:sz="0" w:space="0" w:color="auto"/>
          </w:divBdr>
          <w:divsChild>
            <w:div w:id="47464705">
              <w:marLeft w:val="0"/>
              <w:marRight w:val="0"/>
              <w:marTop w:val="0"/>
              <w:marBottom w:val="0"/>
              <w:divBdr>
                <w:top w:val="none" w:sz="0" w:space="0" w:color="auto"/>
                <w:left w:val="none" w:sz="0" w:space="0" w:color="auto"/>
                <w:bottom w:val="none" w:sz="0" w:space="0" w:color="auto"/>
                <w:right w:val="none" w:sz="0" w:space="0" w:color="auto"/>
              </w:divBdr>
              <w:divsChild>
                <w:div w:id="1717199785">
                  <w:marLeft w:val="0"/>
                  <w:marRight w:val="0"/>
                  <w:marTop w:val="0"/>
                  <w:marBottom w:val="0"/>
                  <w:divBdr>
                    <w:top w:val="none" w:sz="0" w:space="0" w:color="auto"/>
                    <w:left w:val="none" w:sz="0" w:space="0" w:color="auto"/>
                    <w:bottom w:val="none" w:sz="0" w:space="0" w:color="auto"/>
                    <w:right w:val="none" w:sz="0" w:space="0" w:color="auto"/>
                  </w:divBdr>
                  <w:divsChild>
                    <w:div w:id="274950963">
                      <w:marLeft w:val="0"/>
                      <w:marRight w:val="0"/>
                      <w:marTop w:val="0"/>
                      <w:marBottom w:val="0"/>
                      <w:divBdr>
                        <w:top w:val="none" w:sz="0" w:space="0" w:color="auto"/>
                        <w:left w:val="none" w:sz="0" w:space="0" w:color="auto"/>
                        <w:bottom w:val="none" w:sz="0" w:space="0" w:color="auto"/>
                        <w:right w:val="none" w:sz="0" w:space="0" w:color="auto"/>
                      </w:divBdr>
                      <w:divsChild>
                        <w:div w:id="415051446">
                          <w:marLeft w:val="0"/>
                          <w:marRight w:val="0"/>
                          <w:marTop w:val="0"/>
                          <w:marBottom w:val="0"/>
                          <w:divBdr>
                            <w:top w:val="none" w:sz="0" w:space="0" w:color="auto"/>
                            <w:left w:val="none" w:sz="0" w:space="0" w:color="auto"/>
                            <w:bottom w:val="none" w:sz="0" w:space="0" w:color="auto"/>
                            <w:right w:val="none" w:sz="0" w:space="0" w:color="auto"/>
                          </w:divBdr>
                          <w:divsChild>
                            <w:div w:id="829953333">
                              <w:marLeft w:val="0"/>
                              <w:marRight w:val="0"/>
                              <w:marTop w:val="0"/>
                              <w:marBottom w:val="0"/>
                              <w:divBdr>
                                <w:top w:val="none" w:sz="0" w:space="0" w:color="auto"/>
                                <w:left w:val="none" w:sz="0" w:space="0" w:color="auto"/>
                                <w:bottom w:val="none" w:sz="0" w:space="0" w:color="auto"/>
                                <w:right w:val="none" w:sz="0" w:space="0" w:color="auto"/>
                              </w:divBdr>
                              <w:divsChild>
                                <w:div w:id="699936160">
                                  <w:marLeft w:val="0"/>
                                  <w:marRight w:val="0"/>
                                  <w:marTop w:val="0"/>
                                  <w:marBottom w:val="0"/>
                                  <w:divBdr>
                                    <w:top w:val="none" w:sz="0" w:space="0" w:color="auto"/>
                                    <w:left w:val="none" w:sz="0" w:space="0" w:color="auto"/>
                                    <w:bottom w:val="none" w:sz="0" w:space="0" w:color="auto"/>
                                    <w:right w:val="none" w:sz="0" w:space="0" w:color="auto"/>
                                  </w:divBdr>
                                </w:div>
                                <w:div w:id="2065833376">
                                  <w:marLeft w:val="0"/>
                                  <w:marRight w:val="0"/>
                                  <w:marTop w:val="0"/>
                                  <w:marBottom w:val="0"/>
                                  <w:divBdr>
                                    <w:top w:val="none" w:sz="0" w:space="0" w:color="auto"/>
                                    <w:left w:val="none" w:sz="0" w:space="0" w:color="auto"/>
                                    <w:bottom w:val="none" w:sz="0" w:space="0" w:color="auto"/>
                                    <w:right w:val="none" w:sz="0" w:space="0" w:color="auto"/>
                                  </w:divBdr>
                                </w:div>
                                <w:div w:id="47206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479906">
                      <w:marLeft w:val="0"/>
                      <w:marRight w:val="0"/>
                      <w:marTop w:val="0"/>
                      <w:marBottom w:val="0"/>
                      <w:divBdr>
                        <w:top w:val="none" w:sz="0" w:space="0" w:color="auto"/>
                        <w:left w:val="none" w:sz="0" w:space="0" w:color="auto"/>
                        <w:bottom w:val="none" w:sz="0" w:space="0" w:color="auto"/>
                        <w:right w:val="none" w:sz="0" w:space="0" w:color="auto"/>
                      </w:divBdr>
                      <w:divsChild>
                        <w:div w:id="200948392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757045905">
          <w:marLeft w:val="0"/>
          <w:marRight w:val="0"/>
          <w:marTop w:val="0"/>
          <w:marBottom w:val="0"/>
          <w:divBdr>
            <w:top w:val="none" w:sz="0" w:space="0" w:color="auto"/>
            <w:left w:val="none" w:sz="0" w:space="0" w:color="auto"/>
            <w:bottom w:val="none" w:sz="0" w:space="0" w:color="auto"/>
            <w:right w:val="none" w:sz="0" w:space="0" w:color="auto"/>
          </w:divBdr>
          <w:divsChild>
            <w:div w:id="868493057">
              <w:marLeft w:val="0"/>
              <w:marRight w:val="0"/>
              <w:marTop w:val="0"/>
              <w:marBottom w:val="0"/>
              <w:divBdr>
                <w:top w:val="none" w:sz="0" w:space="0" w:color="auto"/>
                <w:left w:val="none" w:sz="0" w:space="0" w:color="auto"/>
                <w:bottom w:val="none" w:sz="0" w:space="0" w:color="auto"/>
                <w:right w:val="none" w:sz="0" w:space="0" w:color="auto"/>
              </w:divBdr>
              <w:divsChild>
                <w:div w:id="1083457775">
                  <w:marLeft w:val="0"/>
                  <w:marRight w:val="0"/>
                  <w:marTop w:val="0"/>
                  <w:marBottom w:val="0"/>
                  <w:divBdr>
                    <w:top w:val="none" w:sz="0" w:space="0" w:color="auto"/>
                    <w:left w:val="none" w:sz="0" w:space="0" w:color="auto"/>
                    <w:bottom w:val="none" w:sz="0" w:space="0" w:color="auto"/>
                    <w:right w:val="none" w:sz="0" w:space="0" w:color="auto"/>
                  </w:divBdr>
                  <w:divsChild>
                    <w:div w:id="1515612626">
                      <w:marLeft w:val="0"/>
                      <w:marRight w:val="0"/>
                      <w:marTop w:val="0"/>
                      <w:marBottom w:val="0"/>
                      <w:divBdr>
                        <w:top w:val="none" w:sz="0" w:space="0" w:color="auto"/>
                        <w:left w:val="none" w:sz="0" w:space="0" w:color="auto"/>
                        <w:bottom w:val="none" w:sz="0" w:space="0" w:color="auto"/>
                        <w:right w:val="none" w:sz="0" w:space="0" w:color="auto"/>
                      </w:divBdr>
                      <w:divsChild>
                        <w:div w:id="1101796676">
                          <w:marLeft w:val="0"/>
                          <w:marRight w:val="0"/>
                          <w:marTop w:val="0"/>
                          <w:marBottom w:val="0"/>
                          <w:divBdr>
                            <w:top w:val="none" w:sz="0" w:space="0" w:color="auto"/>
                            <w:left w:val="none" w:sz="0" w:space="0" w:color="auto"/>
                            <w:bottom w:val="none" w:sz="0" w:space="0" w:color="auto"/>
                            <w:right w:val="none" w:sz="0" w:space="0" w:color="auto"/>
                          </w:divBdr>
                          <w:divsChild>
                            <w:div w:id="1809202248">
                              <w:marLeft w:val="0"/>
                              <w:marRight w:val="0"/>
                              <w:marTop w:val="0"/>
                              <w:marBottom w:val="0"/>
                              <w:divBdr>
                                <w:top w:val="none" w:sz="0" w:space="0" w:color="auto"/>
                                <w:left w:val="none" w:sz="0" w:space="0" w:color="auto"/>
                                <w:bottom w:val="none" w:sz="0" w:space="0" w:color="auto"/>
                                <w:right w:val="none" w:sz="0" w:space="0" w:color="auto"/>
                              </w:divBdr>
                              <w:divsChild>
                                <w:div w:id="1073545858">
                                  <w:marLeft w:val="0"/>
                                  <w:marRight w:val="0"/>
                                  <w:marTop w:val="0"/>
                                  <w:marBottom w:val="0"/>
                                  <w:divBdr>
                                    <w:top w:val="none" w:sz="0" w:space="0" w:color="auto"/>
                                    <w:left w:val="none" w:sz="0" w:space="0" w:color="auto"/>
                                    <w:bottom w:val="none" w:sz="0" w:space="0" w:color="auto"/>
                                    <w:right w:val="none" w:sz="0" w:space="0" w:color="auto"/>
                                  </w:divBdr>
                                </w:div>
                                <w:div w:id="1050960230">
                                  <w:marLeft w:val="0"/>
                                  <w:marRight w:val="0"/>
                                  <w:marTop w:val="0"/>
                                  <w:marBottom w:val="0"/>
                                  <w:divBdr>
                                    <w:top w:val="none" w:sz="0" w:space="0" w:color="auto"/>
                                    <w:left w:val="none" w:sz="0" w:space="0" w:color="auto"/>
                                    <w:bottom w:val="none" w:sz="0" w:space="0" w:color="auto"/>
                                    <w:right w:val="none" w:sz="0" w:space="0" w:color="auto"/>
                                  </w:divBdr>
                                </w:div>
                                <w:div w:id="695352964">
                                  <w:marLeft w:val="0"/>
                                  <w:marRight w:val="0"/>
                                  <w:marTop w:val="0"/>
                                  <w:marBottom w:val="0"/>
                                  <w:divBdr>
                                    <w:top w:val="none" w:sz="0" w:space="0" w:color="auto"/>
                                    <w:left w:val="none" w:sz="0" w:space="0" w:color="auto"/>
                                    <w:bottom w:val="none" w:sz="0" w:space="0" w:color="auto"/>
                                    <w:right w:val="none" w:sz="0" w:space="0" w:color="auto"/>
                                  </w:divBdr>
                                </w:div>
                                <w:div w:id="169145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31886">
                      <w:marLeft w:val="0"/>
                      <w:marRight w:val="0"/>
                      <w:marTop w:val="0"/>
                      <w:marBottom w:val="0"/>
                      <w:divBdr>
                        <w:top w:val="none" w:sz="0" w:space="0" w:color="auto"/>
                        <w:left w:val="none" w:sz="0" w:space="0" w:color="auto"/>
                        <w:bottom w:val="none" w:sz="0" w:space="0" w:color="auto"/>
                        <w:right w:val="none" w:sz="0" w:space="0" w:color="auto"/>
                      </w:divBdr>
                      <w:divsChild>
                        <w:div w:id="22048085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77082150">
          <w:marLeft w:val="0"/>
          <w:marRight w:val="0"/>
          <w:marTop w:val="0"/>
          <w:marBottom w:val="0"/>
          <w:divBdr>
            <w:top w:val="none" w:sz="0" w:space="0" w:color="auto"/>
            <w:left w:val="none" w:sz="0" w:space="0" w:color="auto"/>
            <w:bottom w:val="none" w:sz="0" w:space="0" w:color="auto"/>
            <w:right w:val="none" w:sz="0" w:space="0" w:color="auto"/>
          </w:divBdr>
          <w:divsChild>
            <w:div w:id="905800338">
              <w:marLeft w:val="0"/>
              <w:marRight w:val="0"/>
              <w:marTop w:val="0"/>
              <w:marBottom w:val="0"/>
              <w:divBdr>
                <w:top w:val="none" w:sz="0" w:space="0" w:color="auto"/>
                <w:left w:val="none" w:sz="0" w:space="0" w:color="auto"/>
                <w:bottom w:val="none" w:sz="0" w:space="0" w:color="auto"/>
                <w:right w:val="none" w:sz="0" w:space="0" w:color="auto"/>
              </w:divBdr>
              <w:divsChild>
                <w:div w:id="1578398926">
                  <w:marLeft w:val="0"/>
                  <w:marRight w:val="0"/>
                  <w:marTop w:val="0"/>
                  <w:marBottom w:val="0"/>
                  <w:divBdr>
                    <w:top w:val="none" w:sz="0" w:space="0" w:color="auto"/>
                    <w:left w:val="none" w:sz="0" w:space="0" w:color="auto"/>
                    <w:bottom w:val="none" w:sz="0" w:space="0" w:color="auto"/>
                    <w:right w:val="none" w:sz="0" w:space="0" w:color="auto"/>
                  </w:divBdr>
                  <w:divsChild>
                    <w:div w:id="1701010824">
                      <w:marLeft w:val="0"/>
                      <w:marRight w:val="0"/>
                      <w:marTop w:val="0"/>
                      <w:marBottom w:val="0"/>
                      <w:divBdr>
                        <w:top w:val="none" w:sz="0" w:space="0" w:color="auto"/>
                        <w:left w:val="none" w:sz="0" w:space="0" w:color="auto"/>
                        <w:bottom w:val="none" w:sz="0" w:space="0" w:color="auto"/>
                        <w:right w:val="none" w:sz="0" w:space="0" w:color="auto"/>
                      </w:divBdr>
                      <w:divsChild>
                        <w:div w:id="985477923">
                          <w:marLeft w:val="0"/>
                          <w:marRight w:val="0"/>
                          <w:marTop w:val="0"/>
                          <w:marBottom w:val="0"/>
                          <w:divBdr>
                            <w:top w:val="none" w:sz="0" w:space="0" w:color="auto"/>
                            <w:left w:val="none" w:sz="0" w:space="0" w:color="auto"/>
                            <w:bottom w:val="none" w:sz="0" w:space="0" w:color="auto"/>
                            <w:right w:val="none" w:sz="0" w:space="0" w:color="auto"/>
                          </w:divBdr>
                          <w:divsChild>
                            <w:div w:id="1871337500">
                              <w:marLeft w:val="0"/>
                              <w:marRight w:val="0"/>
                              <w:marTop w:val="0"/>
                              <w:marBottom w:val="0"/>
                              <w:divBdr>
                                <w:top w:val="none" w:sz="0" w:space="0" w:color="auto"/>
                                <w:left w:val="none" w:sz="0" w:space="0" w:color="auto"/>
                                <w:bottom w:val="none" w:sz="0" w:space="0" w:color="auto"/>
                                <w:right w:val="none" w:sz="0" w:space="0" w:color="auto"/>
                              </w:divBdr>
                              <w:divsChild>
                                <w:div w:id="1134525546">
                                  <w:marLeft w:val="0"/>
                                  <w:marRight w:val="0"/>
                                  <w:marTop w:val="0"/>
                                  <w:marBottom w:val="0"/>
                                  <w:divBdr>
                                    <w:top w:val="none" w:sz="0" w:space="0" w:color="auto"/>
                                    <w:left w:val="none" w:sz="0" w:space="0" w:color="auto"/>
                                    <w:bottom w:val="none" w:sz="0" w:space="0" w:color="auto"/>
                                    <w:right w:val="none" w:sz="0" w:space="0" w:color="auto"/>
                                  </w:divBdr>
                                </w:div>
                                <w:div w:id="503588895">
                                  <w:marLeft w:val="0"/>
                                  <w:marRight w:val="0"/>
                                  <w:marTop w:val="0"/>
                                  <w:marBottom w:val="0"/>
                                  <w:divBdr>
                                    <w:top w:val="none" w:sz="0" w:space="0" w:color="auto"/>
                                    <w:left w:val="none" w:sz="0" w:space="0" w:color="auto"/>
                                    <w:bottom w:val="none" w:sz="0" w:space="0" w:color="auto"/>
                                    <w:right w:val="none" w:sz="0" w:space="0" w:color="auto"/>
                                  </w:divBdr>
                                </w:div>
                                <w:div w:id="102852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256055">
                      <w:marLeft w:val="0"/>
                      <w:marRight w:val="0"/>
                      <w:marTop w:val="0"/>
                      <w:marBottom w:val="0"/>
                      <w:divBdr>
                        <w:top w:val="none" w:sz="0" w:space="0" w:color="auto"/>
                        <w:left w:val="none" w:sz="0" w:space="0" w:color="auto"/>
                        <w:bottom w:val="none" w:sz="0" w:space="0" w:color="auto"/>
                        <w:right w:val="none" w:sz="0" w:space="0" w:color="auto"/>
                      </w:divBdr>
                      <w:divsChild>
                        <w:div w:id="16928811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388842814">
          <w:marLeft w:val="0"/>
          <w:marRight w:val="0"/>
          <w:marTop w:val="0"/>
          <w:marBottom w:val="0"/>
          <w:divBdr>
            <w:top w:val="none" w:sz="0" w:space="0" w:color="auto"/>
            <w:left w:val="none" w:sz="0" w:space="0" w:color="auto"/>
            <w:bottom w:val="none" w:sz="0" w:space="0" w:color="auto"/>
            <w:right w:val="none" w:sz="0" w:space="0" w:color="auto"/>
          </w:divBdr>
          <w:divsChild>
            <w:div w:id="1460339731">
              <w:marLeft w:val="0"/>
              <w:marRight w:val="0"/>
              <w:marTop w:val="0"/>
              <w:marBottom w:val="0"/>
              <w:divBdr>
                <w:top w:val="none" w:sz="0" w:space="0" w:color="auto"/>
                <w:left w:val="none" w:sz="0" w:space="0" w:color="auto"/>
                <w:bottom w:val="none" w:sz="0" w:space="0" w:color="auto"/>
                <w:right w:val="none" w:sz="0" w:space="0" w:color="auto"/>
              </w:divBdr>
              <w:divsChild>
                <w:div w:id="1606762843">
                  <w:marLeft w:val="0"/>
                  <w:marRight w:val="0"/>
                  <w:marTop w:val="0"/>
                  <w:marBottom w:val="0"/>
                  <w:divBdr>
                    <w:top w:val="none" w:sz="0" w:space="0" w:color="auto"/>
                    <w:left w:val="none" w:sz="0" w:space="0" w:color="auto"/>
                    <w:bottom w:val="none" w:sz="0" w:space="0" w:color="auto"/>
                    <w:right w:val="none" w:sz="0" w:space="0" w:color="auto"/>
                  </w:divBdr>
                  <w:divsChild>
                    <w:div w:id="934244206">
                      <w:marLeft w:val="0"/>
                      <w:marRight w:val="0"/>
                      <w:marTop w:val="0"/>
                      <w:marBottom w:val="0"/>
                      <w:divBdr>
                        <w:top w:val="none" w:sz="0" w:space="0" w:color="auto"/>
                        <w:left w:val="none" w:sz="0" w:space="0" w:color="auto"/>
                        <w:bottom w:val="none" w:sz="0" w:space="0" w:color="auto"/>
                        <w:right w:val="none" w:sz="0" w:space="0" w:color="auto"/>
                      </w:divBdr>
                      <w:divsChild>
                        <w:div w:id="496501168">
                          <w:marLeft w:val="0"/>
                          <w:marRight w:val="0"/>
                          <w:marTop w:val="0"/>
                          <w:marBottom w:val="0"/>
                          <w:divBdr>
                            <w:top w:val="none" w:sz="0" w:space="0" w:color="auto"/>
                            <w:left w:val="none" w:sz="0" w:space="0" w:color="auto"/>
                            <w:bottom w:val="none" w:sz="0" w:space="0" w:color="auto"/>
                            <w:right w:val="none" w:sz="0" w:space="0" w:color="auto"/>
                          </w:divBdr>
                          <w:divsChild>
                            <w:div w:id="91556722">
                              <w:marLeft w:val="0"/>
                              <w:marRight w:val="0"/>
                              <w:marTop w:val="0"/>
                              <w:marBottom w:val="0"/>
                              <w:divBdr>
                                <w:top w:val="none" w:sz="0" w:space="0" w:color="auto"/>
                                <w:left w:val="none" w:sz="0" w:space="0" w:color="auto"/>
                                <w:bottom w:val="none" w:sz="0" w:space="0" w:color="auto"/>
                                <w:right w:val="none" w:sz="0" w:space="0" w:color="auto"/>
                              </w:divBdr>
                              <w:divsChild>
                                <w:div w:id="661934272">
                                  <w:marLeft w:val="0"/>
                                  <w:marRight w:val="0"/>
                                  <w:marTop w:val="0"/>
                                  <w:marBottom w:val="0"/>
                                  <w:divBdr>
                                    <w:top w:val="none" w:sz="0" w:space="0" w:color="auto"/>
                                    <w:left w:val="none" w:sz="0" w:space="0" w:color="auto"/>
                                    <w:bottom w:val="none" w:sz="0" w:space="0" w:color="auto"/>
                                    <w:right w:val="none" w:sz="0" w:space="0" w:color="auto"/>
                                  </w:divBdr>
                                </w:div>
                                <w:div w:id="1703163146">
                                  <w:marLeft w:val="0"/>
                                  <w:marRight w:val="0"/>
                                  <w:marTop w:val="0"/>
                                  <w:marBottom w:val="0"/>
                                  <w:divBdr>
                                    <w:top w:val="none" w:sz="0" w:space="0" w:color="auto"/>
                                    <w:left w:val="none" w:sz="0" w:space="0" w:color="auto"/>
                                    <w:bottom w:val="none" w:sz="0" w:space="0" w:color="auto"/>
                                    <w:right w:val="none" w:sz="0" w:space="0" w:color="auto"/>
                                  </w:divBdr>
                                </w:div>
                                <w:div w:id="1475104472">
                                  <w:marLeft w:val="0"/>
                                  <w:marRight w:val="0"/>
                                  <w:marTop w:val="0"/>
                                  <w:marBottom w:val="0"/>
                                  <w:divBdr>
                                    <w:top w:val="none" w:sz="0" w:space="0" w:color="auto"/>
                                    <w:left w:val="none" w:sz="0" w:space="0" w:color="auto"/>
                                    <w:bottom w:val="none" w:sz="0" w:space="0" w:color="auto"/>
                                    <w:right w:val="none" w:sz="0" w:space="0" w:color="auto"/>
                                  </w:divBdr>
                                </w:div>
                                <w:div w:id="1471942459">
                                  <w:marLeft w:val="0"/>
                                  <w:marRight w:val="0"/>
                                  <w:marTop w:val="0"/>
                                  <w:marBottom w:val="0"/>
                                  <w:divBdr>
                                    <w:top w:val="none" w:sz="0" w:space="0" w:color="auto"/>
                                    <w:left w:val="none" w:sz="0" w:space="0" w:color="auto"/>
                                    <w:bottom w:val="none" w:sz="0" w:space="0" w:color="auto"/>
                                    <w:right w:val="none" w:sz="0" w:space="0" w:color="auto"/>
                                  </w:divBdr>
                                </w:div>
                                <w:div w:id="150975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271855">
                      <w:marLeft w:val="0"/>
                      <w:marRight w:val="0"/>
                      <w:marTop w:val="0"/>
                      <w:marBottom w:val="0"/>
                      <w:divBdr>
                        <w:top w:val="none" w:sz="0" w:space="0" w:color="auto"/>
                        <w:left w:val="none" w:sz="0" w:space="0" w:color="auto"/>
                        <w:bottom w:val="none" w:sz="0" w:space="0" w:color="auto"/>
                        <w:right w:val="none" w:sz="0" w:space="0" w:color="auto"/>
                      </w:divBdr>
                      <w:divsChild>
                        <w:div w:id="811020311">
                          <w:marLeft w:val="0"/>
                          <w:marRight w:val="0"/>
                          <w:marTop w:val="120"/>
                          <w:marBottom w:val="0"/>
                          <w:divBdr>
                            <w:top w:val="none" w:sz="0" w:space="0" w:color="auto"/>
                            <w:left w:val="none" w:sz="0" w:space="0" w:color="auto"/>
                            <w:bottom w:val="none" w:sz="0" w:space="0" w:color="auto"/>
                            <w:right w:val="none" w:sz="0" w:space="0" w:color="auto"/>
                          </w:divBdr>
                        </w:div>
                      </w:divsChild>
                    </w:div>
                    <w:div w:id="1316452062">
                      <w:marLeft w:val="0"/>
                      <w:marRight w:val="0"/>
                      <w:marTop w:val="0"/>
                      <w:marBottom w:val="0"/>
                      <w:divBdr>
                        <w:top w:val="none" w:sz="0" w:space="0" w:color="auto"/>
                        <w:left w:val="none" w:sz="0" w:space="0" w:color="auto"/>
                        <w:bottom w:val="none" w:sz="0" w:space="0" w:color="auto"/>
                        <w:right w:val="none" w:sz="0" w:space="0" w:color="auto"/>
                      </w:divBdr>
                      <w:divsChild>
                        <w:div w:id="176842448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2111584798">
          <w:marLeft w:val="0"/>
          <w:marRight w:val="0"/>
          <w:marTop w:val="0"/>
          <w:marBottom w:val="0"/>
          <w:divBdr>
            <w:top w:val="none" w:sz="0" w:space="0" w:color="auto"/>
            <w:left w:val="none" w:sz="0" w:space="0" w:color="auto"/>
            <w:bottom w:val="none" w:sz="0" w:space="0" w:color="auto"/>
            <w:right w:val="none" w:sz="0" w:space="0" w:color="auto"/>
          </w:divBdr>
          <w:divsChild>
            <w:div w:id="903756701">
              <w:marLeft w:val="0"/>
              <w:marRight w:val="0"/>
              <w:marTop w:val="0"/>
              <w:marBottom w:val="0"/>
              <w:divBdr>
                <w:top w:val="none" w:sz="0" w:space="0" w:color="auto"/>
                <w:left w:val="none" w:sz="0" w:space="0" w:color="auto"/>
                <w:bottom w:val="none" w:sz="0" w:space="0" w:color="auto"/>
                <w:right w:val="none" w:sz="0" w:space="0" w:color="auto"/>
              </w:divBdr>
              <w:divsChild>
                <w:div w:id="908811305">
                  <w:marLeft w:val="0"/>
                  <w:marRight w:val="0"/>
                  <w:marTop w:val="0"/>
                  <w:marBottom w:val="0"/>
                  <w:divBdr>
                    <w:top w:val="none" w:sz="0" w:space="0" w:color="auto"/>
                    <w:left w:val="none" w:sz="0" w:space="0" w:color="auto"/>
                    <w:bottom w:val="none" w:sz="0" w:space="0" w:color="auto"/>
                    <w:right w:val="none" w:sz="0" w:space="0" w:color="auto"/>
                  </w:divBdr>
                  <w:divsChild>
                    <w:div w:id="557979385">
                      <w:marLeft w:val="0"/>
                      <w:marRight w:val="0"/>
                      <w:marTop w:val="0"/>
                      <w:marBottom w:val="0"/>
                      <w:divBdr>
                        <w:top w:val="none" w:sz="0" w:space="0" w:color="auto"/>
                        <w:left w:val="none" w:sz="0" w:space="0" w:color="auto"/>
                        <w:bottom w:val="none" w:sz="0" w:space="0" w:color="auto"/>
                        <w:right w:val="none" w:sz="0" w:space="0" w:color="auto"/>
                      </w:divBdr>
                      <w:divsChild>
                        <w:div w:id="663053356">
                          <w:marLeft w:val="0"/>
                          <w:marRight w:val="0"/>
                          <w:marTop w:val="0"/>
                          <w:marBottom w:val="0"/>
                          <w:divBdr>
                            <w:top w:val="none" w:sz="0" w:space="0" w:color="auto"/>
                            <w:left w:val="none" w:sz="0" w:space="0" w:color="auto"/>
                            <w:bottom w:val="none" w:sz="0" w:space="0" w:color="auto"/>
                            <w:right w:val="none" w:sz="0" w:space="0" w:color="auto"/>
                          </w:divBdr>
                          <w:divsChild>
                            <w:div w:id="294869736">
                              <w:marLeft w:val="0"/>
                              <w:marRight w:val="0"/>
                              <w:marTop w:val="0"/>
                              <w:marBottom w:val="0"/>
                              <w:divBdr>
                                <w:top w:val="none" w:sz="0" w:space="0" w:color="auto"/>
                                <w:left w:val="none" w:sz="0" w:space="0" w:color="auto"/>
                                <w:bottom w:val="none" w:sz="0" w:space="0" w:color="auto"/>
                                <w:right w:val="none" w:sz="0" w:space="0" w:color="auto"/>
                              </w:divBdr>
                              <w:divsChild>
                                <w:div w:id="1424108161">
                                  <w:marLeft w:val="0"/>
                                  <w:marRight w:val="0"/>
                                  <w:marTop w:val="0"/>
                                  <w:marBottom w:val="0"/>
                                  <w:divBdr>
                                    <w:top w:val="none" w:sz="0" w:space="0" w:color="auto"/>
                                    <w:left w:val="none" w:sz="0" w:space="0" w:color="auto"/>
                                    <w:bottom w:val="none" w:sz="0" w:space="0" w:color="auto"/>
                                    <w:right w:val="none" w:sz="0" w:space="0" w:color="auto"/>
                                  </w:divBdr>
                                </w:div>
                                <w:div w:id="845755003">
                                  <w:marLeft w:val="0"/>
                                  <w:marRight w:val="0"/>
                                  <w:marTop w:val="0"/>
                                  <w:marBottom w:val="0"/>
                                  <w:divBdr>
                                    <w:top w:val="none" w:sz="0" w:space="0" w:color="auto"/>
                                    <w:left w:val="none" w:sz="0" w:space="0" w:color="auto"/>
                                    <w:bottom w:val="none" w:sz="0" w:space="0" w:color="auto"/>
                                    <w:right w:val="none" w:sz="0" w:space="0" w:color="auto"/>
                                  </w:divBdr>
                                </w:div>
                                <w:div w:id="1073241850">
                                  <w:marLeft w:val="0"/>
                                  <w:marRight w:val="0"/>
                                  <w:marTop w:val="0"/>
                                  <w:marBottom w:val="0"/>
                                  <w:divBdr>
                                    <w:top w:val="none" w:sz="0" w:space="0" w:color="auto"/>
                                    <w:left w:val="none" w:sz="0" w:space="0" w:color="auto"/>
                                    <w:bottom w:val="none" w:sz="0" w:space="0" w:color="auto"/>
                                    <w:right w:val="none" w:sz="0" w:space="0" w:color="auto"/>
                                  </w:divBdr>
                                </w:div>
                                <w:div w:id="1068311324">
                                  <w:marLeft w:val="0"/>
                                  <w:marRight w:val="0"/>
                                  <w:marTop w:val="0"/>
                                  <w:marBottom w:val="0"/>
                                  <w:divBdr>
                                    <w:top w:val="none" w:sz="0" w:space="0" w:color="auto"/>
                                    <w:left w:val="none" w:sz="0" w:space="0" w:color="auto"/>
                                    <w:bottom w:val="none" w:sz="0" w:space="0" w:color="auto"/>
                                    <w:right w:val="none" w:sz="0" w:space="0" w:color="auto"/>
                                  </w:divBdr>
                                </w:div>
                                <w:div w:id="18036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627062">
                      <w:marLeft w:val="0"/>
                      <w:marRight w:val="0"/>
                      <w:marTop w:val="0"/>
                      <w:marBottom w:val="0"/>
                      <w:divBdr>
                        <w:top w:val="none" w:sz="0" w:space="0" w:color="auto"/>
                        <w:left w:val="none" w:sz="0" w:space="0" w:color="auto"/>
                        <w:bottom w:val="none" w:sz="0" w:space="0" w:color="auto"/>
                        <w:right w:val="none" w:sz="0" w:space="0" w:color="auto"/>
                      </w:divBdr>
                      <w:divsChild>
                        <w:div w:id="884298548">
                          <w:marLeft w:val="0"/>
                          <w:marRight w:val="0"/>
                          <w:marTop w:val="120"/>
                          <w:marBottom w:val="0"/>
                          <w:divBdr>
                            <w:top w:val="none" w:sz="0" w:space="0" w:color="auto"/>
                            <w:left w:val="none" w:sz="0" w:space="0" w:color="auto"/>
                            <w:bottom w:val="none" w:sz="0" w:space="0" w:color="auto"/>
                            <w:right w:val="none" w:sz="0" w:space="0" w:color="auto"/>
                          </w:divBdr>
                        </w:div>
                      </w:divsChild>
                    </w:div>
                    <w:div w:id="2036924778">
                      <w:marLeft w:val="0"/>
                      <w:marRight w:val="0"/>
                      <w:marTop w:val="0"/>
                      <w:marBottom w:val="0"/>
                      <w:divBdr>
                        <w:top w:val="none" w:sz="0" w:space="0" w:color="auto"/>
                        <w:left w:val="none" w:sz="0" w:space="0" w:color="auto"/>
                        <w:bottom w:val="none" w:sz="0" w:space="0" w:color="auto"/>
                        <w:right w:val="none" w:sz="0" w:space="0" w:color="auto"/>
                      </w:divBdr>
                      <w:divsChild>
                        <w:div w:id="164072357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455291649">
          <w:marLeft w:val="0"/>
          <w:marRight w:val="0"/>
          <w:marTop w:val="0"/>
          <w:marBottom w:val="0"/>
          <w:divBdr>
            <w:top w:val="none" w:sz="0" w:space="0" w:color="auto"/>
            <w:left w:val="none" w:sz="0" w:space="0" w:color="auto"/>
            <w:bottom w:val="none" w:sz="0" w:space="0" w:color="auto"/>
            <w:right w:val="none" w:sz="0" w:space="0" w:color="auto"/>
          </w:divBdr>
          <w:divsChild>
            <w:div w:id="1187788761">
              <w:marLeft w:val="0"/>
              <w:marRight w:val="0"/>
              <w:marTop w:val="0"/>
              <w:marBottom w:val="0"/>
              <w:divBdr>
                <w:top w:val="none" w:sz="0" w:space="0" w:color="auto"/>
                <w:left w:val="none" w:sz="0" w:space="0" w:color="auto"/>
                <w:bottom w:val="none" w:sz="0" w:space="0" w:color="auto"/>
                <w:right w:val="none" w:sz="0" w:space="0" w:color="auto"/>
              </w:divBdr>
              <w:divsChild>
                <w:div w:id="788358613">
                  <w:marLeft w:val="0"/>
                  <w:marRight w:val="0"/>
                  <w:marTop w:val="0"/>
                  <w:marBottom w:val="0"/>
                  <w:divBdr>
                    <w:top w:val="none" w:sz="0" w:space="0" w:color="auto"/>
                    <w:left w:val="none" w:sz="0" w:space="0" w:color="auto"/>
                    <w:bottom w:val="none" w:sz="0" w:space="0" w:color="auto"/>
                    <w:right w:val="none" w:sz="0" w:space="0" w:color="auto"/>
                  </w:divBdr>
                  <w:divsChild>
                    <w:div w:id="1463770810">
                      <w:marLeft w:val="0"/>
                      <w:marRight w:val="0"/>
                      <w:marTop w:val="0"/>
                      <w:marBottom w:val="0"/>
                      <w:divBdr>
                        <w:top w:val="none" w:sz="0" w:space="0" w:color="auto"/>
                        <w:left w:val="none" w:sz="0" w:space="0" w:color="auto"/>
                        <w:bottom w:val="none" w:sz="0" w:space="0" w:color="auto"/>
                        <w:right w:val="none" w:sz="0" w:space="0" w:color="auto"/>
                      </w:divBdr>
                      <w:divsChild>
                        <w:div w:id="2030713649">
                          <w:marLeft w:val="0"/>
                          <w:marRight w:val="0"/>
                          <w:marTop w:val="0"/>
                          <w:marBottom w:val="0"/>
                          <w:divBdr>
                            <w:top w:val="none" w:sz="0" w:space="0" w:color="auto"/>
                            <w:left w:val="none" w:sz="0" w:space="0" w:color="auto"/>
                            <w:bottom w:val="none" w:sz="0" w:space="0" w:color="auto"/>
                            <w:right w:val="none" w:sz="0" w:space="0" w:color="auto"/>
                          </w:divBdr>
                          <w:divsChild>
                            <w:div w:id="1542937933">
                              <w:marLeft w:val="0"/>
                              <w:marRight w:val="0"/>
                              <w:marTop w:val="0"/>
                              <w:marBottom w:val="0"/>
                              <w:divBdr>
                                <w:top w:val="none" w:sz="0" w:space="0" w:color="auto"/>
                                <w:left w:val="none" w:sz="0" w:space="0" w:color="auto"/>
                                <w:bottom w:val="none" w:sz="0" w:space="0" w:color="auto"/>
                                <w:right w:val="none" w:sz="0" w:space="0" w:color="auto"/>
                              </w:divBdr>
                              <w:divsChild>
                                <w:div w:id="763647542">
                                  <w:marLeft w:val="0"/>
                                  <w:marRight w:val="0"/>
                                  <w:marTop w:val="0"/>
                                  <w:marBottom w:val="0"/>
                                  <w:divBdr>
                                    <w:top w:val="none" w:sz="0" w:space="0" w:color="auto"/>
                                    <w:left w:val="none" w:sz="0" w:space="0" w:color="auto"/>
                                    <w:bottom w:val="none" w:sz="0" w:space="0" w:color="auto"/>
                                    <w:right w:val="none" w:sz="0" w:space="0" w:color="auto"/>
                                  </w:divBdr>
                                </w:div>
                                <w:div w:id="1767728167">
                                  <w:marLeft w:val="0"/>
                                  <w:marRight w:val="0"/>
                                  <w:marTop w:val="0"/>
                                  <w:marBottom w:val="0"/>
                                  <w:divBdr>
                                    <w:top w:val="none" w:sz="0" w:space="0" w:color="auto"/>
                                    <w:left w:val="none" w:sz="0" w:space="0" w:color="auto"/>
                                    <w:bottom w:val="none" w:sz="0" w:space="0" w:color="auto"/>
                                    <w:right w:val="none" w:sz="0" w:space="0" w:color="auto"/>
                                  </w:divBdr>
                                </w:div>
                                <w:div w:id="1272278207">
                                  <w:marLeft w:val="0"/>
                                  <w:marRight w:val="0"/>
                                  <w:marTop w:val="0"/>
                                  <w:marBottom w:val="0"/>
                                  <w:divBdr>
                                    <w:top w:val="none" w:sz="0" w:space="0" w:color="auto"/>
                                    <w:left w:val="none" w:sz="0" w:space="0" w:color="auto"/>
                                    <w:bottom w:val="none" w:sz="0" w:space="0" w:color="auto"/>
                                    <w:right w:val="none" w:sz="0" w:space="0" w:color="auto"/>
                                  </w:divBdr>
                                </w:div>
                                <w:div w:id="125005433">
                                  <w:marLeft w:val="0"/>
                                  <w:marRight w:val="0"/>
                                  <w:marTop w:val="0"/>
                                  <w:marBottom w:val="0"/>
                                  <w:divBdr>
                                    <w:top w:val="none" w:sz="0" w:space="0" w:color="auto"/>
                                    <w:left w:val="none" w:sz="0" w:space="0" w:color="auto"/>
                                    <w:bottom w:val="none" w:sz="0" w:space="0" w:color="auto"/>
                                    <w:right w:val="none" w:sz="0" w:space="0" w:color="auto"/>
                                  </w:divBdr>
                                </w:div>
                                <w:div w:id="91023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841325">
                      <w:marLeft w:val="0"/>
                      <w:marRight w:val="0"/>
                      <w:marTop w:val="0"/>
                      <w:marBottom w:val="0"/>
                      <w:divBdr>
                        <w:top w:val="none" w:sz="0" w:space="0" w:color="auto"/>
                        <w:left w:val="none" w:sz="0" w:space="0" w:color="auto"/>
                        <w:bottom w:val="none" w:sz="0" w:space="0" w:color="auto"/>
                        <w:right w:val="none" w:sz="0" w:space="0" w:color="auto"/>
                      </w:divBdr>
                      <w:divsChild>
                        <w:div w:id="780756787">
                          <w:marLeft w:val="0"/>
                          <w:marRight w:val="0"/>
                          <w:marTop w:val="120"/>
                          <w:marBottom w:val="0"/>
                          <w:divBdr>
                            <w:top w:val="none" w:sz="0" w:space="0" w:color="auto"/>
                            <w:left w:val="none" w:sz="0" w:space="0" w:color="auto"/>
                            <w:bottom w:val="none" w:sz="0" w:space="0" w:color="auto"/>
                            <w:right w:val="none" w:sz="0" w:space="0" w:color="auto"/>
                          </w:divBdr>
                        </w:div>
                      </w:divsChild>
                    </w:div>
                    <w:div w:id="1395857010">
                      <w:marLeft w:val="0"/>
                      <w:marRight w:val="0"/>
                      <w:marTop w:val="0"/>
                      <w:marBottom w:val="0"/>
                      <w:divBdr>
                        <w:top w:val="none" w:sz="0" w:space="0" w:color="auto"/>
                        <w:left w:val="none" w:sz="0" w:space="0" w:color="auto"/>
                        <w:bottom w:val="none" w:sz="0" w:space="0" w:color="auto"/>
                        <w:right w:val="none" w:sz="0" w:space="0" w:color="auto"/>
                      </w:divBdr>
                      <w:divsChild>
                        <w:div w:id="11818150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755253194">
          <w:marLeft w:val="0"/>
          <w:marRight w:val="0"/>
          <w:marTop w:val="0"/>
          <w:marBottom w:val="0"/>
          <w:divBdr>
            <w:top w:val="none" w:sz="0" w:space="0" w:color="auto"/>
            <w:left w:val="none" w:sz="0" w:space="0" w:color="auto"/>
            <w:bottom w:val="none" w:sz="0" w:space="0" w:color="auto"/>
            <w:right w:val="none" w:sz="0" w:space="0" w:color="auto"/>
          </w:divBdr>
          <w:divsChild>
            <w:div w:id="1370567338">
              <w:marLeft w:val="0"/>
              <w:marRight w:val="0"/>
              <w:marTop w:val="0"/>
              <w:marBottom w:val="0"/>
              <w:divBdr>
                <w:top w:val="none" w:sz="0" w:space="0" w:color="auto"/>
                <w:left w:val="none" w:sz="0" w:space="0" w:color="auto"/>
                <w:bottom w:val="none" w:sz="0" w:space="0" w:color="auto"/>
                <w:right w:val="none" w:sz="0" w:space="0" w:color="auto"/>
              </w:divBdr>
              <w:divsChild>
                <w:div w:id="373431493">
                  <w:marLeft w:val="0"/>
                  <w:marRight w:val="0"/>
                  <w:marTop w:val="0"/>
                  <w:marBottom w:val="0"/>
                  <w:divBdr>
                    <w:top w:val="none" w:sz="0" w:space="0" w:color="auto"/>
                    <w:left w:val="none" w:sz="0" w:space="0" w:color="auto"/>
                    <w:bottom w:val="none" w:sz="0" w:space="0" w:color="auto"/>
                    <w:right w:val="none" w:sz="0" w:space="0" w:color="auto"/>
                  </w:divBdr>
                  <w:divsChild>
                    <w:div w:id="558252032">
                      <w:marLeft w:val="0"/>
                      <w:marRight w:val="0"/>
                      <w:marTop w:val="0"/>
                      <w:marBottom w:val="0"/>
                      <w:divBdr>
                        <w:top w:val="none" w:sz="0" w:space="0" w:color="auto"/>
                        <w:left w:val="none" w:sz="0" w:space="0" w:color="auto"/>
                        <w:bottom w:val="none" w:sz="0" w:space="0" w:color="auto"/>
                        <w:right w:val="none" w:sz="0" w:space="0" w:color="auto"/>
                      </w:divBdr>
                      <w:divsChild>
                        <w:div w:id="1988394998">
                          <w:marLeft w:val="0"/>
                          <w:marRight w:val="0"/>
                          <w:marTop w:val="0"/>
                          <w:marBottom w:val="0"/>
                          <w:divBdr>
                            <w:top w:val="none" w:sz="0" w:space="0" w:color="auto"/>
                            <w:left w:val="none" w:sz="0" w:space="0" w:color="auto"/>
                            <w:bottom w:val="none" w:sz="0" w:space="0" w:color="auto"/>
                            <w:right w:val="none" w:sz="0" w:space="0" w:color="auto"/>
                          </w:divBdr>
                          <w:divsChild>
                            <w:div w:id="1050810396">
                              <w:marLeft w:val="0"/>
                              <w:marRight w:val="0"/>
                              <w:marTop w:val="0"/>
                              <w:marBottom w:val="0"/>
                              <w:divBdr>
                                <w:top w:val="none" w:sz="0" w:space="0" w:color="auto"/>
                                <w:left w:val="none" w:sz="0" w:space="0" w:color="auto"/>
                                <w:bottom w:val="none" w:sz="0" w:space="0" w:color="auto"/>
                                <w:right w:val="none" w:sz="0" w:space="0" w:color="auto"/>
                              </w:divBdr>
                              <w:divsChild>
                                <w:div w:id="869028880">
                                  <w:marLeft w:val="0"/>
                                  <w:marRight w:val="0"/>
                                  <w:marTop w:val="0"/>
                                  <w:marBottom w:val="0"/>
                                  <w:divBdr>
                                    <w:top w:val="none" w:sz="0" w:space="0" w:color="auto"/>
                                    <w:left w:val="none" w:sz="0" w:space="0" w:color="auto"/>
                                    <w:bottom w:val="none" w:sz="0" w:space="0" w:color="auto"/>
                                    <w:right w:val="none" w:sz="0" w:space="0" w:color="auto"/>
                                  </w:divBdr>
                                </w:div>
                                <w:div w:id="230122115">
                                  <w:marLeft w:val="0"/>
                                  <w:marRight w:val="0"/>
                                  <w:marTop w:val="0"/>
                                  <w:marBottom w:val="0"/>
                                  <w:divBdr>
                                    <w:top w:val="none" w:sz="0" w:space="0" w:color="auto"/>
                                    <w:left w:val="none" w:sz="0" w:space="0" w:color="auto"/>
                                    <w:bottom w:val="none" w:sz="0" w:space="0" w:color="auto"/>
                                    <w:right w:val="none" w:sz="0" w:space="0" w:color="auto"/>
                                  </w:divBdr>
                                </w:div>
                                <w:div w:id="1439831199">
                                  <w:marLeft w:val="0"/>
                                  <w:marRight w:val="0"/>
                                  <w:marTop w:val="0"/>
                                  <w:marBottom w:val="0"/>
                                  <w:divBdr>
                                    <w:top w:val="none" w:sz="0" w:space="0" w:color="auto"/>
                                    <w:left w:val="none" w:sz="0" w:space="0" w:color="auto"/>
                                    <w:bottom w:val="none" w:sz="0" w:space="0" w:color="auto"/>
                                    <w:right w:val="none" w:sz="0" w:space="0" w:color="auto"/>
                                  </w:divBdr>
                                </w:div>
                                <w:div w:id="44677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92012">
                      <w:marLeft w:val="0"/>
                      <w:marRight w:val="0"/>
                      <w:marTop w:val="0"/>
                      <w:marBottom w:val="0"/>
                      <w:divBdr>
                        <w:top w:val="none" w:sz="0" w:space="0" w:color="auto"/>
                        <w:left w:val="none" w:sz="0" w:space="0" w:color="auto"/>
                        <w:bottom w:val="none" w:sz="0" w:space="0" w:color="auto"/>
                        <w:right w:val="none" w:sz="0" w:space="0" w:color="auto"/>
                      </w:divBdr>
                      <w:divsChild>
                        <w:div w:id="85696229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317303873">
          <w:marLeft w:val="0"/>
          <w:marRight w:val="0"/>
          <w:marTop w:val="0"/>
          <w:marBottom w:val="0"/>
          <w:divBdr>
            <w:top w:val="none" w:sz="0" w:space="0" w:color="auto"/>
            <w:left w:val="none" w:sz="0" w:space="0" w:color="auto"/>
            <w:bottom w:val="none" w:sz="0" w:space="0" w:color="auto"/>
            <w:right w:val="none" w:sz="0" w:space="0" w:color="auto"/>
          </w:divBdr>
          <w:divsChild>
            <w:div w:id="194000471">
              <w:marLeft w:val="0"/>
              <w:marRight w:val="0"/>
              <w:marTop w:val="0"/>
              <w:marBottom w:val="0"/>
              <w:divBdr>
                <w:top w:val="none" w:sz="0" w:space="0" w:color="auto"/>
                <w:left w:val="none" w:sz="0" w:space="0" w:color="auto"/>
                <w:bottom w:val="none" w:sz="0" w:space="0" w:color="auto"/>
                <w:right w:val="none" w:sz="0" w:space="0" w:color="auto"/>
              </w:divBdr>
              <w:divsChild>
                <w:div w:id="564141699">
                  <w:marLeft w:val="0"/>
                  <w:marRight w:val="0"/>
                  <w:marTop w:val="0"/>
                  <w:marBottom w:val="0"/>
                  <w:divBdr>
                    <w:top w:val="none" w:sz="0" w:space="0" w:color="auto"/>
                    <w:left w:val="none" w:sz="0" w:space="0" w:color="auto"/>
                    <w:bottom w:val="none" w:sz="0" w:space="0" w:color="auto"/>
                    <w:right w:val="none" w:sz="0" w:space="0" w:color="auto"/>
                  </w:divBdr>
                  <w:divsChild>
                    <w:div w:id="1959993205">
                      <w:marLeft w:val="0"/>
                      <w:marRight w:val="0"/>
                      <w:marTop w:val="0"/>
                      <w:marBottom w:val="0"/>
                      <w:divBdr>
                        <w:top w:val="none" w:sz="0" w:space="0" w:color="auto"/>
                        <w:left w:val="none" w:sz="0" w:space="0" w:color="auto"/>
                        <w:bottom w:val="none" w:sz="0" w:space="0" w:color="auto"/>
                        <w:right w:val="none" w:sz="0" w:space="0" w:color="auto"/>
                      </w:divBdr>
                      <w:divsChild>
                        <w:div w:id="1690645167">
                          <w:marLeft w:val="0"/>
                          <w:marRight w:val="0"/>
                          <w:marTop w:val="0"/>
                          <w:marBottom w:val="0"/>
                          <w:divBdr>
                            <w:top w:val="none" w:sz="0" w:space="0" w:color="auto"/>
                            <w:left w:val="none" w:sz="0" w:space="0" w:color="auto"/>
                            <w:bottom w:val="none" w:sz="0" w:space="0" w:color="auto"/>
                            <w:right w:val="none" w:sz="0" w:space="0" w:color="auto"/>
                          </w:divBdr>
                          <w:divsChild>
                            <w:div w:id="1336958154">
                              <w:marLeft w:val="0"/>
                              <w:marRight w:val="0"/>
                              <w:marTop w:val="0"/>
                              <w:marBottom w:val="0"/>
                              <w:divBdr>
                                <w:top w:val="none" w:sz="0" w:space="0" w:color="auto"/>
                                <w:left w:val="none" w:sz="0" w:space="0" w:color="auto"/>
                                <w:bottom w:val="none" w:sz="0" w:space="0" w:color="auto"/>
                                <w:right w:val="none" w:sz="0" w:space="0" w:color="auto"/>
                              </w:divBdr>
                              <w:divsChild>
                                <w:div w:id="895896503">
                                  <w:marLeft w:val="0"/>
                                  <w:marRight w:val="0"/>
                                  <w:marTop w:val="0"/>
                                  <w:marBottom w:val="0"/>
                                  <w:divBdr>
                                    <w:top w:val="none" w:sz="0" w:space="0" w:color="auto"/>
                                    <w:left w:val="none" w:sz="0" w:space="0" w:color="auto"/>
                                    <w:bottom w:val="none" w:sz="0" w:space="0" w:color="auto"/>
                                    <w:right w:val="none" w:sz="0" w:space="0" w:color="auto"/>
                                  </w:divBdr>
                                </w:div>
                                <w:div w:id="1506285825">
                                  <w:marLeft w:val="0"/>
                                  <w:marRight w:val="0"/>
                                  <w:marTop w:val="0"/>
                                  <w:marBottom w:val="0"/>
                                  <w:divBdr>
                                    <w:top w:val="none" w:sz="0" w:space="0" w:color="auto"/>
                                    <w:left w:val="none" w:sz="0" w:space="0" w:color="auto"/>
                                    <w:bottom w:val="none" w:sz="0" w:space="0" w:color="auto"/>
                                    <w:right w:val="none" w:sz="0" w:space="0" w:color="auto"/>
                                  </w:divBdr>
                                </w:div>
                                <w:div w:id="1198813597">
                                  <w:marLeft w:val="0"/>
                                  <w:marRight w:val="0"/>
                                  <w:marTop w:val="0"/>
                                  <w:marBottom w:val="0"/>
                                  <w:divBdr>
                                    <w:top w:val="none" w:sz="0" w:space="0" w:color="auto"/>
                                    <w:left w:val="none" w:sz="0" w:space="0" w:color="auto"/>
                                    <w:bottom w:val="none" w:sz="0" w:space="0" w:color="auto"/>
                                    <w:right w:val="none" w:sz="0" w:space="0" w:color="auto"/>
                                  </w:divBdr>
                                </w:div>
                                <w:div w:id="7489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263534">
                      <w:marLeft w:val="0"/>
                      <w:marRight w:val="0"/>
                      <w:marTop w:val="0"/>
                      <w:marBottom w:val="0"/>
                      <w:divBdr>
                        <w:top w:val="none" w:sz="0" w:space="0" w:color="auto"/>
                        <w:left w:val="none" w:sz="0" w:space="0" w:color="auto"/>
                        <w:bottom w:val="none" w:sz="0" w:space="0" w:color="auto"/>
                        <w:right w:val="none" w:sz="0" w:space="0" w:color="auto"/>
                      </w:divBdr>
                      <w:divsChild>
                        <w:div w:id="1546676976">
                          <w:marLeft w:val="0"/>
                          <w:marRight w:val="0"/>
                          <w:marTop w:val="120"/>
                          <w:marBottom w:val="0"/>
                          <w:divBdr>
                            <w:top w:val="none" w:sz="0" w:space="0" w:color="auto"/>
                            <w:left w:val="none" w:sz="0" w:space="0" w:color="auto"/>
                            <w:bottom w:val="none" w:sz="0" w:space="0" w:color="auto"/>
                            <w:right w:val="none" w:sz="0" w:space="0" w:color="auto"/>
                          </w:divBdr>
                        </w:div>
                      </w:divsChild>
                    </w:div>
                    <w:div w:id="760297874">
                      <w:marLeft w:val="0"/>
                      <w:marRight w:val="0"/>
                      <w:marTop w:val="0"/>
                      <w:marBottom w:val="0"/>
                      <w:divBdr>
                        <w:top w:val="none" w:sz="0" w:space="0" w:color="auto"/>
                        <w:left w:val="none" w:sz="0" w:space="0" w:color="auto"/>
                        <w:bottom w:val="none" w:sz="0" w:space="0" w:color="auto"/>
                        <w:right w:val="none" w:sz="0" w:space="0" w:color="auto"/>
                      </w:divBdr>
                      <w:divsChild>
                        <w:div w:id="9871714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605576025">
          <w:marLeft w:val="0"/>
          <w:marRight w:val="0"/>
          <w:marTop w:val="0"/>
          <w:marBottom w:val="0"/>
          <w:divBdr>
            <w:top w:val="none" w:sz="0" w:space="0" w:color="auto"/>
            <w:left w:val="none" w:sz="0" w:space="0" w:color="auto"/>
            <w:bottom w:val="none" w:sz="0" w:space="0" w:color="auto"/>
            <w:right w:val="none" w:sz="0" w:space="0" w:color="auto"/>
          </w:divBdr>
          <w:divsChild>
            <w:div w:id="991644401">
              <w:marLeft w:val="0"/>
              <w:marRight w:val="0"/>
              <w:marTop w:val="0"/>
              <w:marBottom w:val="0"/>
              <w:divBdr>
                <w:top w:val="none" w:sz="0" w:space="0" w:color="auto"/>
                <w:left w:val="none" w:sz="0" w:space="0" w:color="auto"/>
                <w:bottom w:val="none" w:sz="0" w:space="0" w:color="auto"/>
                <w:right w:val="none" w:sz="0" w:space="0" w:color="auto"/>
              </w:divBdr>
              <w:divsChild>
                <w:div w:id="508757327">
                  <w:marLeft w:val="0"/>
                  <w:marRight w:val="0"/>
                  <w:marTop w:val="0"/>
                  <w:marBottom w:val="0"/>
                  <w:divBdr>
                    <w:top w:val="none" w:sz="0" w:space="0" w:color="auto"/>
                    <w:left w:val="none" w:sz="0" w:space="0" w:color="auto"/>
                    <w:bottom w:val="none" w:sz="0" w:space="0" w:color="auto"/>
                    <w:right w:val="none" w:sz="0" w:space="0" w:color="auto"/>
                  </w:divBdr>
                  <w:divsChild>
                    <w:div w:id="428889830">
                      <w:marLeft w:val="0"/>
                      <w:marRight w:val="0"/>
                      <w:marTop w:val="0"/>
                      <w:marBottom w:val="0"/>
                      <w:divBdr>
                        <w:top w:val="none" w:sz="0" w:space="0" w:color="auto"/>
                        <w:left w:val="none" w:sz="0" w:space="0" w:color="auto"/>
                        <w:bottom w:val="none" w:sz="0" w:space="0" w:color="auto"/>
                        <w:right w:val="none" w:sz="0" w:space="0" w:color="auto"/>
                      </w:divBdr>
                      <w:divsChild>
                        <w:div w:id="1751124690">
                          <w:marLeft w:val="0"/>
                          <w:marRight w:val="0"/>
                          <w:marTop w:val="0"/>
                          <w:marBottom w:val="0"/>
                          <w:divBdr>
                            <w:top w:val="none" w:sz="0" w:space="0" w:color="auto"/>
                            <w:left w:val="none" w:sz="0" w:space="0" w:color="auto"/>
                            <w:bottom w:val="none" w:sz="0" w:space="0" w:color="auto"/>
                            <w:right w:val="none" w:sz="0" w:space="0" w:color="auto"/>
                          </w:divBdr>
                          <w:divsChild>
                            <w:div w:id="1424379058">
                              <w:marLeft w:val="0"/>
                              <w:marRight w:val="0"/>
                              <w:marTop w:val="0"/>
                              <w:marBottom w:val="0"/>
                              <w:divBdr>
                                <w:top w:val="none" w:sz="0" w:space="0" w:color="auto"/>
                                <w:left w:val="none" w:sz="0" w:space="0" w:color="auto"/>
                                <w:bottom w:val="none" w:sz="0" w:space="0" w:color="auto"/>
                                <w:right w:val="none" w:sz="0" w:space="0" w:color="auto"/>
                              </w:divBdr>
                              <w:divsChild>
                                <w:div w:id="1148981150">
                                  <w:marLeft w:val="0"/>
                                  <w:marRight w:val="0"/>
                                  <w:marTop w:val="0"/>
                                  <w:marBottom w:val="0"/>
                                  <w:divBdr>
                                    <w:top w:val="none" w:sz="0" w:space="0" w:color="auto"/>
                                    <w:left w:val="none" w:sz="0" w:space="0" w:color="auto"/>
                                    <w:bottom w:val="none" w:sz="0" w:space="0" w:color="auto"/>
                                    <w:right w:val="none" w:sz="0" w:space="0" w:color="auto"/>
                                  </w:divBdr>
                                </w:div>
                                <w:div w:id="648901130">
                                  <w:marLeft w:val="0"/>
                                  <w:marRight w:val="0"/>
                                  <w:marTop w:val="0"/>
                                  <w:marBottom w:val="0"/>
                                  <w:divBdr>
                                    <w:top w:val="none" w:sz="0" w:space="0" w:color="auto"/>
                                    <w:left w:val="none" w:sz="0" w:space="0" w:color="auto"/>
                                    <w:bottom w:val="none" w:sz="0" w:space="0" w:color="auto"/>
                                    <w:right w:val="none" w:sz="0" w:space="0" w:color="auto"/>
                                  </w:divBdr>
                                </w:div>
                                <w:div w:id="281226611">
                                  <w:marLeft w:val="0"/>
                                  <w:marRight w:val="0"/>
                                  <w:marTop w:val="0"/>
                                  <w:marBottom w:val="0"/>
                                  <w:divBdr>
                                    <w:top w:val="none" w:sz="0" w:space="0" w:color="auto"/>
                                    <w:left w:val="none" w:sz="0" w:space="0" w:color="auto"/>
                                    <w:bottom w:val="none" w:sz="0" w:space="0" w:color="auto"/>
                                    <w:right w:val="none" w:sz="0" w:space="0" w:color="auto"/>
                                  </w:divBdr>
                                </w:div>
                                <w:div w:id="982807180">
                                  <w:marLeft w:val="0"/>
                                  <w:marRight w:val="0"/>
                                  <w:marTop w:val="0"/>
                                  <w:marBottom w:val="0"/>
                                  <w:divBdr>
                                    <w:top w:val="none" w:sz="0" w:space="0" w:color="auto"/>
                                    <w:left w:val="none" w:sz="0" w:space="0" w:color="auto"/>
                                    <w:bottom w:val="none" w:sz="0" w:space="0" w:color="auto"/>
                                    <w:right w:val="none" w:sz="0" w:space="0" w:color="auto"/>
                                  </w:divBdr>
                                </w:div>
                                <w:div w:id="14721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959280">
                      <w:marLeft w:val="0"/>
                      <w:marRight w:val="0"/>
                      <w:marTop w:val="0"/>
                      <w:marBottom w:val="0"/>
                      <w:divBdr>
                        <w:top w:val="none" w:sz="0" w:space="0" w:color="auto"/>
                        <w:left w:val="none" w:sz="0" w:space="0" w:color="auto"/>
                        <w:bottom w:val="none" w:sz="0" w:space="0" w:color="auto"/>
                        <w:right w:val="none" w:sz="0" w:space="0" w:color="auto"/>
                      </w:divBdr>
                      <w:divsChild>
                        <w:div w:id="182592533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 w:id="1337924441">
          <w:marLeft w:val="0"/>
          <w:marRight w:val="0"/>
          <w:marTop w:val="0"/>
          <w:marBottom w:val="0"/>
          <w:divBdr>
            <w:top w:val="none" w:sz="0" w:space="0" w:color="auto"/>
            <w:left w:val="none" w:sz="0" w:space="0" w:color="auto"/>
            <w:bottom w:val="none" w:sz="0" w:space="0" w:color="auto"/>
            <w:right w:val="none" w:sz="0" w:space="0" w:color="auto"/>
          </w:divBdr>
          <w:divsChild>
            <w:div w:id="988437843">
              <w:marLeft w:val="0"/>
              <w:marRight w:val="0"/>
              <w:marTop w:val="0"/>
              <w:marBottom w:val="0"/>
              <w:divBdr>
                <w:top w:val="none" w:sz="0" w:space="0" w:color="auto"/>
                <w:left w:val="none" w:sz="0" w:space="0" w:color="auto"/>
                <w:bottom w:val="none" w:sz="0" w:space="0" w:color="auto"/>
                <w:right w:val="none" w:sz="0" w:space="0" w:color="auto"/>
              </w:divBdr>
              <w:divsChild>
                <w:div w:id="1399209526">
                  <w:marLeft w:val="0"/>
                  <w:marRight w:val="0"/>
                  <w:marTop w:val="0"/>
                  <w:marBottom w:val="0"/>
                  <w:divBdr>
                    <w:top w:val="none" w:sz="0" w:space="0" w:color="auto"/>
                    <w:left w:val="none" w:sz="0" w:space="0" w:color="auto"/>
                    <w:bottom w:val="none" w:sz="0" w:space="0" w:color="auto"/>
                    <w:right w:val="none" w:sz="0" w:space="0" w:color="auto"/>
                  </w:divBdr>
                  <w:divsChild>
                    <w:div w:id="1054550657">
                      <w:marLeft w:val="0"/>
                      <w:marRight w:val="0"/>
                      <w:marTop w:val="0"/>
                      <w:marBottom w:val="0"/>
                      <w:divBdr>
                        <w:top w:val="none" w:sz="0" w:space="0" w:color="auto"/>
                        <w:left w:val="none" w:sz="0" w:space="0" w:color="auto"/>
                        <w:bottom w:val="none" w:sz="0" w:space="0" w:color="auto"/>
                        <w:right w:val="none" w:sz="0" w:space="0" w:color="auto"/>
                      </w:divBdr>
                      <w:divsChild>
                        <w:div w:id="623734603">
                          <w:marLeft w:val="0"/>
                          <w:marRight w:val="0"/>
                          <w:marTop w:val="0"/>
                          <w:marBottom w:val="0"/>
                          <w:divBdr>
                            <w:top w:val="none" w:sz="0" w:space="0" w:color="auto"/>
                            <w:left w:val="none" w:sz="0" w:space="0" w:color="auto"/>
                            <w:bottom w:val="none" w:sz="0" w:space="0" w:color="auto"/>
                            <w:right w:val="none" w:sz="0" w:space="0" w:color="auto"/>
                          </w:divBdr>
                          <w:divsChild>
                            <w:div w:id="949430853">
                              <w:marLeft w:val="0"/>
                              <w:marRight w:val="0"/>
                              <w:marTop w:val="0"/>
                              <w:marBottom w:val="0"/>
                              <w:divBdr>
                                <w:top w:val="none" w:sz="0" w:space="0" w:color="auto"/>
                                <w:left w:val="none" w:sz="0" w:space="0" w:color="auto"/>
                                <w:bottom w:val="none" w:sz="0" w:space="0" w:color="auto"/>
                                <w:right w:val="none" w:sz="0" w:space="0" w:color="auto"/>
                              </w:divBdr>
                              <w:divsChild>
                                <w:div w:id="368992886">
                                  <w:marLeft w:val="0"/>
                                  <w:marRight w:val="0"/>
                                  <w:marTop w:val="0"/>
                                  <w:marBottom w:val="0"/>
                                  <w:divBdr>
                                    <w:top w:val="none" w:sz="0" w:space="0" w:color="auto"/>
                                    <w:left w:val="none" w:sz="0" w:space="0" w:color="auto"/>
                                    <w:bottom w:val="none" w:sz="0" w:space="0" w:color="auto"/>
                                    <w:right w:val="none" w:sz="0" w:space="0" w:color="auto"/>
                                  </w:divBdr>
                                </w:div>
                                <w:div w:id="1779792902">
                                  <w:marLeft w:val="0"/>
                                  <w:marRight w:val="0"/>
                                  <w:marTop w:val="0"/>
                                  <w:marBottom w:val="0"/>
                                  <w:divBdr>
                                    <w:top w:val="none" w:sz="0" w:space="0" w:color="auto"/>
                                    <w:left w:val="none" w:sz="0" w:space="0" w:color="auto"/>
                                    <w:bottom w:val="none" w:sz="0" w:space="0" w:color="auto"/>
                                    <w:right w:val="none" w:sz="0" w:space="0" w:color="auto"/>
                                  </w:divBdr>
                                </w:div>
                                <w:div w:id="809052914">
                                  <w:marLeft w:val="0"/>
                                  <w:marRight w:val="0"/>
                                  <w:marTop w:val="0"/>
                                  <w:marBottom w:val="0"/>
                                  <w:divBdr>
                                    <w:top w:val="none" w:sz="0" w:space="0" w:color="auto"/>
                                    <w:left w:val="none" w:sz="0" w:space="0" w:color="auto"/>
                                    <w:bottom w:val="none" w:sz="0" w:space="0" w:color="auto"/>
                                    <w:right w:val="none" w:sz="0" w:space="0" w:color="auto"/>
                                  </w:divBdr>
                                </w:div>
                                <w:div w:id="19519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329820">
                      <w:marLeft w:val="0"/>
                      <w:marRight w:val="0"/>
                      <w:marTop w:val="0"/>
                      <w:marBottom w:val="0"/>
                      <w:divBdr>
                        <w:top w:val="none" w:sz="0" w:space="0" w:color="auto"/>
                        <w:left w:val="none" w:sz="0" w:space="0" w:color="auto"/>
                        <w:bottom w:val="none" w:sz="0" w:space="0" w:color="auto"/>
                        <w:right w:val="none" w:sz="0" w:space="0" w:color="auto"/>
                      </w:divBdr>
                      <w:divsChild>
                        <w:div w:id="126472289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281299">
      <w:bodyDiv w:val="1"/>
      <w:marLeft w:val="0"/>
      <w:marRight w:val="0"/>
      <w:marTop w:val="0"/>
      <w:marBottom w:val="0"/>
      <w:divBdr>
        <w:top w:val="none" w:sz="0" w:space="0" w:color="auto"/>
        <w:left w:val="none" w:sz="0" w:space="0" w:color="auto"/>
        <w:bottom w:val="none" w:sz="0" w:space="0" w:color="auto"/>
        <w:right w:val="none" w:sz="0" w:space="0" w:color="auto"/>
      </w:divBdr>
      <w:divsChild>
        <w:div w:id="483548061">
          <w:marLeft w:val="0"/>
          <w:marRight w:val="0"/>
          <w:marTop w:val="0"/>
          <w:marBottom w:val="0"/>
          <w:divBdr>
            <w:top w:val="none" w:sz="0" w:space="0" w:color="auto"/>
            <w:left w:val="none" w:sz="0" w:space="0" w:color="auto"/>
            <w:bottom w:val="none" w:sz="0" w:space="0" w:color="auto"/>
            <w:right w:val="none" w:sz="0" w:space="0" w:color="auto"/>
          </w:divBdr>
          <w:divsChild>
            <w:div w:id="612519115">
              <w:marLeft w:val="0"/>
              <w:marRight w:val="0"/>
              <w:marTop w:val="0"/>
              <w:marBottom w:val="0"/>
              <w:divBdr>
                <w:top w:val="none" w:sz="0" w:space="0" w:color="auto"/>
                <w:left w:val="none" w:sz="0" w:space="0" w:color="auto"/>
                <w:bottom w:val="none" w:sz="0" w:space="0" w:color="auto"/>
                <w:right w:val="none" w:sz="0" w:space="0" w:color="auto"/>
              </w:divBdr>
            </w:div>
          </w:divsChild>
        </w:div>
        <w:div w:id="39479778">
          <w:marLeft w:val="0"/>
          <w:marRight w:val="0"/>
          <w:marTop w:val="0"/>
          <w:marBottom w:val="0"/>
          <w:divBdr>
            <w:top w:val="none" w:sz="0" w:space="0" w:color="auto"/>
            <w:left w:val="none" w:sz="0" w:space="0" w:color="auto"/>
            <w:bottom w:val="none" w:sz="0" w:space="0" w:color="auto"/>
            <w:right w:val="none" w:sz="0" w:space="0" w:color="auto"/>
          </w:divBdr>
          <w:divsChild>
            <w:div w:id="1228148800">
              <w:marLeft w:val="0"/>
              <w:marRight w:val="0"/>
              <w:marTop w:val="0"/>
              <w:marBottom w:val="0"/>
              <w:divBdr>
                <w:top w:val="none" w:sz="0" w:space="0" w:color="auto"/>
                <w:left w:val="none" w:sz="0" w:space="0" w:color="auto"/>
                <w:bottom w:val="none" w:sz="0" w:space="0" w:color="auto"/>
                <w:right w:val="none" w:sz="0" w:space="0" w:color="auto"/>
              </w:divBdr>
              <w:divsChild>
                <w:div w:id="113792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53785">
      <w:bodyDiv w:val="1"/>
      <w:marLeft w:val="0"/>
      <w:marRight w:val="0"/>
      <w:marTop w:val="0"/>
      <w:marBottom w:val="0"/>
      <w:divBdr>
        <w:top w:val="none" w:sz="0" w:space="0" w:color="auto"/>
        <w:left w:val="none" w:sz="0" w:space="0" w:color="auto"/>
        <w:bottom w:val="none" w:sz="0" w:space="0" w:color="auto"/>
        <w:right w:val="none" w:sz="0" w:space="0" w:color="auto"/>
      </w:divBdr>
    </w:div>
    <w:div w:id="1087580246">
      <w:bodyDiv w:val="1"/>
      <w:marLeft w:val="0"/>
      <w:marRight w:val="0"/>
      <w:marTop w:val="0"/>
      <w:marBottom w:val="0"/>
      <w:divBdr>
        <w:top w:val="none" w:sz="0" w:space="0" w:color="auto"/>
        <w:left w:val="none" w:sz="0" w:space="0" w:color="auto"/>
        <w:bottom w:val="none" w:sz="0" w:space="0" w:color="auto"/>
        <w:right w:val="none" w:sz="0" w:space="0" w:color="auto"/>
      </w:divBdr>
      <w:divsChild>
        <w:div w:id="566378365">
          <w:marLeft w:val="0"/>
          <w:marRight w:val="0"/>
          <w:marTop w:val="0"/>
          <w:marBottom w:val="0"/>
          <w:divBdr>
            <w:top w:val="none" w:sz="0" w:space="0" w:color="auto"/>
            <w:left w:val="none" w:sz="0" w:space="0" w:color="auto"/>
            <w:bottom w:val="none" w:sz="0" w:space="0" w:color="auto"/>
            <w:right w:val="none" w:sz="0" w:space="0" w:color="auto"/>
          </w:divBdr>
          <w:divsChild>
            <w:div w:id="756824192">
              <w:marLeft w:val="0"/>
              <w:marRight w:val="0"/>
              <w:marTop w:val="0"/>
              <w:marBottom w:val="0"/>
              <w:divBdr>
                <w:top w:val="none" w:sz="0" w:space="0" w:color="auto"/>
                <w:left w:val="none" w:sz="0" w:space="0" w:color="auto"/>
                <w:bottom w:val="none" w:sz="0" w:space="0" w:color="auto"/>
                <w:right w:val="none" w:sz="0" w:space="0" w:color="auto"/>
              </w:divBdr>
              <w:divsChild>
                <w:div w:id="1412969617">
                  <w:marLeft w:val="0"/>
                  <w:marRight w:val="0"/>
                  <w:marTop w:val="0"/>
                  <w:marBottom w:val="0"/>
                  <w:divBdr>
                    <w:top w:val="none" w:sz="0" w:space="0" w:color="auto"/>
                    <w:left w:val="none" w:sz="0" w:space="0" w:color="auto"/>
                    <w:bottom w:val="none" w:sz="0" w:space="0" w:color="auto"/>
                    <w:right w:val="none" w:sz="0" w:space="0" w:color="auto"/>
                  </w:divBdr>
                  <w:divsChild>
                    <w:div w:id="27193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228190">
      <w:bodyDiv w:val="1"/>
      <w:marLeft w:val="0"/>
      <w:marRight w:val="0"/>
      <w:marTop w:val="0"/>
      <w:marBottom w:val="0"/>
      <w:divBdr>
        <w:top w:val="none" w:sz="0" w:space="0" w:color="auto"/>
        <w:left w:val="none" w:sz="0" w:space="0" w:color="auto"/>
        <w:bottom w:val="none" w:sz="0" w:space="0" w:color="auto"/>
        <w:right w:val="none" w:sz="0" w:space="0" w:color="auto"/>
      </w:divBdr>
    </w:div>
    <w:div w:id="1216087113">
      <w:bodyDiv w:val="1"/>
      <w:marLeft w:val="0"/>
      <w:marRight w:val="0"/>
      <w:marTop w:val="0"/>
      <w:marBottom w:val="0"/>
      <w:divBdr>
        <w:top w:val="none" w:sz="0" w:space="0" w:color="auto"/>
        <w:left w:val="none" w:sz="0" w:space="0" w:color="auto"/>
        <w:bottom w:val="none" w:sz="0" w:space="0" w:color="auto"/>
        <w:right w:val="none" w:sz="0" w:space="0" w:color="auto"/>
      </w:divBdr>
    </w:div>
    <w:div w:id="1281495659">
      <w:bodyDiv w:val="1"/>
      <w:marLeft w:val="0"/>
      <w:marRight w:val="0"/>
      <w:marTop w:val="0"/>
      <w:marBottom w:val="0"/>
      <w:divBdr>
        <w:top w:val="none" w:sz="0" w:space="0" w:color="auto"/>
        <w:left w:val="none" w:sz="0" w:space="0" w:color="auto"/>
        <w:bottom w:val="none" w:sz="0" w:space="0" w:color="auto"/>
        <w:right w:val="none" w:sz="0" w:space="0" w:color="auto"/>
      </w:divBdr>
      <w:divsChild>
        <w:div w:id="896084153">
          <w:marLeft w:val="0"/>
          <w:marRight w:val="0"/>
          <w:marTop w:val="0"/>
          <w:marBottom w:val="0"/>
          <w:divBdr>
            <w:top w:val="none" w:sz="0" w:space="0" w:color="auto"/>
            <w:left w:val="none" w:sz="0" w:space="0" w:color="auto"/>
            <w:bottom w:val="none" w:sz="0" w:space="0" w:color="auto"/>
            <w:right w:val="none" w:sz="0" w:space="0" w:color="auto"/>
          </w:divBdr>
          <w:divsChild>
            <w:div w:id="1633972797">
              <w:marLeft w:val="0"/>
              <w:marRight w:val="0"/>
              <w:marTop w:val="0"/>
              <w:marBottom w:val="0"/>
              <w:divBdr>
                <w:top w:val="none" w:sz="0" w:space="0" w:color="auto"/>
                <w:left w:val="none" w:sz="0" w:space="0" w:color="auto"/>
                <w:bottom w:val="none" w:sz="0" w:space="0" w:color="auto"/>
                <w:right w:val="none" w:sz="0" w:space="0" w:color="auto"/>
              </w:divBdr>
              <w:divsChild>
                <w:div w:id="2061510851">
                  <w:marLeft w:val="0"/>
                  <w:marRight w:val="0"/>
                  <w:marTop w:val="0"/>
                  <w:marBottom w:val="0"/>
                  <w:divBdr>
                    <w:top w:val="none" w:sz="0" w:space="0" w:color="auto"/>
                    <w:left w:val="none" w:sz="0" w:space="0" w:color="auto"/>
                    <w:bottom w:val="none" w:sz="0" w:space="0" w:color="auto"/>
                    <w:right w:val="none" w:sz="0" w:space="0" w:color="auto"/>
                  </w:divBdr>
                  <w:divsChild>
                    <w:div w:id="107920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1270710">
      <w:bodyDiv w:val="1"/>
      <w:marLeft w:val="0"/>
      <w:marRight w:val="0"/>
      <w:marTop w:val="0"/>
      <w:marBottom w:val="0"/>
      <w:divBdr>
        <w:top w:val="none" w:sz="0" w:space="0" w:color="auto"/>
        <w:left w:val="none" w:sz="0" w:space="0" w:color="auto"/>
        <w:bottom w:val="none" w:sz="0" w:space="0" w:color="auto"/>
        <w:right w:val="none" w:sz="0" w:space="0" w:color="auto"/>
      </w:divBdr>
      <w:divsChild>
        <w:div w:id="1635672003">
          <w:marLeft w:val="0"/>
          <w:marRight w:val="0"/>
          <w:marTop w:val="0"/>
          <w:marBottom w:val="0"/>
          <w:divBdr>
            <w:top w:val="none" w:sz="0" w:space="0" w:color="auto"/>
            <w:left w:val="none" w:sz="0" w:space="0" w:color="auto"/>
            <w:bottom w:val="none" w:sz="0" w:space="0" w:color="auto"/>
            <w:right w:val="none" w:sz="0" w:space="0" w:color="auto"/>
          </w:divBdr>
          <w:divsChild>
            <w:div w:id="1415395895">
              <w:marLeft w:val="0"/>
              <w:marRight w:val="0"/>
              <w:marTop w:val="0"/>
              <w:marBottom w:val="0"/>
              <w:divBdr>
                <w:top w:val="none" w:sz="0" w:space="0" w:color="auto"/>
                <w:left w:val="none" w:sz="0" w:space="0" w:color="auto"/>
                <w:bottom w:val="none" w:sz="0" w:space="0" w:color="auto"/>
                <w:right w:val="none" w:sz="0" w:space="0" w:color="auto"/>
              </w:divBdr>
              <w:divsChild>
                <w:div w:id="838929281">
                  <w:marLeft w:val="0"/>
                  <w:marRight w:val="0"/>
                  <w:marTop w:val="0"/>
                  <w:marBottom w:val="0"/>
                  <w:divBdr>
                    <w:top w:val="none" w:sz="0" w:space="0" w:color="auto"/>
                    <w:left w:val="none" w:sz="0" w:space="0" w:color="auto"/>
                    <w:bottom w:val="none" w:sz="0" w:space="0" w:color="auto"/>
                    <w:right w:val="none" w:sz="0" w:space="0" w:color="auto"/>
                  </w:divBdr>
                  <w:divsChild>
                    <w:div w:id="31483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735629">
      <w:bodyDiv w:val="1"/>
      <w:marLeft w:val="0"/>
      <w:marRight w:val="0"/>
      <w:marTop w:val="0"/>
      <w:marBottom w:val="0"/>
      <w:divBdr>
        <w:top w:val="none" w:sz="0" w:space="0" w:color="auto"/>
        <w:left w:val="none" w:sz="0" w:space="0" w:color="auto"/>
        <w:bottom w:val="none" w:sz="0" w:space="0" w:color="auto"/>
        <w:right w:val="none" w:sz="0" w:space="0" w:color="auto"/>
      </w:divBdr>
    </w:div>
    <w:div w:id="1624578718">
      <w:bodyDiv w:val="1"/>
      <w:marLeft w:val="0"/>
      <w:marRight w:val="0"/>
      <w:marTop w:val="0"/>
      <w:marBottom w:val="0"/>
      <w:divBdr>
        <w:top w:val="none" w:sz="0" w:space="0" w:color="auto"/>
        <w:left w:val="none" w:sz="0" w:space="0" w:color="auto"/>
        <w:bottom w:val="none" w:sz="0" w:space="0" w:color="auto"/>
        <w:right w:val="none" w:sz="0" w:space="0" w:color="auto"/>
      </w:divBdr>
      <w:divsChild>
        <w:div w:id="40836110">
          <w:marLeft w:val="0"/>
          <w:marRight w:val="0"/>
          <w:marTop w:val="0"/>
          <w:marBottom w:val="0"/>
          <w:divBdr>
            <w:top w:val="none" w:sz="0" w:space="0" w:color="auto"/>
            <w:left w:val="none" w:sz="0" w:space="0" w:color="auto"/>
            <w:bottom w:val="none" w:sz="0" w:space="0" w:color="auto"/>
            <w:right w:val="none" w:sz="0" w:space="0" w:color="auto"/>
          </w:divBdr>
          <w:divsChild>
            <w:div w:id="1284383723">
              <w:marLeft w:val="0"/>
              <w:marRight w:val="0"/>
              <w:marTop w:val="0"/>
              <w:marBottom w:val="0"/>
              <w:divBdr>
                <w:top w:val="none" w:sz="0" w:space="0" w:color="auto"/>
                <w:left w:val="none" w:sz="0" w:space="0" w:color="auto"/>
                <w:bottom w:val="none" w:sz="0" w:space="0" w:color="auto"/>
                <w:right w:val="none" w:sz="0" w:space="0" w:color="auto"/>
              </w:divBdr>
              <w:divsChild>
                <w:div w:id="2113667080">
                  <w:marLeft w:val="0"/>
                  <w:marRight w:val="0"/>
                  <w:marTop w:val="0"/>
                  <w:marBottom w:val="0"/>
                  <w:divBdr>
                    <w:top w:val="none" w:sz="0" w:space="0" w:color="auto"/>
                    <w:left w:val="none" w:sz="0" w:space="0" w:color="auto"/>
                    <w:bottom w:val="none" w:sz="0" w:space="0" w:color="auto"/>
                    <w:right w:val="none" w:sz="0" w:space="0" w:color="auto"/>
                  </w:divBdr>
                  <w:divsChild>
                    <w:div w:id="15206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100713">
      <w:bodyDiv w:val="1"/>
      <w:marLeft w:val="0"/>
      <w:marRight w:val="0"/>
      <w:marTop w:val="0"/>
      <w:marBottom w:val="0"/>
      <w:divBdr>
        <w:top w:val="none" w:sz="0" w:space="0" w:color="auto"/>
        <w:left w:val="none" w:sz="0" w:space="0" w:color="auto"/>
        <w:bottom w:val="none" w:sz="0" w:space="0" w:color="auto"/>
        <w:right w:val="none" w:sz="0" w:space="0" w:color="auto"/>
      </w:divBdr>
      <w:divsChild>
        <w:div w:id="1421028671">
          <w:marLeft w:val="0"/>
          <w:marRight w:val="0"/>
          <w:marTop w:val="0"/>
          <w:marBottom w:val="0"/>
          <w:divBdr>
            <w:top w:val="none" w:sz="0" w:space="0" w:color="auto"/>
            <w:left w:val="none" w:sz="0" w:space="0" w:color="auto"/>
            <w:bottom w:val="none" w:sz="0" w:space="0" w:color="auto"/>
            <w:right w:val="none" w:sz="0" w:space="0" w:color="auto"/>
          </w:divBdr>
          <w:divsChild>
            <w:div w:id="500123645">
              <w:marLeft w:val="0"/>
              <w:marRight w:val="0"/>
              <w:marTop w:val="0"/>
              <w:marBottom w:val="0"/>
              <w:divBdr>
                <w:top w:val="none" w:sz="0" w:space="0" w:color="auto"/>
                <w:left w:val="none" w:sz="0" w:space="0" w:color="auto"/>
                <w:bottom w:val="none" w:sz="0" w:space="0" w:color="auto"/>
                <w:right w:val="none" w:sz="0" w:space="0" w:color="auto"/>
              </w:divBdr>
              <w:divsChild>
                <w:div w:id="2053994258">
                  <w:marLeft w:val="0"/>
                  <w:marRight w:val="0"/>
                  <w:marTop w:val="0"/>
                  <w:marBottom w:val="0"/>
                  <w:divBdr>
                    <w:top w:val="none" w:sz="0" w:space="0" w:color="auto"/>
                    <w:left w:val="none" w:sz="0" w:space="0" w:color="auto"/>
                    <w:bottom w:val="none" w:sz="0" w:space="0" w:color="auto"/>
                    <w:right w:val="none" w:sz="0" w:space="0" w:color="auto"/>
                  </w:divBdr>
                  <w:divsChild>
                    <w:div w:id="1180775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806570">
      <w:bodyDiv w:val="1"/>
      <w:marLeft w:val="0"/>
      <w:marRight w:val="0"/>
      <w:marTop w:val="0"/>
      <w:marBottom w:val="0"/>
      <w:divBdr>
        <w:top w:val="none" w:sz="0" w:space="0" w:color="auto"/>
        <w:left w:val="none" w:sz="0" w:space="0" w:color="auto"/>
        <w:bottom w:val="none" w:sz="0" w:space="0" w:color="auto"/>
        <w:right w:val="none" w:sz="0" w:space="0" w:color="auto"/>
      </w:divBdr>
      <w:divsChild>
        <w:div w:id="1302923471">
          <w:marLeft w:val="0"/>
          <w:marRight w:val="0"/>
          <w:marTop w:val="0"/>
          <w:marBottom w:val="0"/>
          <w:divBdr>
            <w:top w:val="none" w:sz="0" w:space="0" w:color="auto"/>
            <w:left w:val="none" w:sz="0" w:space="0" w:color="auto"/>
            <w:bottom w:val="none" w:sz="0" w:space="0" w:color="auto"/>
            <w:right w:val="none" w:sz="0" w:space="0" w:color="auto"/>
          </w:divBdr>
          <w:divsChild>
            <w:div w:id="211828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439639">
      <w:bodyDiv w:val="1"/>
      <w:marLeft w:val="0"/>
      <w:marRight w:val="0"/>
      <w:marTop w:val="0"/>
      <w:marBottom w:val="0"/>
      <w:divBdr>
        <w:top w:val="none" w:sz="0" w:space="0" w:color="auto"/>
        <w:left w:val="none" w:sz="0" w:space="0" w:color="auto"/>
        <w:bottom w:val="none" w:sz="0" w:space="0" w:color="auto"/>
        <w:right w:val="none" w:sz="0" w:space="0" w:color="auto"/>
      </w:divBdr>
      <w:divsChild>
        <w:div w:id="970940212">
          <w:marLeft w:val="0"/>
          <w:marRight w:val="0"/>
          <w:marTop w:val="0"/>
          <w:marBottom w:val="0"/>
          <w:divBdr>
            <w:top w:val="none" w:sz="0" w:space="0" w:color="auto"/>
            <w:left w:val="none" w:sz="0" w:space="0" w:color="auto"/>
            <w:bottom w:val="none" w:sz="0" w:space="0" w:color="auto"/>
            <w:right w:val="none" w:sz="0" w:space="0" w:color="auto"/>
          </w:divBdr>
          <w:divsChild>
            <w:div w:id="2035766319">
              <w:marLeft w:val="0"/>
              <w:marRight w:val="0"/>
              <w:marTop w:val="0"/>
              <w:marBottom w:val="0"/>
              <w:divBdr>
                <w:top w:val="none" w:sz="0" w:space="0" w:color="auto"/>
                <w:left w:val="none" w:sz="0" w:space="0" w:color="auto"/>
                <w:bottom w:val="none" w:sz="0" w:space="0" w:color="auto"/>
                <w:right w:val="none" w:sz="0" w:space="0" w:color="auto"/>
              </w:divBdr>
              <w:divsChild>
                <w:div w:id="195883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582260">
      <w:bodyDiv w:val="1"/>
      <w:marLeft w:val="0"/>
      <w:marRight w:val="0"/>
      <w:marTop w:val="0"/>
      <w:marBottom w:val="0"/>
      <w:divBdr>
        <w:top w:val="none" w:sz="0" w:space="0" w:color="auto"/>
        <w:left w:val="none" w:sz="0" w:space="0" w:color="auto"/>
        <w:bottom w:val="none" w:sz="0" w:space="0" w:color="auto"/>
        <w:right w:val="none" w:sz="0" w:space="0" w:color="auto"/>
      </w:divBdr>
      <w:divsChild>
        <w:div w:id="689600807">
          <w:marLeft w:val="0"/>
          <w:marRight w:val="0"/>
          <w:marTop w:val="0"/>
          <w:marBottom w:val="0"/>
          <w:divBdr>
            <w:top w:val="none" w:sz="0" w:space="0" w:color="auto"/>
            <w:left w:val="none" w:sz="0" w:space="0" w:color="auto"/>
            <w:bottom w:val="none" w:sz="0" w:space="0" w:color="auto"/>
            <w:right w:val="none" w:sz="0" w:space="0" w:color="auto"/>
          </w:divBdr>
          <w:divsChild>
            <w:div w:id="1768117789">
              <w:marLeft w:val="0"/>
              <w:marRight w:val="0"/>
              <w:marTop w:val="0"/>
              <w:marBottom w:val="0"/>
              <w:divBdr>
                <w:top w:val="none" w:sz="0" w:space="0" w:color="auto"/>
                <w:left w:val="none" w:sz="0" w:space="0" w:color="auto"/>
                <w:bottom w:val="none" w:sz="0" w:space="0" w:color="auto"/>
                <w:right w:val="none" w:sz="0" w:space="0" w:color="auto"/>
              </w:divBdr>
              <w:divsChild>
                <w:div w:id="1471358571">
                  <w:marLeft w:val="0"/>
                  <w:marRight w:val="0"/>
                  <w:marTop w:val="0"/>
                  <w:marBottom w:val="0"/>
                  <w:divBdr>
                    <w:top w:val="none" w:sz="0" w:space="0" w:color="auto"/>
                    <w:left w:val="none" w:sz="0" w:space="0" w:color="auto"/>
                    <w:bottom w:val="none" w:sz="0" w:space="0" w:color="auto"/>
                    <w:right w:val="none" w:sz="0" w:space="0" w:color="auto"/>
                  </w:divBdr>
                  <w:divsChild>
                    <w:div w:id="205619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0699750">
      <w:bodyDiv w:val="1"/>
      <w:marLeft w:val="0"/>
      <w:marRight w:val="0"/>
      <w:marTop w:val="0"/>
      <w:marBottom w:val="0"/>
      <w:divBdr>
        <w:top w:val="none" w:sz="0" w:space="0" w:color="auto"/>
        <w:left w:val="none" w:sz="0" w:space="0" w:color="auto"/>
        <w:bottom w:val="none" w:sz="0" w:space="0" w:color="auto"/>
        <w:right w:val="none" w:sz="0" w:space="0" w:color="auto"/>
      </w:divBdr>
      <w:divsChild>
        <w:div w:id="2038117239">
          <w:marLeft w:val="0"/>
          <w:marRight w:val="0"/>
          <w:marTop w:val="0"/>
          <w:marBottom w:val="0"/>
          <w:divBdr>
            <w:top w:val="none" w:sz="0" w:space="0" w:color="auto"/>
            <w:left w:val="none" w:sz="0" w:space="0" w:color="auto"/>
            <w:bottom w:val="none" w:sz="0" w:space="0" w:color="auto"/>
            <w:right w:val="none" w:sz="0" w:space="0" w:color="auto"/>
          </w:divBdr>
          <w:divsChild>
            <w:div w:id="1569657340">
              <w:marLeft w:val="0"/>
              <w:marRight w:val="0"/>
              <w:marTop w:val="0"/>
              <w:marBottom w:val="0"/>
              <w:divBdr>
                <w:top w:val="none" w:sz="0" w:space="0" w:color="auto"/>
                <w:left w:val="none" w:sz="0" w:space="0" w:color="auto"/>
                <w:bottom w:val="none" w:sz="0" w:space="0" w:color="auto"/>
                <w:right w:val="none" w:sz="0" w:space="0" w:color="auto"/>
              </w:divBdr>
              <w:divsChild>
                <w:div w:id="947737154">
                  <w:marLeft w:val="0"/>
                  <w:marRight w:val="0"/>
                  <w:marTop w:val="0"/>
                  <w:marBottom w:val="0"/>
                  <w:divBdr>
                    <w:top w:val="none" w:sz="0" w:space="0" w:color="auto"/>
                    <w:left w:val="none" w:sz="0" w:space="0" w:color="auto"/>
                    <w:bottom w:val="none" w:sz="0" w:space="0" w:color="auto"/>
                    <w:right w:val="none" w:sz="0" w:space="0" w:color="auto"/>
                  </w:divBdr>
                  <w:divsChild>
                    <w:div w:id="174079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59206">
      <w:bodyDiv w:val="1"/>
      <w:marLeft w:val="0"/>
      <w:marRight w:val="0"/>
      <w:marTop w:val="0"/>
      <w:marBottom w:val="0"/>
      <w:divBdr>
        <w:top w:val="none" w:sz="0" w:space="0" w:color="auto"/>
        <w:left w:val="none" w:sz="0" w:space="0" w:color="auto"/>
        <w:bottom w:val="none" w:sz="0" w:space="0" w:color="auto"/>
        <w:right w:val="none" w:sz="0" w:space="0" w:color="auto"/>
      </w:divBdr>
      <w:divsChild>
        <w:div w:id="64693927">
          <w:marLeft w:val="0"/>
          <w:marRight w:val="0"/>
          <w:marTop w:val="0"/>
          <w:marBottom w:val="0"/>
          <w:divBdr>
            <w:top w:val="none" w:sz="0" w:space="0" w:color="auto"/>
            <w:left w:val="none" w:sz="0" w:space="0" w:color="auto"/>
            <w:bottom w:val="none" w:sz="0" w:space="0" w:color="auto"/>
            <w:right w:val="none" w:sz="0" w:space="0" w:color="auto"/>
          </w:divBdr>
          <w:divsChild>
            <w:div w:id="714502736">
              <w:marLeft w:val="0"/>
              <w:marRight w:val="0"/>
              <w:marTop w:val="0"/>
              <w:marBottom w:val="0"/>
              <w:divBdr>
                <w:top w:val="none" w:sz="0" w:space="0" w:color="auto"/>
                <w:left w:val="none" w:sz="0" w:space="0" w:color="auto"/>
                <w:bottom w:val="none" w:sz="0" w:space="0" w:color="auto"/>
                <w:right w:val="none" w:sz="0" w:space="0" w:color="auto"/>
              </w:divBdr>
              <w:divsChild>
                <w:div w:id="196430437">
                  <w:marLeft w:val="0"/>
                  <w:marRight w:val="0"/>
                  <w:marTop w:val="0"/>
                  <w:marBottom w:val="0"/>
                  <w:divBdr>
                    <w:top w:val="none" w:sz="0" w:space="0" w:color="auto"/>
                    <w:left w:val="none" w:sz="0" w:space="0" w:color="auto"/>
                    <w:bottom w:val="none" w:sz="0" w:space="0" w:color="auto"/>
                    <w:right w:val="none" w:sz="0" w:space="0" w:color="auto"/>
                  </w:divBdr>
                  <w:divsChild>
                    <w:div w:id="1932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559892">
      <w:bodyDiv w:val="1"/>
      <w:marLeft w:val="0"/>
      <w:marRight w:val="0"/>
      <w:marTop w:val="0"/>
      <w:marBottom w:val="0"/>
      <w:divBdr>
        <w:top w:val="none" w:sz="0" w:space="0" w:color="auto"/>
        <w:left w:val="none" w:sz="0" w:space="0" w:color="auto"/>
        <w:bottom w:val="none" w:sz="0" w:space="0" w:color="auto"/>
        <w:right w:val="none" w:sz="0" w:space="0" w:color="auto"/>
      </w:divBdr>
      <w:divsChild>
        <w:div w:id="625427120">
          <w:marLeft w:val="0"/>
          <w:marRight w:val="0"/>
          <w:marTop w:val="0"/>
          <w:marBottom w:val="0"/>
          <w:divBdr>
            <w:top w:val="none" w:sz="0" w:space="0" w:color="auto"/>
            <w:left w:val="none" w:sz="0" w:space="0" w:color="auto"/>
            <w:bottom w:val="none" w:sz="0" w:space="0" w:color="auto"/>
            <w:right w:val="none" w:sz="0" w:space="0" w:color="auto"/>
          </w:divBdr>
          <w:divsChild>
            <w:div w:id="311717049">
              <w:marLeft w:val="0"/>
              <w:marRight w:val="0"/>
              <w:marTop w:val="0"/>
              <w:marBottom w:val="0"/>
              <w:divBdr>
                <w:top w:val="none" w:sz="0" w:space="0" w:color="auto"/>
                <w:left w:val="none" w:sz="0" w:space="0" w:color="auto"/>
                <w:bottom w:val="none" w:sz="0" w:space="0" w:color="auto"/>
                <w:right w:val="none" w:sz="0" w:space="0" w:color="auto"/>
              </w:divBdr>
              <w:divsChild>
                <w:div w:id="960962269">
                  <w:marLeft w:val="0"/>
                  <w:marRight w:val="0"/>
                  <w:marTop w:val="0"/>
                  <w:marBottom w:val="0"/>
                  <w:divBdr>
                    <w:top w:val="none" w:sz="0" w:space="0" w:color="auto"/>
                    <w:left w:val="none" w:sz="0" w:space="0" w:color="auto"/>
                    <w:bottom w:val="none" w:sz="0" w:space="0" w:color="auto"/>
                    <w:right w:val="none" w:sz="0" w:space="0" w:color="auto"/>
                  </w:divBdr>
                  <w:divsChild>
                    <w:div w:id="57659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863081">
      <w:bodyDiv w:val="1"/>
      <w:marLeft w:val="0"/>
      <w:marRight w:val="0"/>
      <w:marTop w:val="0"/>
      <w:marBottom w:val="0"/>
      <w:divBdr>
        <w:top w:val="none" w:sz="0" w:space="0" w:color="auto"/>
        <w:left w:val="none" w:sz="0" w:space="0" w:color="auto"/>
        <w:bottom w:val="none" w:sz="0" w:space="0" w:color="auto"/>
        <w:right w:val="none" w:sz="0" w:space="0" w:color="auto"/>
      </w:divBdr>
      <w:divsChild>
        <w:div w:id="869688804">
          <w:marLeft w:val="0"/>
          <w:marRight w:val="0"/>
          <w:marTop w:val="0"/>
          <w:marBottom w:val="0"/>
          <w:divBdr>
            <w:top w:val="none" w:sz="0" w:space="0" w:color="auto"/>
            <w:left w:val="none" w:sz="0" w:space="0" w:color="auto"/>
            <w:bottom w:val="none" w:sz="0" w:space="0" w:color="auto"/>
            <w:right w:val="none" w:sz="0" w:space="0" w:color="auto"/>
          </w:divBdr>
          <w:divsChild>
            <w:div w:id="444691816">
              <w:marLeft w:val="0"/>
              <w:marRight w:val="0"/>
              <w:marTop w:val="0"/>
              <w:marBottom w:val="0"/>
              <w:divBdr>
                <w:top w:val="none" w:sz="0" w:space="0" w:color="auto"/>
                <w:left w:val="none" w:sz="0" w:space="0" w:color="auto"/>
                <w:bottom w:val="none" w:sz="0" w:space="0" w:color="auto"/>
                <w:right w:val="none" w:sz="0" w:space="0" w:color="auto"/>
              </w:divBdr>
              <w:divsChild>
                <w:div w:id="40448411">
                  <w:marLeft w:val="0"/>
                  <w:marRight w:val="0"/>
                  <w:marTop w:val="0"/>
                  <w:marBottom w:val="0"/>
                  <w:divBdr>
                    <w:top w:val="none" w:sz="0" w:space="0" w:color="auto"/>
                    <w:left w:val="none" w:sz="0" w:space="0" w:color="auto"/>
                    <w:bottom w:val="none" w:sz="0" w:space="0" w:color="auto"/>
                    <w:right w:val="none" w:sz="0" w:space="0" w:color="auto"/>
                  </w:divBdr>
                  <w:divsChild>
                    <w:div w:id="10678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474248">
      <w:bodyDiv w:val="1"/>
      <w:marLeft w:val="0"/>
      <w:marRight w:val="0"/>
      <w:marTop w:val="0"/>
      <w:marBottom w:val="0"/>
      <w:divBdr>
        <w:top w:val="none" w:sz="0" w:space="0" w:color="auto"/>
        <w:left w:val="none" w:sz="0" w:space="0" w:color="auto"/>
        <w:bottom w:val="none" w:sz="0" w:space="0" w:color="auto"/>
        <w:right w:val="none" w:sz="0" w:space="0" w:color="auto"/>
      </w:divBdr>
      <w:divsChild>
        <w:div w:id="1080372660">
          <w:marLeft w:val="0"/>
          <w:marRight w:val="0"/>
          <w:marTop w:val="0"/>
          <w:marBottom w:val="0"/>
          <w:divBdr>
            <w:top w:val="none" w:sz="0" w:space="0" w:color="auto"/>
            <w:left w:val="none" w:sz="0" w:space="0" w:color="auto"/>
            <w:bottom w:val="none" w:sz="0" w:space="0" w:color="auto"/>
            <w:right w:val="none" w:sz="0" w:space="0" w:color="auto"/>
          </w:divBdr>
          <w:divsChild>
            <w:div w:id="1839727701">
              <w:marLeft w:val="0"/>
              <w:marRight w:val="0"/>
              <w:marTop w:val="0"/>
              <w:marBottom w:val="0"/>
              <w:divBdr>
                <w:top w:val="none" w:sz="0" w:space="0" w:color="auto"/>
                <w:left w:val="none" w:sz="0" w:space="0" w:color="auto"/>
                <w:bottom w:val="none" w:sz="0" w:space="0" w:color="auto"/>
                <w:right w:val="none" w:sz="0" w:space="0" w:color="auto"/>
              </w:divBdr>
              <w:divsChild>
                <w:div w:id="488446033">
                  <w:marLeft w:val="0"/>
                  <w:marRight w:val="0"/>
                  <w:marTop w:val="0"/>
                  <w:marBottom w:val="0"/>
                  <w:divBdr>
                    <w:top w:val="none" w:sz="0" w:space="0" w:color="auto"/>
                    <w:left w:val="none" w:sz="0" w:space="0" w:color="auto"/>
                    <w:bottom w:val="none" w:sz="0" w:space="0" w:color="auto"/>
                    <w:right w:val="none" w:sz="0" w:space="0" w:color="auto"/>
                  </w:divBdr>
                  <w:divsChild>
                    <w:div w:id="1780644046">
                      <w:marLeft w:val="0"/>
                      <w:marRight w:val="0"/>
                      <w:marTop w:val="0"/>
                      <w:marBottom w:val="0"/>
                      <w:divBdr>
                        <w:top w:val="none" w:sz="0" w:space="0" w:color="auto"/>
                        <w:left w:val="none" w:sz="0" w:space="0" w:color="auto"/>
                        <w:bottom w:val="none" w:sz="0" w:space="0" w:color="auto"/>
                        <w:right w:val="none" w:sz="0" w:space="0" w:color="auto"/>
                      </w:divBdr>
                    </w:div>
                    <w:div w:id="41474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750643">
      <w:bodyDiv w:val="1"/>
      <w:marLeft w:val="0"/>
      <w:marRight w:val="0"/>
      <w:marTop w:val="0"/>
      <w:marBottom w:val="0"/>
      <w:divBdr>
        <w:top w:val="none" w:sz="0" w:space="0" w:color="auto"/>
        <w:left w:val="none" w:sz="0" w:space="0" w:color="auto"/>
        <w:bottom w:val="none" w:sz="0" w:space="0" w:color="auto"/>
        <w:right w:val="none" w:sz="0" w:space="0" w:color="auto"/>
      </w:divBdr>
    </w:div>
    <w:div w:id="2064064166">
      <w:bodyDiv w:val="1"/>
      <w:marLeft w:val="0"/>
      <w:marRight w:val="0"/>
      <w:marTop w:val="0"/>
      <w:marBottom w:val="0"/>
      <w:divBdr>
        <w:top w:val="none" w:sz="0" w:space="0" w:color="auto"/>
        <w:left w:val="none" w:sz="0" w:space="0" w:color="auto"/>
        <w:bottom w:val="none" w:sz="0" w:space="0" w:color="auto"/>
        <w:right w:val="none" w:sz="0" w:space="0" w:color="auto"/>
      </w:divBdr>
      <w:divsChild>
        <w:div w:id="1407999706">
          <w:marLeft w:val="0"/>
          <w:marRight w:val="0"/>
          <w:marTop w:val="0"/>
          <w:marBottom w:val="0"/>
          <w:divBdr>
            <w:top w:val="none" w:sz="0" w:space="0" w:color="auto"/>
            <w:left w:val="none" w:sz="0" w:space="0" w:color="auto"/>
            <w:bottom w:val="none" w:sz="0" w:space="0" w:color="auto"/>
            <w:right w:val="none" w:sz="0" w:space="0" w:color="auto"/>
          </w:divBdr>
          <w:divsChild>
            <w:div w:id="1810129902">
              <w:marLeft w:val="0"/>
              <w:marRight w:val="0"/>
              <w:marTop w:val="0"/>
              <w:marBottom w:val="0"/>
              <w:divBdr>
                <w:top w:val="none" w:sz="0" w:space="0" w:color="auto"/>
                <w:left w:val="none" w:sz="0" w:space="0" w:color="auto"/>
                <w:bottom w:val="none" w:sz="0" w:space="0" w:color="auto"/>
                <w:right w:val="none" w:sz="0" w:space="0" w:color="auto"/>
              </w:divBdr>
              <w:divsChild>
                <w:div w:id="408962346">
                  <w:marLeft w:val="0"/>
                  <w:marRight w:val="0"/>
                  <w:marTop w:val="0"/>
                  <w:marBottom w:val="0"/>
                  <w:divBdr>
                    <w:top w:val="none" w:sz="0" w:space="0" w:color="auto"/>
                    <w:left w:val="none" w:sz="0" w:space="0" w:color="auto"/>
                    <w:bottom w:val="none" w:sz="0" w:space="0" w:color="auto"/>
                    <w:right w:val="none" w:sz="0" w:space="0" w:color="auto"/>
                  </w:divBdr>
                  <w:divsChild>
                    <w:div w:id="7255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351373">
      <w:bodyDiv w:val="1"/>
      <w:marLeft w:val="0"/>
      <w:marRight w:val="0"/>
      <w:marTop w:val="0"/>
      <w:marBottom w:val="0"/>
      <w:divBdr>
        <w:top w:val="none" w:sz="0" w:space="0" w:color="auto"/>
        <w:left w:val="none" w:sz="0" w:space="0" w:color="auto"/>
        <w:bottom w:val="none" w:sz="0" w:space="0" w:color="auto"/>
        <w:right w:val="none" w:sz="0" w:space="0" w:color="auto"/>
      </w:divBdr>
      <w:divsChild>
        <w:div w:id="573779030">
          <w:marLeft w:val="-30"/>
          <w:marRight w:val="0"/>
          <w:marTop w:val="0"/>
          <w:marBottom w:val="0"/>
          <w:divBdr>
            <w:top w:val="none" w:sz="0" w:space="0" w:color="auto"/>
            <w:left w:val="none" w:sz="0" w:space="0" w:color="auto"/>
            <w:bottom w:val="none" w:sz="0" w:space="0" w:color="auto"/>
            <w:right w:val="none" w:sz="0" w:space="0" w:color="auto"/>
          </w:divBdr>
          <w:divsChild>
            <w:div w:id="541407347">
              <w:marLeft w:val="0"/>
              <w:marRight w:val="0"/>
              <w:marTop w:val="0"/>
              <w:marBottom w:val="0"/>
              <w:divBdr>
                <w:top w:val="none" w:sz="0" w:space="0" w:color="auto"/>
                <w:left w:val="none" w:sz="0" w:space="0" w:color="auto"/>
                <w:bottom w:val="none" w:sz="0" w:space="0" w:color="auto"/>
                <w:right w:val="none" w:sz="0" w:space="0" w:color="auto"/>
              </w:divBdr>
              <w:divsChild>
                <w:div w:id="144549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736472">
      <w:bodyDiv w:val="1"/>
      <w:marLeft w:val="0"/>
      <w:marRight w:val="0"/>
      <w:marTop w:val="0"/>
      <w:marBottom w:val="0"/>
      <w:divBdr>
        <w:top w:val="none" w:sz="0" w:space="0" w:color="auto"/>
        <w:left w:val="none" w:sz="0" w:space="0" w:color="auto"/>
        <w:bottom w:val="none" w:sz="0" w:space="0" w:color="auto"/>
        <w:right w:val="none" w:sz="0" w:space="0" w:color="auto"/>
      </w:divBdr>
      <w:divsChild>
        <w:div w:id="1057779449">
          <w:marLeft w:val="0"/>
          <w:marRight w:val="0"/>
          <w:marTop w:val="0"/>
          <w:marBottom w:val="0"/>
          <w:divBdr>
            <w:top w:val="none" w:sz="0" w:space="0" w:color="auto"/>
            <w:left w:val="none" w:sz="0" w:space="0" w:color="auto"/>
            <w:bottom w:val="none" w:sz="0" w:space="0" w:color="auto"/>
            <w:right w:val="none" w:sz="0" w:space="0" w:color="auto"/>
          </w:divBdr>
          <w:divsChild>
            <w:div w:id="1795631468">
              <w:marLeft w:val="0"/>
              <w:marRight w:val="0"/>
              <w:marTop w:val="0"/>
              <w:marBottom w:val="0"/>
              <w:divBdr>
                <w:top w:val="none" w:sz="0" w:space="0" w:color="auto"/>
                <w:left w:val="none" w:sz="0" w:space="0" w:color="auto"/>
                <w:bottom w:val="none" w:sz="0" w:space="0" w:color="auto"/>
                <w:right w:val="none" w:sz="0" w:space="0" w:color="auto"/>
              </w:divBdr>
              <w:divsChild>
                <w:div w:id="1221481991">
                  <w:marLeft w:val="0"/>
                  <w:marRight w:val="0"/>
                  <w:marTop w:val="0"/>
                  <w:marBottom w:val="0"/>
                  <w:divBdr>
                    <w:top w:val="none" w:sz="0" w:space="0" w:color="auto"/>
                    <w:left w:val="none" w:sz="0" w:space="0" w:color="auto"/>
                    <w:bottom w:val="none" w:sz="0" w:space="0" w:color="auto"/>
                    <w:right w:val="none" w:sz="0" w:space="0" w:color="auto"/>
                  </w:divBdr>
                </w:div>
              </w:divsChild>
            </w:div>
            <w:div w:id="1038622464">
              <w:marLeft w:val="0"/>
              <w:marRight w:val="0"/>
              <w:marTop w:val="0"/>
              <w:marBottom w:val="0"/>
              <w:divBdr>
                <w:top w:val="none" w:sz="0" w:space="0" w:color="auto"/>
                <w:left w:val="none" w:sz="0" w:space="0" w:color="auto"/>
                <w:bottom w:val="none" w:sz="0" w:space="0" w:color="auto"/>
                <w:right w:val="none" w:sz="0" w:space="0" w:color="auto"/>
              </w:divBdr>
              <w:divsChild>
                <w:div w:id="430662354">
                  <w:marLeft w:val="0"/>
                  <w:marRight w:val="0"/>
                  <w:marTop w:val="0"/>
                  <w:marBottom w:val="0"/>
                  <w:divBdr>
                    <w:top w:val="none" w:sz="0" w:space="0" w:color="auto"/>
                    <w:left w:val="none" w:sz="0" w:space="0" w:color="auto"/>
                    <w:bottom w:val="none" w:sz="0" w:space="0" w:color="auto"/>
                    <w:right w:val="none" w:sz="0" w:space="0" w:color="auto"/>
                  </w:divBdr>
                </w:div>
              </w:divsChild>
            </w:div>
            <w:div w:id="339161342">
              <w:marLeft w:val="0"/>
              <w:marRight w:val="0"/>
              <w:marTop w:val="0"/>
              <w:marBottom w:val="0"/>
              <w:divBdr>
                <w:top w:val="none" w:sz="0" w:space="0" w:color="auto"/>
                <w:left w:val="none" w:sz="0" w:space="0" w:color="auto"/>
                <w:bottom w:val="none" w:sz="0" w:space="0" w:color="auto"/>
                <w:right w:val="none" w:sz="0" w:space="0" w:color="auto"/>
              </w:divBdr>
              <w:divsChild>
                <w:div w:id="1189757800">
                  <w:marLeft w:val="0"/>
                  <w:marRight w:val="0"/>
                  <w:marTop w:val="0"/>
                  <w:marBottom w:val="0"/>
                  <w:divBdr>
                    <w:top w:val="none" w:sz="0" w:space="0" w:color="auto"/>
                    <w:left w:val="none" w:sz="0" w:space="0" w:color="auto"/>
                    <w:bottom w:val="none" w:sz="0" w:space="0" w:color="auto"/>
                    <w:right w:val="none" w:sz="0" w:space="0" w:color="auto"/>
                  </w:divBdr>
                </w:div>
              </w:divsChild>
            </w:div>
            <w:div w:id="1085343405">
              <w:marLeft w:val="0"/>
              <w:marRight w:val="0"/>
              <w:marTop w:val="0"/>
              <w:marBottom w:val="0"/>
              <w:divBdr>
                <w:top w:val="none" w:sz="0" w:space="0" w:color="auto"/>
                <w:left w:val="none" w:sz="0" w:space="0" w:color="auto"/>
                <w:bottom w:val="none" w:sz="0" w:space="0" w:color="auto"/>
                <w:right w:val="none" w:sz="0" w:space="0" w:color="auto"/>
              </w:divBdr>
              <w:divsChild>
                <w:div w:id="175075115">
                  <w:marLeft w:val="0"/>
                  <w:marRight w:val="0"/>
                  <w:marTop w:val="0"/>
                  <w:marBottom w:val="0"/>
                  <w:divBdr>
                    <w:top w:val="none" w:sz="0" w:space="0" w:color="auto"/>
                    <w:left w:val="none" w:sz="0" w:space="0" w:color="auto"/>
                    <w:bottom w:val="none" w:sz="0" w:space="0" w:color="auto"/>
                    <w:right w:val="none" w:sz="0" w:space="0" w:color="auto"/>
                  </w:divBdr>
                </w:div>
                <w:div w:id="1673332107">
                  <w:marLeft w:val="0"/>
                  <w:marRight w:val="0"/>
                  <w:marTop w:val="0"/>
                  <w:marBottom w:val="0"/>
                  <w:divBdr>
                    <w:top w:val="none" w:sz="0" w:space="0" w:color="auto"/>
                    <w:left w:val="none" w:sz="0" w:space="0" w:color="auto"/>
                    <w:bottom w:val="none" w:sz="0" w:space="0" w:color="auto"/>
                    <w:right w:val="none" w:sz="0" w:space="0" w:color="auto"/>
                  </w:divBdr>
                </w:div>
                <w:div w:id="519777511">
                  <w:marLeft w:val="0"/>
                  <w:marRight w:val="0"/>
                  <w:marTop w:val="0"/>
                  <w:marBottom w:val="0"/>
                  <w:divBdr>
                    <w:top w:val="none" w:sz="0" w:space="0" w:color="auto"/>
                    <w:left w:val="none" w:sz="0" w:space="0" w:color="auto"/>
                    <w:bottom w:val="none" w:sz="0" w:space="0" w:color="auto"/>
                    <w:right w:val="none" w:sz="0" w:space="0" w:color="auto"/>
                  </w:divBdr>
                </w:div>
              </w:divsChild>
            </w:div>
            <w:div w:id="1363941342">
              <w:marLeft w:val="0"/>
              <w:marRight w:val="0"/>
              <w:marTop w:val="0"/>
              <w:marBottom w:val="0"/>
              <w:divBdr>
                <w:top w:val="none" w:sz="0" w:space="0" w:color="auto"/>
                <w:left w:val="none" w:sz="0" w:space="0" w:color="auto"/>
                <w:bottom w:val="none" w:sz="0" w:space="0" w:color="auto"/>
                <w:right w:val="none" w:sz="0" w:space="0" w:color="auto"/>
              </w:divBdr>
              <w:divsChild>
                <w:div w:id="45667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9506">
      <w:bodyDiv w:val="1"/>
      <w:marLeft w:val="0"/>
      <w:marRight w:val="0"/>
      <w:marTop w:val="0"/>
      <w:marBottom w:val="0"/>
      <w:divBdr>
        <w:top w:val="none" w:sz="0" w:space="0" w:color="auto"/>
        <w:left w:val="none" w:sz="0" w:space="0" w:color="auto"/>
        <w:bottom w:val="none" w:sz="0" w:space="0" w:color="auto"/>
        <w:right w:val="none" w:sz="0" w:space="0" w:color="auto"/>
      </w:divBdr>
    </w:div>
    <w:div w:id="2114283230">
      <w:bodyDiv w:val="1"/>
      <w:marLeft w:val="0"/>
      <w:marRight w:val="0"/>
      <w:marTop w:val="0"/>
      <w:marBottom w:val="0"/>
      <w:divBdr>
        <w:top w:val="none" w:sz="0" w:space="0" w:color="auto"/>
        <w:left w:val="none" w:sz="0" w:space="0" w:color="auto"/>
        <w:bottom w:val="none" w:sz="0" w:space="0" w:color="auto"/>
        <w:right w:val="none" w:sz="0" w:space="0" w:color="auto"/>
      </w:divBdr>
      <w:divsChild>
        <w:div w:id="555900654">
          <w:marLeft w:val="0"/>
          <w:marRight w:val="0"/>
          <w:marTop w:val="0"/>
          <w:marBottom w:val="0"/>
          <w:divBdr>
            <w:top w:val="none" w:sz="0" w:space="0" w:color="auto"/>
            <w:left w:val="none" w:sz="0" w:space="0" w:color="auto"/>
            <w:bottom w:val="none" w:sz="0" w:space="0" w:color="auto"/>
            <w:right w:val="none" w:sz="0" w:space="0" w:color="auto"/>
          </w:divBdr>
          <w:divsChild>
            <w:div w:id="1910269756">
              <w:marLeft w:val="0"/>
              <w:marRight w:val="0"/>
              <w:marTop w:val="0"/>
              <w:marBottom w:val="0"/>
              <w:divBdr>
                <w:top w:val="none" w:sz="0" w:space="0" w:color="auto"/>
                <w:left w:val="none" w:sz="0" w:space="0" w:color="auto"/>
                <w:bottom w:val="none" w:sz="0" w:space="0" w:color="auto"/>
                <w:right w:val="none" w:sz="0" w:space="0" w:color="auto"/>
              </w:divBdr>
              <w:divsChild>
                <w:div w:id="195508177">
                  <w:marLeft w:val="0"/>
                  <w:marRight w:val="0"/>
                  <w:marTop w:val="0"/>
                  <w:marBottom w:val="0"/>
                  <w:divBdr>
                    <w:top w:val="none" w:sz="0" w:space="0" w:color="auto"/>
                    <w:left w:val="none" w:sz="0" w:space="0" w:color="auto"/>
                    <w:bottom w:val="none" w:sz="0" w:space="0" w:color="auto"/>
                    <w:right w:val="none" w:sz="0" w:space="0" w:color="auto"/>
                  </w:divBdr>
                  <w:divsChild>
                    <w:div w:id="200110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27.png"/><Relationship Id="rId21" Type="http://schemas.openxmlformats.org/officeDocument/2006/relationships/image" Target="media/image14.png"/><Relationship Id="rId34" Type="http://schemas.openxmlformats.org/officeDocument/2006/relationships/hyperlink" Target="http://www.cundinamarca.gov.co/)17" TargetMode="External"/><Relationship Id="rId42" Type="http://schemas.openxmlformats.org/officeDocument/2006/relationships/image" Target="media/image29.png"/><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yperlink" Target="https://colombiacompra.coupahost.com/order_headers" TargetMode="External"/><Relationship Id="rId37" Type="http://schemas.openxmlformats.org/officeDocument/2006/relationships/hyperlink" Target="http://actosadministrativos.ramajudicial.gov.co/GetFile.ashx?url=%7e%2fApp_Data%2fUpload%2fPSAA16-10560.pdf" TargetMode="External"/><Relationship Id="rId40" Type="http://schemas.openxmlformats.org/officeDocument/2006/relationships/hyperlink" Target="https://siis.ia.supersociedades.gov.co/"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5.png"/><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hyperlink" Target="https://colombiacompra.coupahost.com/user/hom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app.powerbi.com/view?r=eyJrIjoiMGY4MWZmZmUtNGJlYy00YTBlLTgzYmYtZGE2NGRkZDA1YTJlIiwidCI6IjdiMDkwNDFlLTI0NTEtNDlkMC04Y2IxLTc5ZDVlM2Q4YzFiZSIsImMiOjR9&amp;pageName=ReportSection17ad17361e56dd6a009c" TargetMode="External"/><Relationship Id="rId35" Type="http://schemas.openxmlformats.org/officeDocument/2006/relationships/hyperlink" Target="http://www.cundinamarca.gov.co/)17" TargetMode="External"/><Relationship Id="rId43" Type="http://schemas.openxmlformats.org/officeDocument/2006/relationships/hyperlink" Target="https://siis.ia.supersociedades.gov.co/"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4.png"/><Relationship Id="rId38" Type="http://schemas.openxmlformats.org/officeDocument/2006/relationships/image" Target="media/image26.png"/><Relationship Id="rId46" Type="http://schemas.openxmlformats.org/officeDocument/2006/relationships/footer" Target="footer1.xml"/><Relationship Id="rId20" Type="http://schemas.openxmlformats.org/officeDocument/2006/relationships/image" Target="media/image13.jpeg"/><Relationship Id="rId41" Type="http://schemas.openxmlformats.org/officeDocument/2006/relationships/image" Target="media/image28.png"/><Relationship Id="rId1" Type="http://schemas.openxmlformats.org/officeDocument/2006/relationships/customXml" Target="../customXml/item1.xml"/><Relationship Id="rId6"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image" Target="media/image33.png"/><Relationship Id="rId2" Type="http://schemas.openxmlformats.org/officeDocument/2006/relationships/image" Target="media/image32.png"/><Relationship Id="rId1" Type="http://schemas.openxmlformats.org/officeDocument/2006/relationships/image" Target="media/image31.png"/><Relationship Id="rId4" Type="http://schemas.openxmlformats.org/officeDocument/2006/relationships/image" Target="media/image34.png"/></Relationships>
</file>

<file path=word/_rels/footer2.xml.rels><?xml version="1.0" encoding="UTF-8" standalone="yes"?>
<Relationships xmlns="http://schemas.openxmlformats.org/package/2006/relationships"><Relationship Id="rId1" Type="http://schemas.openxmlformats.org/officeDocument/2006/relationships/image" Target="media/image35.png"/></Relationships>
</file>

<file path=word/_rels/footnotes.xml.rels><?xml version="1.0" encoding="UTF-8" standalone="yes"?>
<Relationships xmlns="http://schemas.openxmlformats.org/package/2006/relationships"><Relationship Id="rId2" Type="http://schemas.openxmlformats.org/officeDocument/2006/relationships/hyperlink" Target="https://www.dane.gov.co/files/operaciones/IPC/bol-IPC-may2023.pdf" TargetMode="External"/><Relationship Id="rId1" Type="http://schemas.openxmlformats.org/officeDocument/2006/relationships/hyperlink" Target="https://www.colombiacompra.gov.co/sites/cce_public/files/cce_tienda_virtual/cce-gad-gi-30_guia_compras_estandarizadas_grandes_almacenes_v1_04-10-2022_2.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0.jpeg"/></Relationships>
</file>

<file path=word/_rels/header2.xml.rels><?xml version="1.0" encoding="UTF-8" standalone="yes"?>
<Relationships xmlns="http://schemas.openxmlformats.org/package/2006/relationships"><Relationship Id="rId1"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506D38-5144-4C9F-A5E5-8E5904AC2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36</Pages>
  <Words>13958</Words>
  <Characters>76770</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90547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subject/>
  <dc:creator>CSJ</dc:creator>
  <cp:keywords/>
  <cp:lastModifiedBy>anamilena pacheco quintero</cp:lastModifiedBy>
  <cp:revision>7</cp:revision>
  <cp:lastPrinted>2021-02-26T20:52:00Z</cp:lastPrinted>
  <dcterms:created xsi:type="dcterms:W3CDTF">2023-10-12T13:34:00Z</dcterms:created>
  <dcterms:modified xsi:type="dcterms:W3CDTF">2023-10-13T19:41:00Z</dcterms:modified>
</cp:coreProperties>
</file>