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71281" w14:textId="62C8E729"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6CA73E3A"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BRT (por sus siglas en inglés Bus Rapid Transit)-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Engineering, Procurement and Construction):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w:t>
      </w:r>
      <w:r w:rsidRPr="00557F3B">
        <w:rPr>
          <w:rFonts w:asciiTheme="minorHAnsi" w:hAnsiTheme="minorHAnsi" w:cstheme="minorHAnsi"/>
          <w:bCs/>
          <w:sz w:val="20"/>
          <w:szCs w:val="20"/>
          <w:lang w:val="es-CO"/>
        </w:rPr>
        <w:lastRenderedPageBreak/>
        <w:t xml:space="preserve">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lastRenderedPageBreak/>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Franjas de espacio público construido, paralelas a las calzadas vehiculares de las vías públicas, destinadas al tránsito de peatones, personas con movilidad reducida y en algunos casos de ciclous</w:t>
      </w:r>
      <w:r w:rsidR="006C6BDA">
        <w:rPr>
          <w:rFonts w:cstheme="minorHAnsi"/>
          <w:bCs/>
          <w:sz w:val="20"/>
          <w:szCs w:val="20"/>
          <w:lang w:val="es-CO"/>
        </w:rPr>
        <w:t>u</w:t>
      </w:r>
      <w:r w:rsidRPr="00557F3B">
        <w:rPr>
          <w:rFonts w:cstheme="minorHAnsi"/>
          <w:bCs/>
          <w:sz w:val="20"/>
          <w:szCs w:val="20"/>
          <w:lang w:val="es-CO"/>
        </w:rPr>
        <w:t>arios.</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w:t>
      </w:r>
      <w:r w:rsidRPr="00557F3B">
        <w:rPr>
          <w:rFonts w:asciiTheme="minorHAnsi" w:hAnsiTheme="minorHAnsi" w:cstheme="minorHAnsi"/>
          <w:bCs/>
          <w:sz w:val="20"/>
          <w:szCs w:val="20"/>
          <w:lang w:val="es-CO"/>
        </w:rPr>
        <w:lastRenderedPageBreak/>
        <w:t xml:space="preserve">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7BD5A75"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69343B"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sidR="006934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(Cutter Suction Dredger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Draga de Arrastre de Succión con Tolva (TSHD – Trailing Suction Hopper dredger):</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w:t>
      </w:r>
      <w:r w:rsidRPr="00557F3B">
        <w:rPr>
          <w:rFonts w:asciiTheme="minorHAnsi" w:hAnsiTheme="minorHAnsi" w:cstheme="minorBidi"/>
          <w:sz w:val="20"/>
          <w:szCs w:val="20"/>
          <w:lang w:val="es-CO" w:eastAsia="es-CO"/>
        </w:rPr>
        <w:lastRenderedPageBreak/>
        <w:t xml:space="preserve">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3AF32505" w14:textId="017DE547" w:rsidR="00FA3271" w:rsidRPr="00FA3271" w:rsidRDefault="00CA5D45" w:rsidP="00FA3271">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74707A5" w14:textId="2D883AD6" w:rsidR="00FA3271" w:rsidRPr="00FA3271" w:rsidRDefault="00FA3271" w:rsidP="00CA5D45">
      <w:pPr>
        <w:pStyle w:val="Invias-VietaNumerada"/>
        <w:numPr>
          <w:ilvl w:val="1"/>
          <w:numId w:val="22"/>
        </w:numPr>
        <w:autoSpaceDE w:val="0"/>
        <w:autoSpaceDN w:val="0"/>
        <w:adjustRightInd w:val="0"/>
        <w:spacing w:before="0" w:after="0"/>
        <w:ind w:left="851" w:hanging="567"/>
        <w:rPr>
          <w:rFonts w:asciiTheme="majorHAnsi" w:hAnsiTheme="majorHAnsi" w:cstheme="majorHAnsi"/>
          <w:color w:val="000000"/>
          <w:sz w:val="20"/>
          <w:szCs w:val="20"/>
          <w:lang w:val="es-CO"/>
        </w:rPr>
      </w:pPr>
      <w:r w:rsidRPr="00FA3271">
        <w:rPr>
          <w:rFonts w:asciiTheme="majorHAnsi" w:hAnsiTheme="majorHAnsi" w:cstheme="majorHAnsi"/>
          <w:b/>
          <w:bCs/>
          <w:color w:val="000000"/>
          <w:sz w:val="20"/>
          <w:szCs w:val="20"/>
          <w:lang w:val="es-CO"/>
        </w:rPr>
        <w:t>Equipos ITS:</w:t>
      </w:r>
      <w:r w:rsidRPr="00FA3271">
        <w:rPr>
          <w:rFonts w:asciiTheme="majorHAnsi" w:hAnsiTheme="majorHAnsi" w:cstheme="majorHAnsi"/>
          <w:color w:val="000000"/>
          <w:sz w:val="20"/>
          <w:szCs w:val="20"/>
          <w:lang w:val="es-CO"/>
        </w:rPr>
        <w:t xml:space="preserve"> (Intelligent Transportation System) o sistemas inteligentes de transporte, se refiere a todos los sistemas, aplicaciones y equipos para la gestión, control y monitoreo de tráfico, los cuales permiten informar, hacer más seguro y coordinado el uso de la infraestructura de transporte vial para los usuarios.</w:t>
      </w:r>
    </w:p>
    <w:p w14:paraId="5E45E321" w14:textId="77777777" w:rsidR="00FA3271" w:rsidRPr="00FA3271" w:rsidRDefault="00FA3271" w:rsidP="00FA3271">
      <w:pPr>
        <w:rPr>
          <w:lang w:val="es-CO" w:eastAsia="es-ES"/>
        </w:rPr>
      </w:pPr>
    </w:p>
    <w:p w14:paraId="30856AB7" w14:textId="0C9E7DA6"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lastRenderedPageBreak/>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B80D866"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E94545" w:rsidRPr="00E94545">
        <w:rPr>
          <w:rFonts w:asciiTheme="minorHAnsi" w:hAnsiTheme="minorHAnsi" w:cstheme="minorHAnsi"/>
          <w:sz w:val="20"/>
          <w:lang w:val="es-CO"/>
        </w:rPr>
        <w:t>Persona que se dedica a una determinada ciencia, arte o técnica y hace parte del Personal Clave Evaluable del proceso</w:t>
      </w:r>
      <w:r w:rsidR="00E94545">
        <w:rPr>
          <w:rFonts w:asciiTheme="minorHAnsi" w:hAnsiTheme="minorHAnsi" w:cstheme="minorHAnsi"/>
          <w:sz w:val="20"/>
          <w:lang w:val="es-CO"/>
        </w:rPr>
        <w:t>.</w:t>
      </w:r>
      <w:r w:rsidR="00E317DC">
        <w:rPr>
          <w:rFonts w:asciiTheme="minorHAnsi" w:hAnsiTheme="minorHAnsi" w:cstheme="minorHAnsi"/>
          <w:sz w:val="20"/>
          <w:lang w:val="es-CO"/>
        </w:rPr>
        <w:t xml:space="preserve"> </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w:t>
      </w:r>
      <w:r w:rsidRPr="00557F3B">
        <w:rPr>
          <w:rFonts w:asciiTheme="minorHAnsi" w:hAnsiTheme="minorHAnsi" w:cstheme="minorHAnsi"/>
          <w:bCs/>
          <w:sz w:val="20"/>
          <w:szCs w:val="20"/>
          <w:lang w:val="es-CO"/>
        </w:rPr>
        <w:lastRenderedPageBreak/>
        <w:t>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650DEA28" w14:textId="02385A2F" w:rsidR="00FA3271" w:rsidRPr="00FA3271" w:rsidRDefault="00FA3271" w:rsidP="00FA3271">
      <w:pPr>
        <w:pStyle w:val="Invias-VietaNumerada"/>
        <w:numPr>
          <w:ilvl w:val="1"/>
          <w:numId w:val="22"/>
        </w:numPr>
        <w:autoSpaceDE w:val="0"/>
        <w:autoSpaceDN w:val="0"/>
        <w:adjustRightInd w:val="0"/>
        <w:spacing w:before="0" w:after="0"/>
        <w:ind w:left="851" w:hanging="567"/>
        <w:rPr>
          <w:rFonts w:asciiTheme="majorHAnsi" w:hAnsiTheme="majorHAnsi" w:cstheme="majorHAnsi"/>
          <w:sz w:val="20"/>
          <w:szCs w:val="20"/>
          <w:lang w:val="es-CO"/>
        </w:rPr>
      </w:pPr>
      <w:r w:rsidRPr="00FA3271">
        <w:rPr>
          <w:rFonts w:asciiTheme="majorHAnsi" w:hAnsiTheme="majorHAnsi" w:cstheme="majorHAnsi"/>
          <w:b/>
          <w:bCs/>
          <w:color w:val="000000"/>
          <w:sz w:val="20"/>
          <w:szCs w:val="20"/>
          <w:lang w:val="es-CO"/>
        </w:rPr>
        <w:t>Instalación de equipos electromecánicos:</w:t>
      </w:r>
      <w:r w:rsidRPr="00FA3271">
        <w:rPr>
          <w:rFonts w:asciiTheme="majorHAnsi" w:hAnsiTheme="majorHAnsi" w:cstheme="majorHAnsi"/>
          <w:color w:val="000000"/>
          <w:sz w:val="20"/>
          <w:szCs w:val="20"/>
          <w:lang w:val="es-CO"/>
        </w:rPr>
        <w:t xml:space="preserve"> se refiere a las actividades de adecuación de equipos ITS, sistemas eléctricos de potencia, control y sistemas contra incendio presente en el corredor vial.</w:t>
      </w:r>
    </w:p>
    <w:p w14:paraId="5DB74B39" w14:textId="77777777" w:rsidR="00FA3271" w:rsidRPr="00FA3271" w:rsidRDefault="00FA3271" w:rsidP="00FA3271">
      <w:pPr>
        <w:pStyle w:val="Invias-VietaNumerada"/>
        <w:autoSpaceDE w:val="0"/>
        <w:autoSpaceDN w:val="0"/>
        <w:adjustRightInd w:val="0"/>
        <w:spacing w:before="0" w:after="0"/>
        <w:rPr>
          <w:rFonts w:asciiTheme="minorHAnsi" w:hAnsiTheme="minorHAnsi" w:cstheme="minorHAnsi"/>
          <w:sz w:val="20"/>
          <w:szCs w:val="20"/>
          <w:lang w:val="es-CO"/>
        </w:rPr>
      </w:pPr>
    </w:p>
    <w:p w14:paraId="71310F01" w14:textId="2B6BB2CE"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573571B"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364A8E40" w14:textId="77777777" w:rsidR="002F5AD6" w:rsidRPr="00B96D56" w:rsidRDefault="002F5AD6" w:rsidP="002F5AD6">
      <w:pPr>
        <w:pStyle w:val="Invias-VietaNumerada"/>
        <w:numPr>
          <w:ilvl w:val="1"/>
          <w:numId w:val="2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FA3271">
        <w:rPr>
          <w:rFonts w:asciiTheme="majorHAnsi" w:hAnsiTheme="majorHAnsi" w:cstheme="majorHAnsi"/>
          <w:sz w:val="20"/>
          <w:szCs w:val="20"/>
          <w:lang w:val="es-CO"/>
        </w:rPr>
        <w:t xml:space="preserve">Etapa donde se realizan las actividades relacionadas con el adecuado funcionamiento del túnel. Para ello, se deben administrar y controlar los sistemas electromecánicos, de seguridad y emergencia diseñados para la estructura. También se deben ejecutar las actividades rutinarias de mantenimiento, de tal manera que en la medida de lo posible garanticen la vida útil del proyecto que fue concebido y diseñado. Se debe dar a conocer la metodología del proceso de seguimiento, control y monitoreo de los </w:t>
      </w:r>
      <w:r w:rsidRPr="00FA3271">
        <w:rPr>
          <w:rFonts w:asciiTheme="majorHAnsi" w:hAnsiTheme="majorHAnsi" w:cstheme="majorHAnsi"/>
          <w:sz w:val="20"/>
          <w:szCs w:val="20"/>
          <w:lang w:val="es-CO"/>
        </w:rPr>
        <w:lastRenderedPageBreak/>
        <w:t>programas, planes y actividades establecidos por las medidas ambientales a que haya lugar durante la operación y/o el mantenimiento.</w:t>
      </w:r>
    </w:p>
    <w:p w14:paraId="02E56B1B" w14:textId="77777777" w:rsidR="002F5AD6" w:rsidRPr="002F5AD6" w:rsidRDefault="002F5AD6" w:rsidP="002F5AD6">
      <w:pPr>
        <w:pStyle w:val="Invias-VietaNumerada"/>
        <w:autoSpaceDE w:val="0"/>
        <w:autoSpaceDN w:val="0"/>
        <w:adjustRightInd w:val="0"/>
        <w:spacing w:before="0" w:after="0"/>
        <w:ind w:left="851"/>
        <w:rPr>
          <w:rFonts w:asciiTheme="minorHAnsi" w:hAnsiTheme="minorHAnsi" w:cstheme="minorHAnsi"/>
          <w:sz w:val="20"/>
          <w:szCs w:val="20"/>
          <w:lang w:val="es-CO"/>
        </w:rPr>
      </w:pPr>
    </w:p>
    <w:p w14:paraId="2380D435" w14:textId="50590A1A"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lastRenderedPageBreak/>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57DD661A"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036DBE"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sidR="00036DBE">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w:t>
      </w:r>
      <w:r w:rsidRPr="00557F3B">
        <w:rPr>
          <w:rFonts w:asciiTheme="minorHAnsi" w:hAnsiTheme="minorHAnsi" w:cstheme="minorBidi"/>
          <w:sz w:val="20"/>
          <w:szCs w:val="20"/>
          <w:lang w:val="es-CO"/>
        </w:rPr>
        <w:lastRenderedPageBreak/>
        <w:t>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Obras que propenden por la recuperación de las condiciones de estabilidad iniciales, con el fin de restablecer la transitabilidad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lastRenderedPageBreak/>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7F9AE0E"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004F039B">
        <w:rPr>
          <w:rFonts w:asciiTheme="minorHAnsi" w:hAnsiTheme="minorHAnsi" w:cstheme="minorHAnsi"/>
          <w:bCs/>
          <w:sz w:val="20"/>
          <w:szCs w:val="20"/>
          <w:lang w:val="es-CO"/>
        </w:rPr>
        <w:t xml:space="preserve"> </w:t>
      </w:r>
      <w:r w:rsidR="004F039B" w:rsidRPr="004F039B">
        <w:rPr>
          <w:rFonts w:asciiTheme="minorHAnsi" w:hAnsiTheme="minorHAnsi" w:cstheme="minorHAnsi"/>
          <w:bCs/>
          <w:sz w:val="20"/>
          <w:szCs w:val="20"/>
          <w:lang w:val="es-CO"/>
        </w:rPr>
        <w:t>Es el Profesional encargado de efectuar el control de la ejecución de las obras por parte de la Interventoría, velando por el cabal cumplimiento de lo  preceptuado  en  los  documentos  del  proyecto  de  Obra  Pública,  especificaciones técnicas, planos y documentación técnica aplicable, así como las demás funciones inherentes  a  su  cargo  de  acuerdo  con  la  naturaleza  y  alcance  del  contrato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43A51BA7" w:rsidR="006B0B66"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0DEE5FE7" w14:textId="03B4CBF4" w:rsidR="00C70ACE" w:rsidRPr="00C70ACE" w:rsidRDefault="00C70ACE" w:rsidP="00C70ACE">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C70ACE">
        <w:rPr>
          <w:rFonts w:ascii="Arial" w:hAnsi="Arial" w:cs="Arial"/>
          <w:b/>
          <w:bCs/>
          <w:sz w:val="20"/>
          <w:szCs w:val="20"/>
          <w:lang w:val="es-CO"/>
        </w:rPr>
        <w:t>Servicio de atención al usuario en la vía - SAU:</w:t>
      </w:r>
      <w:r w:rsidRPr="00C70AC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transitabilidad en el mismo. Dentro de las actividades alcance del servicio de atención al usuario en la vía – SAU, corresponde a la atención de accidentes de Transito,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 </w:t>
      </w:r>
    </w:p>
    <w:p w14:paraId="215AC581" w14:textId="77777777" w:rsidR="00D05C61" w:rsidRPr="00D05C61" w:rsidRDefault="00D05C6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p>
    <w:p w14:paraId="11A5B181" w14:textId="4C310C0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lastRenderedPageBreak/>
        <w:t>Sistemas contra incendio</w:t>
      </w:r>
      <w:r w:rsidRPr="00D05C61">
        <w:rPr>
          <w:rFonts w:asciiTheme="majorHAnsi" w:hAnsiTheme="majorHAnsi" w:cstheme="majorHAnsi"/>
          <w:color w:val="000000"/>
          <w:sz w:val="20"/>
          <w:szCs w:val="20"/>
          <w:lang w:val="es-CO"/>
        </w:rPr>
        <w:t>: todos los elementos para la prevención, identificación y extinción del fuego.</w:t>
      </w:r>
    </w:p>
    <w:p w14:paraId="0C2D8A39" w14:textId="132FAC83" w:rsidR="00D05C61" w:rsidRPr="00D05C61" w:rsidRDefault="00D05C61" w:rsidP="00D05C61">
      <w:pPr>
        <w:pStyle w:val="Invias-VietaNumerada"/>
        <w:numPr>
          <w:ilvl w:val="1"/>
          <w:numId w:val="22"/>
        </w:numPr>
        <w:autoSpaceDE w:val="0"/>
        <w:autoSpaceDN w:val="0"/>
        <w:adjustRightInd w:val="0"/>
        <w:spacing w:before="120" w:after="240"/>
        <w:ind w:hanging="568"/>
        <w:rPr>
          <w:rFonts w:asciiTheme="majorHAnsi" w:hAnsiTheme="majorHAnsi" w:cstheme="majorHAnsi"/>
          <w:color w:val="000000"/>
          <w:sz w:val="20"/>
          <w:szCs w:val="20"/>
          <w:lang w:val="es-CO"/>
        </w:rPr>
      </w:pPr>
      <w:r w:rsidRPr="00D05C61">
        <w:rPr>
          <w:rFonts w:asciiTheme="majorHAnsi" w:hAnsiTheme="majorHAnsi" w:cstheme="majorHAnsi"/>
          <w:b/>
          <w:bCs/>
          <w:color w:val="000000"/>
          <w:sz w:val="20"/>
          <w:szCs w:val="20"/>
          <w:lang w:val="es-CO"/>
        </w:rPr>
        <w:t>Sistemas de control:</w:t>
      </w:r>
      <w:r w:rsidRPr="00D05C61">
        <w:rPr>
          <w:rFonts w:asciiTheme="majorHAnsi" w:hAnsiTheme="majorHAnsi" w:cstheme="majorHAnsi"/>
          <w:color w:val="000000"/>
          <w:sz w:val="20"/>
          <w:szCs w:val="20"/>
          <w:lang w:val="es-CO"/>
        </w:rPr>
        <w:t xml:space="preserve"> se refiere a todos los sistemas, aplicaciones y equipos encargados de ordenar, administrar o regular el comportamiento de subsistemas de comunicación para prevenir posibles fallos y obtener datos confiables para una gestión oportuna y eficiente.</w:t>
      </w:r>
    </w:p>
    <w:p w14:paraId="52A2B60D" w14:textId="0F8E146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eléctricos de potencia:</w:t>
      </w:r>
      <w:r w:rsidRPr="00D05C61">
        <w:rPr>
          <w:rFonts w:asciiTheme="majorHAnsi" w:hAnsiTheme="majorHAnsi" w:cstheme="majorHAnsi"/>
          <w:color w:val="000000"/>
          <w:sz w:val="20"/>
          <w:szCs w:val="20"/>
          <w:lang w:val="es-CO"/>
        </w:rPr>
        <w:t xml:space="preserve"> se refiere a todos los equipos que permiten el suministro de energía eléctrica a las cargas instaladas en el corredor via</w:t>
      </w:r>
    </w:p>
    <w:p w14:paraId="1DF843E0" w14:textId="71E0A83A"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CA818C9" w14:textId="77777777" w:rsid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C63E6DF">
        <w:rPr>
          <w:rFonts w:asciiTheme="minorHAnsi" w:hAnsiTheme="minorHAnsi" w:cstheme="minorBidi"/>
          <w:b/>
          <w:sz w:val="20"/>
          <w:szCs w:val="20"/>
          <w:lang w:val="es-CO"/>
        </w:rPr>
        <w:t xml:space="preserve">Transporte Fluvial: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r>
        <w:rPr>
          <w:rFonts w:asciiTheme="minorHAnsi" w:hAnsiTheme="minorHAnsi" w:cstheme="minorBidi"/>
          <w:sz w:val="20"/>
          <w:szCs w:val="20"/>
          <w:lang w:val="es-CO"/>
        </w:rPr>
        <w:t>}</w:t>
      </w:r>
    </w:p>
    <w:p w14:paraId="6F53C193" w14:textId="0C3034EB" w:rsidR="000E0265" w:rsidRP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887269">
        <w:rPr>
          <w:b/>
          <w:bCs/>
          <w:lang w:val="es-CO"/>
        </w:rPr>
        <w:t>Túnel vial:</w:t>
      </w:r>
      <w:r w:rsidRPr="00887269">
        <w:rPr>
          <w:lang w:val="es-CO"/>
        </w:rPr>
        <w:t xml:space="preserve"> Obra subterránea de carácter lineal que comunica dos puntos para el transporte de personas o carga. </w:t>
      </w:r>
      <w:r w:rsidRPr="00887269">
        <w:rPr>
          <w:i/>
          <w:iCs/>
          <w:sz w:val="16"/>
          <w:szCs w:val="16"/>
          <w:lang w:val="es-CO"/>
        </w:rPr>
        <w:t>(Fuente: Manual para el diseño, construcción, operación y mantenimiento de túneles de carretera para Colombia 2021)</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lastRenderedPageBreak/>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00ECC40F" w:rsidR="00F70C8B"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p w14:paraId="69FEC573" w14:textId="5CFBD13C" w:rsidR="000E0265" w:rsidRDefault="000E0265" w:rsidP="000E026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0E0265">
        <w:rPr>
          <w:rFonts w:asciiTheme="minorHAnsi" w:hAnsiTheme="minorHAnsi" w:cstheme="minorHAnsi"/>
          <w:b/>
          <w:bCs/>
          <w:sz w:val="20"/>
          <w:szCs w:val="20"/>
          <w:lang w:val="es-CO"/>
        </w:rPr>
        <w:t>Nota</w:t>
      </w:r>
      <w:r w:rsidR="00AF3A1D">
        <w:rPr>
          <w:rFonts w:asciiTheme="minorHAnsi" w:hAnsiTheme="minorHAnsi" w:cstheme="minorHAnsi"/>
          <w:b/>
          <w:bCs/>
          <w:sz w:val="20"/>
          <w:szCs w:val="20"/>
          <w:lang w:val="es-CO"/>
        </w:rPr>
        <w:t xml:space="preserve"> 1</w:t>
      </w:r>
      <w:r w:rsidR="00C66923">
        <w:rPr>
          <w:rFonts w:asciiTheme="minorHAnsi" w:hAnsiTheme="minorHAnsi" w:cstheme="minorHAnsi"/>
          <w:b/>
          <w:bCs/>
          <w:sz w:val="20"/>
          <w:szCs w:val="20"/>
          <w:lang w:val="es-CO"/>
        </w:rPr>
        <w:t>:</w:t>
      </w:r>
      <w:r w:rsidRPr="000E0265">
        <w:rPr>
          <w:rFonts w:asciiTheme="minorHAnsi" w:hAnsiTheme="minorHAnsi" w:cstheme="minorHAnsi"/>
          <w:sz w:val="20"/>
          <w:szCs w:val="20"/>
          <w:lang w:val="es-CO"/>
        </w:rPr>
        <w:t xml:space="preserve"> las definiciones indicadas frente al anexo técnico en cuanto a la infraestructura del túnel y sus equipamientos son las contempladas en el Manual para el diseño, construcción, operación y mantenimiento de túneles de carretera para Colombia 2021.</w:t>
      </w:r>
    </w:p>
    <w:p w14:paraId="0D862A69" w14:textId="3E656A80" w:rsidR="00AF3A1D" w:rsidRPr="00AF3A1D" w:rsidRDefault="00AF3A1D" w:rsidP="00AF3A1D">
      <w:pPr>
        <w:ind w:left="851"/>
        <w:jc w:val="both"/>
        <w:rPr>
          <w:rFonts w:eastAsia="Times New Roman" w:cstheme="minorHAnsi"/>
          <w:sz w:val="20"/>
          <w:szCs w:val="20"/>
          <w:lang w:val="es-CO" w:eastAsia="es-ES"/>
        </w:rPr>
      </w:pPr>
      <w:commentRangeStart w:id="1"/>
      <w:r w:rsidRPr="00AF3A1D">
        <w:rPr>
          <w:rFonts w:eastAsia="Times New Roman" w:cstheme="minorHAnsi"/>
          <w:b/>
          <w:bCs/>
          <w:sz w:val="20"/>
          <w:szCs w:val="20"/>
          <w:lang w:val="es-CO" w:eastAsia="es-ES"/>
        </w:rPr>
        <w:t>Nota 2:</w:t>
      </w:r>
      <w:r>
        <w:rPr>
          <w:rFonts w:eastAsia="Times New Roman" w:cstheme="minorHAnsi"/>
          <w:sz w:val="20"/>
          <w:szCs w:val="20"/>
          <w:lang w:val="es-CO" w:eastAsia="es-ES"/>
        </w:rPr>
        <w:t xml:space="preserve"> Las obras relacionadas </w:t>
      </w:r>
      <w:r w:rsidR="009A31A1">
        <w:rPr>
          <w:rFonts w:eastAsia="Times New Roman" w:cstheme="minorHAnsi"/>
          <w:sz w:val="20"/>
          <w:szCs w:val="20"/>
          <w:lang w:val="es-CO" w:eastAsia="es-ES"/>
        </w:rPr>
        <w:t>en los procesos producto del programa CAMINOS COMUNITARIOS DE LA PAZ TOTAL,</w:t>
      </w:r>
      <w:r>
        <w:rPr>
          <w:rFonts w:eastAsia="Times New Roman" w:cstheme="minorHAnsi"/>
          <w:sz w:val="20"/>
          <w:szCs w:val="20"/>
          <w:lang w:val="es-CO" w:eastAsia="es-ES"/>
        </w:rPr>
        <w:t xml:space="preserve"> obedecen a l</w:t>
      </w:r>
      <w:r w:rsidR="009A31A1">
        <w:rPr>
          <w:rFonts w:eastAsia="Times New Roman" w:cstheme="minorHAnsi"/>
          <w:sz w:val="20"/>
          <w:szCs w:val="20"/>
          <w:lang w:val="es-CO" w:eastAsia="es-ES"/>
        </w:rPr>
        <w:t>os mejoramientos o mantenimientos a realizar</w:t>
      </w:r>
      <w:r>
        <w:rPr>
          <w:rFonts w:eastAsia="Times New Roman" w:cstheme="minorHAnsi"/>
          <w:sz w:val="20"/>
          <w:szCs w:val="20"/>
          <w:lang w:val="es-CO" w:eastAsia="es-ES"/>
        </w:rPr>
        <w:t xml:space="preserve"> por las Juntas u organismos de acción comunal </w:t>
      </w:r>
      <w:r w:rsidR="009A31A1">
        <w:rPr>
          <w:rFonts w:eastAsia="Times New Roman" w:cstheme="minorHAnsi"/>
          <w:sz w:val="20"/>
          <w:szCs w:val="20"/>
          <w:lang w:val="es-CO" w:eastAsia="es-ES"/>
        </w:rPr>
        <w:t xml:space="preserve">OAC, </w:t>
      </w:r>
      <w:r>
        <w:rPr>
          <w:rFonts w:eastAsia="Times New Roman" w:cstheme="minorHAnsi"/>
          <w:sz w:val="20"/>
          <w:szCs w:val="20"/>
          <w:lang w:val="es-CO" w:eastAsia="es-ES"/>
        </w:rPr>
        <w:t xml:space="preserve">dentro del convenio solidario suscrito con la entidad. Por lo anterior, en caso de que los documentos haga énfasis a contratista de obra o contrato de obra, para </w:t>
      </w:r>
      <w:r w:rsidR="009A31A1">
        <w:rPr>
          <w:rFonts w:eastAsia="Times New Roman" w:cstheme="minorHAnsi"/>
          <w:sz w:val="20"/>
          <w:szCs w:val="20"/>
          <w:lang w:val="es-CO" w:eastAsia="es-ES"/>
        </w:rPr>
        <w:t>los procesos de dicho programa, los mismos</w:t>
      </w:r>
      <w:r>
        <w:rPr>
          <w:rFonts w:eastAsia="Times New Roman" w:cstheme="minorHAnsi"/>
          <w:sz w:val="20"/>
          <w:szCs w:val="20"/>
          <w:lang w:val="es-CO" w:eastAsia="es-ES"/>
        </w:rPr>
        <w:t xml:space="preserve"> hace</w:t>
      </w:r>
      <w:r w:rsidR="009A31A1">
        <w:rPr>
          <w:rFonts w:eastAsia="Times New Roman" w:cstheme="minorHAnsi"/>
          <w:sz w:val="20"/>
          <w:szCs w:val="20"/>
          <w:lang w:val="es-CO" w:eastAsia="es-ES"/>
        </w:rPr>
        <w:t>n</w:t>
      </w:r>
      <w:r>
        <w:rPr>
          <w:rFonts w:eastAsia="Times New Roman" w:cstheme="minorHAnsi"/>
          <w:sz w:val="20"/>
          <w:szCs w:val="20"/>
          <w:lang w:val="es-CO" w:eastAsia="es-ES"/>
        </w:rPr>
        <w:t xml:space="preserve"> relación a la junta u </w:t>
      </w:r>
      <w:r w:rsidR="009A31A1">
        <w:rPr>
          <w:rFonts w:eastAsia="Times New Roman" w:cstheme="minorHAnsi"/>
          <w:sz w:val="20"/>
          <w:szCs w:val="20"/>
          <w:lang w:val="es-CO" w:eastAsia="es-ES"/>
        </w:rPr>
        <w:t>OAC</w:t>
      </w:r>
      <w:r>
        <w:rPr>
          <w:rFonts w:eastAsia="Times New Roman" w:cstheme="minorHAnsi"/>
          <w:sz w:val="20"/>
          <w:szCs w:val="20"/>
          <w:lang w:val="es-CO" w:eastAsia="es-ES"/>
        </w:rPr>
        <w:t xml:space="preserve"> o convenio solidari</w:t>
      </w:r>
      <w:commentRangeEnd w:id="1"/>
      <w:r w:rsidR="009A31A1">
        <w:rPr>
          <w:rFonts w:eastAsia="Times New Roman" w:cstheme="minorHAnsi"/>
          <w:sz w:val="20"/>
          <w:szCs w:val="20"/>
          <w:lang w:val="es-CO" w:eastAsia="es-ES"/>
        </w:rPr>
        <w:t>o, objeto del presente concurso</w:t>
      </w:r>
      <w:r>
        <w:rPr>
          <w:rStyle w:val="Refdecomentario"/>
        </w:rPr>
        <w:commentReference w:id="1"/>
      </w:r>
      <w:r>
        <w:rPr>
          <w:rFonts w:eastAsia="Times New Roman" w:cstheme="minorHAnsi"/>
          <w:sz w:val="20"/>
          <w:szCs w:val="20"/>
          <w:lang w:val="es-CO" w:eastAsia="es-ES"/>
        </w:rPr>
        <w:t>.</w:t>
      </w:r>
    </w:p>
    <w:p w14:paraId="162A25F4" w14:textId="77777777" w:rsidR="000E0265" w:rsidRPr="00FA3271" w:rsidRDefault="000E0265" w:rsidP="000E0265">
      <w:pPr>
        <w:rPr>
          <w:lang w:eastAsia="es-ES"/>
        </w:rPr>
      </w:pPr>
    </w:p>
    <w:sectPr w:rsidR="000E0265" w:rsidRPr="00FA3271" w:rsidSect="0012182B">
      <w:headerReference w:type="default" r:id="rId15"/>
      <w:footerReference w:type="default" r:id="rId16"/>
      <w:headerReference w:type="first" r:id="rId17"/>
      <w:footerReference w:type="first" r:id="rId18"/>
      <w:pgSz w:w="12240" w:h="15840" w:code="1"/>
      <w:pgMar w:top="1418" w:right="1701" w:bottom="1418" w:left="1701" w:header="851" w:footer="851"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lejandro Sepulveda Buitrago" w:date="2023-10-13T14:26:00Z" w:initials="ASB">
    <w:p w14:paraId="16D2A5D5" w14:textId="77777777" w:rsidR="00AF3A1D" w:rsidRDefault="00AF3A1D" w:rsidP="00B11DEE">
      <w:pPr>
        <w:pStyle w:val="Textocomentario"/>
        <w:rPr>
          <w:lang w:val="es-CO"/>
        </w:rPr>
      </w:pPr>
      <w:r>
        <w:rPr>
          <w:rStyle w:val="Refdecomentario"/>
        </w:rPr>
        <w:annotationRef/>
      </w:r>
      <w:r>
        <w:rPr>
          <w:lang w:val="es-CO"/>
        </w:rPr>
        <w:t>SE INCLUYE NOTA PARA EL PROGRAMA.</w:t>
      </w:r>
    </w:p>
    <w:p w14:paraId="0EBE8869" w14:textId="77777777" w:rsidR="006C60D2" w:rsidRDefault="006C60D2" w:rsidP="00B11DEE">
      <w:pPr>
        <w:pStyle w:val="Textocomentario"/>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EBE88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D3D1FC" w16cex:dateUtc="2023-10-13T19: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BE8869" w16cid:durableId="28D3D1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37088" w14:textId="77777777" w:rsidR="00A70912" w:rsidRDefault="00A70912" w:rsidP="004F2C35">
      <w:r>
        <w:separator/>
      </w:r>
    </w:p>
  </w:endnote>
  <w:endnote w:type="continuationSeparator" w:id="0">
    <w:p w14:paraId="112D56D8" w14:textId="77777777" w:rsidR="00A70912" w:rsidRDefault="00A70912" w:rsidP="004F2C35">
      <w:r>
        <w:continuationSeparator/>
      </w:r>
    </w:p>
  </w:endnote>
  <w:endnote w:type="continuationNotice" w:id="1">
    <w:p w14:paraId="4B96F84A" w14:textId="77777777" w:rsidR="00A70912" w:rsidRDefault="00A709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47612" w14:textId="77777777" w:rsidR="00A70912" w:rsidRDefault="00A70912" w:rsidP="004F2C35">
      <w:r>
        <w:separator/>
      </w:r>
    </w:p>
  </w:footnote>
  <w:footnote w:type="continuationSeparator" w:id="0">
    <w:p w14:paraId="1AC5649E" w14:textId="77777777" w:rsidR="00A70912" w:rsidRDefault="00A70912" w:rsidP="004F2C35">
      <w:r>
        <w:continuationSeparator/>
      </w:r>
    </w:p>
  </w:footnote>
  <w:footnote w:type="continuationNotice" w:id="1">
    <w:p w14:paraId="3943E93F" w14:textId="77777777" w:rsidR="00A70912" w:rsidRDefault="00A70912"/>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171A03D8"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ejandro Sepulveda Buitrago">
    <w15:presenceInfo w15:providerId="AD" w15:userId="S::asepulveda@invias.gov.co::54728c4d-5221-42cd-8440-8a9bb13930f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36DBE"/>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A9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265"/>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5AD6"/>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7F1"/>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39B"/>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C7A6D"/>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776"/>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0547"/>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343B"/>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0D2"/>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64B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87269"/>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65E"/>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31A1"/>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0912"/>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A1D"/>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66923"/>
    <w:rsid w:val="00C70512"/>
    <w:rsid w:val="00C7091C"/>
    <w:rsid w:val="00C70ACE"/>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5C61"/>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34C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0BCD"/>
    <w:rsid w:val="00DD1F2A"/>
    <w:rsid w:val="00DE0EA0"/>
    <w:rsid w:val="00DE2141"/>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17DC"/>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545"/>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3271"/>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680495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9233</Words>
  <Characters>50784</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Alejandro Sepulveda Buitrago</cp:lastModifiedBy>
  <cp:revision>4</cp:revision>
  <cp:lastPrinted>2022-07-22T21:40:00Z</cp:lastPrinted>
  <dcterms:created xsi:type="dcterms:W3CDTF">2023-10-13T19:27:00Z</dcterms:created>
  <dcterms:modified xsi:type="dcterms:W3CDTF">2023-10-14T10:13:00Z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