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charts/chartEx4.xml" ContentType="application/vnd.ms-office.chartex+xml"/>
  <Override PartName="/word/charts/style4.xml" ContentType="application/vnd.ms-office.chartstyle+xml"/>
  <Override PartName="/word/charts/colors4.xml" ContentType="application/vnd.ms-office.chartcolorstyle+xml"/>
  <Override PartName="/word/charts/chartEx5.xml" ContentType="application/vnd.ms-office.chartex+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57DC5" w14:textId="77777777" w:rsidR="00430483" w:rsidRPr="006F5CA6" w:rsidRDefault="00430483" w:rsidP="00793EA5">
      <w:pPr>
        <w:jc w:val="center"/>
        <w:rPr>
          <w:rFonts w:ascii="Arial" w:eastAsia="Calibri" w:hAnsi="Arial" w:cs="Arial"/>
          <w:b/>
          <w:sz w:val="22"/>
          <w:szCs w:val="22"/>
          <w:lang w:val="es-CO" w:eastAsia="es-CO"/>
        </w:rPr>
      </w:pPr>
      <w:r w:rsidRPr="006F5CA6">
        <w:rPr>
          <w:rFonts w:ascii="Arial" w:eastAsia="Calibri" w:hAnsi="Arial" w:cs="Arial"/>
          <w:b/>
          <w:sz w:val="22"/>
          <w:szCs w:val="22"/>
          <w:lang w:val="es-CO" w:eastAsia="es-CO"/>
        </w:rPr>
        <w:t>ANÁLISIS ECONÓMICO DEL SECTOR</w:t>
      </w:r>
    </w:p>
    <w:p w14:paraId="37788279" w14:textId="337BE1EA" w:rsidR="00430483" w:rsidRPr="006F5CA6" w:rsidRDefault="00430483" w:rsidP="00D62865">
      <w:pPr>
        <w:rPr>
          <w:rFonts w:ascii="Arial" w:eastAsia="Calibri" w:hAnsi="Arial" w:cs="Arial"/>
          <w:b/>
          <w:sz w:val="22"/>
          <w:szCs w:val="22"/>
          <w:lang w:val="es-CO" w:eastAsia="es-CO"/>
        </w:rPr>
      </w:pPr>
    </w:p>
    <w:p w14:paraId="2532404A" w14:textId="5C2C22C0" w:rsidR="00853D96" w:rsidRPr="006F5CA6" w:rsidRDefault="00F60F97" w:rsidP="00853D96">
      <w:pPr>
        <w:jc w:val="both"/>
        <w:rPr>
          <w:rFonts w:ascii="Arial" w:hAnsi="Arial" w:cs="Arial"/>
          <w:b/>
          <w:bCs/>
          <w:sz w:val="22"/>
          <w:szCs w:val="22"/>
          <w:lang w:val="es-CO"/>
        </w:rPr>
      </w:pPr>
      <w:r w:rsidRPr="006F5CA6">
        <w:rPr>
          <w:rFonts w:ascii="Arial" w:hAnsi="Arial" w:cs="Arial"/>
          <w:b/>
          <w:bCs/>
          <w:sz w:val="22"/>
          <w:szCs w:val="22"/>
          <w:lang w:val="es-CO"/>
        </w:rPr>
        <w:t>OBJETO:</w:t>
      </w:r>
      <w:r w:rsidR="00853D96" w:rsidRPr="006F5CA6">
        <w:rPr>
          <w:rFonts w:ascii="Arial" w:hAnsi="Arial" w:cs="Arial"/>
          <w:lang w:val="es-CO"/>
        </w:rPr>
        <w:t xml:space="preserve"> </w:t>
      </w:r>
      <w:r w:rsidR="00745FC3" w:rsidRPr="00745FC3">
        <w:rPr>
          <w:rFonts w:ascii="Arial" w:hAnsi="Arial" w:cs="Arial"/>
          <w:b/>
          <w:bCs/>
          <w:sz w:val="22"/>
          <w:szCs w:val="22"/>
          <w:lang w:val="es-CO"/>
        </w:rPr>
        <w:t>PRESTACIÓN DE SERVICIO TERRESTRE AUTOMOTOR ESPECIAL DE PASAJEROS CON CONDUCTOR PARA LOS ESTUDIANTES DE LAS INSTITUCIONES EDUCATIVAS OFICIALES DEL MUNICIPIO DE SAN JACINTO – BOLÍVAR</w:t>
      </w:r>
    </w:p>
    <w:p w14:paraId="56658371" w14:textId="7E97A50F" w:rsidR="00ED1391" w:rsidRPr="006F5CA6" w:rsidRDefault="00ED1391" w:rsidP="00853D96">
      <w:pPr>
        <w:jc w:val="both"/>
        <w:rPr>
          <w:rFonts w:ascii="Arial" w:hAnsi="Arial" w:cs="Arial"/>
          <w:b/>
          <w:bCs/>
          <w:sz w:val="22"/>
          <w:szCs w:val="22"/>
          <w:lang w:val="es-CO"/>
        </w:rPr>
      </w:pPr>
    </w:p>
    <w:p w14:paraId="0477D937" w14:textId="437FC0E4" w:rsidR="00ED1391" w:rsidRPr="006F5CA6" w:rsidRDefault="00ED1391" w:rsidP="00ED1391">
      <w:pPr>
        <w:pStyle w:val="Encabezado"/>
        <w:jc w:val="both"/>
        <w:rPr>
          <w:rFonts w:ascii="Arial" w:hAnsi="Arial" w:cs="Arial"/>
          <w:sz w:val="22"/>
          <w:szCs w:val="22"/>
          <w:lang w:val="es-CO"/>
        </w:rPr>
      </w:pPr>
      <w:r w:rsidRPr="006F5CA6">
        <w:rPr>
          <w:rFonts w:ascii="Arial" w:hAnsi="Arial" w:cs="Arial"/>
          <w:b/>
          <w:sz w:val="22"/>
          <w:szCs w:val="22"/>
          <w:lang w:val="es-CO"/>
        </w:rPr>
        <w:t>NORMATIVIDAD APLICABLE:</w:t>
      </w:r>
      <w:r w:rsidRPr="006F5CA6">
        <w:rPr>
          <w:rFonts w:ascii="Arial" w:hAnsi="Arial" w:cs="Arial"/>
          <w:sz w:val="22"/>
          <w:szCs w:val="22"/>
          <w:lang w:val="es-CO"/>
        </w:rPr>
        <w:t xml:space="preserve"> Artículos 2.2.1.1.1.6.1. y 2.2.1.1.1.6.2. del Decreto Único Reglamentario 1082 de 2015; </w:t>
      </w:r>
      <w:r w:rsidR="00D62865" w:rsidRPr="006F5CA6">
        <w:rPr>
          <w:rFonts w:ascii="Arial" w:hAnsi="Arial" w:cs="Arial"/>
          <w:sz w:val="22"/>
          <w:szCs w:val="22"/>
          <w:lang w:val="es-CO"/>
        </w:rPr>
        <w:t>ANÁLISIS</w:t>
      </w:r>
      <w:r w:rsidRPr="006F5CA6">
        <w:rPr>
          <w:rFonts w:ascii="Arial" w:hAnsi="Arial" w:cs="Arial"/>
          <w:sz w:val="22"/>
          <w:szCs w:val="22"/>
          <w:lang w:val="es-CO"/>
        </w:rPr>
        <w:t xml:space="preserve"> DEL SECTOR POR PARTE DE LAS ENTIDADES ESTATALES Y </w:t>
      </w:r>
      <w:r w:rsidR="00D62865" w:rsidRPr="006F5CA6">
        <w:rPr>
          <w:rFonts w:ascii="Arial" w:hAnsi="Arial" w:cs="Arial"/>
          <w:sz w:val="22"/>
          <w:szCs w:val="22"/>
          <w:lang w:val="es-CO"/>
        </w:rPr>
        <w:t>DETERMINACIÓN</w:t>
      </w:r>
      <w:r w:rsidRPr="006F5CA6">
        <w:rPr>
          <w:rFonts w:ascii="Arial" w:hAnsi="Arial" w:cs="Arial"/>
          <w:sz w:val="22"/>
          <w:szCs w:val="22"/>
          <w:lang w:val="es-CO"/>
        </w:rPr>
        <w:t xml:space="preserve"> DE LOS REQUISITOS HABILITANTES EN LOS PROCESOS DE </w:t>
      </w:r>
      <w:r w:rsidR="00D62865" w:rsidRPr="006F5CA6">
        <w:rPr>
          <w:rFonts w:ascii="Arial" w:hAnsi="Arial" w:cs="Arial"/>
          <w:sz w:val="22"/>
          <w:szCs w:val="22"/>
          <w:lang w:val="es-CO"/>
        </w:rPr>
        <w:t>CONTRATACIÓN</w:t>
      </w:r>
      <w:r w:rsidRPr="006F5CA6">
        <w:rPr>
          <w:rFonts w:ascii="Arial" w:hAnsi="Arial" w:cs="Arial"/>
          <w:sz w:val="22"/>
          <w:szCs w:val="22"/>
          <w:lang w:val="es-CO"/>
        </w:rPr>
        <w:t xml:space="preserve">. </w:t>
      </w:r>
    </w:p>
    <w:p w14:paraId="04D4D466" w14:textId="77777777" w:rsidR="00ED1391" w:rsidRPr="006F5CA6" w:rsidRDefault="00ED1391" w:rsidP="00ED1391">
      <w:pPr>
        <w:pStyle w:val="Encabezado"/>
        <w:jc w:val="both"/>
        <w:rPr>
          <w:rFonts w:ascii="Arial" w:hAnsi="Arial" w:cs="Arial"/>
          <w:sz w:val="22"/>
          <w:szCs w:val="22"/>
          <w:lang w:val="es-CO"/>
        </w:rPr>
      </w:pPr>
    </w:p>
    <w:p w14:paraId="164E047F" w14:textId="0EF2D25D" w:rsidR="00E1392E" w:rsidRPr="006F5CA6" w:rsidRDefault="00E1392E" w:rsidP="00E1392E">
      <w:pPr>
        <w:jc w:val="both"/>
        <w:rPr>
          <w:rFonts w:ascii="Arial" w:hAnsi="Arial" w:cs="Arial"/>
          <w:sz w:val="22"/>
          <w:szCs w:val="22"/>
          <w:lang w:val="es-CO"/>
        </w:rPr>
      </w:pPr>
      <w:r w:rsidRPr="006F5CA6">
        <w:rPr>
          <w:rFonts w:ascii="Arial" w:hAnsi="Arial" w:cs="Arial"/>
          <w:sz w:val="22"/>
          <w:szCs w:val="22"/>
          <w:lang w:val="es-CO"/>
        </w:rPr>
        <w:t>El presente análisis del sector económico realizará el estudio del objeto a contratar observando distintas variables desde la perspectiva legal, comercial, financiera, organizacional, técnica, y de análisis de riesgo, de tal manera que nos brinde adecuados resultados para ser exigidos dentro de los documentos pre-contractuales y que a su vez, se ajuste a los estándares internacionales recomendados al Gobierno Nacional por parte de la Organización para la Cooperación y el Desarrollo Económicos (OCDE), para luchar contra la manipulación de licitaciones en la contratación pública.</w:t>
      </w:r>
    </w:p>
    <w:p w14:paraId="4A0F30A9" w14:textId="77777777" w:rsidR="00E1392E" w:rsidRPr="006F5CA6" w:rsidRDefault="00E1392E" w:rsidP="00E1392E">
      <w:pPr>
        <w:jc w:val="both"/>
        <w:rPr>
          <w:rFonts w:ascii="Arial" w:hAnsi="Arial" w:cs="Arial"/>
          <w:sz w:val="22"/>
          <w:szCs w:val="22"/>
          <w:lang w:val="es-CO"/>
        </w:rPr>
      </w:pPr>
    </w:p>
    <w:p w14:paraId="43CAA9E6" w14:textId="77777777" w:rsidR="00E1392E" w:rsidRPr="006F5CA6" w:rsidRDefault="00E1392E" w:rsidP="00E1392E">
      <w:pPr>
        <w:jc w:val="both"/>
        <w:rPr>
          <w:rFonts w:ascii="Arial" w:hAnsi="Arial" w:cs="Arial"/>
          <w:sz w:val="22"/>
          <w:szCs w:val="22"/>
          <w:lang w:val="es-CO"/>
        </w:rPr>
      </w:pPr>
      <w:r w:rsidRPr="006F5CA6">
        <w:rPr>
          <w:rFonts w:ascii="Arial" w:hAnsi="Arial" w:cs="Arial"/>
          <w:sz w:val="22"/>
          <w:szCs w:val="22"/>
          <w:lang w:val="es-CO"/>
        </w:rPr>
        <w:t xml:space="preserve">La metodología utilizada para identificar las distintas variables se encuentra enmarcadas por los criterios orientadores presentados por la Agencia Nacional de Contratación Pública – Colombia Compra Eficiente -  tales como Guía para la Elaboración de Estudios de Sector G-EES-02 y, el Manual para determinar y verificar los requisitos habilitantes en los Procesos de Contratación M-DVRHPC-05. </w:t>
      </w:r>
    </w:p>
    <w:p w14:paraId="1AA43227" w14:textId="77777777" w:rsidR="00ED1391" w:rsidRPr="006F5CA6" w:rsidRDefault="00ED1391" w:rsidP="00853D96">
      <w:pPr>
        <w:jc w:val="both"/>
        <w:rPr>
          <w:rFonts w:ascii="Arial" w:hAnsi="Arial" w:cs="Arial"/>
          <w:b/>
          <w:bCs/>
          <w:sz w:val="22"/>
          <w:szCs w:val="22"/>
          <w:lang w:val="es-CO"/>
        </w:rPr>
      </w:pPr>
    </w:p>
    <w:p w14:paraId="58E8E21B" w14:textId="706E1569" w:rsidR="00475CB8" w:rsidRPr="006F5CA6" w:rsidRDefault="007C7164" w:rsidP="00793EA5">
      <w:pPr>
        <w:pStyle w:val="Ttulo1"/>
        <w:spacing w:before="0"/>
        <w:ind w:left="360" w:hanging="270"/>
        <w:rPr>
          <w:rFonts w:cs="Arial"/>
          <w:sz w:val="22"/>
          <w:szCs w:val="22"/>
        </w:rPr>
      </w:pPr>
      <w:bookmarkStart w:id="0" w:name="_Toc441217090"/>
      <w:r w:rsidRPr="006F5CA6">
        <w:rPr>
          <w:rFonts w:cs="Arial"/>
          <w:sz w:val="22"/>
          <w:szCs w:val="22"/>
        </w:rPr>
        <w:t>IDENTIFICACIÓN DEL SECTOR AL QUE PERTENECE LA NECESIDAD</w:t>
      </w:r>
    </w:p>
    <w:p w14:paraId="7936F9F3" w14:textId="77777777" w:rsidR="00475CB8" w:rsidRPr="006F5CA6" w:rsidRDefault="00475CB8" w:rsidP="00793EA5">
      <w:pPr>
        <w:pStyle w:val="Encabezado"/>
        <w:rPr>
          <w:rFonts w:ascii="Arial" w:hAnsi="Arial" w:cs="Arial"/>
          <w:b/>
          <w:sz w:val="22"/>
          <w:szCs w:val="22"/>
          <w:lang w:val="es-CO"/>
        </w:rPr>
      </w:pPr>
    </w:p>
    <w:p w14:paraId="4D1FDECE" w14:textId="3527DD16" w:rsidR="009F7D33" w:rsidRPr="006F5CA6" w:rsidRDefault="009F7D33" w:rsidP="009F7D33">
      <w:pPr>
        <w:pStyle w:val="Encabezado"/>
        <w:tabs>
          <w:tab w:val="center" w:pos="851"/>
        </w:tabs>
        <w:jc w:val="both"/>
        <w:rPr>
          <w:rFonts w:ascii="Arial" w:hAnsi="Arial" w:cs="Arial"/>
          <w:sz w:val="22"/>
          <w:szCs w:val="22"/>
          <w:lang w:val="es-CO"/>
        </w:rPr>
      </w:pPr>
      <w:r w:rsidRPr="006F5CA6">
        <w:rPr>
          <w:rFonts w:ascii="Arial" w:hAnsi="Arial" w:cs="Arial"/>
          <w:sz w:val="22"/>
          <w:szCs w:val="22"/>
          <w:lang w:val="es-CO"/>
        </w:rPr>
        <w:t xml:space="preserve">El </w:t>
      </w:r>
      <w:r w:rsidR="00A33ECB" w:rsidRPr="006F5CA6">
        <w:rPr>
          <w:rFonts w:ascii="Arial" w:hAnsi="Arial" w:cs="Arial"/>
          <w:sz w:val="22"/>
          <w:szCs w:val="22"/>
          <w:lang w:val="es-CO"/>
        </w:rPr>
        <w:t>B</w:t>
      </w:r>
      <w:r w:rsidRPr="006F5CA6">
        <w:rPr>
          <w:rFonts w:ascii="Arial" w:hAnsi="Arial" w:cs="Arial"/>
          <w:sz w:val="22"/>
          <w:szCs w:val="22"/>
          <w:lang w:val="es-CO"/>
        </w:rPr>
        <w:t xml:space="preserve">anco de la </w:t>
      </w:r>
      <w:r w:rsidR="00A33ECB" w:rsidRPr="006F5CA6">
        <w:rPr>
          <w:rFonts w:ascii="Arial" w:hAnsi="Arial" w:cs="Arial"/>
          <w:sz w:val="22"/>
          <w:szCs w:val="22"/>
          <w:lang w:val="es-CO"/>
        </w:rPr>
        <w:t>R</w:t>
      </w:r>
      <w:r w:rsidRPr="006F5CA6">
        <w:rPr>
          <w:rFonts w:ascii="Arial" w:hAnsi="Arial" w:cs="Arial"/>
          <w:sz w:val="22"/>
          <w:szCs w:val="22"/>
          <w:lang w:val="es-CO"/>
        </w:rPr>
        <w:t>ep</w:t>
      </w:r>
      <w:r w:rsidR="00A33ECB" w:rsidRPr="006F5CA6">
        <w:rPr>
          <w:rFonts w:ascii="Arial" w:hAnsi="Arial" w:cs="Arial"/>
          <w:sz w:val="22"/>
          <w:szCs w:val="22"/>
          <w:lang w:val="es-CO"/>
        </w:rPr>
        <w:t>ú</w:t>
      </w:r>
      <w:r w:rsidRPr="006F5CA6">
        <w:rPr>
          <w:rFonts w:ascii="Arial" w:hAnsi="Arial" w:cs="Arial"/>
          <w:sz w:val="22"/>
          <w:szCs w:val="22"/>
          <w:lang w:val="es-CO"/>
        </w:rPr>
        <w:t>blica realiza la clasificación de los sectores económicos de la siguiente manera:</w:t>
      </w:r>
    </w:p>
    <w:p w14:paraId="5AB364AB" w14:textId="77777777" w:rsidR="009F7D33" w:rsidRPr="006F5CA6" w:rsidRDefault="009F7D33" w:rsidP="009F7D33">
      <w:pPr>
        <w:pStyle w:val="Encabezado"/>
        <w:tabs>
          <w:tab w:val="center" w:pos="851"/>
        </w:tabs>
        <w:jc w:val="both"/>
        <w:rPr>
          <w:rFonts w:ascii="Arial" w:hAnsi="Arial" w:cs="Arial"/>
          <w:sz w:val="22"/>
          <w:szCs w:val="22"/>
          <w:lang w:val="es-CO"/>
        </w:rPr>
      </w:pPr>
    </w:p>
    <w:p w14:paraId="2F29DA2D" w14:textId="77777777" w:rsidR="009F7D33" w:rsidRPr="006F5CA6" w:rsidRDefault="009F7D33" w:rsidP="009F7D33">
      <w:pPr>
        <w:pStyle w:val="Encabezado"/>
        <w:tabs>
          <w:tab w:val="center" w:pos="851"/>
        </w:tabs>
        <w:jc w:val="both"/>
        <w:rPr>
          <w:rFonts w:ascii="Arial" w:hAnsi="Arial" w:cs="Arial"/>
          <w:sz w:val="22"/>
          <w:szCs w:val="22"/>
          <w:lang w:val="es-CO"/>
        </w:rPr>
      </w:pPr>
      <w:r w:rsidRPr="006F5CA6">
        <w:rPr>
          <w:rFonts w:ascii="Arial" w:hAnsi="Arial" w:cs="Arial"/>
          <w:sz w:val="22"/>
          <w:szCs w:val="22"/>
          <w:lang w:val="es-CO"/>
        </w:rPr>
        <w:t>La actividad económica está dividida en sectores económicos. Cada sector se refiere a una parte de la actividad económica cuyos elementos tienen características comunes, guardan una unidad y se diferencian de otras agrupaciones. Su división se realiza de acuerdo a los procesos de producción que ocurren al interior de cada uno de ellos.</w:t>
      </w:r>
    </w:p>
    <w:p w14:paraId="73A3B2F5" w14:textId="77777777" w:rsidR="009F7D33" w:rsidRPr="006F5CA6" w:rsidRDefault="009F7D33" w:rsidP="009F7D33">
      <w:pPr>
        <w:pStyle w:val="Encabezado"/>
        <w:tabs>
          <w:tab w:val="center" w:pos="851"/>
        </w:tabs>
        <w:jc w:val="both"/>
        <w:rPr>
          <w:rFonts w:ascii="Arial" w:hAnsi="Arial" w:cs="Arial"/>
          <w:sz w:val="22"/>
          <w:szCs w:val="22"/>
          <w:lang w:val="es-CO"/>
        </w:rPr>
      </w:pPr>
    </w:p>
    <w:p w14:paraId="6A154D33" w14:textId="77777777" w:rsidR="009F7D33" w:rsidRPr="006F5CA6" w:rsidRDefault="009F7D33" w:rsidP="009F7D33">
      <w:pPr>
        <w:pStyle w:val="Encabezado"/>
        <w:tabs>
          <w:tab w:val="center" w:pos="851"/>
        </w:tabs>
        <w:jc w:val="both"/>
        <w:rPr>
          <w:rFonts w:ascii="Arial" w:hAnsi="Arial" w:cs="Arial"/>
          <w:sz w:val="22"/>
          <w:szCs w:val="22"/>
          <w:lang w:val="es-CO"/>
        </w:rPr>
      </w:pPr>
      <w:r w:rsidRPr="006F5CA6">
        <w:rPr>
          <w:rFonts w:ascii="Arial" w:hAnsi="Arial" w:cs="Arial"/>
          <w:sz w:val="22"/>
          <w:szCs w:val="22"/>
          <w:lang w:val="es-CO"/>
        </w:rPr>
        <w:t xml:space="preserve">Según la división de la economía clásica, los sectores de la economía son los siguientes: </w:t>
      </w:r>
    </w:p>
    <w:p w14:paraId="4E3F8275" w14:textId="77777777" w:rsidR="009F7D33" w:rsidRPr="006F5CA6" w:rsidRDefault="009F7D33" w:rsidP="009F7D33">
      <w:pPr>
        <w:pStyle w:val="Encabezado"/>
        <w:tabs>
          <w:tab w:val="center" w:pos="851"/>
        </w:tabs>
        <w:jc w:val="both"/>
        <w:rPr>
          <w:rFonts w:ascii="Arial" w:hAnsi="Arial" w:cs="Arial"/>
          <w:sz w:val="22"/>
          <w:szCs w:val="22"/>
          <w:lang w:val="es-CO"/>
        </w:rPr>
      </w:pPr>
    </w:p>
    <w:p w14:paraId="757C8FAD" w14:textId="77777777" w:rsidR="009F7D33" w:rsidRPr="006F5CA6" w:rsidRDefault="009F7D33" w:rsidP="00F810FE">
      <w:pPr>
        <w:pStyle w:val="Encabezado"/>
        <w:numPr>
          <w:ilvl w:val="0"/>
          <w:numId w:val="8"/>
        </w:numPr>
        <w:tabs>
          <w:tab w:val="clear" w:pos="4320"/>
          <w:tab w:val="clear" w:pos="8640"/>
        </w:tabs>
        <w:ind w:left="426"/>
        <w:jc w:val="both"/>
        <w:rPr>
          <w:rFonts w:ascii="Arial" w:hAnsi="Arial" w:cs="Arial"/>
          <w:sz w:val="22"/>
          <w:szCs w:val="22"/>
          <w:lang w:val="es-CO"/>
        </w:rPr>
      </w:pPr>
      <w:r w:rsidRPr="006F5CA6">
        <w:rPr>
          <w:rFonts w:ascii="Arial" w:hAnsi="Arial" w:cs="Arial"/>
          <w:sz w:val="22"/>
          <w:szCs w:val="22"/>
          <w:lang w:val="es-CO"/>
        </w:rPr>
        <w:t xml:space="preserve">Sector primario o sector agropecuario. </w:t>
      </w:r>
    </w:p>
    <w:p w14:paraId="46A0E37F" w14:textId="77777777" w:rsidR="009F7D33" w:rsidRPr="006F5CA6" w:rsidRDefault="009F7D33" w:rsidP="00F810FE">
      <w:pPr>
        <w:pStyle w:val="Encabezado"/>
        <w:numPr>
          <w:ilvl w:val="0"/>
          <w:numId w:val="8"/>
        </w:numPr>
        <w:tabs>
          <w:tab w:val="clear" w:pos="4320"/>
          <w:tab w:val="clear" w:pos="8640"/>
        </w:tabs>
        <w:ind w:left="426"/>
        <w:jc w:val="both"/>
        <w:rPr>
          <w:rFonts w:ascii="Arial" w:hAnsi="Arial" w:cs="Arial"/>
          <w:sz w:val="22"/>
          <w:szCs w:val="22"/>
          <w:lang w:val="es-CO"/>
        </w:rPr>
      </w:pPr>
      <w:r w:rsidRPr="006F5CA6">
        <w:rPr>
          <w:rFonts w:ascii="Arial" w:hAnsi="Arial" w:cs="Arial"/>
          <w:sz w:val="22"/>
          <w:szCs w:val="22"/>
          <w:lang w:val="es-CO"/>
        </w:rPr>
        <w:t xml:space="preserve">Sector secundario o sector Industrial. </w:t>
      </w:r>
    </w:p>
    <w:p w14:paraId="25445E86" w14:textId="77777777" w:rsidR="009F7D33" w:rsidRPr="006F5CA6" w:rsidRDefault="009F7D33" w:rsidP="00F810FE">
      <w:pPr>
        <w:pStyle w:val="Encabezado"/>
        <w:numPr>
          <w:ilvl w:val="0"/>
          <w:numId w:val="8"/>
        </w:numPr>
        <w:tabs>
          <w:tab w:val="clear" w:pos="4320"/>
          <w:tab w:val="clear" w:pos="8640"/>
        </w:tabs>
        <w:ind w:left="426"/>
        <w:jc w:val="both"/>
        <w:rPr>
          <w:rFonts w:ascii="Arial" w:hAnsi="Arial" w:cs="Arial"/>
          <w:sz w:val="22"/>
          <w:szCs w:val="22"/>
          <w:lang w:val="es-CO"/>
        </w:rPr>
      </w:pPr>
      <w:r w:rsidRPr="006F5CA6">
        <w:rPr>
          <w:rFonts w:ascii="Arial" w:hAnsi="Arial" w:cs="Arial"/>
          <w:sz w:val="22"/>
          <w:szCs w:val="22"/>
          <w:lang w:val="es-CO"/>
        </w:rPr>
        <w:t xml:space="preserve">Sector terciario o sector de servicios. </w:t>
      </w:r>
    </w:p>
    <w:p w14:paraId="4AEAF6EC" w14:textId="77777777" w:rsidR="009F7D33" w:rsidRPr="006F5CA6" w:rsidRDefault="009F7D33" w:rsidP="009F7D33">
      <w:pPr>
        <w:pStyle w:val="Encabezado"/>
        <w:tabs>
          <w:tab w:val="center" w:pos="851"/>
        </w:tabs>
        <w:jc w:val="both"/>
        <w:rPr>
          <w:rFonts w:ascii="Arial" w:hAnsi="Arial" w:cs="Arial"/>
          <w:sz w:val="22"/>
          <w:szCs w:val="22"/>
          <w:lang w:val="es-CO"/>
        </w:rPr>
      </w:pPr>
    </w:p>
    <w:p w14:paraId="330F9713" w14:textId="77777777" w:rsidR="009F7D33" w:rsidRPr="006F5CA6" w:rsidRDefault="009F7D33" w:rsidP="00ED6DEC">
      <w:pPr>
        <w:pStyle w:val="Encabezado"/>
        <w:tabs>
          <w:tab w:val="center" w:pos="851"/>
        </w:tabs>
        <w:jc w:val="both"/>
        <w:rPr>
          <w:rFonts w:ascii="Arial" w:hAnsi="Arial" w:cs="Arial"/>
          <w:sz w:val="22"/>
          <w:szCs w:val="22"/>
          <w:lang w:val="es-CO"/>
        </w:rPr>
      </w:pPr>
      <w:r w:rsidRPr="006F5CA6">
        <w:rPr>
          <w:rFonts w:ascii="Arial" w:hAnsi="Arial" w:cs="Arial"/>
          <w:sz w:val="22"/>
          <w:szCs w:val="22"/>
          <w:lang w:val="es-CO"/>
        </w:rPr>
        <w:t>De estos sectores se derivan actividades económicas independientes y especializadas, las cuales el DANE para efectos de análisis económicos clasifica como:</w:t>
      </w:r>
    </w:p>
    <w:p w14:paraId="7823777C" w14:textId="77777777" w:rsidR="009F7D33" w:rsidRPr="006F5CA6" w:rsidRDefault="009F7D33" w:rsidP="009F7D33">
      <w:pPr>
        <w:pStyle w:val="Encabezado"/>
        <w:tabs>
          <w:tab w:val="center" w:pos="851"/>
        </w:tabs>
        <w:rPr>
          <w:rFonts w:ascii="Arial" w:hAnsi="Arial" w:cs="Arial"/>
          <w:sz w:val="22"/>
          <w:szCs w:val="22"/>
          <w:lang w:val="es-CO"/>
        </w:rPr>
      </w:pPr>
    </w:p>
    <w:p w14:paraId="03ABCA1C"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agropecuario</w:t>
      </w:r>
    </w:p>
    <w:p w14:paraId="70754399"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de servicios</w:t>
      </w:r>
    </w:p>
    <w:p w14:paraId="5DAF43F5"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industrial</w:t>
      </w:r>
    </w:p>
    <w:p w14:paraId="27CF061E"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de transporte</w:t>
      </w:r>
    </w:p>
    <w:p w14:paraId="4C2A66E4" w14:textId="0A8FD49C" w:rsidR="009F7D33" w:rsidRPr="006F5CA6" w:rsidRDefault="00ED6DEC"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 xml:space="preserve">Sector </w:t>
      </w:r>
      <w:r w:rsidR="009F7D33" w:rsidRPr="006F5CA6">
        <w:rPr>
          <w:rFonts w:ascii="Arial" w:hAnsi="Arial" w:cs="Arial"/>
          <w:bCs/>
          <w:sz w:val="22"/>
          <w:szCs w:val="22"/>
          <w:lang w:val="es-CO"/>
        </w:rPr>
        <w:t>comercio</w:t>
      </w:r>
    </w:p>
    <w:p w14:paraId="11BA294C"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financiero</w:t>
      </w:r>
    </w:p>
    <w:p w14:paraId="2DCF14BD"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de la construcción</w:t>
      </w:r>
    </w:p>
    <w:p w14:paraId="7C5B5F1D"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t>Sector minero y energético</w:t>
      </w:r>
    </w:p>
    <w:p w14:paraId="585CCE2D"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bCs/>
          <w:sz w:val="22"/>
          <w:szCs w:val="22"/>
          <w:lang w:val="es-CO"/>
        </w:rPr>
        <w:lastRenderedPageBreak/>
        <w:t>Sector de comunicaciones</w:t>
      </w:r>
      <w:r w:rsidRPr="006F5CA6">
        <w:rPr>
          <w:rFonts w:ascii="Arial" w:hAnsi="Arial" w:cs="Arial"/>
          <w:sz w:val="22"/>
          <w:szCs w:val="22"/>
          <w:lang w:val="es-CO"/>
        </w:rPr>
        <w:t> </w:t>
      </w:r>
    </w:p>
    <w:p w14:paraId="7B5E6AE3" w14:textId="77777777" w:rsidR="009F7D33"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sz w:val="22"/>
          <w:szCs w:val="22"/>
          <w:lang w:val="es-CO"/>
        </w:rPr>
        <w:t>Sector TIC</w:t>
      </w:r>
    </w:p>
    <w:p w14:paraId="70377ECC" w14:textId="77777777" w:rsidR="00475CB8" w:rsidRPr="006F5CA6" w:rsidRDefault="009F7D33" w:rsidP="00F810FE">
      <w:pPr>
        <w:pStyle w:val="Encabezado"/>
        <w:numPr>
          <w:ilvl w:val="0"/>
          <w:numId w:val="11"/>
        </w:numPr>
        <w:tabs>
          <w:tab w:val="clear" w:pos="4320"/>
          <w:tab w:val="clear" w:pos="8640"/>
          <w:tab w:val="center" w:pos="851"/>
          <w:tab w:val="center" w:pos="4252"/>
          <w:tab w:val="right" w:pos="8504"/>
        </w:tabs>
        <w:rPr>
          <w:rFonts w:ascii="Arial" w:hAnsi="Arial" w:cs="Arial"/>
          <w:sz w:val="22"/>
          <w:szCs w:val="22"/>
          <w:lang w:val="es-CO"/>
        </w:rPr>
      </w:pPr>
      <w:r w:rsidRPr="006F5CA6">
        <w:rPr>
          <w:rFonts w:ascii="Arial" w:hAnsi="Arial" w:cs="Arial"/>
          <w:sz w:val="22"/>
          <w:szCs w:val="22"/>
          <w:lang w:val="es-CO"/>
        </w:rPr>
        <w:t>Sector minero</w:t>
      </w:r>
    </w:p>
    <w:p w14:paraId="1C084D86" w14:textId="77777777" w:rsidR="009F7D33" w:rsidRPr="006F5CA6" w:rsidRDefault="009F7D33" w:rsidP="009F7D33">
      <w:pPr>
        <w:pStyle w:val="Encabezado"/>
        <w:tabs>
          <w:tab w:val="center" w:pos="851"/>
        </w:tabs>
        <w:jc w:val="both"/>
        <w:rPr>
          <w:rFonts w:ascii="Arial" w:hAnsi="Arial" w:cs="Arial"/>
          <w:sz w:val="22"/>
          <w:szCs w:val="22"/>
          <w:lang w:val="es-CO"/>
        </w:rPr>
      </w:pPr>
    </w:p>
    <w:p w14:paraId="0592D970" w14:textId="32001705" w:rsidR="00475CB8" w:rsidRPr="006F5CA6" w:rsidRDefault="00475CB8" w:rsidP="00ED6DEC">
      <w:pPr>
        <w:rPr>
          <w:rFonts w:ascii="Arial" w:hAnsi="Arial" w:cs="Arial"/>
          <w:sz w:val="22"/>
          <w:szCs w:val="22"/>
          <w:lang w:val="es-CO"/>
        </w:rPr>
      </w:pPr>
      <w:r w:rsidRPr="006F5CA6">
        <w:rPr>
          <w:rFonts w:ascii="Arial" w:hAnsi="Arial" w:cs="Arial"/>
          <w:sz w:val="22"/>
          <w:szCs w:val="22"/>
          <w:lang w:val="es-CO"/>
        </w:rPr>
        <w:t xml:space="preserve">Teniendo en cuenta que el presente objeto, se ubicará dentro del sector </w:t>
      </w:r>
      <w:r w:rsidR="004038E3" w:rsidRPr="006F5CA6">
        <w:rPr>
          <w:rFonts w:ascii="Arial" w:hAnsi="Arial" w:cs="Arial"/>
          <w:sz w:val="22"/>
          <w:szCs w:val="22"/>
          <w:lang w:val="es-CO"/>
        </w:rPr>
        <w:t>servicios y se analizarán algunos aspectos del sector comercio teniendo en cuenta que este mide el aporte de este sector al PIB</w:t>
      </w:r>
    </w:p>
    <w:p w14:paraId="6E89DF41" w14:textId="77777777" w:rsidR="005C68BA" w:rsidRPr="006F5CA6" w:rsidRDefault="005C68BA" w:rsidP="00793EA5">
      <w:pPr>
        <w:pStyle w:val="Encabezado"/>
        <w:jc w:val="both"/>
        <w:rPr>
          <w:rFonts w:ascii="Arial" w:hAnsi="Arial" w:cs="Arial"/>
          <w:sz w:val="22"/>
          <w:szCs w:val="22"/>
          <w:lang w:val="es-CO"/>
        </w:rPr>
      </w:pPr>
    </w:p>
    <w:bookmarkEnd w:id="0"/>
    <w:p w14:paraId="44BC61FD" w14:textId="25F23B15" w:rsidR="00E8145F" w:rsidRPr="006F5CA6" w:rsidRDefault="007C7164" w:rsidP="00ED6DEC">
      <w:pPr>
        <w:pStyle w:val="Ttulo1"/>
        <w:spacing w:before="0"/>
        <w:ind w:left="360" w:hanging="270"/>
        <w:rPr>
          <w:rFonts w:cs="Arial"/>
          <w:sz w:val="22"/>
          <w:szCs w:val="22"/>
        </w:rPr>
      </w:pPr>
      <w:r w:rsidRPr="006F5CA6">
        <w:rPr>
          <w:rFonts w:cs="Arial"/>
          <w:sz w:val="22"/>
          <w:szCs w:val="22"/>
        </w:rPr>
        <w:t xml:space="preserve">ASPECTOS GENERALES DEL MERCADO </w:t>
      </w:r>
    </w:p>
    <w:p w14:paraId="178C83A2" w14:textId="77777777" w:rsidR="00ED6DEC" w:rsidRPr="006F5CA6" w:rsidRDefault="00ED6DEC" w:rsidP="00ED6DEC">
      <w:pPr>
        <w:pStyle w:val="Ttulo2"/>
        <w:spacing w:before="0"/>
        <w:jc w:val="both"/>
        <w:rPr>
          <w:rFonts w:ascii="Arial" w:eastAsiaTheme="minorEastAsia" w:hAnsi="Arial" w:cs="Arial"/>
          <w:b w:val="0"/>
          <w:bCs w:val="0"/>
          <w:color w:val="auto"/>
          <w:sz w:val="24"/>
          <w:szCs w:val="24"/>
          <w:lang w:val="es-CO" w:eastAsia="es-CO"/>
        </w:rPr>
      </w:pPr>
      <w:bookmarkStart w:id="1" w:name="_Toc441217091"/>
    </w:p>
    <w:p w14:paraId="4FE5478B" w14:textId="739F1940" w:rsidR="00ED6DEC" w:rsidRPr="006F5CA6" w:rsidRDefault="007C7164" w:rsidP="00F810FE">
      <w:pPr>
        <w:pStyle w:val="Ttulo2"/>
        <w:numPr>
          <w:ilvl w:val="0"/>
          <w:numId w:val="15"/>
        </w:numPr>
        <w:spacing w:before="0"/>
        <w:jc w:val="both"/>
        <w:rPr>
          <w:rFonts w:ascii="Arial" w:hAnsi="Arial" w:cs="Arial"/>
          <w:color w:val="auto"/>
          <w:sz w:val="22"/>
          <w:szCs w:val="22"/>
          <w:lang w:val="es-CO" w:eastAsia="es-CO"/>
        </w:rPr>
      </w:pPr>
      <w:r w:rsidRPr="006F5CA6">
        <w:rPr>
          <w:rFonts w:ascii="Arial" w:hAnsi="Arial" w:cs="Arial"/>
          <w:color w:val="auto"/>
          <w:sz w:val="22"/>
          <w:szCs w:val="22"/>
          <w:lang w:val="es-CO" w:eastAsia="es-CO"/>
        </w:rPr>
        <w:t>ECONÓMICO</w:t>
      </w:r>
      <w:bookmarkEnd w:id="1"/>
    </w:p>
    <w:p w14:paraId="56E9516B" w14:textId="77777777" w:rsidR="00ED6DEC" w:rsidRPr="006F5CA6" w:rsidRDefault="00ED6DEC" w:rsidP="00ED6DEC">
      <w:pPr>
        <w:rPr>
          <w:rFonts w:ascii="Arial" w:hAnsi="Arial" w:cs="Arial"/>
          <w:lang w:val="es-CO" w:eastAsia="es-CO"/>
        </w:rPr>
      </w:pPr>
    </w:p>
    <w:p w14:paraId="27634777" w14:textId="77777777" w:rsidR="004038E3" w:rsidRPr="006F5CA6" w:rsidRDefault="004038E3" w:rsidP="004038E3">
      <w:pPr>
        <w:pStyle w:val="Textoindependiente"/>
        <w:ind w:right="116"/>
        <w:rPr>
          <w:rFonts w:ascii="Arial" w:eastAsia="KaiTi" w:hAnsi="Arial" w:cs="Arial"/>
          <w:sz w:val="22"/>
          <w:szCs w:val="22"/>
        </w:rPr>
      </w:pPr>
      <w:r w:rsidRPr="006F5CA6">
        <w:rPr>
          <w:rFonts w:ascii="Arial" w:eastAsia="KaiTi" w:hAnsi="Arial" w:cs="Arial"/>
          <w:sz w:val="22"/>
          <w:szCs w:val="22"/>
        </w:rPr>
        <w:t>Dentro del sector de servicios en Colombia se tienen como principales productos/servicios:</w:t>
      </w:r>
    </w:p>
    <w:p w14:paraId="26B96C36" w14:textId="77777777" w:rsidR="004038E3" w:rsidRPr="006F5CA6" w:rsidRDefault="004038E3" w:rsidP="004038E3">
      <w:pPr>
        <w:pStyle w:val="Textoindependiente"/>
        <w:ind w:right="116"/>
        <w:rPr>
          <w:rFonts w:ascii="Arial" w:eastAsia="KaiTi" w:hAnsi="Arial" w:cs="Arial"/>
        </w:rPr>
      </w:pPr>
    </w:p>
    <w:p w14:paraId="32790E23"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Publicidad</w:t>
      </w:r>
    </w:p>
    <w:p w14:paraId="6920293B"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Actividades profesionales científicas y técnicas</w:t>
      </w:r>
    </w:p>
    <w:p w14:paraId="11DAB871"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cinematográficas y programas de televisión </w:t>
      </w:r>
    </w:p>
    <w:p w14:paraId="0EE29222"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Educación superior privada </w:t>
      </w:r>
    </w:p>
    <w:p w14:paraId="250CD5FB"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Desarrollo de sistemas informáticos y procesamiento de datos </w:t>
      </w:r>
    </w:p>
    <w:p w14:paraId="7879B76D"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Actividades administrativas y de apoyo de oficina y otras actividades </w:t>
      </w:r>
    </w:p>
    <w:p w14:paraId="707EC81B"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Otros servicios de entretenimiento y otros servicios</w:t>
      </w:r>
    </w:p>
    <w:p w14:paraId="4ACFA939"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Restaurantes, catering y bares</w:t>
      </w:r>
    </w:p>
    <w:p w14:paraId="1B9BBB76"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Actividades de programación y trasmisión, agencias de noticias </w:t>
      </w:r>
    </w:p>
    <w:p w14:paraId="407369D8"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Inmobiliarias, de alquiler y arrendamiento </w:t>
      </w:r>
    </w:p>
    <w:p w14:paraId="26B0645A"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Correo y servicios de mensajería </w:t>
      </w:r>
    </w:p>
    <w:p w14:paraId="5806A537"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Telecomunicaciones </w:t>
      </w:r>
    </w:p>
    <w:p w14:paraId="11FD04A0"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Almacenamiento y actividades complementarias al transporte </w:t>
      </w:r>
    </w:p>
    <w:p w14:paraId="32A73934"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Actividades de empleo, seguridad e investigación privada, servicios a edificios </w:t>
      </w:r>
    </w:p>
    <w:p w14:paraId="544A59E1" w14:textId="77777777"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sz w:val="22"/>
          <w:szCs w:val="22"/>
        </w:rPr>
      </w:pPr>
      <w:r w:rsidRPr="006F5CA6">
        <w:rPr>
          <w:rFonts w:ascii="Arial" w:eastAsia="KaiTi" w:hAnsi="Arial" w:cs="Arial"/>
          <w:sz w:val="22"/>
          <w:szCs w:val="22"/>
        </w:rPr>
        <w:t xml:space="preserve">Salud humana privada </w:t>
      </w:r>
    </w:p>
    <w:p w14:paraId="4366EC59" w14:textId="0022BDE2"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bCs/>
          <w:sz w:val="22"/>
          <w:szCs w:val="22"/>
        </w:rPr>
      </w:pPr>
      <w:r w:rsidRPr="006F5CA6">
        <w:rPr>
          <w:rFonts w:ascii="Arial" w:eastAsia="KaiTi" w:hAnsi="Arial" w:cs="Arial"/>
          <w:sz w:val="22"/>
          <w:szCs w:val="22"/>
        </w:rPr>
        <w:t xml:space="preserve">Producción de películas </w:t>
      </w:r>
    </w:p>
    <w:p w14:paraId="4FDB2572" w14:textId="1E33DBB1" w:rsidR="004038E3" w:rsidRPr="006F5CA6" w:rsidRDefault="004038E3" w:rsidP="00F810FE">
      <w:pPr>
        <w:pStyle w:val="Encabezado"/>
        <w:widowControl w:val="0"/>
        <w:numPr>
          <w:ilvl w:val="0"/>
          <w:numId w:val="21"/>
        </w:numPr>
        <w:tabs>
          <w:tab w:val="clear" w:pos="4320"/>
          <w:tab w:val="clear" w:pos="8640"/>
        </w:tabs>
        <w:adjustRightInd w:val="0"/>
        <w:textAlignment w:val="baseline"/>
        <w:rPr>
          <w:rFonts w:ascii="Arial" w:eastAsia="KaiTi" w:hAnsi="Arial" w:cs="Arial"/>
          <w:bCs/>
          <w:sz w:val="22"/>
          <w:szCs w:val="22"/>
        </w:rPr>
      </w:pPr>
      <w:r w:rsidRPr="006F5CA6">
        <w:rPr>
          <w:rFonts w:ascii="Arial" w:eastAsia="KaiTi" w:hAnsi="Arial" w:cs="Arial"/>
          <w:sz w:val="22"/>
          <w:szCs w:val="22"/>
        </w:rPr>
        <w:t xml:space="preserve">Servicios de transporte </w:t>
      </w:r>
    </w:p>
    <w:p w14:paraId="5E85E37A" w14:textId="77777777" w:rsidR="004038E3" w:rsidRPr="006F5CA6" w:rsidRDefault="004038E3" w:rsidP="004038E3">
      <w:pPr>
        <w:rPr>
          <w:rFonts w:ascii="Arial" w:hAnsi="Arial" w:cs="Arial"/>
          <w:lang w:eastAsia="es-CO"/>
        </w:rPr>
      </w:pPr>
    </w:p>
    <w:p w14:paraId="5174B4A8" w14:textId="77777777" w:rsidR="004038E3" w:rsidRPr="006F5CA6" w:rsidRDefault="004038E3" w:rsidP="004038E3">
      <w:pPr>
        <w:jc w:val="both"/>
        <w:rPr>
          <w:rFonts w:ascii="Arial" w:hAnsi="Arial" w:cs="Arial"/>
          <w:b/>
          <w:sz w:val="22"/>
          <w:szCs w:val="22"/>
        </w:rPr>
      </w:pPr>
      <w:r w:rsidRPr="006F5CA6">
        <w:rPr>
          <w:rFonts w:ascii="Arial" w:hAnsi="Arial" w:cs="Arial"/>
          <w:sz w:val="22"/>
          <w:szCs w:val="22"/>
        </w:rPr>
        <w:t>A continuación, se revisarán los aspectos generales del sector que resulten relevantes en el Proceso de Contratación teniendo en cuenta fuentes de información estadísticas oficiales como lo es el DANE.</w:t>
      </w:r>
    </w:p>
    <w:p w14:paraId="70BD2365" w14:textId="0B420E14" w:rsidR="00B079E4" w:rsidRPr="006F5CA6" w:rsidRDefault="00B079E4" w:rsidP="00DA0472">
      <w:pPr>
        <w:rPr>
          <w:rFonts w:ascii="Arial" w:hAnsi="Arial" w:cs="Arial"/>
          <w:sz w:val="22"/>
          <w:szCs w:val="22"/>
          <w:lang w:val="es-CO" w:eastAsia="es-CO"/>
        </w:rPr>
      </w:pPr>
    </w:p>
    <w:p w14:paraId="15E27A2C" w14:textId="72D1ABEA" w:rsidR="00DA0472" w:rsidRPr="006F5CA6" w:rsidRDefault="00DA0472" w:rsidP="00DA0472">
      <w:pPr>
        <w:rPr>
          <w:rFonts w:ascii="Arial" w:hAnsi="Arial" w:cs="Arial"/>
          <w:sz w:val="22"/>
          <w:szCs w:val="22"/>
          <w:lang w:val="es-CO" w:eastAsia="es-CO"/>
        </w:rPr>
      </w:pPr>
      <w:r w:rsidRPr="006F5CA6">
        <w:rPr>
          <w:rFonts w:ascii="Arial" w:hAnsi="Arial" w:cs="Arial"/>
          <w:sz w:val="22"/>
          <w:szCs w:val="22"/>
          <w:lang w:val="es-CO" w:eastAsia="es-CO"/>
        </w:rPr>
        <w:t>PRODUCTO INTERNO BRUTO</w:t>
      </w:r>
    </w:p>
    <w:p w14:paraId="2C7598E4" w14:textId="77777777" w:rsidR="00DA0472" w:rsidRPr="006F5CA6" w:rsidRDefault="00DA0472" w:rsidP="00DA0472">
      <w:pPr>
        <w:rPr>
          <w:rFonts w:ascii="Arial" w:hAnsi="Arial" w:cs="Arial"/>
          <w:sz w:val="18"/>
          <w:szCs w:val="18"/>
          <w:lang w:val="es-CO" w:eastAsia="es-CO"/>
        </w:rPr>
      </w:pPr>
      <w:r w:rsidRPr="006F5CA6">
        <w:rPr>
          <w:rFonts w:ascii="Arial" w:hAnsi="Arial" w:cs="Arial"/>
          <w:sz w:val="18"/>
          <w:szCs w:val="18"/>
          <w:lang w:val="es-CO" w:eastAsia="es-CO"/>
        </w:rPr>
        <w:t>Fuente:</w:t>
      </w:r>
      <w:r w:rsidRPr="006F5CA6">
        <w:rPr>
          <w:rFonts w:ascii="Arial" w:hAnsi="Arial" w:cs="Arial"/>
          <w:sz w:val="18"/>
          <w:szCs w:val="18"/>
          <w:lang w:val="es-CO"/>
        </w:rPr>
        <w:t xml:space="preserve"> https://www.dane.gov.co/files/operaciones/PIB/bol-PIB-IIItrim2023.pdf (15 de noviembre de 2023)</w:t>
      </w:r>
    </w:p>
    <w:p w14:paraId="3677316E" w14:textId="77777777" w:rsidR="00DA0472" w:rsidRPr="006F5CA6" w:rsidRDefault="00DA0472" w:rsidP="00DA0472">
      <w:pPr>
        <w:rPr>
          <w:rFonts w:ascii="Arial" w:hAnsi="Arial" w:cs="Arial"/>
          <w:sz w:val="22"/>
          <w:szCs w:val="22"/>
          <w:lang w:val="es-CO"/>
        </w:rPr>
      </w:pPr>
    </w:p>
    <w:p w14:paraId="15B01132" w14:textId="77777777" w:rsidR="00DA0472" w:rsidRPr="006F5CA6" w:rsidRDefault="00DA0472" w:rsidP="00DA0472">
      <w:pPr>
        <w:jc w:val="both"/>
        <w:rPr>
          <w:rFonts w:ascii="Arial" w:hAnsi="Arial" w:cs="Arial"/>
          <w:sz w:val="22"/>
          <w:szCs w:val="22"/>
          <w:lang w:val="es-CO" w:eastAsia="es-CO"/>
        </w:rPr>
      </w:pPr>
      <w:r w:rsidRPr="006F5CA6">
        <w:rPr>
          <w:rFonts w:ascii="Arial" w:hAnsi="Arial" w:cs="Arial"/>
          <w:sz w:val="22"/>
          <w:szCs w:val="22"/>
          <w:lang w:val="es-CO" w:eastAsia="es-CO"/>
        </w:rPr>
        <w:t xml:space="preserve">En el tercer trimestre de 2023pr, el Producto Interno Bruto en su serie original, decrece 0,3% respecto al mismo periodo de 2022pr (ver tabla 1). Las actividades económicas que más contribuyen a la dinámica del valor agregado son: </w:t>
      </w:r>
    </w:p>
    <w:p w14:paraId="1E90628A" w14:textId="77777777" w:rsidR="00DA0472" w:rsidRPr="006F5CA6" w:rsidRDefault="00DA0472" w:rsidP="00DA0472">
      <w:pPr>
        <w:jc w:val="both"/>
        <w:rPr>
          <w:rFonts w:ascii="Arial" w:hAnsi="Arial" w:cs="Arial"/>
          <w:sz w:val="22"/>
          <w:szCs w:val="22"/>
          <w:lang w:val="es-CO" w:eastAsia="es-CO"/>
        </w:rPr>
      </w:pPr>
    </w:p>
    <w:p w14:paraId="24210487" w14:textId="77777777" w:rsidR="00DA0472" w:rsidRPr="006F5CA6" w:rsidRDefault="00DA0472" w:rsidP="00F810FE">
      <w:pPr>
        <w:pStyle w:val="Prrafodelista"/>
        <w:numPr>
          <w:ilvl w:val="0"/>
          <w:numId w:val="13"/>
        </w:numPr>
        <w:rPr>
          <w:rFonts w:ascii="Arial" w:hAnsi="Arial" w:cs="Arial"/>
          <w:sz w:val="22"/>
          <w:szCs w:val="22"/>
          <w:lang w:eastAsia="es-CO"/>
        </w:rPr>
      </w:pPr>
      <w:r w:rsidRPr="006F5CA6">
        <w:rPr>
          <w:rFonts w:ascii="Arial" w:hAnsi="Arial" w:cs="Arial"/>
          <w:sz w:val="22"/>
          <w:szCs w:val="22"/>
          <w:lang w:eastAsia="es-CO"/>
        </w:rPr>
        <w:t xml:space="preserve">Industrias manufactureras decrece 6,2% (contribuye -0,8 puntos porcentuales a la variación anual). </w:t>
      </w:r>
    </w:p>
    <w:p w14:paraId="21B771F5" w14:textId="77777777" w:rsidR="00DA0472" w:rsidRPr="006F5CA6" w:rsidRDefault="00DA0472" w:rsidP="00F810FE">
      <w:pPr>
        <w:pStyle w:val="Prrafodelista"/>
        <w:numPr>
          <w:ilvl w:val="0"/>
          <w:numId w:val="13"/>
        </w:numPr>
        <w:rPr>
          <w:rFonts w:ascii="Arial" w:hAnsi="Arial" w:cs="Arial"/>
          <w:sz w:val="22"/>
          <w:szCs w:val="22"/>
          <w:lang w:eastAsia="es-CO"/>
        </w:rPr>
      </w:pPr>
      <w:r w:rsidRPr="006F5CA6">
        <w:rPr>
          <w:rFonts w:ascii="Arial" w:hAnsi="Arial" w:cs="Arial"/>
          <w:sz w:val="22"/>
          <w:szCs w:val="22"/>
          <w:lang w:eastAsia="es-CO"/>
        </w:rPr>
        <w:t xml:space="preserve">Comercio al por mayor y al por menor; reparación de vehículos automotores y motocicletas; Transporte y almacenamiento; Alojamiento y servicios de comida decrece 3,5% (contribuye -0,7 puntos porcentuales a la variación anual). </w:t>
      </w:r>
    </w:p>
    <w:p w14:paraId="159B7F5A" w14:textId="77777777" w:rsidR="00DA0472" w:rsidRPr="006F5CA6" w:rsidRDefault="00DA0472" w:rsidP="00F810FE">
      <w:pPr>
        <w:pStyle w:val="Prrafodelista"/>
        <w:numPr>
          <w:ilvl w:val="0"/>
          <w:numId w:val="13"/>
        </w:numPr>
        <w:rPr>
          <w:rFonts w:ascii="Arial" w:hAnsi="Arial" w:cs="Arial"/>
          <w:sz w:val="22"/>
          <w:szCs w:val="22"/>
          <w:lang w:eastAsia="es-CO"/>
        </w:rPr>
      </w:pPr>
      <w:r w:rsidRPr="006F5CA6">
        <w:rPr>
          <w:rFonts w:ascii="Arial" w:hAnsi="Arial" w:cs="Arial"/>
          <w:sz w:val="22"/>
          <w:szCs w:val="22"/>
          <w:lang w:eastAsia="es-CO"/>
        </w:rPr>
        <w:t xml:space="preserve">Construcción decrece 8,0% (contribuye -0,4 puntos porcentuales a la variación anual). </w:t>
      </w:r>
    </w:p>
    <w:p w14:paraId="09714DC8" w14:textId="77777777" w:rsidR="00DA0472" w:rsidRPr="006F5CA6" w:rsidRDefault="00DA0472" w:rsidP="00DA0472">
      <w:pPr>
        <w:jc w:val="both"/>
        <w:rPr>
          <w:rFonts w:ascii="Arial" w:hAnsi="Arial" w:cs="Arial"/>
          <w:sz w:val="22"/>
          <w:szCs w:val="22"/>
          <w:lang w:val="es-CO" w:eastAsia="es-CO"/>
        </w:rPr>
      </w:pPr>
    </w:p>
    <w:p w14:paraId="5AC199F7" w14:textId="77777777" w:rsidR="00DA0472" w:rsidRPr="006F5CA6" w:rsidRDefault="00DA0472" w:rsidP="00DA0472">
      <w:pPr>
        <w:jc w:val="both"/>
        <w:rPr>
          <w:rFonts w:ascii="Arial" w:hAnsi="Arial" w:cs="Arial"/>
          <w:sz w:val="22"/>
          <w:szCs w:val="22"/>
          <w:lang w:val="es-CO" w:eastAsia="es-CO"/>
        </w:rPr>
      </w:pPr>
      <w:r w:rsidRPr="006F5CA6">
        <w:rPr>
          <w:rFonts w:ascii="Arial" w:hAnsi="Arial" w:cs="Arial"/>
          <w:sz w:val="22"/>
          <w:szCs w:val="22"/>
          <w:lang w:val="es-CO" w:eastAsia="es-CO"/>
        </w:rPr>
        <w:lastRenderedPageBreak/>
        <w:t xml:space="preserve">En lo corrido del año 2023pr, respecto al mismo periodo del año anterior, el Producto Interno Bruto presenta un crecimiento de 1,0%. Las actividades económicas que más contribuyen a la dinámica del valor agregado son: </w:t>
      </w:r>
    </w:p>
    <w:p w14:paraId="503C8E4B" w14:textId="77777777" w:rsidR="00DA0472" w:rsidRPr="006F5CA6" w:rsidRDefault="00DA0472" w:rsidP="00DA0472">
      <w:pPr>
        <w:jc w:val="both"/>
        <w:rPr>
          <w:rFonts w:ascii="Arial" w:hAnsi="Arial" w:cs="Arial"/>
          <w:sz w:val="22"/>
          <w:szCs w:val="22"/>
          <w:lang w:val="es-CO" w:eastAsia="es-CO"/>
        </w:rPr>
      </w:pPr>
    </w:p>
    <w:p w14:paraId="3E2BACDC" w14:textId="77777777" w:rsidR="00DA0472" w:rsidRPr="006F5CA6" w:rsidRDefault="00DA0472" w:rsidP="00F810FE">
      <w:pPr>
        <w:pStyle w:val="Prrafodelista"/>
        <w:numPr>
          <w:ilvl w:val="0"/>
          <w:numId w:val="13"/>
        </w:numPr>
        <w:rPr>
          <w:rFonts w:ascii="Arial" w:hAnsi="Arial" w:cs="Arial"/>
          <w:sz w:val="22"/>
          <w:szCs w:val="22"/>
          <w:lang w:eastAsia="es-CO"/>
        </w:rPr>
      </w:pPr>
      <w:r w:rsidRPr="006F5CA6">
        <w:rPr>
          <w:rFonts w:ascii="Arial" w:hAnsi="Arial" w:cs="Arial"/>
          <w:sz w:val="22"/>
          <w:szCs w:val="22"/>
          <w:lang w:eastAsia="es-CO"/>
        </w:rPr>
        <w:t>Administración pública y defensa; planes de seguridad social de afiliación obligatoria; Educación; Actividades de atención de la salud humana y de servicios sociales crece 4,0% (contribuye 0,6 puntos porcentuales a la variación anual).</w:t>
      </w:r>
    </w:p>
    <w:p w14:paraId="2C93570E" w14:textId="77777777" w:rsidR="00DA0472" w:rsidRPr="006F5CA6" w:rsidRDefault="00DA0472" w:rsidP="00F810FE">
      <w:pPr>
        <w:pStyle w:val="Prrafodelista"/>
        <w:numPr>
          <w:ilvl w:val="0"/>
          <w:numId w:val="14"/>
        </w:numPr>
        <w:rPr>
          <w:rFonts w:ascii="Arial" w:hAnsi="Arial" w:cs="Arial"/>
          <w:sz w:val="22"/>
          <w:szCs w:val="22"/>
          <w:lang w:eastAsia="es-CO"/>
        </w:rPr>
      </w:pPr>
      <w:r w:rsidRPr="006F5CA6">
        <w:rPr>
          <w:rFonts w:ascii="Arial" w:hAnsi="Arial" w:cs="Arial"/>
          <w:sz w:val="22"/>
          <w:szCs w:val="22"/>
          <w:lang w:eastAsia="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11,8% (contribuye 0,4 puntos porcentuales a la variación anual).</w:t>
      </w:r>
    </w:p>
    <w:p w14:paraId="2B7F737A" w14:textId="77777777" w:rsidR="00DA0472" w:rsidRPr="006F5CA6" w:rsidRDefault="00DA0472" w:rsidP="00F810FE">
      <w:pPr>
        <w:pStyle w:val="Prrafodelista"/>
        <w:numPr>
          <w:ilvl w:val="0"/>
          <w:numId w:val="14"/>
        </w:numPr>
        <w:rPr>
          <w:rFonts w:ascii="Arial" w:hAnsi="Arial" w:cs="Arial"/>
          <w:sz w:val="22"/>
          <w:szCs w:val="22"/>
          <w:lang w:eastAsia="es-CO"/>
        </w:rPr>
      </w:pPr>
      <w:r w:rsidRPr="006F5CA6">
        <w:rPr>
          <w:rFonts w:ascii="Arial" w:hAnsi="Arial" w:cs="Arial"/>
          <w:sz w:val="22"/>
          <w:szCs w:val="22"/>
          <w:lang w:eastAsia="es-CO"/>
        </w:rPr>
        <w:t>Actividades financieras y de seguros crece 8,8% (contribuye 0,4 puntos porcentuales a la variación anual).</w:t>
      </w:r>
    </w:p>
    <w:p w14:paraId="537DDC6C" w14:textId="77777777" w:rsidR="00DA0472" w:rsidRPr="006F5CA6" w:rsidRDefault="00DA0472" w:rsidP="00DA0472">
      <w:pPr>
        <w:jc w:val="both"/>
        <w:rPr>
          <w:rFonts w:ascii="Arial" w:hAnsi="Arial" w:cs="Arial"/>
          <w:sz w:val="22"/>
          <w:szCs w:val="22"/>
          <w:lang w:val="es-CO" w:eastAsia="es-CO"/>
        </w:rPr>
      </w:pPr>
    </w:p>
    <w:p w14:paraId="1E7DF18E" w14:textId="77777777" w:rsidR="00DA0472" w:rsidRPr="006F5CA6" w:rsidRDefault="00DA0472" w:rsidP="00DA0472">
      <w:pPr>
        <w:jc w:val="both"/>
        <w:rPr>
          <w:rFonts w:ascii="Arial" w:hAnsi="Arial" w:cs="Arial"/>
          <w:sz w:val="22"/>
          <w:szCs w:val="22"/>
          <w:lang w:val="es-CO" w:eastAsia="es-CO"/>
        </w:rPr>
      </w:pPr>
      <w:r w:rsidRPr="006F5CA6">
        <w:rPr>
          <w:rFonts w:ascii="Arial" w:hAnsi="Arial" w:cs="Arial"/>
          <w:sz w:val="22"/>
          <w:szCs w:val="22"/>
          <w:lang w:val="es-CO" w:eastAsia="es-CO"/>
        </w:rPr>
        <w:t xml:space="preserve">Respecto al trimestre inmediatamente anterior, el Producto Interno Bruto en su serie ajustada por efecto estacional y calendario crece 0,2%. Esta variación se explica principalmente por la siguiente dinámica: </w:t>
      </w:r>
    </w:p>
    <w:p w14:paraId="60A891A7" w14:textId="77777777" w:rsidR="00DA0472" w:rsidRPr="006F5CA6" w:rsidRDefault="00DA0472" w:rsidP="00DA0472">
      <w:pPr>
        <w:jc w:val="both"/>
        <w:rPr>
          <w:rFonts w:ascii="Arial" w:hAnsi="Arial" w:cs="Arial"/>
          <w:sz w:val="22"/>
          <w:szCs w:val="22"/>
          <w:lang w:val="es-CO" w:eastAsia="es-CO"/>
        </w:rPr>
      </w:pPr>
    </w:p>
    <w:p w14:paraId="3DE88EEE" w14:textId="77777777" w:rsidR="00DA0472" w:rsidRPr="006F5CA6" w:rsidRDefault="00DA0472" w:rsidP="00F810FE">
      <w:pPr>
        <w:pStyle w:val="Prrafodelista"/>
        <w:numPr>
          <w:ilvl w:val="0"/>
          <w:numId w:val="14"/>
        </w:numPr>
        <w:rPr>
          <w:rFonts w:ascii="Arial" w:hAnsi="Arial" w:cs="Arial"/>
          <w:sz w:val="22"/>
          <w:szCs w:val="22"/>
          <w:lang w:eastAsia="es-CO"/>
        </w:rPr>
      </w:pPr>
      <w:r w:rsidRPr="006F5CA6">
        <w:rPr>
          <w:rFonts w:ascii="Arial" w:hAnsi="Arial" w:cs="Arial"/>
          <w:sz w:val="22"/>
          <w:szCs w:val="22"/>
          <w:lang w:eastAsia="es-CO"/>
        </w:rPr>
        <w:t xml:space="preserve">Explotación de minas y canteras crece 2,0%. </w:t>
      </w:r>
    </w:p>
    <w:p w14:paraId="1DC02372" w14:textId="77777777" w:rsidR="00DA0472" w:rsidRPr="006F5CA6" w:rsidRDefault="00DA0472" w:rsidP="00F810FE">
      <w:pPr>
        <w:pStyle w:val="Prrafodelista"/>
        <w:numPr>
          <w:ilvl w:val="0"/>
          <w:numId w:val="14"/>
        </w:numPr>
        <w:rPr>
          <w:rFonts w:ascii="Arial" w:hAnsi="Arial" w:cs="Arial"/>
          <w:sz w:val="22"/>
          <w:szCs w:val="22"/>
          <w:lang w:eastAsia="es-CO"/>
        </w:rPr>
      </w:pPr>
      <w:r w:rsidRPr="006F5CA6">
        <w:rPr>
          <w:rFonts w:ascii="Arial" w:hAnsi="Arial" w:cs="Arial"/>
          <w:sz w:val="22"/>
          <w:szCs w:val="22"/>
          <w:lang w:eastAsia="es-CO"/>
        </w:rPr>
        <w:t xml:space="preserve">Agricultura, ganadería, caza, silvicultura y pesca crece 1,2%. </w:t>
      </w:r>
    </w:p>
    <w:p w14:paraId="6F1C7DDD" w14:textId="77777777" w:rsidR="00DA0472" w:rsidRPr="006F5CA6" w:rsidRDefault="00DA0472" w:rsidP="00F810FE">
      <w:pPr>
        <w:pStyle w:val="Prrafodelista"/>
        <w:numPr>
          <w:ilvl w:val="0"/>
          <w:numId w:val="14"/>
        </w:numPr>
        <w:rPr>
          <w:rFonts w:ascii="Arial" w:hAnsi="Arial" w:cs="Arial"/>
          <w:sz w:val="22"/>
          <w:szCs w:val="22"/>
          <w:lang w:eastAsia="es-CO"/>
        </w:rPr>
      </w:pPr>
      <w:r w:rsidRPr="006F5CA6">
        <w:rPr>
          <w:rFonts w:ascii="Arial" w:hAnsi="Arial" w:cs="Arial"/>
          <w:sz w:val="22"/>
          <w:szCs w:val="22"/>
          <w:lang w:eastAsia="es-CO"/>
        </w:rPr>
        <w:t>Administración pública y defensa; planes de seguridad social de afiliación obligatoria; Educación; Actividades de atención de la salud humana y de servicios sociales crece 0,9%.</w:t>
      </w:r>
    </w:p>
    <w:p w14:paraId="331582FE" w14:textId="77777777" w:rsidR="00DA0472" w:rsidRPr="006F5CA6" w:rsidRDefault="00DA0472" w:rsidP="00DA0472">
      <w:pPr>
        <w:jc w:val="both"/>
        <w:rPr>
          <w:rFonts w:ascii="Arial" w:hAnsi="Arial" w:cs="Arial"/>
          <w:b/>
          <w:bCs/>
          <w:sz w:val="22"/>
          <w:szCs w:val="22"/>
          <w:lang w:val="es-CO" w:eastAsia="es-CO"/>
        </w:rPr>
      </w:pPr>
    </w:p>
    <w:p w14:paraId="5B4F1FEA" w14:textId="77777777" w:rsidR="00DA0472" w:rsidRPr="006F5CA6" w:rsidRDefault="00DA0472" w:rsidP="00DA0472">
      <w:pPr>
        <w:jc w:val="both"/>
        <w:rPr>
          <w:rFonts w:ascii="Arial" w:hAnsi="Arial" w:cs="Arial"/>
          <w:b/>
          <w:bCs/>
          <w:sz w:val="22"/>
          <w:szCs w:val="22"/>
          <w:lang w:val="es-CO" w:eastAsia="es-CO"/>
        </w:rPr>
      </w:pPr>
      <w:r w:rsidRPr="006F5CA6">
        <w:rPr>
          <w:rFonts w:ascii="Arial" w:hAnsi="Arial" w:cs="Arial"/>
          <w:b/>
          <w:bCs/>
          <w:sz w:val="22"/>
          <w:szCs w:val="22"/>
          <w:lang w:val="es-CO" w:eastAsia="es-CO"/>
        </w:rPr>
        <w:t>Tabla 1. Valor agregado por actividad económica</w:t>
      </w:r>
    </w:p>
    <w:p w14:paraId="05884574" w14:textId="77777777" w:rsidR="00DA0472" w:rsidRPr="006F5CA6" w:rsidRDefault="00DA0472" w:rsidP="00DA0472">
      <w:pPr>
        <w:jc w:val="both"/>
        <w:rPr>
          <w:rFonts w:ascii="Arial" w:hAnsi="Arial" w:cs="Arial"/>
          <w:b/>
          <w:bCs/>
          <w:sz w:val="22"/>
          <w:szCs w:val="22"/>
          <w:lang w:val="es-CO" w:eastAsia="es-CO"/>
        </w:rPr>
      </w:pPr>
      <w:r w:rsidRPr="006F5CA6">
        <w:rPr>
          <w:rFonts w:ascii="Arial" w:hAnsi="Arial" w:cs="Arial"/>
          <w:b/>
          <w:bCs/>
          <w:sz w:val="22"/>
          <w:szCs w:val="22"/>
          <w:lang w:val="es-CO" w:eastAsia="es-CO"/>
        </w:rPr>
        <w:t>Tasas de crecimiento en volumen1</w:t>
      </w:r>
    </w:p>
    <w:p w14:paraId="57DD26C4" w14:textId="77777777" w:rsidR="00DA0472" w:rsidRPr="006F5CA6" w:rsidRDefault="00DA0472" w:rsidP="002876BC">
      <w:pPr>
        <w:jc w:val="center"/>
        <w:rPr>
          <w:rFonts w:ascii="Arial" w:hAnsi="Arial" w:cs="Arial"/>
          <w:b/>
          <w:bCs/>
          <w:sz w:val="22"/>
          <w:szCs w:val="22"/>
          <w:lang w:val="es-CO" w:eastAsia="es-CO"/>
        </w:rPr>
      </w:pPr>
      <w:r w:rsidRPr="006F5CA6">
        <w:rPr>
          <w:rFonts w:ascii="Arial" w:hAnsi="Arial" w:cs="Arial"/>
          <w:b/>
          <w:bCs/>
          <w:sz w:val="22"/>
          <w:szCs w:val="22"/>
          <w:lang w:val="es-CO" w:eastAsia="es-CO"/>
        </w:rPr>
        <w:t>Tercer trimestre 2023pr</w:t>
      </w:r>
      <w:r w:rsidRPr="006F5CA6">
        <w:rPr>
          <w:rFonts w:ascii="Arial" w:hAnsi="Arial" w:cs="Arial"/>
          <w:b/>
          <w:bCs/>
          <w:sz w:val="22"/>
          <w:szCs w:val="22"/>
          <w:lang w:val="es-CO" w:eastAsia="es-CO"/>
        </w:rPr>
        <w:cr/>
      </w:r>
      <w:r w:rsidRPr="006F5CA6">
        <w:rPr>
          <w:rFonts w:ascii="Arial" w:hAnsi="Arial" w:cs="Arial"/>
          <w:b/>
          <w:bCs/>
          <w:sz w:val="22"/>
          <w:szCs w:val="22"/>
          <w:lang w:val="es-CO" w:eastAsia="es-CO"/>
        </w:rPr>
        <w:cr/>
      </w:r>
      <w:r w:rsidRPr="006F5CA6">
        <w:rPr>
          <w:rFonts w:ascii="Arial" w:hAnsi="Arial" w:cs="Arial"/>
          <w:noProof/>
          <w:lang w:val="es-CO"/>
        </w:rPr>
        <w:t xml:space="preserve"> </w:t>
      </w:r>
      <w:r w:rsidRPr="006F5CA6">
        <w:rPr>
          <w:rFonts w:ascii="Arial" w:hAnsi="Arial" w:cs="Arial"/>
          <w:noProof/>
          <w:lang w:val="en-US"/>
        </w:rPr>
        <w:drawing>
          <wp:inline distT="0" distB="0" distL="0" distR="0" wp14:anchorId="167D0D18" wp14:editId="566C166D">
            <wp:extent cx="4962525" cy="2710149"/>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74538" cy="2716709"/>
                    </a:xfrm>
                    <a:prstGeom prst="rect">
                      <a:avLst/>
                    </a:prstGeom>
                  </pic:spPr>
                </pic:pic>
              </a:graphicData>
            </a:graphic>
          </wp:inline>
        </w:drawing>
      </w:r>
    </w:p>
    <w:p w14:paraId="5A250CCF" w14:textId="77777777" w:rsidR="00DA0472" w:rsidRPr="006F5CA6" w:rsidRDefault="00DA0472" w:rsidP="00DA0472">
      <w:pPr>
        <w:jc w:val="center"/>
        <w:rPr>
          <w:rFonts w:ascii="Arial" w:hAnsi="Arial" w:cs="Arial"/>
          <w:b/>
          <w:bCs/>
          <w:sz w:val="21"/>
          <w:szCs w:val="21"/>
          <w:lang w:val="es-CO" w:eastAsia="es-CO"/>
        </w:rPr>
      </w:pPr>
    </w:p>
    <w:p w14:paraId="5A6958B5" w14:textId="77777777" w:rsidR="00DA0472" w:rsidRPr="006F5CA6" w:rsidRDefault="00DA0472" w:rsidP="00DA0472">
      <w:pPr>
        <w:jc w:val="both"/>
        <w:rPr>
          <w:rFonts w:ascii="Arial" w:hAnsi="Arial" w:cs="Arial"/>
          <w:bCs/>
          <w:sz w:val="14"/>
          <w:szCs w:val="14"/>
          <w:lang w:val="es-CO" w:eastAsia="es-CO"/>
        </w:rPr>
      </w:pPr>
      <w:r w:rsidRPr="006F5CA6">
        <w:rPr>
          <w:rFonts w:ascii="Arial" w:hAnsi="Arial" w:cs="Arial"/>
          <w:bCs/>
          <w:sz w:val="14"/>
          <w:szCs w:val="14"/>
          <w:lang w:val="es-CO" w:eastAsia="es-CO"/>
        </w:rPr>
        <w:t>Fuente: DANE, Cuentas nacionales Prpreliminar 1 Series encadenadas de volumen con año de referencia 2015. 2 Suministro de electricidad, gas, vapor y aire acondicionado; Distribución de agua; evacuación y tratamiento de aguas residuales, gestión de desechos y actividades de saneamiento ambiental. 3 Comercio al por mayor y al por menor; reparación de vehículos automotores y motocicletas; Transporte y almacenamiento; Alojamiento y servicios de comida. 4Actividades profesionales, científicas y técnicas; Actividades de servicios administrativos y de apoyo. 5Administración pública y defensa; planes de seguridad social de afiliación obligatoria; Educación; Actividades de atención de la salud humana y de servicios sociales. 6Actividades artísticas, de entretenimiento y recreación y otras actividades de servicios; Actividades de los hogares individuales en calidad de empleadores; actividades no diferenciadas de los hogares individuales como productores de bienes y servicios para uso propio.</w:t>
      </w:r>
    </w:p>
    <w:p w14:paraId="319C3111" w14:textId="033F6138" w:rsidR="004038E3" w:rsidRPr="006F5CA6" w:rsidRDefault="004038E3" w:rsidP="00786453">
      <w:pPr>
        <w:pStyle w:val="Encabezado"/>
        <w:tabs>
          <w:tab w:val="center" w:pos="851"/>
        </w:tabs>
        <w:rPr>
          <w:rFonts w:ascii="Arial" w:hAnsi="Arial" w:cs="Arial"/>
          <w:sz w:val="22"/>
          <w:szCs w:val="22"/>
          <w:lang w:val="es-CO"/>
        </w:rPr>
      </w:pPr>
    </w:p>
    <w:p w14:paraId="632E9D23" w14:textId="77777777" w:rsidR="00786453" w:rsidRPr="006F5CA6" w:rsidRDefault="00786453" w:rsidP="00786453">
      <w:pPr>
        <w:pStyle w:val="Encabezado"/>
        <w:tabs>
          <w:tab w:val="center" w:pos="851"/>
        </w:tabs>
        <w:ind w:left="284"/>
        <w:jc w:val="both"/>
        <w:rPr>
          <w:rFonts w:ascii="Arial" w:hAnsi="Arial" w:cs="Arial"/>
          <w:b/>
          <w:sz w:val="22"/>
          <w:szCs w:val="22"/>
          <w:lang w:val="es-CO"/>
        </w:rPr>
      </w:pPr>
      <w:r w:rsidRPr="006F5CA6">
        <w:rPr>
          <w:rFonts w:ascii="Arial" w:hAnsi="Arial" w:cs="Arial"/>
          <w:b/>
          <w:sz w:val="22"/>
          <w:szCs w:val="22"/>
          <w:lang w:val="es-CO"/>
        </w:rPr>
        <w:t>Comercio al por mayor y al por menor</w:t>
      </w:r>
    </w:p>
    <w:p w14:paraId="0E4F2DC5" w14:textId="77777777" w:rsidR="00786453" w:rsidRPr="006F5CA6" w:rsidRDefault="00786453" w:rsidP="00786453">
      <w:pPr>
        <w:pStyle w:val="Encabezado"/>
        <w:tabs>
          <w:tab w:val="center" w:pos="851"/>
        </w:tabs>
        <w:ind w:left="284"/>
        <w:jc w:val="both"/>
        <w:rPr>
          <w:rFonts w:ascii="Arial" w:hAnsi="Arial" w:cs="Arial"/>
          <w:sz w:val="22"/>
          <w:szCs w:val="22"/>
          <w:lang w:val="es-CO"/>
        </w:rPr>
      </w:pPr>
    </w:p>
    <w:p w14:paraId="02A76437" w14:textId="77777777" w:rsidR="00DA0472" w:rsidRPr="006F5CA6" w:rsidRDefault="00DA0472" w:rsidP="00DA0472">
      <w:pPr>
        <w:pStyle w:val="Encabezado"/>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En el tercer trimestre de 2023pr, el valor agregado de comercio al por mayor y al por menor, reparación de vehículos automotores y motocicletas; transporte y almacenamiento; alojamiento y servicios de comida decrece 3,5% en su serie original, respecto al mismo periodo de 2022pr. </w:t>
      </w:r>
    </w:p>
    <w:p w14:paraId="53515039" w14:textId="77777777" w:rsidR="00DA0472" w:rsidRPr="006F5CA6" w:rsidRDefault="00DA0472" w:rsidP="00DA0472">
      <w:pPr>
        <w:pStyle w:val="Encabezado"/>
        <w:tabs>
          <w:tab w:val="clear" w:pos="4320"/>
          <w:tab w:val="clear" w:pos="8640"/>
          <w:tab w:val="center" w:pos="851"/>
          <w:tab w:val="center" w:pos="4252"/>
          <w:tab w:val="right" w:pos="8504"/>
        </w:tabs>
        <w:ind w:left="720"/>
        <w:jc w:val="both"/>
        <w:rPr>
          <w:rFonts w:ascii="Arial" w:hAnsi="Arial" w:cs="Arial"/>
          <w:sz w:val="22"/>
          <w:szCs w:val="22"/>
          <w:lang w:val="es-CO"/>
        </w:rPr>
      </w:pPr>
    </w:p>
    <w:p w14:paraId="5DC01751" w14:textId="6ABC4288" w:rsidR="00DA0472"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Esta dinámica se explica por los siguientes comportamientos (ver tabla 7): </w:t>
      </w:r>
    </w:p>
    <w:p w14:paraId="4088833A" w14:textId="717F6C00" w:rsidR="00DA0472"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Comercio al por mayor y al por menor; reparación de vehículos automotores y motocicletas decrece 2,9%. </w:t>
      </w:r>
    </w:p>
    <w:p w14:paraId="54032939" w14:textId="405F3F46" w:rsidR="00DA0472"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Transporte y almacenamiento decrece 3,9%. </w:t>
      </w:r>
    </w:p>
    <w:p w14:paraId="5C31AF6A" w14:textId="77777777" w:rsidR="00DA0472"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Alojamiento y servicios de comida decrece 4,5%. </w:t>
      </w:r>
    </w:p>
    <w:p w14:paraId="5F3CA63D" w14:textId="77777777" w:rsidR="00DA0472" w:rsidRPr="006F5CA6" w:rsidRDefault="00DA0472" w:rsidP="00DA0472">
      <w:pPr>
        <w:pStyle w:val="Encabezado"/>
        <w:tabs>
          <w:tab w:val="clear" w:pos="4320"/>
          <w:tab w:val="clear" w:pos="8640"/>
          <w:tab w:val="center" w:pos="851"/>
          <w:tab w:val="center" w:pos="4252"/>
          <w:tab w:val="right" w:pos="8504"/>
        </w:tabs>
        <w:ind w:left="360"/>
        <w:jc w:val="both"/>
        <w:rPr>
          <w:rFonts w:ascii="Arial" w:hAnsi="Arial" w:cs="Arial"/>
          <w:sz w:val="22"/>
          <w:szCs w:val="22"/>
          <w:lang w:val="es-CO"/>
        </w:rPr>
      </w:pPr>
    </w:p>
    <w:p w14:paraId="1DDBE2D0" w14:textId="5780183B" w:rsidR="00DA0472" w:rsidRPr="006F5CA6" w:rsidRDefault="00DA0472" w:rsidP="00DA0472">
      <w:pPr>
        <w:pStyle w:val="Encabezado"/>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Respecto al trimestre inmediatamente anterior en su serie ajustada por efecto estacional y calendario, el valor agregado de comercio al por mayor y al por menor, reparación de vehículos automotores y motocicletas; transporte y almacenamiento; alojamiento y servicios de comida decrece en 0,1%, explicado por: </w:t>
      </w:r>
    </w:p>
    <w:p w14:paraId="682E78B5" w14:textId="77777777" w:rsidR="00DA0472" w:rsidRPr="006F5CA6" w:rsidRDefault="00DA0472" w:rsidP="00DA0472">
      <w:pPr>
        <w:pStyle w:val="Encabezado"/>
        <w:tabs>
          <w:tab w:val="clear" w:pos="4320"/>
          <w:tab w:val="clear" w:pos="8640"/>
          <w:tab w:val="center" w:pos="851"/>
          <w:tab w:val="center" w:pos="4252"/>
          <w:tab w:val="right" w:pos="8504"/>
        </w:tabs>
        <w:jc w:val="both"/>
        <w:rPr>
          <w:rFonts w:ascii="Arial" w:hAnsi="Arial" w:cs="Arial"/>
          <w:sz w:val="22"/>
          <w:szCs w:val="22"/>
          <w:lang w:val="es-CO"/>
        </w:rPr>
      </w:pPr>
    </w:p>
    <w:p w14:paraId="626308A1" w14:textId="6B51AB80" w:rsidR="00DA0472"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Comercio al por mayor y al por menor; reparación de vehículos automotores y motocicletas crece 0,8%. </w:t>
      </w:r>
    </w:p>
    <w:p w14:paraId="4E9A4525" w14:textId="372D3DBE" w:rsidR="00DA0472"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 xml:space="preserve">Transporte y almacenamiento decrece 1,0%. </w:t>
      </w:r>
    </w:p>
    <w:p w14:paraId="081EDD98" w14:textId="5DA67FC2" w:rsidR="00786453" w:rsidRPr="006F5CA6" w:rsidRDefault="00DA0472" w:rsidP="00F810FE">
      <w:pPr>
        <w:pStyle w:val="Encabezado"/>
        <w:numPr>
          <w:ilvl w:val="0"/>
          <w:numId w:val="12"/>
        </w:numPr>
        <w:tabs>
          <w:tab w:val="clear" w:pos="4320"/>
          <w:tab w:val="clear" w:pos="8640"/>
          <w:tab w:val="center" w:pos="851"/>
          <w:tab w:val="center" w:pos="4252"/>
          <w:tab w:val="right" w:pos="8504"/>
        </w:tabs>
        <w:jc w:val="both"/>
        <w:rPr>
          <w:rFonts w:ascii="Arial" w:hAnsi="Arial" w:cs="Arial"/>
          <w:sz w:val="22"/>
          <w:szCs w:val="22"/>
          <w:lang w:val="es-CO"/>
        </w:rPr>
      </w:pPr>
      <w:r w:rsidRPr="006F5CA6">
        <w:rPr>
          <w:rFonts w:ascii="Arial" w:hAnsi="Arial" w:cs="Arial"/>
          <w:sz w:val="22"/>
          <w:szCs w:val="22"/>
          <w:lang w:val="es-CO"/>
        </w:rPr>
        <w:t>Alojamiento y servicios de comida decrece 0,2%.</w:t>
      </w:r>
    </w:p>
    <w:p w14:paraId="2327BA08" w14:textId="77777777" w:rsidR="00786453" w:rsidRPr="006F5CA6" w:rsidRDefault="00786453" w:rsidP="00786453">
      <w:pPr>
        <w:pStyle w:val="Encabezado"/>
        <w:tabs>
          <w:tab w:val="center" w:pos="851"/>
        </w:tabs>
        <w:rPr>
          <w:rFonts w:ascii="Arial" w:hAnsi="Arial" w:cs="Arial"/>
          <w:sz w:val="22"/>
          <w:szCs w:val="22"/>
          <w:lang w:val="es-CO"/>
        </w:rPr>
      </w:pPr>
    </w:p>
    <w:p w14:paraId="77AC10FB" w14:textId="77777777" w:rsidR="00DA0472" w:rsidRPr="006F5CA6" w:rsidRDefault="00DA0472" w:rsidP="00DA0472">
      <w:pPr>
        <w:pStyle w:val="Encabezado"/>
        <w:tabs>
          <w:tab w:val="center" w:pos="851"/>
        </w:tabs>
        <w:rPr>
          <w:rFonts w:ascii="Arial" w:hAnsi="Arial" w:cs="Arial"/>
          <w:b/>
          <w:sz w:val="22"/>
          <w:szCs w:val="22"/>
          <w:lang w:val="es-CO"/>
        </w:rPr>
      </w:pPr>
      <w:r w:rsidRPr="006F5CA6">
        <w:rPr>
          <w:rFonts w:ascii="Arial" w:hAnsi="Arial" w:cs="Arial"/>
          <w:b/>
          <w:sz w:val="22"/>
          <w:szCs w:val="22"/>
          <w:lang w:val="es-CO"/>
        </w:rPr>
        <w:t>Tabla 7. Comercio al por mayor y al por menor1</w:t>
      </w:r>
    </w:p>
    <w:p w14:paraId="1F145E8D" w14:textId="77777777" w:rsidR="00DA0472" w:rsidRPr="006F5CA6" w:rsidRDefault="00DA0472" w:rsidP="00DA0472">
      <w:pPr>
        <w:pStyle w:val="Encabezado"/>
        <w:tabs>
          <w:tab w:val="center" w:pos="851"/>
        </w:tabs>
        <w:rPr>
          <w:rFonts w:ascii="Arial" w:hAnsi="Arial" w:cs="Arial"/>
          <w:b/>
          <w:sz w:val="22"/>
          <w:szCs w:val="22"/>
          <w:lang w:val="es-CO"/>
        </w:rPr>
      </w:pPr>
      <w:r w:rsidRPr="006F5CA6">
        <w:rPr>
          <w:rFonts w:ascii="Arial" w:hAnsi="Arial" w:cs="Arial"/>
          <w:b/>
          <w:sz w:val="22"/>
          <w:szCs w:val="22"/>
          <w:lang w:val="es-CO"/>
        </w:rPr>
        <w:t>Tasas de crecimiento en volumen2</w:t>
      </w:r>
    </w:p>
    <w:p w14:paraId="7BBB2A6A" w14:textId="6B7C1A51" w:rsidR="00786453" w:rsidRPr="006F5CA6" w:rsidRDefault="00DA0472" w:rsidP="00DA0472">
      <w:pPr>
        <w:pStyle w:val="Encabezado"/>
        <w:tabs>
          <w:tab w:val="center" w:pos="851"/>
        </w:tabs>
        <w:rPr>
          <w:rFonts w:ascii="Arial" w:hAnsi="Arial" w:cs="Arial"/>
          <w:b/>
          <w:sz w:val="22"/>
          <w:szCs w:val="22"/>
          <w:lang w:val="es-CO"/>
        </w:rPr>
      </w:pPr>
      <w:r w:rsidRPr="006F5CA6">
        <w:rPr>
          <w:rFonts w:ascii="Arial" w:hAnsi="Arial" w:cs="Arial"/>
          <w:b/>
          <w:sz w:val="22"/>
          <w:szCs w:val="22"/>
          <w:lang w:val="es-CO"/>
        </w:rPr>
        <w:t>Tercer trimestre 2023pr</w:t>
      </w:r>
    </w:p>
    <w:p w14:paraId="565721DD" w14:textId="5339432C" w:rsidR="00786453" w:rsidRPr="006F5CA6" w:rsidRDefault="00DA0472" w:rsidP="00786453">
      <w:pPr>
        <w:pStyle w:val="Encabezado"/>
        <w:tabs>
          <w:tab w:val="center" w:pos="851"/>
        </w:tabs>
        <w:jc w:val="center"/>
        <w:rPr>
          <w:rFonts w:ascii="Arial" w:hAnsi="Arial" w:cs="Arial"/>
          <w:noProof/>
          <w:lang w:val="es-CO"/>
        </w:rPr>
      </w:pPr>
      <w:r w:rsidRPr="006F5CA6">
        <w:rPr>
          <w:rFonts w:ascii="Arial" w:hAnsi="Arial" w:cs="Arial"/>
          <w:noProof/>
          <w:lang w:val="en-US"/>
        </w:rPr>
        <w:drawing>
          <wp:inline distT="0" distB="0" distL="0" distR="0" wp14:anchorId="3409B41C" wp14:editId="64D8A95C">
            <wp:extent cx="5029200" cy="1912553"/>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50416" cy="1920621"/>
                    </a:xfrm>
                    <a:prstGeom prst="rect">
                      <a:avLst/>
                    </a:prstGeom>
                  </pic:spPr>
                </pic:pic>
              </a:graphicData>
            </a:graphic>
          </wp:inline>
        </w:drawing>
      </w:r>
    </w:p>
    <w:p w14:paraId="56D2D616" w14:textId="77777777" w:rsidR="00DA0472" w:rsidRPr="006F5CA6" w:rsidRDefault="00DA0472" w:rsidP="00786453">
      <w:pPr>
        <w:pStyle w:val="Encabezado"/>
        <w:tabs>
          <w:tab w:val="center" w:pos="851"/>
        </w:tabs>
        <w:jc w:val="center"/>
        <w:rPr>
          <w:rFonts w:ascii="Arial" w:hAnsi="Arial" w:cs="Arial"/>
          <w:noProof/>
          <w:lang w:val="es-CO"/>
        </w:rPr>
      </w:pPr>
    </w:p>
    <w:p w14:paraId="09B3E5CD" w14:textId="0CB75BF9" w:rsidR="00860C87" w:rsidRPr="006F5CA6" w:rsidRDefault="00DA0472" w:rsidP="00DA0472">
      <w:pPr>
        <w:autoSpaceDE w:val="0"/>
        <w:autoSpaceDN w:val="0"/>
        <w:adjustRightInd w:val="0"/>
        <w:jc w:val="both"/>
        <w:rPr>
          <w:rFonts w:ascii="Arial" w:hAnsi="Arial" w:cs="Arial"/>
          <w:noProof/>
          <w:sz w:val="14"/>
          <w:szCs w:val="14"/>
          <w:lang w:val="es-CO"/>
        </w:rPr>
      </w:pPr>
      <w:r w:rsidRPr="006F5CA6">
        <w:rPr>
          <w:rFonts w:ascii="Arial" w:hAnsi="Arial" w:cs="Arial"/>
          <w:noProof/>
          <w:sz w:val="14"/>
          <w:szCs w:val="14"/>
          <w:lang w:val="es-CO"/>
        </w:rPr>
        <w:t>Fuente: DANE,Cuentas nacionales Prpreliminar 1 Comercio al por mayor y al por menor; reparación de vehículos automotores y motocicletas; transporte y almacenamiento; alojamiento y servicios de comida. 2 Series encadenadas de volumen con año de referencia 2015. 3 Comercio al por mayor y en comisión o por contrata; comercio al por menor (incluso el comercio al por menor de combustibles); comercio de vehículos automotores y motocicletas, sus partes, piezas y accesorios.</w:t>
      </w:r>
    </w:p>
    <w:p w14:paraId="33503295" w14:textId="64698249" w:rsidR="00DA0472" w:rsidRPr="006F5CA6" w:rsidRDefault="00DA0472" w:rsidP="00793EA5">
      <w:pPr>
        <w:autoSpaceDE w:val="0"/>
        <w:autoSpaceDN w:val="0"/>
        <w:adjustRightInd w:val="0"/>
        <w:jc w:val="both"/>
        <w:rPr>
          <w:rFonts w:ascii="Arial" w:hAnsi="Arial" w:cs="Arial"/>
          <w:b/>
          <w:sz w:val="22"/>
          <w:szCs w:val="22"/>
          <w:lang w:val="es-CO"/>
        </w:rPr>
      </w:pPr>
    </w:p>
    <w:p w14:paraId="2E8AA90C" w14:textId="0423F744" w:rsidR="00B079E4" w:rsidRPr="006F5CA6" w:rsidRDefault="00B079E4" w:rsidP="00F810FE">
      <w:pPr>
        <w:pStyle w:val="Ttulo2"/>
        <w:numPr>
          <w:ilvl w:val="0"/>
          <w:numId w:val="15"/>
        </w:numPr>
        <w:spacing w:before="0"/>
        <w:jc w:val="both"/>
        <w:rPr>
          <w:rFonts w:ascii="Arial" w:hAnsi="Arial" w:cs="Arial"/>
          <w:color w:val="auto"/>
          <w:sz w:val="22"/>
          <w:szCs w:val="22"/>
          <w:lang w:val="es-CO" w:eastAsia="es-CO"/>
        </w:rPr>
      </w:pPr>
      <w:r w:rsidRPr="006F5CA6">
        <w:rPr>
          <w:rFonts w:ascii="Arial" w:hAnsi="Arial" w:cs="Arial"/>
          <w:color w:val="auto"/>
          <w:sz w:val="22"/>
          <w:szCs w:val="22"/>
          <w:lang w:val="es-CO" w:eastAsia="es-CO"/>
        </w:rPr>
        <w:t>Gremios y asociaciones que participan en el sector</w:t>
      </w:r>
    </w:p>
    <w:p w14:paraId="1883F5B2" w14:textId="77777777" w:rsidR="00B079E4" w:rsidRPr="006F5CA6" w:rsidRDefault="00B079E4" w:rsidP="00B079E4">
      <w:pPr>
        <w:autoSpaceDE w:val="0"/>
        <w:autoSpaceDN w:val="0"/>
        <w:adjustRightInd w:val="0"/>
        <w:jc w:val="both"/>
        <w:rPr>
          <w:rFonts w:ascii="Arial" w:hAnsi="Arial" w:cs="Arial"/>
          <w:b/>
          <w:sz w:val="22"/>
          <w:szCs w:val="22"/>
          <w:lang w:val="es-CO"/>
        </w:rPr>
      </w:pPr>
    </w:p>
    <w:p w14:paraId="28413A06" w14:textId="75083515" w:rsidR="00A14441" w:rsidRPr="006F5CA6" w:rsidRDefault="00A14441" w:rsidP="00B342C6">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ASOTRANS</w:t>
      </w:r>
      <w:r w:rsidRPr="006F5CA6">
        <w:rPr>
          <w:rFonts w:ascii="Arial" w:eastAsia="Calibri" w:hAnsi="Arial" w:cs="Arial"/>
          <w:sz w:val="22"/>
          <w:szCs w:val="22"/>
        </w:rPr>
        <w:tab/>
      </w:r>
      <w:r w:rsidR="00B342C6" w:rsidRPr="006F5CA6">
        <w:rPr>
          <w:rFonts w:ascii="Arial" w:eastAsia="Calibri" w:hAnsi="Arial" w:cs="Arial"/>
          <w:sz w:val="22"/>
          <w:szCs w:val="22"/>
        </w:rPr>
        <w:t>asociacion nacional de transportadores</w:t>
      </w:r>
    </w:p>
    <w:p w14:paraId="695BC31B" w14:textId="6DA3141F" w:rsidR="00A14441" w:rsidRPr="006F5CA6" w:rsidRDefault="00A14441" w:rsidP="00B342C6">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ADITT</w:t>
      </w:r>
      <w:r w:rsidRPr="006F5CA6">
        <w:rPr>
          <w:rFonts w:ascii="Arial" w:eastAsia="Calibri" w:hAnsi="Arial" w:cs="Arial"/>
          <w:sz w:val="22"/>
          <w:szCs w:val="22"/>
        </w:rPr>
        <w:tab/>
      </w:r>
      <w:r w:rsidR="00B342C6" w:rsidRPr="006F5CA6">
        <w:rPr>
          <w:rFonts w:ascii="Arial" w:eastAsia="Calibri" w:hAnsi="Arial" w:cs="Arial"/>
          <w:sz w:val="22"/>
          <w:szCs w:val="22"/>
        </w:rPr>
        <w:t>asociación para el desarrollo integral del transporte terrestre intermunicipal</w:t>
      </w:r>
    </w:p>
    <w:p w14:paraId="0058D53A" w14:textId="50E484AD" w:rsidR="00A14441" w:rsidRPr="006F5CA6" w:rsidRDefault="00A14441" w:rsidP="00B342C6">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ACOLMI</w:t>
      </w:r>
      <w:r w:rsidRPr="006F5CA6">
        <w:rPr>
          <w:rFonts w:ascii="Arial" w:eastAsia="Calibri" w:hAnsi="Arial" w:cs="Arial"/>
          <w:sz w:val="22"/>
          <w:szCs w:val="22"/>
        </w:rPr>
        <w:tab/>
      </w:r>
      <w:r w:rsidR="00B342C6" w:rsidRPr="006F5CA6">
        <w:rPr>
          <w:rFonts w:ascii="Arial" w:eastAsia="Calibri" w:hAnsi="Arial" w:cs="Arial"/>
          <w:sz w:val="22"/>
          <w:szCs w:val="22"/>
        </w:rPr>
        <w:t>asociación colombiana de minibuses</w:t>
      </w:r>
    </w:p>
    <w:p w14:paraId="76F0C910" w14:textId="7B256976"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ASONALTET - Asociacion Nacional De Transportadores Especiales Y Turismo</w:t>
      </w:r>
    </w:p>
    <w:p w14:paraId="0E5E73C9" w14:textId="59090C24"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CONFENALTAX - Confederación Nacional De Empresas Urbanas De Taxis De Turismo, Colectivo Y Similares</w:t>
      </w:r>
    </w:p>
    <w:p w14:paraId="588C9AFE" w14:textId="527E7C6D"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lastRenderedPageBreak/>
        <w:t>CONALTAXIS - Consejo Nacional De Transportes En Taxis</w:t>
      </w:r>
    </w:p>
    <w:p w14:paraId="2522EC39" w14:textId="39E1D3F6"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SINALTAX - Sindicato Nacional De Taxistas</w:t>
      </w:r>
    </w:p>
    <w:p w14:paraId="47CD1A67" w14:textId="751C0C28"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SINDINALCH</w:t>
      </w:r>
      <w:r w:rsidRPr="006F5CA6">
        <w:rPr>
          <w:rFonts w:ascii="Arial" w:eastAsia="Calibri" w:hAnsi="Arial" w:cs="Arial"/>
          <w:sz w:val="22"/>
          <w:szCs w:val="22"/>
        </w:rPr>
        <w:tab/>
        <w:t>- Sindicato Nacional De Choferes De Colombia</w:t>
      </w:r>
    </w:p>
    <w:p w14:paraId="227AB723" w14:textId="37748F69"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CORPOTAXIS - Corporación De Taxis Del Distrito Capital</w:t>
      </w:r>
    </w:p>
    <w:p w14:paraId="58D08BC3" w14:textId="71F124F2"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TAX INDIVIDUAL - Tax Individual S.A.</w:t>
      </w:r>
    </w:p>
    <w:p w14:paraId="538E8DB5" w14:textId="4B9AB09D"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ASEMTAXIS - Asociaciòn De Empresas De Taxis Del Oriente</w:t>
      </w:r>
    </w:p>
    <w:p w14:paraId="788276EF" w14:textId="3379C22B"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ATEP - Asociacion De Transportadores Escolares En Vehículos Particulares</w:t>
      </w:r>
    </w:p>
    <w:p w14:paraId="6EFD4259" w14:textId="4499A416"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COOOTRAESCOLAR - Cooperativa De Transportadores Escolares</w:t>
      </w:r>
    </w:p>
    <w:p w14:paraId="04E730EB" w14:textId="4759025D" w:rsidR="00A14441"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TRANESPAR - Transporte En Vehiculos Particulares</w:t>
      </w:r>
    </w:p>
    <w:p w14:paraId="63FE555B" w14:textId="0EA82953" w:rsidR="00B079E4" w:rsidRPr="006F5CA6" w:rsidRDefault="00A14441" w:rsidP="00F810FE">
      <w:pPr>
        <w:pStyle w:val="Prrafodelista"/>
        <w:numPr>
          <w:ilvl w:val="0"/>
          <w:numId w:val="22"/>
        </w:numPr>
        <w:autoSpaceDE w:val="0"/>
        <w:autoSpaceDN w:val="0"/>
        <w:adjustRightInd w:val="0"/>
        <w:rPr>
          <w:rFonts w:ascii="Arial" w:eastAsia="Calibri" w:hAnsi="Arial" w:cs="Arial"/>
          <w:sz w:val="22"/>
          <w:szCs w:val="22"/>
        </w:rPr>
      </w:pPr>
      <w:r w:rsidRPr="006F5CA6">
        <w:rPr>
          <w:rFonts w:ascii="Arial" w:eastAsia="Calibri" w:hAnsi="Arial" w:cs="Arial"/>
          <w:sz w:val="22"/>
          <w:szCs w:val="22"/>
        </w:rPr>
        <w:t>FEDECOOTRANSP - Federación Departamental De Cooperativas De Transporte, Periférico E Interveredal -Bogotá-</w:t>
      </w:r>
    </w:p>
    <w:p w14:paraId="71020A99" w14:textId="77777777" w:rsidR="00A14441" w:rsidRPr="006F5CA6" w:rsidRDefault="00A14441" w:rsidP="00A14441">
      <w:pPr>
        <w:autoSpaceDE w:val="0"/>
        <w:autoSpaceDN w:val="0"/>
        <w:adjustRightInd w:val="0"/>
        <w:jc w:val="both"/>
        <w:rPr>
          <w:rFonts w:ascii="Arial" w:hAnsi="Arial" w:cs="Arial"/>
          <w:b/>
          <w:sz w:val="22"/>
          <w:szCs w:val="22"/>
          <w:lang w:val="es-CO"/>
        </w:rPr>
      </w:pPr>
    </w:p>
    <w:p w14:paraId="6BEA8D7E" w14:textId="77777777" w:rsidR="00B079E4" w:rsidRPr="006F5CA6" w:rsidRDefault="00B079E4" w:rsidP="00F810FE">
      <w:pPr>
        <w:pStyle w:val="Ttulo2"/>
        <w:numPr>
          <w:ilvl w:val="0"/>
          <w:numId w:val="15"/>
        </w:numPr>
        <w:spacing w:before="0"/>
        <w:jc w:val="both"/>
        <w:rPr>
          <w:rFonts w:ascii="Arial" w:hAnsi="Arial" w:cs="Arial"/>
          <w:color w:val="auto"/>
          <w:sz w:val="22"/>
          <w:szCs w:val="22"/>
          <w:lang w:val="es-CO" w:eastAsia="es-CO"/>
        </w:rPr>
      </w:pPr>
      <w:r w:rsidRPr="006F5CA6">
        <w:rPr>
          <w:rFonts w:ascii="Arial" w:hAnsi="Arial" w:cs="Arial"/>
          <w:color w:val="auto"/>
          <w:sz w:val="22"/>
          <w:szCs w:val="22"/>
          <w:lang w:val="es-CO" w:eastAsia="es-CO"/>
        </w:rPr>
        <w:t xml:space="preserve">Cifras totales de ventas - perspectivas de crecimiento, inversión y ventas </w:t>
      </w:r>
    </w:p>
    <w:p w14:paraId="46B15A1F" w14:textId="77777777" w:rsidR="00B079E4" w:rsidRPr="006F5CA6" w:rsidRDefault="00B079E4" w:rsidP="00793EA5">
      <w:pPr>
        <w:autoSpaceDE w:val="0"/>
        <w:autoSpaceDN w:val="0"/>
        <w:adjustRightInd w:val="0"/>
        <w:jc w:val="both"/>
        <w:rPr>
          <w:rFonts w:ascii="Arial" w:hAnsi="Arial" w:cs="Arial"/>
          <w:b/>
          <w:sz w:val="22"/>
          <w:szCs w:val="22"/>
          <w:lang w:val="es-CO"/>
        </w:rPr>
      </w:pPr>
    </w:p>
    <w:p w14:paraId="366AD977" w14:textId="63D73CDF" w:rsidR="0072487E" w:rsidRPr="006F5CA6" w:rsidRDefault="00D8126D" w:rsidP="00793EA5">
      <w:pPr>
        <w:autoSpaceDE w:val="0"/>
        <w:autoSpaceDN w:val="0"/>
        <w:adjustRightInd w:val="0"/>
        <w:jc w:val="both"/>
        <w:rPr>
          <w:rFonts w:ascii="Arial" w:hAnsi="Arial" w:cs="Arial"/>
          <w:b/>
          <w:sz w:val="22"/>
          <w:szCs w:val="22"/>
        </w:rPr>
      </w:pPr>
      <w:r w:rsidRPr="006F5CA6">
        <w:rPr>
          <w:rFonts w:ascii="Arial" w:hAnsi="Arial" w:cs="Arial"/>
          <w:b/>
          <w:sz w:val="22"/>
          <w:szCs w:val="22"/>
        </w:rPr>
        <w:t>Evolución general de los subsectores de servicios</w:t>
      </w:r>
    </w:p>
    <w:p w14:paraId="53471D83" w14:textId="77777777" w:rsidR="00D8126D" w:rsidRPr="006F5CA6" w:rsidRDefault="00D8126D" w:rsidP="00793EA5">
      <w:pPr>
        <w:autoSpaceDE w:val="0"/>
        <w:autoSpaceDN w:val="0"/>
        <w:adjustRightInd w:val="0"/>
        <w:jc w:val="both"/>
        <w:rPr>
          <w:rFonts w:ascii="Arial" w:hAnsi="Arial" w:cs="Arial"/>
          <w:b/>
          <w:sz w:val="22"/>
          <w:szCs w:val="22"/>
          <w:lang w:val="es-CO"/>
        </w:rPr>
      </w:pPr>
    </w:p>
    <w:p w14:paraId="3C25826C" w14:textId="2CC635C7" w:rsidR="0072487E" w:rsidRPr="006F5CA6" w:rsidRDefault="0072487E" w:rsidP="004C2025">
      <w:pPr>
        <w:autoSpaceDE w:val="0"/>
        <w:autoSpaceDN w:val="0"/>
        <w:adjustRightInd w:val="0"/>
        <w:rPr>
          <w:rFonts w:ascii="Arial" w:hAnsi="Arial" w:cs="Arial"/>
          <w:sz w:val="18"/>
          <w:szCs w:val="18"/>
          <w:lang w:val="es-CO"/>
        </w:rPr>
      </w:pPr>
      <w:r w:rsidRPr="006F5CA6">
        <w:rPr>
          <w:rFonts w:ascii="Arial" w:hAnsi="Arial" w:cs="Arial"/>
          <w:sz w:val="18"/>
          <w:szCs w:val="18"/>
          <w:lang w:val="es-CO"/>
        </w:rPr>
        <w:t>Fuente:</w:t>
      </w:r>
      <w:r w:rsidR="00786453" w:rsidRPr="006F5CA6">
        <w:rPr>
          <w:rFonts w:ascii="Arial" w:hAnsi="Arial" w:cs="Arial"/>
          <w:lang w:val="es-CO"/>
        </w:rPr>
        <w:t xml:space="preserve"> </w:t>
      </w:r>
      <w:r w:rsidR="00D8126D" w:rsidRPr="006F5CA6">
        <w:rPr>
          <w:rFonts w:ascii="Arial" w:hAnsi="Arial" w:cs="Arial"/>
          <w:sz w:val="18"/>
          <w:szCs w:val="18"/>
          <w:lang w:val="es-CO"/>
        </w:rPr>
        <w:t xml:space="preserve">https://www.dane.gov.co/files/operaciones/EMS/bol-EMS-nov2023.pdf </w:t>
      </w:r>
    </w:p>
    <w:p w14:paraId="06093B0F" w14:textId="77777777" w:rsidR="0093003D" w:rsidRPr="006F5CA6" w:rsidRDefault="0093003D" w:rsidP="00793EA5">
      <w:pPr>
        <w:autoSpaceDE w:val="0"/>
        <w:autoSpaceDN w:val="0"/>
        <w:adjustRightInd w:val="0"/>
        <w:jc w:val="both"/>
        <w:rPr>
          <w:rFonts w:ascii="Arial" w:hAnsi="Arial" w:cs="Arial"/>
          <w:sz w:val="18"/>
          <w:szCs w:val="18"/>
          <w:lang w:val="es-CO"/>
        </w:rPr>
      </w:pPr>
    </w:p>
    <w:p w14:paraId="145E3622" w14:textId="77777777" w:rsidR="00D8126D" w:rsidRPr="006F5CA6" w:rsidRDefault="00D8126D" w:rsidP="00793EA5">
      <w:pPr>
        <w:autoSpaceDE w:val="0"/>
        <w:autoSpaceDN w:val="0"/>
        <w:adjustRightInd w:val="0"/>
        <w:jc w:val="both"/>
        <w:rPr>
          <w:rFonts w:ascii="Arial" w:hAnsi="Arial" w:cs="Arial"/>
          <w:b/>
          <w:sz w:val="22"/>
          <w:szCs w:val="22"/>
        </w:rPr>
      </w:pPr>
      <w:r w:rsidRPr="006F5CA6">
        <w:rPr>
          <w:rFonts w:ascii="Arial" w:hAnsi="Arial" w:cs="Arial"/>
          <w:b/>
          <w:sz w:val="22"/>
          <w:szCs w:val="22"/>
        </w:rPr>
        <w:t xml:space="preserve">Variación anual de los ingresos nominales y contribución por tipo de ingresos, según subsector de servicios (noviembre 2023 / noviembre 2022) </w:t>
      </w:r>
    </w:p>
    <w:p w14:paraId="6DA0F8E5" w14:textId="77777777" w:rsidR="00D8126D" w:rsidRPr="006F5CA6" w:rsidRDefault="00D8126D" w:rsidP="00793EA5">
      <w:pPr>
        <w:autoSpaceDE w:val="0"/>
        <w:autoSpaceDN w:val="0"/>
        <w:adjustRightInd w:val="0"/>
        <w:jc w:val="both"/>
        <w:rPr>
          <w:rFonts w:ascii="Arial" w:hAnsi="Arial" w:cs="Arial"/>
          <w:sz w:val="22"/>
          <w:szCs w:val="22"/>
        </w:rPr>
      </w:pPr>
    </w:p>
    <w:p w14:paraId="35520414" w14:textId="31050EFE" w:rsidR="00A33ECB" w:rsidRPr="006F5CA6" w:rsidRDefault="00D8126D" w:rsidP="00793EA5">
      <w:pPr>
        <w:autoSpaceDE w:val="0"/>
        <w:autoSpaceDN w:val="0"/>
        <w:adjustRightInd w:val="0"/>
        <w:jc w:val="both"/>
        <w:rPr>
          <w:rFonts w:ascii="Arial" w:hAnsi="Arial" w:cs="Arial"/>
          <w:sz w:val="22"/>
          <w:szCs w:val="22"/>
          <w:lang w:val="es-CO"/>
        </w:rPr>
      </w:pPr>
      <w:r w:rsidRPr="006F5CA6">
        <w:rPr>
          <w:rFonts w:ascii="Arial" w:hAnsi="Arial" w:cs="Arial"/>
          <w:sz w:val="22"/>
          <w:szCs w:val="22"/>
        </w:rPr>
        <w:t>En noviembre de 2023, quince de los dieciocho subsectores de servicios presentaron variación positiva en los ingresos totales, en comparación con noviembre de 2022.</w:t>
      </w:r>
    </w:p>
    <w:p w14:paraId="01AFDC02" w14:textId="368B9F58" w:rsidR="00A33ECB" w:rsidRPr="006F5CA6" w:rsidRDefault="00A33ECB" w:rsidP="00793EA5">
      <w:pPr>
        <w:autoSpaceDE w:val="0"/>
        <w:autoSpaceDN w:val="0"/>
        <w:adjustRightInd w:val="0"/>
        <w:jc w:val="both"/>
        <w:rPr>
          <w:rFonts w:ascii="Arial" w:hAnsi="Arial" w:cs="Arial"/>
          <w:sz w:val="22"/>
          <w:szCs w:val="22"/>
          <w:lang w:val="es-CO"/>
        </w:rPr>
      </w:pPr>
    </w:p>
    <w:p w14:paraId="256CCB76" w14:textId="68DD13D2" w:rsidR="00D8126D" w:rsidRPr="006F5CA6" w:rsidRDefault="00D8126D" w:rsidP="00793EA5">
      <w:pPr>
        <w:autoSpaceDE w:val="0"/>
        <w:autoSpaceDN w:val="0"/>
        <w:adjustRightInd w:val="0"/>
        <w:jc w:val="both"/>
        <w:rPr>
          <w:rFonts w:ascii="Arial" w:hAnsi="Arial" w:cs="Arial"/>
          <w:b/>
          <w:sz w:val="22"/>
          <w:szCs w:val="22"/>
        </w:rPr>
      </w:pPr>
      <w:r w:rsidRPr="006F5CA6">
        <w:rPr>
          <w:rFonts w:ascii="Arial" w:hAnsi="Arial" w:cs="Arial"/>
          <w:b/>
          <w:sz w:val="22"/>
          <w:szCs w:val="22"/>
        </w:rPr>
        <w:t>Tabla 1. Variación anual de los ingresos y contribución por tipo de ingresos, según subsector de servicios Noviembre 2023p / noviembre 2022</w:t>
      </w:r>
    </w:p>
    <w:p w14:paraId="044E5A07" w14:textId="4CE05FE3" w:rsidR="00D8126D" w:rsidRPr="006F5CA6" w:rsidRDefault="00D8126D" w:rsidP="00793EA5">
      <w:pPr>
        <w:autoSpaceDE w:val="0"/>
        <w:autoSpaceDN w:val="0"/>
        <w:adjustRightInd w:val="0"/>
        <w:jc w:val="both"/>
        <w:rPr>
          <w:rFonts w:ascii="Arial" w:hAnsi="Arial" w:cs="Arial"/>
          <w:sz w:val="22"/>
          <w:szCs w:val="22"/>
        </w:rPr>
      </w:pPr>
    </w:p>
    <w:p w14:paraId="56CB5AC9" w14:textId="4DE64899" w:rsidR="00D8126D" w:rsidRPr="006F5CA6" w:rsidRDefault="00D8126D" w:rsidP="00793EA5">
      <w:pPr>
        <w:autoSpaceDE w:val="0"/>
        <w:autoSpaceDN w:val="0"/>
        <w:adjustRightInd w:val="0"/>
        <w:jc w:val="both"/>
        <w:rPr>
          <w:rFonts w:ascii="Arial" w:hAnsi="Arial" w:cs="Arial"/>
          <w:sz w:val="22"/>
          <w:szCs w:val="22"/>
          <w:lang w:val="es-CO"/>
        </w:rPr>
      </w:pPr>
      <w:r w:rsidRPr="006F5CA6">
        <w:rPr>
          <w:rFonts w:ascii="Arial" w:hAnsi="Arial" w:cs="Arial"/>
          <w:noProof/>
          <w:lang w:val="en-US"/>
        </w:rPr>
        <w:lastRenderedPageBreak/>
        <w:drawing>
          <wp:inline distT="0" distB="0" distL="0" distR="0" wp14:anchorId="7020844B" wp14:editId="325DA741">
            <wp:extent cx="5612130" cy="4197861"/>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2130" cy="4197861"/>
                    </a:xfrm>
                    <a:prstGeom prst="rect">
                      <a:avLst/>
                    </a:prstGeom>
                  </pic:spPr>
                </pic:pic>
              </a:graphicData>
            </a:graphic>
          </wp:inline>
        </w:drawing>
      </w:r>
    </w:p>
    <w:p w14:paraId="167BE336" w14:textId="4DA127BC" w:rsidR="00D8126D" w:rsidRPr="006F5CA6" w:rsidRDefault="00D8126D" w:rsidP="00793EA5">
      <w:pPr>
        <w:autoSpaceDE w:val="0"/>
        <w:autoSpaceDN w:val="0"/>
        <w:adjustRightInd w:val="0"/>
        <w:jc w:val="both"/>
        <w:rPr>
          <w:rFonts w:ascii="Arial" w:hAnsi="Arial" w:cs="Arial"/>
          <w:sz w:val="14"/>
          <w:szCs w:val="14"/>
          <w:lang w:val="es-CO"/>
        </w:rPr>
      </w:pPr>
      <w:r w:rsidRPr="006F5CA6">
        <w:rPr>
          <w:rFonts w:ascii="Arial" w:hAnsi="Arial" w:cs="Arial"/>
          <w:sz w:val="14"/>
          <w:szCs w:val="14"/>
        </w:rPr>
        <w:t>Fuente: DANE – EMS p Cifra provisional (PP) Puntos porcentuales Nota: por aproximación decimal, se puede presentar diferencia en la suma de las contribuciones frente a la variación total.</w:t>
      </w:r>
    </w:p>
    <w:p w14:paraId="255AD09E" w14:textId="28020ACD" w:rsidR="00D8126D" w:rsidRPr="006F5CA6" w:rsidRDefault="00D8126D" w:rsidP="00793EA5">
      <w:pPr>
        <w:autoSpaceDE w:val="0"/>
        <w:autoSpaceDN w:val="0"/>
        <w:adjustRightInd w:val="0"/>
        <w:jc w:val="both"/>
        <w:rPr>
          <w:rFonts w:ascii="Arial" w:hAnsi="Arial" w:cs="Arial"/>
          <w:sz w:val="22"/>
          <w:szCs w:val="22"/>
          <w:lang w:val="es-CO"/>
        </w:rPr>
      </w:pPr>
    </w:p>
    <w:p w14:paraId="7926CB58" w14:textId="77777777" w:rsidR="009C731E" w:rsidRPr="006F5CA6" w:rsidRDefault="009C731E"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Empleo que genera el sector</w:t>
      </w:r>
    </w:p>
    <w:p w14:paraId="56D82FFA" w14:textId="6F00B1BC" w:rsidR="009C731E" w:rsidRPr="006F5CA6" w:rsidRDefault="009C731E" w:rsidP="00793EA5">
      <w:pPr>
        <w:autoSpaceDE w:val="0"/>
        <w:autoSpaceDN w:val="0"/>
        <w:adjustRightInd w:val="0"/>
        <w:rPr>
          <w:rFonts w:ascii="Arial" w:hAnsi="Arial" w:cs="Arial"/>
          <w:b/>
          <w:bCs/>
          <w:sz w:val="22"/>
          <w:szCs w:val="22"/>
          <w:lang w:val="es-CO"/>
        </w:rPr>
      </w:pPr>
    </w:p>
    <w:p w14:paraId="6AD5D801" w14:textId="77777777" w:rsidR="00DD7950" w:rsidRPr="006F5CA6" w:rsidRDefault="00DD7950" w:rsidP="00DD7950">
      <w:pPr>
        <w:autoSpaceDE w:val="0"/>
        <w:autoSpaceDN w:val="0"/>
        <w:adjustRightInd w:val="0"/>
        <w:jc w:val="both"/>
        <w:rPr>
          <w:rFonts w:ascii="Arial" w:hAnsi="Arial" w:cs="Arial"/>
          <w:b/>
          <w:sz w:val="22"/>
          <w:szCs w:val="22"/>
          <w:lang w:val="es-CO"/>
        </w:rPr>
      </w:pPr>
      <w:r w:rsidRPr="006F5CA6">
        <w:rPr>
          <w:rFonts w:ascii="Arial" w:hAnsi="Arial" w:cs="Arial"/>
          <w:b/>
          <w:sz w:val="22"/>
          <w:szCs w:val="22"/>
        </w:rPr>
        <w:t>Variación anual del personal ocupado total y contribución por tipo de contratación, según subsector de servicios (noviembre 2023 / noviembre 2022)</w:t>
      </w:r>
    </w:p>
    <w:p w14:paraId="28CC7D86" w14:textId="77777777" w:rsidR="00DD7950" w:rsidRPr="006F5CA6" w:rsidRDefault="00DD7950" w:rsidP="00DD7950">
      <w:pPr>
        <w:autoSpaceDE w:val="0"/>
        <w:autoSpaceDN w:val="0"/>
        <w:adjustRightInd w:val="0"/>
        <w:jc w:val="both"/>
        <w:rPr>
          <w:rFonts w:ascii="Arial" w:hAnsi="Arial" w:cs="Arial"/>
          <w:sz w:val="22"/>
          <w:szCs w:val="22"/>
          <w:lang w:val="es-CO"/>
        </w:rPr>
      </w:pPr>
    </w:p>
    <w:p w14:paraId="47F84B88" w14:textId="77777777" w:rsidR="00DD7950" w:rsidRPr="006F5CA6" w:rsidRDefault="00DD7950" w:rsidP="00DD7950">
      <w:pPr>
        <w:autoSpaceDE w:val="0"/>
        <w:autoSpaceDN w:val="0"/>
        <w:adjustRightInd w:val="0"/>
        <w:jc w:val="both"/>
        <w:rPr>
          <w:rFonts w:ascii="Arial" w:hAnsi="Arial" w:cs="Arial"/>
          <w:sz w:val="22"/>
          <w:szCs w:val="22"/>
        </w:rPr>
      </w:pPr>
      <w:r w:rsidRPr="006F5CA6">
        <w:rPr>
          <w:rFonts w:ascii="Arial" w:hAnsi="Arial" w:cs="Arial"/>
          <w:sz w:val="22"/>
          <w:szCs w:val="22"/>
        </w:rPr>
        <w:t>En noviembre de 2023, siete de los dieciocho subsectores de servicios presentaron variación positiva en el personal ocupado total, en comparación con noviembre de 2022.</w:t>
      </w:r>
    </w:p>
    <w:p w14:paraId="1B766FAF" w14:textId="77777777" w:rsidR="00DD7950" w:rsidRPr="006F5CA6" w:rsidRDefault="00DD7950" w:rsidP="00DD7950">
      <w:pPr>
        <w:autoSpaceDE w:val="0"/>
        <w:autoSpaceDN w:val="0"/>
        <w:adjustRightInd w:val="0"/>
        <w:jc w:val="both"/>
        <w:rPr>
          <w:rFonts w:ascii="Arial" w:hAnsi="Arial" w:cs="Arial"/>
          <w:sz w:val="22"/>
          <w:szCs w:val="22"/>
        </w:rPr>
      </w:pPr>
    </w:p>
    <w:p w14:paraId="29A746CC" w14:textId="77777777" w:rsidR="00DD7950" w:rsidRPr="006F5CA6" w:rsidRDefault="00DD7950" w:rsidP="00DD7950">
      <w:pPr>
        <w:autoSpaceDE w:val="0"/>
        <w:autoSpaceDN w:val="0"/>
        <w:adjustRightInd w:val="0"/>
        <w:jc w:val="both"/>
        <w:rPr>
          <w:rFonts w:ascii="Arial" w:hAnsi="Arial" w:cs="Arial"/>
          <w:b/>
          <w:sz w:val="22"/>
          <w:szCs w:val="22"/>
          <w:lang w:val="es-CO"/>
        </w:rPr>
      </w:pPr>
      <w:r w:rsidRPr="006F5CA6">
        <w:rPr>
          <w:rFonts w:ascii="Arial" w:hAnsi="Arial" w:cs="Arial"/>
          <w:b/>
          <w:sz w:val="22"/>
          <w:szCs w:val="22"/>
        </w:rPr>
        <w:t>Tabla 2. Variación anual del personal ocupado total y contribución por categoría de contratación, según subsector de servicios Noviembre 2023p / noviembre 2022</w:t>
      </w:r>
    </w:p>
    <w:p w14:paraId="1153B8C2" w14:textId="77777777" w:rsidR="00DD7950" w:rsidRPr="006F5CA6" w:rsidRDefault="00DD7950" w:rsidP="00DD7950">
      <w:pPr>
        <w:autoSpaceDE w:val="0"/>
        <w:autoSpaceDN w:val="0"/>
        <w:adjustRightInd w:val="0"/>
        <w:jc w:val="both"/>
        <w:rPr>
          <w:rFonts w:ascii="Arial" w:hAnsi="Arial" w:cs="Arial"/>
          <w:sz w:val="22"/>
          <w:szCs w:val="22"/>
          <w:lang w:val="es-CO"/>
        </w:rPr>
      </w:pPr>
    </w:p>
    <w:p w14:paraId="53E3AA3D" w14:textId="77777777" w:rsidR="00DD7950" w:rsidRPr="006F5CA6" w:rsidRDefault="00DD7950" w:rsidP="00DD7950">
      <w:pPr>
        <w:autoSpaceDE w:val="0"/>
        <w:autoSpaceDN w:val="0"/>
        <w:adjustRightInd w:val="0"/>
        <w:jc w:val="both"/>
        <w:rPr>
          <w:rFonts w:ascii="Arial" w:hAnsi="Arial" w:cs="Arial"/>
          <w:sz w:val="22"/>
          <w:szCs w:val="22"/>
          <w:lang w:val="es-CO"/>
        </w:rPr>
      </w:pPr>
      <w:r w:rsidRPr="006F5CA6">
        <w:rPr>
          <w:rFonts w:ascii="Arial" w:hAnsi="Arial" w:cs="Arial"/>
          <w:noProof/>
          <w:lang w:val="en-US"/>
        </w:rPr>
        <w:lastRenderedPageBreak/>
        <w:drawing>
          <wp:inline distT="0" distB="0" distL="0" distR="0" wp14:anchorId="5E205918" wp14:editId="1A06CE3B">
            <wp:extent cx="5612130" cy="4391660"/>
            <wp:effectExtent l="0" t="0" r="762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12130" cy="4391660"/>
                    </a:xfrm>
                    <a:prstGeom prst="rect">
                      <a:avLst/>
                    </a:prstGeom>
                  </pic:spPr>
                </pic:pic>
              </a:graphicData>
            </a:graphic>
          </wp:inline>
        </w:drawing>
      </w:r>
    </w:p>
    <w:p w14:paraId="6006D61A" w14:textId="77777777" w:rsidR="00DD7950" w:rsidRPr="006F5CA6" w:rsidRDefault="00DD7950" w:rsidP="00DD7950">
      <w:pPr>
        <w:autoSpaceDE w:val="0"/>
        <w:autoSpaceDN w:val="0"/>
        <w:adjustRightInd w:val="0"/>
        <w:jc w:val="both"/>
        <w:rPr>
          <w:rFonts w:ascii="Arial" w:hAnsi="Arial" w:cs="Arial"/>
          <w:sz w:val="14"/>
          <w:szCs w:val="14"/>
        </w:rPr>
      </w:pPr>
      <w:r w:rsidRPr="006F5CA6">
        <w:rPr>
          <w:rFonts w:ascii="Arial" w:hAnsi="Arial" w:cs="Arial"/>
          <w:sz w:val="14"/>
          <w:szCs w:val="14"/>
        </w:rPr>
        <w:t>Fuente: DANE – EMS p Cifra provisional (PP) Puntos porcentuales * Incluye personal permanente, personal temporal directo y personal temporal contratado a través de agencias de suministro de personal. ** Personal en misión aplica para la sección N, divisiones 78, 80 y 81, excepto Clase 8130. *** Personal hora cátedra aplica para la sección P - grupo 854 . Nota: por aproximación decimal, se puede presentar diferencia en la suma de las contribuciones frente a la variación total.</w:t>
      </w:r>
    </w:p>
    <w:p w14:paraId="01508B86" w14:textId="77777777" w:rsidR="00DD7950" w:rsidRPr="006F5CA6" w:rsidRDefault="00DD7950" w:rsidP="00DD7950">
      <w:pPr>
        <w:autoSpaceDE w:val="0"/>
        <w:autoSpaceDN w:val="0"/>
        <w:adjustRightInd w:val="0"/>
        <w:jc w:val="both"/>
        <w:rPr>
          <w:rFonts w:ascii="Arial" w:hAnsi="Arial" w:cs="Arial"/>
          <w:sz w:val="22"/>
          <w:szCs w:val="22"/>
          <w:lang w:val="es-CO"/>
        </w:rPr>
      </w:pPr>
    </w:p>
    <w:p w14:paraId="0A0552A0" w14:textId="77777777" w:rsidR="00DD7950" w:rsidRPr="006F5CA6" w:rsidRDefault="00DD7950" w:rsidP="00DD7950">
      <w:pPr>
        <w:autoSpaceDE w:val="0"/>
        <w:autoSpaceDN w:val="0"/>
        <w:adjustRightInd w:val="0"/>
        <w:jc w:val="both"/>
        <w:rPr>
          <w:rFonts w:ascii="Arial" w:hAnsi="Arial" w:cs="Arial"/>
          <w:b/>
          <w:sz w:val="22"/>
          <w:szCs w:val="22"/>
          <w:lang w:val="es-CO"/>
        </w:rPr>
      </w:pPr>
      <w:r w:rsidRPr="006F5CA6">
        <w:rPr>
          <w:rFonts w:ascii="Arial" w:hAnsi="Arial" w:cs="Arial"/>
          <w:b/>
          <w:sz w:val="22"/>
          <w:szCs w:val="22"/>
        </w:rPr>
        <w:t>Variación anual de los salarios y contribución por tipo de contratación, según subsector de servicios (noviembre 2023 / noviembre 2022)</w:t>
      </w:r>
    </w:p>
    <w:p w14:paraId="093F676C" w14:textId="77777777" w:rsidR="00DD7950" w:rsidRPr="006F5CA6" w:rsidRDefault="00DD7950" w:rsidP="00DD7950">
      <w:pPr>
        <w:autoSpaceDE w:val="0"/>
        <w:autoSpaceDN w:val="0"/>
        <w:adjustRightInd w:val="0"/>
        <w:jc w:val="both"/>
        <w:rPr>
          <w:rFonts w:ascii="Arial" w:hAnsi="Arial" w:cs="Arial"/>
          <w:sz w:val="22"/>
          <w:szCs w:val="22"/>
          <w:lang w:val="es-CO"/>
        </w:rPr>
      </w:pPr>
    </w:p>
    <w:p w14:paraId="606F480D" w14:textId="77777777" w:rsidR="00DD7950" w:rsidRPr="006F5CA6" w:rsidRDefault="00DD7950" w:rsidP="00DD7950">
      <w:pPr>
        <w:autoSpaceDE w:val="0"/>
        <w:autoSpaceDN w:val="0"/>
        <w:adjustRightInd w:val="0"/>
        <w:jc w:val="both"/>
        <w:rPr>
          <w:rFonts w:ascii="Arial" w:hAnsi="Arial" w:cs="Arial"/>
          <w:sz w:val="22"/>
          <w:szCs w:val="22"/>
        </w:rPr>
      </w:pPr>
      <w:r w:rsidRPr="006F5CA6">
        <w:rPr>
          <w:rFonts w:ascii="Arial" w:hAnsi="Arial" w:cs="Arial"/>
          <w:sz w:val="22"/>
          <w:szCs w:val="22"/>
        </w:rPr>
        <w:t>En noviembre de 2023, todos los subsectores de servicios presentaron variación positiva en los salarios, en comparación con noviembre de 2022.</w:t>
      </w:r>
    </w:p>
    <w:p w14:paraId="282C0A8E" w14:textId="77777777" w:rsidR="00DD7950" w:rsidRPr="006F5CA6" w:rsidRDefault="00DD7950" w:rsidP="00DD7950">
      <w:pPr>
        <w:autoSpaceDE w:val="0"/>
        <w:autoSpaceDN w:val="0"/>
        <w:adjustRightInd w:val="0"/>
        <w:jc w:val="both"/>
        <w:rPr>
          <w:rFonts w:ascii="Arial" w:hAnsi="Arial" w:cs="Arial"/>
          <w:sz w:val="22"/>
          <w:szCs w:val="22"/>
        </w:rPr>
      </w:pPr>
    </w:p>
    <w:p w14:paraId="3C9DB411" w14:textId="77777777" w:rsidR="00DD7950" w:rsidRPr="006F5CA6" w:rsidRDefault="00DD7950" w:rsidP="00DD7950">
      <w:pPr>
        <w:autoSpaceDE w:val="0"/>
        <w:autoSpaceDN w:val="0"/>
        <w:adjustRightInd w:val="0"/>
        <w:jc w:val="both"/>
        <w:rPr>
          <w:rFonts w:ascii="Arial" w:hAnsi="Arial" w:cs="Arial"/>
          <w:b/>
          <w:sz w:val="22"/>
          <w:szCs w:val="22"/>
          <w:lang w:val="es-CO"/>
        </w:rPr>
      </w:pPr>
      <w:r w:rsidRPr="006F5CA6">
        <w:rPr>
          <w:rFonts w:ascii="Arial" w:hAnsi="Arial" w:cs="Arial"/>
          <w:b/>
          <w:sz w:val="22"/>
          <w:szCs w:val="22"/>
        </w:rPr>
        <w:t>Tabla 3. Variación anual de los salarios y contribución por categoría de contratación, según subsector de servicios Noviembre 2023p / noviembre 2022</w:t>
      </w:r>
    </w:p>
    <w:p w14:paraId="0911B8C9" w14:textId="77777777" w:rsidR="00DD7950" w:rsidRPr="006F5CA6" w:rsidRDefault="00DD7950" w:rsidP="00DD7950">
      <w:pPr>
        <w:autoSpaceDE w:val="0"/>
        <w:autoSpaceDN w:val="0"/>
        <w:adjustRightInd w:val="0"/>
        <w:jc w:val="both"/>
        <w:rPr>
          <w:rFonts w:ascii="Arial" w:hAnsi="Arial" w:cs="Arial"/>
          <w:sz w:val="22"/>
          <w:szCs w:val="22"/>
          <w:lang w:val="es-CO"/>
        </w:rPr>
      </w:pPr>
    </w:p>
    <w:p w14:paraId="07EAAAE0" w14:textId="77777777" w:rsidR="00DD7950" w:rsidRPr="006F5CA6" w:rsidRDefault="00DD7950" w:rsidP="00DD7950">
      <w:pPr>
        <w:autoSpaceDE w:val="0"/>
        <w:autoSpaceDN w:val="0"/>
        <w:adjustRightInd w:val="0"/>
        <w:jc w:val="both"/>
        <w:rPr>
          <w:rFonts w:ascii="Arial" w:hAnsi="Arial" w:cs="Arial"/>
          <w:sz w:val="22"/>
          <w:szCs w:val="22"/>
          <w:lang w:val="es-CO"/>
        </w:rPr>
      </w:pPr>
      <w:r w:rsidRPr="006F5CA6">
        <w:rPr>
          <w:rFonts w:ascii="Arial" w:hAnsi="Arial" w:cs="Arial"/>
          <w:noProof/>
          <w:lang w:val="en-US"/>
        </w:rPr>
        <w:lastRenderedPageBreak/>
        <w:drawing>
          <wp:inline distT="0" distB="0" distL="0" distR="0" wp14:anchorId="12225F1D" wp14:editId="4BA79F6B">
            <wp:extent cx="5612130" cy="443928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4439285"/>
                    </a:xfrm>
                    <a:prstGeom prst="rect">
                      <a:avLst/>
                    </a:prstGeom>
                  </pic:spPr>
                </pic:pic>
              </a:graphicData>
            </a:graphic>
          </wp:inline>
        </w:drawing>
      </w:r>
    </w:p>
    <w:p w14:paraId="50A9FB29" w14:textId="77777777" w:rsidR="00DD7950" w:rsidRPr="006F5CA6" w:rsidRDefault="00DD7950" w:rsidP="00DD7950">
      <w:pPr>
        <w:autoSpaceDE w:val="0"/>
        <w:autoSpaceDN w:val="0"/>
        <w:adjustRightInd w:val="0"/>
        <w:jc w:val="both"/>
        <w:rPr>
          <w:rFonts w:ascii="Arial" w:hAnsi="Arial" w:cs="Arial"/>
          <w:sz w:val="14"/>
          <w:szCs w:val="14"/>
          <w:lang w:val="es-CO"/>
        </w:rPr>
      </w:pPr>
      <w:r w:rsidRPr="006F5CA6">
        <w:rPr>
          <w:rFonts w:ascii="Arial" w:hAnsi="Arial" w:cs="Arial"/>
          <w:sz w:val="14"/>
          <w:szCs w:val="14"/>
        </w:rPr>
        <w:t>Fuente: DANE – EMS p Cifra provisional (PP) Puntos porcentuales * Hace referencia a la variación de los salarios promedio del personal ocupado total excluyendo al personal contratado a través de agencias de suministro de personal. ** Personal en misión aplica para la sección N, divisiones 78, 80 y 81, excepto Clase 8130. *** Personal hora cátedra aplica para la sección P - grupo 854 . Nota: por aproximación decimal, se puede presentar diferencia en la suma de las contribuciones frente a la variación total.</w:t>
      </w:r>
    </w:p>
    <w:p w14:paraId="24153F0B" w14:textId="77777777" w:rsidR="00DD7950" w:rsidRPr="006F5CA6" w:rsidRDefault="00DD7950" w:rsidP="00DD7950">
      <w:pPr>
        <w:autoSpaceDE w:val="0"/>
        <w:autoSpaceDN w:val="0"/>
        <w:adjustRightInd w:val="0"/>
        <w:jc w:val="both"/>
        <w:rPr>
          <w:rFonts w:ascii="Arial" w:hAnsi="Arial" w:cs="Arial"/>
          <w:sz w:val="22"/>
          <w:szCs w:val="22"/>
          <w:lang w:val="es-CO"/>
        </w:rPr>
      </w:pPr>
    </w:p>
    <w:p w14:paraId="07DD030D" w14:textId="6656697B" w:rsidR="00A76FE4" w:rsidRPr="006F5CA6" w:rsidRDefault="00A76FE4" w:rsidP="00E015AD">
      <w:pPr>
        <w:rPr>
          <w:rFonts w:ascii="Arial" w:hAnsi="Arial" w:cs="Arial"/>
          <w:b/>
          <w:bCs/>
          <w:noProof/>
          <w:sz w:val="22"/>
          <w:szCs w:val="22"/>
          <w:lang w:eastAsia="es-CO"/>
        </w:rPr>
      </w:pPr>
      <w:r w:rsidRPr="006F5CA6">
        <w:rPr>
          <w:rFonts w:ascii="Arial" w:hAnsi="Arial" w:cs="Arial"/>
          <w:b/>
          <w:bCs/>
          <w:noProof/>
          <w:sz w:val="22"/>
          <w:szCs w:val="22"/>
          <w:lang w:eastAsia="es-CO"/>
        </w:rPr>
        <w:t xml:space="preserve">Variables económicas que pueden afectar el abastecimiento o los precios en el sector como </w:t>
      </w:r>
      <w:r w:rsidR="00FE5895" w:rsidRPr="006F5CA6">
        <w:rPr>
          <w:rFonts w:ascii="Arial" w:hAnsi="Arial" w:cs="Arial"/>
          <w:b/>
          <w:bCs/>
          <w:noProof/>
          <w:sz w:val="22"/>
          <w:szCs w:val="22"/>
          <w:lang w:eastAsia="es-CO"/>
        </w:rPr>
        <w:t>inflación</w:t>
      </w:r>
      <w:r w:rsidRPr="006F5CA6">
        <w:rPr>
          <w:rFonts w:ascii="Arial" w:hAnsi="Arial" w:cs="Arial"/>
          <w:b/>
          <w:bCs/>
          <w:noProof/>
          <w:sz w:val="22"/>
          <w:szCs w:val="22"/>
          <w:lang w:eastAsia="es-CO"/>
        </w:rPr>
        <w:t xml:space="preserve">, variación del SMMLV y la tasa de cambio </w:t>
      </w:r>
    </w:p>
    <w:p w14:paraId="38DDFE44" w14:textId="7EB93D61" w:rsidR="00A76FE4" w:rsidRPr="006F5CA6" w:rsidRDefault="00A76FE4" w:rsidP="00A76FE4">
      <w:pPr>
        <w:rPr>
          <w:rFonts w:ascii="Arial" w:hAnsi="Arial" w:cs="Arial"/>
          <w:b/>
          <w:bCs/>
          <w:noProof/>
          <w:sz w:val="22"/>
          <w:szCs w:val="22"/>
          <w:lang w:val="es-CO" w:eastAsia="es-CO"/>
        </w:rPr>
      </w:pPr>
    </w:p>
    <w:p w14:paraId="4A4272D8" w14:textId="32204778" w:rsidR="00D26C77" w:rsidRPr="006F5CA6" w:rsidRDefault="00FE5895" w:rsidP="00A76FE4">
      <w:pPr>
        <w:rPr>
          <w:rFonts w:ascii="Arial" w:hAnsi="Arial" w:cs="Arial"/>
          <w:b/>
          <w:bCs/>
          <w:noProof/>
          <w:sz w:val="22"/>
          <w:szCs w:val="22"/>
          <w:lang w:val="es-CO" w:eastAsia="es-CO"/>
        </w:rPr>
      </w:pPr>
      <w:r w:rsidRPr="006F5CA6">
        <w:rPr>
          <w:rFonts w:ascii="Arial" w:hAnsi="Arial" w:cs="Arial"/>
          <w:b/>
          <w:bCs/>
          <w:noProof/>
          <w:sz w:val="22"/>
          <w:szCs w:val="22"/>
          <w:lang w:val="es-CO" w:eastAsia="es-CO"/>
        </w:rPr>
        <w:t>Inflación</w:t>
      </w:r>
    </w:p>
    <w:p w14:paraId="2B99EFF0" w14:textId="4B9691D2" w:rsidR="00FE5895" w:rsidRPr="006F5CA6" w:rsidRDefault="00FE5895" w:rsidP="00A76FE4">
      <w:pPr>
        <w:rPr>
          <w:rFonts w:ascii="Arial" w:hAnsi="Arial" w:cs="Arial"/>
          <w:b/>
          <w:bCs/>
          <w:noProof/>
          <w:sz w:val="22"/>
          <w:szCs w:val="22"/>
          <w:lang w:val="es-CO" w:eastAsia="es-CO"/>
        </w:rPr>
      </w:pPr>
    </w:p>
    <w:p w14:paraId="47CC1D33" w14:textId="77777777"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 xml:space="preserve">Desde el 2016 se registraba una tendencia decreciente de los precios al consumidor en Colombia. Durante 2020 se acentuó la caída y se situó en 1,6% anual, el registro anual más bajo: ello reflejó el choque de la pandemia en los precios (gráfico 14). </w:t>
      </w:r>
    </w:p>
    <w:p w14:paraId="314E02EA" w14:textId="77777777" w:rsidR="00FE5895" w:rsidRPr="006F5CA6" w:rsidRDefault="00FE5895" w:rsidP="00FE5895">
      <w:pPr>
        <w:jc w:val="both"/>
        <w:rPr>
          <w:rFonts w:ascii="Arial" w:hAnsi="Arial" w:cs="Arial"/>
          <w:bCs/>
          <w:noProof/>
          <w:sz w:val="22"/>
          <w:szCs w:val="22"/>
          <w:lang w:val="es-CO" w:eastAsia="es-CO"/>
        </w:rPr>
      </w:pPr>
    </w:p>
    <w:p w14:paraId="4AE7B671" w14:textId="77777777"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 xml:space="preserve">El comportamiento de los precios en 2021 fue diferente. Se presentó una tendencia creciente, en particular desde el mes de mayo, debido a los bloqueos viales desde ese mes, que generaron aumento de los precios al consumidor, en especial en los alimentos perecederos. Igualmente, por el incremento en los precios internacionales de los bienes básicos y materias primas. Así mismo, la mayor inflación se debió a fenómenos como la escasez de microprocesadores, los cierres de algunos puertos, las demoras en los despachos y, en general, los problemas logísticos mundiales. Todo este entorno reforzado por una mayor depreciación del peso3 . </w:t>
      </w:r>
    </w:p>
    <w:p w14:paraId="0E7AADCB" w14:textId="77777777" w:rsidR="00FE5895" w:rsidRPr="006F5CA6" w:rsidRDefault="00FE5895" w:rsidP="00FE5895">
      <w:pPr>
        <w:jc w:val="both"/>
        <w:rPr>
          <w:rFonts w:ascii="Arial" w:hAnsi="Arial" w:cs="Arial"/>
          <w:bCs/>
          <w:noProof/>
          <w:sz w:val="22"/>
          <w:szCs w:val="22"/>
          <w:lang w:val="es-CO" w:eastAsia="es-CO"/>
        </w:rPr>
      </w:pPr>
    </w:p>
    <w:p w14:paraId="319D2B50" w14:textId="77777777"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 xml:space="preserve">La invasión de Rusia a Ucrania fue un factor que aumentó los precios internacionales de algunos bienes e insumos agrícolas, la energía y el petróleo, lo cual presionó a la mayor inflación interna en los países. </w:t>
      </w:r>
    </w:p>
    <w:p w14:paraId="35416F0A" w14:textId="77777777" w:rsidR="00FE5895" w:rsidRPr="006F5CA6" w:rsidRDefault="00FE5895" w:rsidP="00FE5895">
      <w:pPr>
        <w:jc w:val="both"/>
        <w:rPr>
          <w:rFonts w:ascii="Arial" w:hAnsi="Arial" w:cs="Arial"/>
          <w:bCs/>
          <w:noProof/>
          <w:sz w:val="22"/>
          <w:szCs w:val="22"/>
          <w:lang w:val="es-CO" w:eastAsia="es-CO"/>
        </w:rPr>
      </w:pPr>
    </w:p>
    <w:p w14:paraId="769E6D7E" w14:textId="77777777"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En general, los choques internacionales de costos y de precios continúan ejerciendo presiones al alza sobre la inflación del país, ello unido a los choques de oferta internos, han afectado a los alimentos. Igualmente, la recuperación de la demanda agregada, en especial del consumo privado también explicó el aumento de la inflación.</w:t>
      </w:r>
    </w:p>
    <w:p w14:paraId="1E45CC58" w14:textId="77777777" w:rsidR="00FE5895" w:rsidRPr="006F5CA6" w:rsidRDefault="00FE5895" w:rsidP="00FE5895">
      <w:pPr>
        <w:jc w:val="both"/>
        <w:rPr>
          <w:rFonts w:ascii="Arial" w:hAnsi="Arial" w:cs="Arial"/>
          <w:bCs/>
          <w:noProof/>
          <w:sz w:val="22"/>
          <w:szCs w:val="22"/>
          <w:lang w:val="es-CO" w:eastAsia="es-CO"/>
        </w:rPr>
      </w:pPr>
    </w:p>
    <w:p w14:paraId="6A64F1A4" w14:textId="76BD0D01"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La tendencia creciente de la inflación se mantuvo hasta abril y mayo de 2023, momento en el cual se evidencia ya un cambio de tendencia, aunque el aumento de precios se mantiene todavía alto, a octubre la variación anual fue 10,5%, de dos dígitos (gráfico 10). El impacto de los alimentos en el incremento de precios fue determinante, pero en la actualidad se está presentando una reducción significativa, no obstante, todavía mantiene una alta tasa (10,4% anual a octubre) e igualmente de dos dígitos (Gráfico 14a).</w:t>
      </w:r>
    </w:p>
    <w:p w14:paraId="3E03A898" w14:textId="4DA8D2AD" w:rsidR="00FE5895" w:rsidRPr="006F5CA6" w:rsidRDefault="00FE5895" w:rsidP="00A76FE4">
      <w:pPr>
        <w:rPr>
          <w:rFonts w:ascii="Arial" w:hAnsi="Arial" w:cs="Arial"/>
          <w:b/>
          <w:bCs/>
          <w:noProof/>
          <w:sz w:val="22"/>
          <w:szCs w:val="22"/>
          <w:lang w:val="es-CO" w:eastAsia="es-CO"/>
        </w:rPr>
      </w:pPr>
    </w:p>
    <w:p w14:paraId="60A725AA" w14:textId="5E941203" w:rsidR="00FE5895" w:rsidRPr="006F5CA6" w:rsidRDefault="00FE5895" w:rsidP="00FE5895">
      <w:pPr>
        <w:rPr>
          <w:rFonts w:ascii="Arial" w:hAnsi="Arial" w:cs="Arial"/>
          <w:b/>
          <w:bCs/>
          <w:noProof/>
          <w:sz w:val="22"/>
          <w:szCs w:val="22"/>
          <w:lang w:val="es-CO" w:eastAsia="es-CO"/>
        </w:rPr>
      </w:pPr>
      <w:r w:rsidRPr="006F5CA6">
        <w:rPr>
          <w:rFonts w:ascii="Arial" w:hAnsi="Arial" w:cs="Arial"/>
          <w:b/>
          <w:bCs/>
          <w:noProof/>
          <w:sz w:val="22"/>
          <w:szCs w:val="22"/>
          <w:lang w:val="es-CO" w:eastAsia="es-CO"/>
        </w:rPr>
        <w:t>Gráfico 14 Tasa de inflación anual, total y sin alimentos</w:t>
      </w:r>
    </w:p>
    <w:p w14:paraId="7A4577C2" w14:textId="6BC1E425" w:rsidR="00FE5895" w:rsidRPr="006F5CA6" w:rsidRDefault="00FE5895" w:rsidP="00A76FE4">
      <w:pPr>
        <w:rPr>
          <w:rFonts w:ascii="Arial" w:hAnsi="Arial" w:cs="Arial"/>
          <w:b/>
          <w:bCs/>
          <w:noProof/>
          <w:sz w:val="22"/>
          <w:szCs w:val="22"/>
          <w:lang w:val="es-CO" w:eastAsia="es-CO"/>
        </w:rPr>
      </w:pPr>
    </w:p>
    <w:p w14:paraId="085A5528" w14:textId="10AA2B0C" w:rsidR="00FE5895" w:rsidRPr="006F5CA6" w:rsidRDefault="00FE5895" w:rsidP="002876BC">
      <w:pPr>
        <w:jc w:val="center"/>
        <w:rPr>
          <w:rFonts w:ascii="Arial" w:hAnsi="Arial" w:cs="Arial"/>
          <w:b/>
          <w:bCs/>
          <w:noProof/>
          <w:sz w:val="22"/>
          <w:szCs w:val="22"/>
          <w:lang w:val="es-CO" w:eastAsia="es-CO"/>
        </w:rPr>
      </w:pPr>
      <w:r w:rsidRPr="006F5CA6">
        <w:rPr>
          <w:rFonts w:ascii="Arial" w:hAnsi="Arial" w:cs="Arial"/>
          <w:noProof/>
          <w:lang w:val="en-US"/>
        </w:rPr>
        <w:drawing>
          <wp:inline distT="0" distB="0" distL="0" distR="0" wp14:anchorId="09DE1B80" wp14:editId="28D1B8C5">
            <wp:extent cx="4705350" cy="251460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05350" cy="2514600"/>
                    </a:xfrm>
                    <a:prstGeom prst="rect">
                      <a:avLst/>
                    </a:prstGeom>
                  </pic:spPr>
                </pic:pic>
              </a:graphicData>
            </a:graphic>
          </wp:inline>
        </w:drawing>
      </w:r>
    </w:p>
    <w:p w14:paraId="2E730A82" w14:textId="77777777" w:rsidR="00FE5895" w:rsidRPr="006F5CA6" w:rsidRDefault="00FE5895" w:rsidP="00A76FE4">
      <w:pPr>
        <w:rPr>
          <w:rFonts w:ascii="Arial" w:hAnsi="Arial" w:cs="Arial"/>
          <w:b/>
          <w:bCs/>
          <w:noProof/>
          <w:sz w:val="22"/>
          <w:szCs w:val="22"/>
          <w:lang w:val="es-CO" w:eastAsia="es-CO"/>
        </w:rPr>
      </w:pPr>
    </w:p>
    <w:p w14:paraId="6B4217CA" w14:textId="1982152C" w:rsidR="00FE5895" w:rsidRPr="006F5CA6" w:rsidRDefault="00FE5895" w:rsidP="00A76FE4">
      <w:pPr>
        <w:rPr>
          <w:rFonts w:ascii="Arial" w:hAnsi="Arial" w:cs="Arial"/>
          <w:b/>
          <w:bCs/>
          <w:noProof/>
          <w:sz w:val="22"/>
          <w:szCs w:val="22"/>
          <w:lang w:val="es-CO" w:eastAsia="es-CO"/>
        </w:rPr>
      </w:pPr>
      <w:r w:rsidRPr="006F5CA6">
        <w:rPr>
          <w:rFonts w:ascii="Arial" w:hAnsi="Arial" w:cs="Arial"/>
          <w:b/>
          <w:bCs/>
          <w:noProof/>
          <w:sz w:val="22"/>
          <w:szCs w:val="22"/>
          <w:lang w:val="es-CO" w:eastAsia="es-CO"/>
        </w:rPr>
        <w:t>Gráfico 14a Tasa anual de inflación de alimentos</w:t>
      </w:r>
    </w:p>
    <w:p w14:paraId="28CB477B" w14:textId="77777777" w:rsidR="00FE5895" w:rsidRPr="006F5CA6" w:rsidRDefault="00FE5895" w:rsidP="00A76FE4">
      <w:pPr>
        <w:rPr>
          <w:rFonts w:ascii="Arial" w:hAnsi="Arial" w:cs="Arial"/>
          <w:b/>
          <w:bCs/>
          <w:noProof/>
          <w:sz w:val="22"/>
          <w:szCs w:val="22"/>
          <w:lang w:val="es-CO" w:eastAsia="es-CO"/>
        </w:rPr>
      </w:pPr>
    </w:p>
    <w:p w14:paraId="64026D9A" w14:textId="593619F4" w:rsidR="00FE5895" w:rsidRPr="006F5CA6" w:rsidRDefault="00FE5895" w:rsidP="002876BC">
      <w:pPr>
        <w:jc w:val="center"/>
        <w:rPr>
          <w:rFonts w:ascii="Arial" w:hAnsi="Arial" w:cs="Arial"/>
          <w:b/>
          <w:bCs/>
          <w:noProof/>
          <w:sz w:val="22"/>
          <w:szCs w:val="22"/>
          <w:lang w:val="es-CO" w:eastAsia="es-CO"/>
        </w:rPr>
      </w:pPr>
      <w:r w:rsidRPr="006F5CA6">
        <w:rPr>
          <w:rFonts w:ascii="Arial" w:hAnsi="Arial" w:cs="Arial"/>
          <w:noProof/>
          <w:lang w:val="en-US"/>
        </w:rPr>
        <w:drawing>
          <wp:inline distT="0" distB="0" distL="0" distR="0" wp14:anchorId="73F902A1" wp14:editId="32E6BEE5">
            <wp:extent cx="4619625" cy="2505075"/>
            <wp:effectExtent l="0" t="0" r="9525"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19625" cy="2505075"/>
                    </a:xfrm>
                    <a:prstGeom prst="rect">
                      <a:avLst/>
                    </a:prstGeom>
                  </pic:spPr>
                </pic:pic>
              </a:graphicData>
            </a:graphic>
          </wp:inline>
        </w:drawing>
      </w:r>
    </w:p>
    <w:p w14:paraId="0B8E796A" w14:textId="00F0BA3B" w:rsidR="00FE5895" w:rsidRPr="006F5CA6" w:rsidRDefault="00FE5895" w:rsidP="00A76FE4">
      <w:pPr>
        <w:rPr>
          <w:rFonts w:ascii="Arial" w:hAnsi="Arial" w:cs="Arial"/>
          <w:b/>
          <w:bCs/>
          <w:noProof/>
          <w:sz w:val="22"/>
          <w:szCs w:val="22"/>
          <w:lang w:val="es-CO" w:eastAsia="es-CO"/>
        </w:rPr>
      </w:pPr>
    </w:p>
    <w:p w14:paraId="2E252275" w14:textId="20741F0F"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 xml:space="preserve">En octubre de 2023, el sector que más contribuyó a la variación anual fue el de alojamiento, agua, electricidad, gas, con un aumento de 7,7%. Le siguió transporte (17,3%) y alimentos </w:t>
      </w:r>
      <w:r w:rsidRPr="006F5CA6">
        <w:rPr>
          <w:rFonts w:ascii="Arial" w:hAnsi="Arial" w:cs="Arial"/>
          <w:bCs/>
          <w:noProof/>
          <w:sz w:val="22"/>
          <w:szCs w:val="22"/>
          <w:lang w:val="es-CO" w:eastAsia="es-CO"/>
        </w:rPr>
        <w:lastRenderedPageBreak/>
        <w:t>y bebidas no alcohólicas (10,4%). Estos tres sectores aportaron 6,6 puntos porcentuales a la variación. (gráfico 15).</w:t>
      </w:r>
    </w:p>
    <w:p w14:paraId="21D83AF3" w14:textId="7F5A2E1A" w:rsidR="00FE5895" w:rsidRPr="006F5CA6" w:rsidRDefault="00FE5895" w:rsidP="00FE5895">
      <w:pPr>
        <w:jc w:val="both"/>
        <w:rPr>
          <w:rFonts w:ascii="Arial" w:hAnsi="Arial" w:cs="Arial"/>
          <w:bCs/>
          <w:noProof/>
          <w:sz w:val="22"/>
          <w:szCs w:val="22"/>
          <w:lang w:val="es-CO" w:eastAsia="es-CO"/>
        </w:rPr>
      </w:pPr>
    </w:p>
    <w:p w14:paraId="41A793A1" w14:textId="6940F930" w:rsidR="00FE5895" w:rsidRPr="006F5CA6" w:rsidRDefault="00FE5895" w:rsidP="00FE5895">
      <w:pPr>
        <w:jc w:val="both"/>
        <w:rPr>
          <w:rFonts w:ascii="Arial" w:hAnsi="Arial" w:cs="Arial"/>
          <w:b/>
          <w:bCs/>
          <w:noProof/>
          <w:sz w:val="22"/>
          <w:szCs w:val="22"/>
          <w:lang w:val="es-CO" w:eastAsia="es-CO"/>
        </w:rPr>
      </w:pPr>
      <w:r w:rsidRPr="006F5CA6">
        <w:rPr>
          <w:rFonts w:ascii="Arial" w:hAnsi="Arial" w:cs="Arial"/>
          <w:b/>
          <w:bCs/>
          <w:noProof/>
          <w:sz w:val="22"/>
          <w:szCs w:val="22"/>
          <w:lang w:val="es-CO" w:eastAsia="es-CO"/>
        </w:rPr>
        <w:t>Gráfico 15 Tasa de inflación anual por sectores -octubre de 2023-</w:t>
      </w:r>
    </w:p>
    <w:p w14:paraId="7CA48FA2" w14:textId="7C3F4E6C" w:rsidR="00FE5895" w:rsidRPr="006F5CA6" w:rsidRDefault="00FE5895" w:rsidP="00FE5895">
      <w:pPr>
        <w:jc w:val="both"/>
        <w:rPr>
          <w:rFonts w:ascii="Arial" w:hAnsi="Arial" w:cs="Arial"/>
          <w:bCs/>
          <w:noProof/>
          <w:sz w:val="22"/>
          <w:szCs w:val="22"/>
          <w:lang w:val="es-CO" w:eastAsia="es-CO"/>
        </w:rPr>
      </w:pPr>
    </w:p>
    <w:p w14:paraId="23B07A33" w14:textId="04F8FB55" w:rsidR="00FE5895" w:rsidRPr="006F5CA6" w:rsidRDefault="00FE5895" w:rsidP="002876BC">
      <w:pPr>
        <w:jc w:val="center"/>
        <w:rPr>
          <w:rFonts w:ascii="Arial" w:hAnsi="Arial" w:cs="Arial"/>
          <w:bCs/>
          <w:noProof/>
          <w:sz w:val="22"/>
          <w:szCs w:val="22"/>
          <w:lang w:val="es-CO" w:eastAsia="es-CO"/>
        </w:rPr>
      </w:pPr>
      <w:r w:rsidRPr="006F5CA6">
        <w:rPr>
          <w:rFonts w:ascii="Arial" w:hAnsi="Arial" w:cs="Arial"/>
          <w:noProof/>
          <w:lang w:val="en-US"/>
        </w:rPr>
        <w:drawing>
          <wp:inline distT="0" distB="0" distL="0" distR="0" wp14:anchorId="5ECE9FF4" wp14:editId="37DB36B2">
            <wp:extent cx="5114925" cy="2676525"/>
            <wp:effectExtent l="0" t="0" r="9525"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14925" cy="2676525"/>
                    </a:xfrm>
                    <a:prstGeom prst="rect">
                      <a:avLst/>
                    </a:prstGeom>
                  </pic:spPr>
                </pic:pic>
              </a:graphicData>
            </a:graphic>
          </wp:inline>
        </w:drawing>
      </w:r>
    </w:p>
    <w:p w14:paraId="4F41D615" w14:textId="77777777" w:rsidR="00FE5895" w:rsidRPr="006F5CA6" w:rsidRDefault="00FE5895" w:rsidP="00FE5895">
      <w:pPr>
        <w:jc w:val="both"/>
        <w:rPr>
          <w:rFonts w:ascii="Arial" w:hAnsi="Arial" w:cs="Arial"/>
          <w:bCs/>
          <w:noProof/>
          <w:sz w:val="22"/>
          <w:szCs w:val="22"/>
          <w:lang w:val="es-CO" w:eastAsia="es-CO"/>
        </w:rPr>
      </w:pPr>
    </w:p>
    <w:p w14:paraId="0C0D7B49" w14:textId="57426942" w:rsidR="00FE5895" w:rsidRPr="006F5CA6" w:rsidRDefault="00FE5895" w:rsidP="00FE5895">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De acuerdo con el Banco de la República, se prevé que la inflación continue bajando y se ubique en 9,8% en 2023 y se mantenga reduciendo en 2024 a 4%.</w:t>
      </w:r>
    </w:p>
    <w:p w14:paraId="218FB568" w14:textId="212F2C47" w:rsidR="00FE5895" w:rsidRPr="006F5CA6" w:rsidRDefault="00FE5895" w:rsidP="00A76FE4">
      <w:pPr>
        <w:rPr>
          <w:rFonts w:ascii="Arial" w:hAnsi="Arial" w:cs="Arial"/>
          <w:b/>
          <w:bCs/>
          <w:noProof/>
          <w:sz w:val="22"/>
          <w:szCs w:val="22"/>
          <w:lang w:val="es-CO" w:eastAsia="es-CO"/>
        </w:rPr>
      </w:pPr>
    </w:p>
    <w:p w14:paraId="60A47676" w14:textId="7A16212D" w:rsidR="00A76FE4" w:rsidRPr="006F5CA6" w:rsidRDefault="00A76FE4" w:rsidP="00A76FE4">
      <w:pPr>
        <w:rPr>
          <w:rFonts w:ascii="Arial" w:hAnsi="Arial" w:cs="Arial"/>
          <w:b/>
          <w:bCs/>
          <w:noProof/>
          <w:sz w:val="22"/>
          <w:szCs w:val="22"/>
          <w:lang w:val="es-CO" w:eastAsia="es-CO"/>
        </w:rPr>
      </w:pPr>
      <w:r w:rsidRPr="006F5CA6">
        <w:rPr>
          <w:rFonts w:ascii="Arial" w:hAnsi="Arial" w:cs="Arial"/>
          <w:b/>
          <w:bCs/>
          <w:noProof/>
          <w:sz w:val="22"/>
          <w:szCs w:val="22"/>
          <w:lang w:val="es-CO" w:eastAsia="es-CO"/>
        </w:rPr>
        <w:t xml:space="preserve">Tasa de cambio </w:t>
      </w:r>
    </w:p>
    <w:p w14:paraId="5523AE9D" w14:textId="77777777" w:rsidR="00A76FE4" w:rsidRPr="006F5CA6" w:rsidRDefault="00A76FE4" w:rsidP="00A76FE4">
      <w:pPr>
        <w:rPr>
          <w:rFonts w:ascii="Arial" w:hAnsi="Arial" w:cs="Arial"/>
          <w:b/>
          <w:bCs/>
          <w:noProof/>
          <w:sz w:val="22"/>
          <w:szCs w:val="22"/>
          <w:lang w:val="es-CO" w:eastAsia="es-CO"/>
        </w:rPr>
      </w:pPr>
    </w:p>
    <w:p w14:paraId="2374A81A" w14:textId="643B435A" w:rsidR="00A76FE4" w:rsidRPr="006F5CA6" w:rsidRDefault="00A76FE4" w:rsidP="00A76FE4">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En enero-octubre de 2023, la tasa representativa de mercado correspondió en promedio a US$4.391,7 pesos por dólar, el valor más alto registrado en la historia de Colombia en un período acumulado a octubre, ello equivalió a una devaluación nominal de 6,2%, respecto a la cotización de igual período de 2022</w:t>
      </w:r>
    </w:p>
    <w:p w14:paraId="5093B062" w14:textId="4CE278FE" w:rsidR="00FE5895" w:rsidRPr="006F5CA6" w:rsidRDefault="00FE5895" w:rsidP="00A76FE4">
      <w:pPr>
        <w:jc w:val="both"/>
        <w:rPr>
          <w:rFonts w:ascii="Arial" w:hAnsi="Arial" w:cs="Arial"/>
          <w:bCs/>
          <w:noProof/>
          <w:sz w:val="22"/>
          <w:szCs w:val="22"/>
          <w:lang w:val="es-CO" w:eastAsia="es-CO"/>
        </w:rPr>
      </w:pPr>
    </w:p>
    <w:p w14:paraId="21F6D841" w14:textId="77777777" w:rsidR="00FE5895" w:rsidRPr="006F5CA6" w:rsidRDefault="00FE5895" w:rsidP="002876BC">
      <w:pPr>
        <w:pStyle w:val="Prrafodelista"/>
        <w:autoSpaceDE w:val="0"/>
        <w:autoSpaceDN w:val="0"/>
        <w:adjustRightInd w:val="0"/>
        <w:ind w:left="0"/>
        <w:jc w:val="center"/>
        <w:rPr>
          <w:rFonts w:ascii="Arial" w:hAnsi="Arial" w:cs="Arial"/>
          <w:sz w:val="22"/>
          <w:szCs w:val="22"/>
        </w:rPr>
      </w:pPr>
      <w:r w:rsidRPr="006F5CA6">
        <w:rPr>
          <w:rFonts w:ascii="Arial" w:hAnsi="Arial" w:cs="Arial"/>
          <w:noProof/>
          <w:lang w:val="en-US"/>
        </w:rPr>
        <w:drawing>
          <wp:inline distT="0" distB="0" distL="0" distR="0" wp14:anchorId="70DDE7BA" wp14:editId="0C0FCBD3">
            <wp:extent cx="5534025" cy="2181225"/>
            <wp:effectExtent l="0" t="0" r="9525" b="952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34025" cy="2181225"/>
                    </a:xfrm>
                    <a:prstGeom prst="rect">
                      <a:avLst/>
                    </a:prstGeom>
                  </pic:spPr>
                </pic:pic>
              </a:graphicData>
            </a:graphic>
          </wp:inline>
        </w:drawing>
      </w:r>
    </w:p>
    <w:p w14:paraId="15D30198" w14:textId="77777777" w:rsidR="00FE5895" w:rsidRPr="006F5CA6" w:rsidRDefault="00FE5895" w:rsidP="00FE5895">
      <w:pPr>
        <w:pStyle w:val="Prrafodelista"/>
        <w:autoSpaceDE w:val="0"/>
        <w:autoSpaceDN w:val="0"/>
        <w:adjustRightInd w:val="0"/>
        <w:ind w:left="0"/>
        <w:rPr>
          <w:rFonts w:ascii="Arial" w:hAnsi="Arial" w:cs="Arial"/>
          <w:sz w:val="22"/>
          <w:szCs w:val="22"/>
        </w:rPr>
      </w:pPr>
      <w:r w:rsidRPr="006F5CA6">
        <w:rPr>
          <w:rFonts w:ascii="Arial" w:hAnsi="Arial" w:cs="Arial"/>
          <w:sz w:val="22"/>
          <w:szCs w:val="22"/>
        </w:rPr>
        <w:t xml:space="preserve">Desde mediados de 2018 se registraba una tendencia creciente de la cotización de la tasa de cambio, pero se acentuó en 2020, debido al entorno internacional complicado con caída en los precios de petróleo e incertidumbre de las economías del mundo ante las consecuencias del COVID-19. </w:t>
      </w:r>
    </w:p>
    <w:p w14:paraId="5AF0DEBD" w14:textId="77777777" w:rsidR="00FE5895" w:rsidRPr="006F5CA6" w:rsidRDefault="00FE5895" w:rsidP="00FE5895">
      <w:pPr>
        <w:pStyle w:val="Prrafodelista"/>
        <w:autoSpaceDE w:val="0"/>
        <w:autoSpaceDN w:val="0"/>
        <w:adjustRightInd w:val="0"/>
        <w:ind w:left="0"/>
        <w:rPr>
          <w:rFonts w:ascii="Arial" w:hAnsi="Arial" w:cs="Arial"/>
          <w:sz w:val="22"/>
          <w:szCs w:val="22"/>
        </w:rPr>
      </w:pPr>
    </w:p>
    <w:p w14:paraId="659DCD2D" w14:textId="77777777" w:rsidR="00FE5895" w:rsidRPr="006F5CA6" w:rsidRDefault="00FE5895" w:rsidP="00FE5895">
      <w:pPr>
        <w:pStyle w:val="Prrafodelista"/>
        <w:autoSpaceDE w:val="0"/>
        <w:autoSpaceDN w:val="0"/>
        <w:adjustRightInd w:val="0"/>
        <w:ind w:left="0"/>
        <w:rPr>
          <w:rFonts w:ascii="Arial" w:hAnsi="Arial" w:cs="Arial"/>
          <w:sz w:val="22"/>
          <w:szCs w:val="22"/>
        </w:rPr>
      </w:pPr>
      <w:r w:rsidRPr="006F5CA6">
        <w:rPr>
          <w:rFonts w:ascii="Arial" w:hAnsi="Arial" w:cs="Arial"/>
          <w:sz w:val="22"/>
          <w:szCs w:val="22"/>
        </w:rPr>
        <w:lastRenderedPageBreak/>
        <w:t xml:space="preserve">Durante el 2021, la se evidencia volatilidad de la moneda colombiana, pero con la tendencia a aumentar, entre otras, por el desbalance de cuenta corriente de la economía, por las expectativas de alzas en la tasa de interés en Estados Unidos, la incertidumbre fiscal en Colombia y la rebaja de la calificación por parte de las calificadoras de riesgo. </w:t>
      </w:r>
    </w:p>
    <w:p w14:paraId="71D5335A" w14:textId="77777777" w:rsidR="00FE5895" w:rsidRPr="006F5CA6" w:rsidRDefault="00FE5895" w:rsidP="00FE5895">
      <w:pPr>
        <w:pStyle w:val="Prrafodelista"/>
        <w:autoSpaceDE w:val="0"/>
        <w:autoSpaceDN w:val="0"/>
        <w:adjustRightInd w:val="0"/>
        <w:ind w:left="0"/>
        <w:rPr>
          <w:rFonts w:ascii="Arial" w:hAnsi="Arial" w:cs="Arial"/>
          <w:sz w:val="22"/>
          <w:szCs w:val="22"/>
        </w:rPr>
      </w:pPr>
    </w:p>
    <w:p w14:paraId="1B1FF524" w14:textId="77777777" w:rsidR="00FE5895" w:rsidRPr="006F5CA6" w:rsidRDefault="00FE5895" w:rsidP="00FE5895">
      <w:pPr>
        <w:pStyle w:val="Prrafodelista"/>
        <w:autoSpaceDE w:val="0"/>
        <w:autoSpaceDN w:val="0"/>
        <w:adjustRightInd w:val="0"/>
        <w:ind w:left="0"/>
        <w:rPr>
          <w:rFonts w:ascii="Arial" w:hAnsi="Arial" w:cs="Arial"/>
          <w:sz w:val="22"/>
          <w:szCs w:val="22"/>
        </w:rPr>
      </w:pPr>
      <w:r w:rsidRPr="006F5CA6">
        <w:rPr>
          <w:rFonts w:ascii="Arial" w:hAnsi="Arial" w:cs="Arial"/>
          <w:sz w:val="22"/>
          <w:szCs w:val="22"/>
        </w:rPr>
        <w:t xml:space="preserve">En 2022, la mayor depreciación de la moneda se evidenció durante el segundo semestre, acentuada por situaciones como la agudización del déficit en cuenta corriente en Colombia, aumentos de la tasa de interés en Estados Unidos y la Unión Europea, tensiones geopolíticas en la guerra Rusia-Ucrania y la incertidumbre de la futura producción de petróleo y carbón en Colombia. En noviembre de 2022, la tasa de cambio fue en promedio $4.922,3 pesos por dólar, la cotización mensual más alta registrada en Colombia </w:t>
      </w:r>
    </w:p>
    <w:p w14:paraId="340C19DB" w14:textId="77777777" w:rsidR="00FE5895" w:rsidRPr="006F5CA6" w:rsidRDefault="00FE5895" w:rsidP="00FE5895">
      <w:pPr>
        <w:pStyle w:val="Prrafodelista"/>
        <w:autoSpaceDE w:val="0"/>
        <w:autoSpaceDN w:val="0"/>
        <w:adjustRightInd w:val="0"/>
        <w:ind w:left="0"/>
        <w:rPr>
          <w:rFonts w:ascii="Arial" w:hAnsi="Arial" w:cs="Arial"/>
          <w:sz w:val="22"/>
          <w:szCs w:val="22"/>
        </w:rPr>
      </w:pPr>
    </w:p>
    <w:p w14:paraId="4F48ADBD" w14:textId="77777777" w:rsidR="00FE5895" w:rsidRPr="006F5CA6" w:rsidRDefault="00FE5895" w:rsidP="00FE5895">
      <w:pPr>
        <w:pStyle w:val="Prrafodelista"/>
        <w:autoSpaceDE w:val="0"/>
        <w:autoSpaceDN w:val="0"/>
        <w:adjustRightInd w:val="0"/>
        <w:ind w:left="0"/>
        <w:rPr>
          <w:rFonts w:ascii="Arial" w:hAnsi="Arial" w:cs="Arial"/>
          <w:sz w:val="22"/>
          <w:szCs w:val="22"/>
        </w:rPr>
      </w:pPr>
      <w:r w:rsidRPr="006F5CA6">
        <w:rPr>
          <w:rFonts w:ascii="Arial" w:hAnsi="Arial" w:cs="Arial"/>
          <w:sz w:val="22"/>
          <w:szCs w:val="22"/>
        </w:rPr>
        <w:t>Durante 2023, cambió la tendencia y se evidenció una menor tasa de cambio en Colombia (gráfico 50), entre otros, propiciado por la fortaleza de esta moneda respecto al resto en el mundo y por la reducción del déficit en la cuenta corriente en Colombia; en septiembre de este último año se ubicó en niveles cercanos a los $4 mil pesos por dólar. Para el mes de octubre, la tasa de cambio aumentó, demostrando su volatilidad.</w:t>
      </w:r>
    </w:p>
    <w:p w14:paraId="323E1AEE" w14:textId="77777777" w:rsidR="00FE5895" w:rsidRPr="006F5CA6" w:rsidRDefault="00FE5895" w:rsidP="00FE5895">
      <w:pPr>
        <w:pStyle w:val="Prrafodelista"/>
        <w:autoSpaceDE w:val="0"/>
        <w:autoSpaceDN w:val="0"/>
        <w:adjustRightInd w:val="0"/>
        <w:ind w:left="0"/>
        <w:jc w:val="center"/>
        <w:rPr>
          <w:rFonts w:ascii="Arial" w:hAnsi="Arial" w:cs="Arial"/>
          <w:b/>
          <w:sz w:val="22"/>
          <w:szCs w:val="22"/>
        </w:rPr>
      </w:pPr>
    </w:p>
    <w:p w14:paraId="139BEC30" w14:textId="35B09685" w:rsidR="00FE5895" w:rsidRPr="006F5CA6" w:rsidRDefault="00FE5895" w:rsidP="00FE5895">
      <w:pPr>
        <w:pStyle w:val="Prrafodelista"/>
        <w:autoSpaceDE w:val="0"/>
        <w:autoSpaceDN w:val="0"/>
        <w:adjustRightInd w:val="0"/>
        <w:ind w:left="0"/>
        <w:jc w:val="center"/>
        <w:rPr>
          <w:rFonts w:ascii="Arial" w:hAnsi="Arial" w:cs="Arial"/>
          <w:b/>
          <w:sz w:val="22"/>
          <w:szCs w:val="22"/>
        </w:rPr>
      </w:pPr>
      <w:r w:rsidRPr="006F5CA6">
        <w:rPr>
          <w:rFonts w:ascii="Arial" w:hAnsi="Arial" w:cs="Arial"/>
          <w:b/>
          <w:sz w:val="22"/>
          <w:szCs w:val="22"/>
        </w:rPr>
        <w:t>Gráfico: Tasa de cambio nominal de Colombia Promedio mensual</w:t>
      </w:r>
    </w:p>
    <w:p w14:paraId="27487680" w14:textId="369329EE" w:rsidR="00FE5895" w:rsidRPr="006F5CA6" w:rsidRDefault="00FE5895" w:rsidP="00FE5895">
      <w:pPr>
        <w:pStyle w:val="Prrafodelista"/>
        <w:autoSpaceDE w:val="0"/>
        <w:autoSpaceDN w:val="0"/>
        <w:adjustRightInd w:val="0"/>
        <w:ind w:left="0"/>
        <w:jc w:val="center"/>
        <w:rPr>
          <w:rFonts w:ascii="Arial" w:hAnsi="Arial" w:cs="Arial"/>
          <w:bCs/>
          <w:noProof/>
          <w:sz w:val="22"/>
          <w:szCs w:val="22"/>
          <w:lang w:eastAsia="es-CO"/>
        </w:rPr>
      </w:pPr>
      <w:r w:rsidRPr="006F5CA6">
        <w:rPr>
          <w:rFonts w:ascii="Arial" w:hAnsi="Arial" w:cs="Arial"/>
          <w:noProof/>
          <w:lang w:val="en-US"/>
        </w:rPr>
        <w:drawing>
          <wp:inline distT="0" distB="0" distL="0" distR="0" wp14:anchorId="64E9A356" wp14:editId="722BFABF">
            <wp:extent cx="4752975" cy="2543175"/>
            <wp:effectExtent l="0" t="0" r="9525"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52975" cy="2543175"/>
                    </a:xfrm>
                    <a:prstGeom prst="rect">
                      <a:avLst/>
                    </a:prstGeom>
                  </pic:spPr>
                </pic:pic>
              </a:graphicData>
            </a:graphic>
          </wp:inline>
        </w:drawing>
      </w:r>
    </w:p>
    <w:p w14:paraId="530A26DB" w14:textId="29CCEEE1" w:rsidR="00A76FE4" w:rsidRPr="006F5CA6" w:rsidRDefault="00A76FE4" w:rsidP="00A76FE4">
      <w:pPr>
        <w:rPr>
          <w:rFonts w:ascii="Arial" w:hAnsi="Arial" w:cs="Arial"/>
          <w:b/>
          <w:sz w:val="22"/>
          <w:szCs w:val="22"/>
          <w:lang w:val="es-CO"/>
        </w:rPr>
      </w:pPr>
    </w:p>
    <w:p w14:paraId="35F508C7" w14:textId="6CEF19F4" w:rsidR="00FE5895" w:rsidRPr="006F5CA6" w:rsidRDefault="00D26C77" w:rsidP="00A76FE4">
      <w:pPr>
        <w:rPr>
          <w:rFonts w:ascii="Arial" w:hAnsi="Arial" w:cs="Arial"/>
          <w:b/>
          <w:sz w:val="22"/>
          <w:szCs w:val="22"/>
          <w:lang w:val="es-CO"/>
        </w:rPr>
      </w:pPr>
      <w:r w:rsidRPr="006F5CA6">
        <w:rPr>
          <w:rFonts w:ascii="Arial" w:hAnsi="Arial" w:cs="Arial"/>
          <w:b/>
          <w:sz w:val="22"/>
          <w:szCs w:val="22"/>
          <w:lang w:val="es-CO"/>
        </w:rPr>
        <w:t>Índice de Precios al Consumidor (IPC) Diciembre 2023</w:t>
      </w:r>
    </w:p>
    <w:p w14:paraId="2BC39091" w14:textId="088DC5F3" w:rsidR="00D26C77" w:rsidRPr="006F5CA6" w:rsidRDefault="00D26C77" w:rsidP="00A76FE4">
      <w:pPr>
        <w:rPr>
          <w:rFonts w:ascii="Arial" w:hAnsi="Arial" w:cs="Arial"/>
          <w:b/>
          <w:sz w:val="22"/>
          <w:szCs w:val="22"/>
          <w:lang w:val="es-CO"/>
        </w:rPr>
      </w:pPr>
    </w:p>
    <w:p w14:paraId="41EFA264" w14:textId="5B90F006" w:rsidR="00D26C77" w:rsidRPr="006F5CA6" w:rsidRDefault="00D26C77" w:rsidP="00D26C77">
      <w:pPr>
        <w:jc w:val="both"/>
        <w:rPr>
          <w:rFonts w:ascii="Arial" w:hAnsi="Arial" w:cs="Arial"/>
          <w:sz w:val="22"/>
          <w:szCs w:val="22"/>
          <w:lang w:val="es-CO"/>
        </w:rPr>
      </w:pPr>
      <w:r w:rsidRPr="006F5CA6">
        <w:rPr>
          <w:rFonts w:ascii="Arial" w:hAnsi="Arial" w:cs="Arial"/>
          <w:sz w:val="22"/>
          <w:szCs w:val="22"/>
          <w:lang w:val="es-CO"/>
        </w:rPr>
        <w:t>Variación y contribución anual por divisiones de gasto En el mes de diciembre de 2023, el IPC registró una variación de 9,28% en comparación con diciembre de 2022. En el último año, las divisiones Transporte (15,42%), Restaurantes y hoteles (13,22%), Bebidas alcohólicas y tabaco (11,95%), Educación (11,41%), Bienes y servicios diversos (10,08%) y por último, Salud (9,49%) se ubicaron por encima del promedio nacional (9,28%). Entre tanto, las divisiones Alojamiento, agua, electricidad, gas y otros combustibles (9,26%), Muebles, artículos para el hogar y para la conservación ordinaria del hogar (8,94%), Recreación y cultura (7,10%), Prendas de vestir y calzado (5,23%), Alimentos y bebidas no alcohólicas (5,00%) y por último, Información y comunicación (0,12%) se ubicaron por debajo del promedio nacional.</w:t>
      </w:r>
    </w:p>
    <w:p w14:paraId="6254FF74" w14:textId="71D8E6D8" w:rsidR="00D26C77" w:rsidRPr="006F5CA6" w:rsidRDefault="00D26C77" w:rsidP="00A76FE4">
      <w:pPr>
        <w:rPr>
          <w:rFonts w:ascii="Arial" w:hAnsi="Arial" w:cs="Arial"/>
          <w:b/>
          <w:sz w:val="22"/>
          <w:szCs w:val="22"/>
          <w:lang w:val="es-CO"/>
        </w:rPr>
      </w:pPr>
    </w:p>
    <w:p w14:paraId="45CD9121" w14:textId="77777777"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t>Cuadro 1. IPC Variación y contribución anual</w:t>
      </w:r>
    </w:p>
    <w:p w14:paraId="7A457F91" w14:textId="77777777"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t>Según divisiones de gasto</w:t>
      </w:r>
    </w:p>
    <w:p w14:paraId="291CE747" w14:textId="2F82297D"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lastRenderedPageBreak/>
        <w:t>Diciembre 2022 - 2023</w:t>
      </w:r>
      <w:r w:rsidRPr="006F5CA6">
        <w:rPr>
          <w:rFonts w:ascii="Arial" w:hAnsi="Arial" w:cs="Arial"/>
          <w:b/>
          <w:sz w:val="22"/>
          <w:szCs w:val="22"/>
          <w:lang w:val="es-CO"/>
        </w:rPr>
        <w:cr/>
      </w:r>
    </w:p>
    <w:p w14:paraId="2F7E69FE" w14:textId="7FE3A834" w:rsidR="00D26C77" w:rsidRPr="006F5CA6" w:rsidRDefault="00D26C77" w:rsidP="00D26C77">
      <w:pPr>
        <w:rPr>
          <w:rFonts w:ascii="Arial" w:hAnsi="Arial" w:cs="Arial"/>
          <w:b/>
          <w:sz w:val="22"/>
          <w:szCs w:val="22"/>
          <w:lang w:val="es-CO"/>
        </w:rPr>
      </w:pPr>
      <w:r w:rsidRPr="006F5CA6">
        <w:rPr>
          <w:rFonts w:ascii="Arial" w:hAnsi="Arial" w:cs="Arial"/>
          <w:noProof/>
          <w:lang w:val="en-US"/>
        </w:rPr>
        <w:drawing>
          <wp:inline distT="0" distB="0" distL="0" distR="0" wp14:anchorId="7C1C7CE8" wp14:editId="7208BEF4">
            <wp:extent cx="5612130" cy="2321169"/>
            <wp:effectExtent l="0" t="0" r="7620" b="317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27922" cy="2327701"/>
                    </a:xfrm>
                    <a:prstGeom prst="rect">
                      <a:avLst/>
                    </a:prstGeom>
                  </pic:spPr>
                </pic:pic>
              </a:graphicData>
            </a:graphic>
          </wp:inline>
        </w:drawing>
      </w:r>
    </w:p>
    <w:p w14:paraId="5BB8BE90" w14:textId="794D1A63" w:rsidR="00D26C77" w:rsidRPr="006F5CA6" w:rsidRDefault="00D26C77" w:rsidP="00D26C77">
      <w:pPr>
        <w:rPr>
          <w:rFonts w:ascii="Arial" w:hAnsi="Arial" w:cs="Arial"/>
          <w:b/>
          <w:sz w:val="22"/>
          <w:szCs w:val="22"/>
          <w:lang w:val="es-CO"/>
        </w:rPr>
      </w:pPr>
    </w:p>
    <w:p w14:paraId="1DFA3D3B" w14:textId="5CF7A5C1" w:rsidR="00D26C77" w:rsidRPr="006F5CA6" w:rsidRDefault="00D26C77" w:rsidP="00D26C77">
      <w:pPr>
        <w:jc w:val="both"/>
        <w:rPr>
          <w:rFonts w:ascii="Arial" w:hAnsi="Arial" w:cs="Arial"/>
          <w:sz w:val="22"/>
          <w:szCs w:val="22"/>
          <w:lang w:val="es-CO"/>
        </w:rPr>
      </w:pPr>
      <w:r w:rsidRPr="006F5CA6">
        <w:rPr>
          <w:rFonts w:ascii="Arial" w:hAnsi="Arial" w:cs="Arial"/>
          <w:sz w:val="22"/>
          <w:szCs w:val="22"/>
          <w:lang w:val="es-CO"/>
        </w:rPr>
        <w:t>Los mayores aportes a la variación anual se registraron en las divisiones de: Alojamiento, agua, electricidad, gas y otros combustibles, Transporte, Restaurantes y hoteles, Alimentos y bebidas no alcohólicas y Bienes y servicios diversos, las cuales en conjunto contribuyeron con 7,17 puntos porcentuales al acumulado anual de dicha variación.</w:t>
      </w:r>
    </w:p>
    <w:p w14:paraId="239ED7C6" w14:textId="1FC89322" w:rsidR="00D26C77" w:rsidRPr="006F5CA6" w:rsidRDefault="00D26C77" w:rsidP="00D26C77">
      <w:pPr>
        <w:jc w:val="both"/>
        <w:rPr>
          <w:rFonts w:ascii="Arial" w:hAnsi="Arial" w:cs="Arial"/>
          <w:sz w:val="22"/>
          <w:szCs w:val="22"/>
          <w:lang w:val="es-CO"/>
        </w:rPr>
      </w:pPr>
    </w:p>
    <w:p w14:paraId="26C0C7E1" w14:textId="77777777" w:rsidR="00D26C77" w:rsidRPr="006F5CA6" w:rsidRDefault="00D26C77"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 xml:space="preserve">Cadena de producciòn </w:t>
      </w:r>
    </w:p>
    <w:p w14:paraId="4CC0BB89" w14:textId="77777777" w:rsidR="00D26C77" w:rsidRPr="006F5CA6" w:rsidRDefault="00D26C77" w:rsidP="00D26C77">
      <w:pPr>
        <w:jc w:val="both"/>
        <w:rPr>
          <w:rFonts w:ascii="Arial" w:hAnsi="Arial" w:cs="Arial"/>
          <w:bCs/>
          <w:noProof/>
          <w:sz w:val="22"/>
          <w:szCs w:val="22"/>
          <w:lang w:val="es-CO" w:eastAsia="es-CO"/>
        </w:rPr>
      </w:pPr>
    </w:p>
    <w:p w14:paraId="1D9D7983" w14:textId="77777777" w:rsidR="00DD7950" w:rsidRPr="006F5CA6" w:rsidRDefault="00DD7950" w:rsidP="00DD7950">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La cadena de producción en el sector del transporte comprende una serie de etapas interconectadas que permiten el movimiento eficiente de bienes y personas desde el punto de origen hasta el destino final. Aunque puede variar según el modo de transporte (carretera, ferrocarril, marítimo, aéreo), generalmente incluye las siguientes etapas:</w:t>
      </w:r>
    </w:p>
    <w:p w14:paraId="3D4B6424" w14:textId="77777777" w:rsidR="00DD7950" w:rsidRPr="006F5CA6" w:rsidRDefault="00DD7950" w:rsidP="00DD7950">
      <w:pPr>
        <w:jc w:val="both"/>
        <w:rPr>
          <w:rFonts w:ascii="Arial" w:hAnsi="Arial" w:cs="Arial"/>
          <w:bCs/>
          <w:noProof/>
          <w:sz w:val="22"/>
          <w:szCs w:val="22"/>
          <w:lang w:val="es-CO" w:eastAsia="es-CO"/>
        </w:rPr>
      </w:pPr>
    </w:p>
    <w:p w14:paraId="158520D0" w14:textId="77777777" w:rsidR="00DD7950" w:rsidRPr="006F5CA6" w:rsidRDefault="00DD7950" w:rsidP="00F810FE">
      <w:pPr>
        <w:numPr>
          <w:ilvl w:val="0"/>
          <w:numId w:val="23"/>
        </w:numPr>
        <w:jc w:val="both"/>
        <w:rPr>
          <w:rFonts w:ascii="Arial" w:hAnsi="Arial" w:cs="Arial"/>
          <w:bCs/>
          <w:noProof/>
          <w:sz w:val="22"/>
          <w:szCs w:val="22"/>
          <w:lang w:val="es-ES" w:eastAsia="es-CO"/>
        </w:rPr>
      </w:pPr>
      <w:r w:rsidRPr="006F5CA6">
        <w:rPr>
          <w:rFonts w:ascii="Arial" w:hAnsi="Arial" w:cs="Arial"/>
          <w:b/>
          <w:bCs/>
          <w:noProof/>
          <w:sz w:val="22"/>
          <w:szCs w:val="22"/>
          <w:lang w:val="es-ES" w:eastAsia="es-CO"/>
        </w:rPr>
        <w:t>Planificación y logística</w:t>
      </w:r>
      <w:r w:rsidRPr="006F5CA6">
        <w:rPr>
          <w:rFonts w:ascii="Arial" w:hAnsi="Arial" w:cs="Arial"/>
          <w:bCs/>
          <w:noProof/>
          <w:sz w:val="22"/>
          <w:szCs w:val="22"/>
          <w:lang w:val="es-ES" w:eastAsia="es-CO"/>
        </w:rPr>
        <w:t xml:space="preserve"> : En esta etapa, se planifica la logística de transporte, que incluye determinar las rutas, programar los horarios, calcular los costos y coordinar los recursos necesarios para llevar a cabo las operaciones de transporte de manera eficiente. Esto implica también la gestión de la demanda y la oferta, así como la optimización de la capacidad de los medios de transporte disponibles.</w:t>
      </w:r>
    </w:p>
    <w:p w14:paraId="2F48857C" w14:textId="0DCE48B1" w:rsidR="00DD7950" w:rsidRPr="006F5CA6" w:rsidRDefault="00DD7950" w:rsidP="00F810FE">
      <w:pPr>
        <w:numPr>
          <w:ilvl w:val="0"/>
          <w:numId w:val="23"/>
        </w:numPr>
        <w:jc w:val="both"/>
        <w:rPr>
          <w:rFonts w:ascii="Arial" w:hAnsi="Arial" w:cs="Arial"/>
          <w:bCs/>
          <w:noProof/>
          <w:sz w:val="22"/>
          <w:szCs w:val="22"/>
          <w:lang w:val="es-ES" w:eastAsia="es-CO"/>
        </w:rPr>
      </w:pPr>
      <w:r w:rsidRPr="006F5CA6">
        <w:rPr>
          <w:rFonts w:ascii="Arial" w:hAnsi="Arial" w:cs="Arial"/>
          <w:b/>
          <w:bCs/>
          <w:noProof/>
          <w:sz w:val="22"/>
          <w:szCs w:val="22"/>
          <w:lang w:val="es-ES" w:eastAsia="es-CO"/>
        </w:rPr>
        <w:t>Adquisición y mantenimiento de vehículos</w:t>
      </w:r>
      <w:r w:rsidRPr="006F5CA6">
        <w:rPr>
          <w:rFonts w:ascii="Arial" w:hAnsi="Arial" w:cs="Arial"/>
          <w:bCs/>
          <w:noProof/>
          <w:sz w:val="22"/>
          <w:szCs w:val="22"/>
          <w:lang w:val="es-ES" w:eastAsia="es-CO"/>
        </w:rPr>
        <w:t xml:space="preserve"> : En esta etapa, se adquirirán los vehículos necesarios para el transporte. Además, se lleva a cabo el mantenimiento regular de estos vehículos para garantizar su correcto funcionamiento y seguridad durante las operaciones.</w:t>
      </w:r>
    </w:p>
    <w:p w14:paraId="0C35A930" w14:textId="77777777" w:rsidR="00DD7950" w:rsidRPr="006F5CA6" w:rsidRDefault="00DD7950" w:rsidP="00F810FE">
      <w:pPr>
        <w:numPr>
          <w:ilvl w:val="0"/>
          <w:numId w:val="23"/>
        </w:numPr>
        <w:jc w:val="both"/>
        <w:rPr>
          <w:rFonts w:ascii="Arial" w:hAnsi="Arial" w:cs="Arial"/>
          <w:bCs/>
          <w:noProof/>
          <w:sz w:val="22"/>
          <w:szCs w:val="22"/>
          <w:lang w:val="es-ES" w:eastAsia="es-CO"/>
        </w:rPr>
      </w:pPr>
      <w:r w:rsidRPr="006F5CA6">
        <w:rPr>
          <w:rFonts w:ascii="Arial" w:hAnsi="Arial" w:cs="Arial"/>
          <w:b/>
          <w:bCs/>
          <w:noProof/>
          <w:sz w:val="22"/>
          <w:szCs w:val="22"/>
          <w:lang w:val="es-ES" w:eastAsia="es-CO"/>
        </w:rPr>
        <w:t>Carga y embalaje</w:t>
      </w:r>
      <w:r w:rsidRPr="006F5CA6">
        <w:rPr>
          <w:rFonts w:ascii="Arial" w:hAnsi="Arial" w:cs="Arial"/>
          <w:bCs/>
          <w:noProof/>
          <w:sz w:val="22"/>
          <w:szCs w:val="22"/>
          <w:lang w:val="es-ES" w:eastAsia="es-CO"/>
        </w:rPr>
        <w:t xml:space="preserve"> : Aquí se preparan los bienes o las personas para su transporte. Esto puede incluir el embalaje adecuado de la carga, la consolidación de envíos, la carga y descarga de mercancías, así como el aseguramiento de la carga para evitar daños durante el transporte.</w:t>
      </w:r>
    </w:p>
    <w:p w14:paraId="01A84054" w14:textId="22F9783F" w:rsidR="00DD7950" w:rsidRPr="006F5CA6" w:rsidRDefault="00DD7950" w:rsidP="00F810FE">
      <w:pPr>
        <w:numPr>
          <w:ilvl w:val="0"/>
          <w:numId w:val="23"/>
        </w:numPr>
        <w:jc w:val="both"/>
        <w:rPr>
          <w:rFonts w:ascii="Arial" w:hAnsi="Arial" w:cs="Arial"/>
          <w:bCs/>
          <w:noProof/>
          <w:sz w:val="22"/>
          <w:szCs w:val="22"/>
          <w:lang w:val="es-ES" w:eastAsia="es-CO"/>
        </w:rPr>
      </w:pPr>
      <w:r w:rsidRPr="006F5CA6">
        <w:rPr>
          <w:rFonts w:ascii="Arial" w:hAnsi="Arial" w:cs="Arial"/>
          <w:b/>
          <w:bCs/>
          <w:noProof/>
          <w:sz w:val="22"/>
          <w:szCs w:val="22"/>
          <w:lang w:val="es-ES" w:eastAsia="es-CO"/>
        </w:rPr>
        <w:t>Transporte propiamente dicho</w:t>
      </w:r>
      <w:r w:rsidRPr="006F5CA6">
        <w:rPr>
          <w:rFonts w:ascii="Arial" w:hAnsi="Arial" w:cs="Arial"/>
          <w:bCs/>
          <w:noProof/>
          <w:sz w:val="22"/>
          <w:szCs w:val="22"/>
          <w:lang w:val="es-ES" w:eastAsia="es-CO"/>
        </w:rPr>
        <w:t xml:space="preserve"> : Esta etapa implica el movimiento físico de los bienes o las personas desde el punto de origen hasta el destino final. Dependiendo del modo de transporte elegido, se realizarán las operaciones necesarias para llevar a cabo el transporte de manera segura y eficiente.</w:t>
      </w:r>
    </w:p>
    <w:p w14:paraId="25BE6974" w14:textId="77777777" w:rsidR="00DD7950" w:rsidRPr="006F5CA6" w:rsidRDefault="00DD7950" w:rsidP="00DD7950">
      <w:pPr>
        <w:jc w:val="both"/>
        <w:rPr>
          <w:rFonts w:ascii="Arial" w:hAnsi="Arial" w:cs="Arial"/>
          <w:bCs/>
          <w:noProof/>
          <w:sz w:val="22"/>
          <w:szCs w:val="22"/>
          <w:lang w:val="es-CO" w:eastAsia="es-CO"/>
        </w:rPr>
      </w:pPr>
    </w:p>
    <w:p w14:paraId="2CDF2CA8" w14:textId="5786C8CD" w:rsidR="00D26C77" w:rsidRPr="006F5CA6" w:rsidRDefault="00DD7950" w:rsidP="00DD7950">
      <w:pPr>
        <w:jc w:val="both"/>
        <w:rPr>
          <w:rFonts w:ascii="Arial" w:hAnsi="Arial" w:cs="Arial"/>
          <w:bCs/>
          <w:noProof/>
          <w:sz w:val="22"/>
          <w:szCs w:val="22"/>
          <w:lang w:val="es-CO" w:eastAsia="es-CO"/>
        </w:rPr>
      </w:pPr>
      <w:r w:rsidRPr="006F5CA6">
        <w:rPr>
          <w:rFonts w:ascii="Arial" w:hAnsi="Arial" w:cs="Arial"/>
          <w:bCs/>
          <w:noProof/>
          <w:sz w:val="22"/>
          <w:szCs w:val="22"/>
          <w:lang w:val="es-CO" w:eastAsia="es-CO"/>
        </w:rPr>
        <w:t>Cada etapa es crucial para garantizar un transporte eficiente y seguro, y requiere coordinación y colaboración entre múltiples actores en toda la cadena de suministro.</w:t>
      </w:r>
    </w:p>
    <w:p w14:paraId="259D6F53" w14:textId="68D237FD" w:rsidR="007C7164" w:rsidRPr="006F5CA6" w:rsidRDefault="007C7164" w:rsidP="00D26C77">
      <w:pPr>
        <w:pStyle w:val="Prrafodelista"/>
        <w:ind w:left="0"/>
        <w:rPr>
          <w:rFonts w:ascii="Arial" w:hAnsi="Arial" w:cs="Arial"/>
          <w:sz w:val="22"/>
          <w:szCs w:val="22"/>
        </w:rPr>
      </w:pPr>
    </w:p>
    <w:p w14:paraId="721F4046" w14:textId="77777777" w:rsidR="007C7164" w:rsidRPr="006F5CA6" w:rsidRDefault="007C7164"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Materias primas necesarias para la producción y la variación de sus precios</w:t>
      </w:r>
    </w:p>
    <w:p w14:paraId="1D125459" w14:textId="77777777" w:rsidR="00585978" w:rsidRPr="006F5CA6" w:rsidRDefault="00585978" w:rsidP="00585978">
      <w:pPr>
        <w:ind w:left="360"/>
        <w:rPr>
          <w:rFonts w:ascii="Arial" w:hAnsi="Arial" w:cs="Arial"/>
          <w:sz w:val="22"/>
          <w:szCs w:val="22"/>
        </w:rPr>
      </w:pPr>
    </w:p>
    <w:p w14:paraId="57D7A9E1" w14:textId="2EE1875A" w:rsidR="00DD7950" w:rsidRPr="006F5CA6" w:rsidRDefault="00DD7950" w:rsidP="00585978">
      <w:pPr>
        <w:ind w:left="360"/>
        <w:jc w:val="both"/>
        <w:rPr>
          <w:rFonts w:ascii="Arial" w:hAnsi="Arial" w:cs="Arial"/>
          <w:sz w:val="22"/>
          <w:szCs w:val="22"/>
        </w:rPr>
      </w:pPr>
      <w:r w:rsidRPr="006F5CA6">
        <w:rPr>
          <w:rFonts w:ascii="Arial" w:hAnsi="Arial" w:cs="Arial"/>
          <w:sz w:val="22"/>
          <w:szCs w:val="22"/>
        </w:rPr>
        <w:t>El transporte no requiere materias primas en el sentido tradicional, como las utilizadas en la fabricación de bienes. Sin embargo, requiere una serie de recursos y componentes para su funcionamiento eficiente. Estos recursos pueden incluir:</w:t>
      </w:r>
    </w:p>
    <w:p w14:paraId="079D04F8" w14:textId="77777777" w:rsidR="00DD7950" w:rsidRPr="006F5CA6" w:rsidRDefault="00DD7950" w:rsidP="00DD7950">
      <w:pPr>
        <w:pStyle w:val="Prrafodelista"/>
        <w:rPr>
          <w:rFonts w:ascii="Arial" w:hAnsi="Arial" w:cs="Arial"/>
          <w:sz w:val="22"/>
          <w:szCs w:val="22"/>
        </w:rPr>
      </w:pPr>
    </w:p>
    <w:p w14:paraId="2DD4449C" w14:textId="335400DF" w:rsidR="00DD7950" w:rsidRPr="006F5CA6" w:rsidRDefault="00DD7950" w:rsidP="00585978">
      <w:pPr>
        <w:pStyle w:val="Prrafodelista"/>
        <w:numPr>
          <w:ilvl w:val="1"/>
          <w:numId w:val="1"/>
        </w:numPr>
        <w:rPr>
          <w:rFonts w:ascii="Arial" w:hAnsi="Arial" w:cs="Arial"/>
          <w:sz w:val="22"/>
          <w:szCs w:val="22"/>
        </w:rPr>
      </w:pPr>
      <w:r w:rsidRPr="006F5CA6">
        <w:rPr>
          <w:rFonts w:ascii="Arial" w:hAnsi="Arial" w:cs="Arial"/>
          <w:sz w:val="22"/>
          <w:szCs w:val="22"/>
        </w:rPr>
        <w:t xml:space="preserve">Combustibles y energía: Gasolina, diésel, gas natural, electricidad, entre otros, dependiendo del tipo de transporte </w:t>
      </w:r>
    </w:p>
    <w:p w14:paraId="4219D36C" w14:textId="38B22C33" w:rsidR="00DD7950" w:rsidRPr="006F5CA6" w:rsidRDefault="00DD7950" w:rsidP="00585978">
      <w:pPr>
        <w:pStyle w:val="Prrafodelista"/>
        <w:numPr>
          <w:ilvl w:val="1"/>
          <w:numId w:val="1"/>
        </w:numPr>
        <w:rPr>
          <w:rFonts w:ascii="Arial" w:hAnsi="Arial" w:cs="Arial"/>
          <w:sz w:val="22"/>
          <w:szCs w:val="22"/>
        </w:rPr>
      </w:pPr>
      <w:r w:rsidRPr="006F5CA6">
        <w:rPr>
          <w:rFonts w:ascii="Arial" w:hAnsi="Arial" w:cs="Arial"/>
          <w:sz w:val="22"/>
          <w:szCs w:val="22"/>
        </w:rPr>
        <w:t>Vehículos y equipos: Automóviles, camiones, trenes, aviones, barcos, bicicletas, y sus respectivos componentes como motores, neumáticos, baterías, entre otros.</w:t>
      </w:r>
    </w:p>
    <w:p w14:paraId="280B1A0F" w14:textId="26567B6B" w:rsidR="00DD7950" w:rsidRPr="006F5CA6" w:rsidRDefault="00585978" w:rsidP="00585978">
      <w:pPr>
        <w:pStyle w:val="Prrafodelista"/>
        <w:numPr>
          <w:ilvl w:val="1"/>
          <w:numId w:val="1"/>
        </w:numPr>
        <w:rPr>
          <w:rFonts w:ascii="Arial" w:hAnsi="Arial" w:cs="Arial"/>
          <w:sz w:val="22"/>
          <w:szCs w:val="22"/>
        </w:rPr>
      </w:pPr>
      <w:r w:rsidRPr="006F5CA6">
        <w:rPr>
          <w:rFonts w:ascii="Arial" w:hAnsi="Arial" w:cs="Arial"/>
          <w:sz w:val="22"/>
          <w:szCs w:val="22"/>
        </w:rPr>
        <w:t xml:space="preserve">Infraestructura: </w:t>
      </w:r>
      <w:r w:rsidR="00DD7950" w:rsidRPr="006F5CA6">
        <w:rPr>
          <w:rFonts w:ascii="Arial" w:hAnsi="Arial" w:cs="Arial"/>
          <w:sz w:val="22"/>
          <w:szCs w:val="22"/>
        </w:rPr>
        <w:t>Carreteras, ferrocarriles, vías fluviales, puertos, aeropuertos, estaciones de servicio, terminales de carga, entre otros.</w:t>
      </w:r>
    </w:p>
    <w:p w14:paraId="33AF8486" w14:textId="5EC97802" w:rsidR="00DD7950" w:rsidRPr="006F5CA6" w:rsidRDefault="00DD7950" w:rsidP="00585978">
      <w:pPr>
        <w:pStyle w:val="Prrafodelista"/>
        <w:numPr>
          <w:ilvl w:val="1"/>
          <w:numId w:val="1"/>
        </w:numPr>
        <w:rPr>
          <w:rFonts w:ascii="Arial" w:hAnsi="Arial" w:cs="Arial"/>
          <w:sz w:val="22"/>
          <w:szCs w:val="22"/>
        </w:rPr>
      </w:pPr>
      <w:r w:rsidRPr="006F5CA6">
        <w:rPr>
          <w:rFonts w:ascii="Arial" w:hAnsi="Arial" w:cs="Arial"/>
          <w:sz w:val="22"/>
          <w:szCs w:val="22"/>
        </w:rPr>
        <w:t>Tecnología y comunicaciones: Sistemas de navegación GPS, sistemas de gestión de flotas, infraestructura de telecomunicaciones, software de logística y planificación, entre otros.</w:t>
      </w:r>
    </w:p>
    <w:p w14:paraId="7EF8969F" w14:textId="720DD125" w:rsidR="00DD7950" w:rsidRPr="006F5CA6" w:rsidRDefault="00585978" w:rsidP="00585978">
      <w:pPr>
        <w:pStyle w:val="Prrafodelista"/>
        <w:numPr>
          <w:ilvl w:val="1"/>
          <w:numId w:val="1"/>
        </w:numPr>
        <w:rPr>
          <w:rFonts w:ascii="Arial" w:hAnsi="Arial" w:cs="Arial"/>
          <w:sz w:val="22"/>
          <w:szCs w:val="22"/>
        </w:rPr>
      </w:pPr>
      <w:r w:rsidRPr="006F5CA6">
        <w:rPr>
          <w:rFonts w:ascii="Arial" w:hAnsi="Arial" w:cs="Arial"/>
          <w:sz w:val="22"/>
          <w:szCs w:val="22"/>
        </w:rPr>
        <w:t>Personal:</w:t>
      </w:r>
      <w:r w:rsidR="00DD7950" w:rsidRPr="006F5CA6">
        <w:rPr>
          <w:rFonts w:ascii="Arial" w:hAnsi="Arial" w:cs="Arial"/>
          <w:sz w:val="22"/>
          <w:szCs w:val="22"/>
        </w:rPr>
        <w:t xml:space="preserve"> Conductores, pilotos, capitanes, tripulación de transporte marítimo, personal de mantenimiento y reparación, personal de gestión de flotas, entre otros.</w:t>
      </w:r>
    </w:p>
    <w:p w14:paraId="11EFB58C" w14:textId="171D7247" w:rsidR="00DD7950" w:rsidRPr="006F5CA6" w:rsidRDefault="00585978" w:rsidP="00585978">
      <w:pPr>
        <w:pStyle w:val="Prrafodelista"/>
        <w:numPr>
          <w:ilvl w:val="1"/>
          <w:numId w:val="1"/>
        </w:numPr>
        <w:rPr>
          <w:rFonts w:ascii="Arial" w:hAnsi="Arial" w:cs="Arial"/>
          <w:sz w:val="22"/>
          <w:szCs w:val="22"/>
        </w:rPr>
      </w:pPr>
      <w:r w:rsidRPr="006F5CA6">
        <w:rPr>
          <w:rFonts w:ascii="Arial" w:hAnsi="Arial" w:cs="Arial"/>
          <w:sz w:val="22"/>
          <w:szCs w:val="22"/>
        </w:rPr>
        <w:t>Servicios de soporte:</w:t>
      </w:r>
      <w:r w:rsidR="00DD7950" w:rsidRPr="006F5CA6">
        <w:rPr>
          <w:rFonts w:ascii="Arial" w:hAnsi="Arial" w:cs="Arial"/>
          <w:sz w:val="22"/>
          <w:szCs w:val="22"/>
        </w:rPr>
        <w:t xml:space="preserve"> Seguros, servicios financieros, servicios de mantenimiento y reparación, servicios de seguridad y vigilancia, servicios de logística y almacenamiento, entre otros.</w:t>
      </w:r>
    </w:p>
    <w:p w14:paraId="34147FBF" w14:textId="77777777" w:rsidR="00DD7950" w:rsidRPr="006F5CA6" w:rsidRDefault="00DD7950" w:rsidP="00DD7950">
      <w:pPr>
        <w:pStyle w:val="Prrafodelista"/>
        <w:rPr>
          <w:rFonts w:ascii="Arial" w:hAnsi="Arial" w:cs="Arial"/>
          <w:sz w:val="22"/>
          <w:szCs w:val="22"/>
        </w:rPr>
      </w:pPr>
    </w:p>
    <w:p w14:paraId="2D3D45D9" w14:textId="31F71EDA" w:rsidR="00585978" w:rsidRPr="006F5CA6" w:rsidRDefault="00585978" w:rsidP="00DD7950">
      <w:pPr>
        <w:pStyle w:val="Prrafodelista"/>
        <w:ind w:left="0"/>
        <w:rPr>
          <w:rFonts w:ascii="Arial" w:hAnsi="Arial" w:cs="Arial"/>
          <w:b/>
          <w:sz w:val="22"/>
          <w:szCs w:val="22"/>
        </w:rPr>
      </w:pPr>
      <w:r w:rsidRPr="006F5CA6">
        <w:rPr>
          <w:rFonts w:ascii="Arial" w:hAnsi="Arial" w:cs="Arial"/>
          <w:b/>
          <w:sz w:val="22"/>
          <w:szCs w:val="22"/>
        </w:rPr>
        <w:t xml:space="preserve">Variación de los precios </w:t>
      </w:r>
    </w:p>
    <w:p w14:paraId="2CC806F3" w14:textId="39EB3CA5" w:rsidR="00585978" w:rsidRPr="006F5CA6" w:rsidRDefault="00585978" w:rsidP="00DD7950">
      <w:pPr>
        <w:pStyle w:val="Prrafodelista"/>
        <w:ind w:left="0"/>
        <w:rPr>
          <w:rFonts w:ascii="Arial" w:hAnsi="Arial" w:cs="Arial"/>
          <w:sz w:val="14"/>
          <w:szCs w:val="14"/>
        </w:rPr>
      </w:pPr>
      <w:r w:rsidRPr="006F5CA6">
        <w:rPr>
          <w:rFonts w:ascii="Arial" w:hAnsi="Arial" w:cs="Arial"/>
          <w:sz w:val="14"/>
          <w:szCs w:val="14"/>
        </w:rPr>
        <w:t>Fuente: https://www.dane.gov.co/files/operaciones/ICTIP/bol-ICTIP-IVtrim2023.pdf</w:t>
      </w:r>
    </w:p>
    <w:p w14:paraId="1AC7842C" w14:textId="77777777" w:rsidR="00585978" w:rsidRPr="006F5CA6" w:rsidRDefault="00585978" w:rsidP="00585978">
      <w:pPr>
        <w:rPr>
          <w:rFonts w:ascii="Arial" w:hAnsi="Arial" w:cs="Arial"/>
          <w:sz w:val="22"/>
          <w:szCs w:val="22"/>
        </w:rPr>
      </w:pPr>
    </w:p>
    <w:p w14:paraId="4C47E5A8" w14:textId="1E6E7741" w:rsidR="00585978" w:rsidRPr="006F5CA6" w:rsidRDefault="00585978" w:rsidP="00585978">
      <w:pPr>
        <w:rPr>
          <w:rFonts w:ascii="Arial" w:hAnsi="Arial" w:cs="Arial"/>
          <w:b/>
          <w:sz w:val="22"/>
          <w:szCs w:val="22"/>
        </w:rPr>
      </w:pPr>
      <w:r w:rsidRPr="006F5CA6">
        <w:rPr>
          <w:rFonts w:ascii="Arial" w:hAnsi="Arial" w:cs="Arial"/>
          <w:b/>
          <w:sz w:val="22"/>
          <w:szCs w:val="22"/>
        </w:rPr>
        <w:t>Índice de Costos del Transporte Intermunicipal de Pasajeros – ICTIP</w:t>
      </w:r>
    </w:p>
    <w:p w14:paraId="72346942" w14:textId="0EE1CA37" w:rsidR="00585978" w:rsidRPr="006F5CA6" w:rsidRDefault="00585978" w:rsidP="00585978">
      <w:pPr>
        <w:pStyle w:val="Prrafodelista"/>
        <w:ind w:left="0"/>
        <w:rPr>
          <w:rFonts w:ascii="Arial" w:hAnsi="Arial" w:cs="Arial"/>
          <w:b/>
          <w:sz w:val="22"/>
          <w:szCs w:val="22"/>
        </w:rPr>
      </w:pPr>
      <w:r w:rsidRPr="006F5CA6">
        <w:rPr>
          <w:rFonts w:ascii="Arial" w:hAnsi="Arial" w:cs="Arial"/>
          <w:b/>
          <w:sz w:val="22"/>
          <w:szCs w:val="22"/>
        </w:rPr>
        <w:t>Cuarto trimestre 2023</w:t>
      </w:r>
      <w:r w:rsidRPr="006F5CA6">
        <w:rPr>
          <w:rFonts w:ascii="Arial" w:hAnsi="Arial" w:cs="Arial"/>
          <w:b/>
          <w:sz w:val="22"/>
          <w:szCs w:val="22"/>
        </w:rPr>
        <w:cr/>
      </w:r>
    </w:p>
    <w:p w14:paraId="07174C0B" w14:textId="6AAC0637" w:rsidR="00585978" w:rsidRPr="006F5CA6" w:rsidRDefault="00585978" w:rsidP="00585978">
      <w:pPr>
        <w:pStyle w:val="Prrafodelista"/>
        <w:ind w:left="0"/>
        <w:rPr>
          <w:rFonts w:ascii="Arial" w:hAnsi="Arial" w:cs="Arial"/>
          <w:b/>
          <w:sz w:val="22"/>
          <w:szCs w:val="22"/>
        </w:rPr>
      </w:pPr>
      <w:r w:rsidRPr="006F5CA6">
        <w:rPr>
          <w:rFonts w:ascii="Arial" w:hAnsi="Arial" w:cs="Arial"/>
          <w:b/>
          <w:sz w:val="22"/>
          <w:szCs w:val="22"/>
        </w:rPr>
        <w:t>Variación y contribución anual por grupos de costos</w:t>
      </w:r>
    </w:p>
    <w:p w14:paraId="6477691C" w14:textId="54083E0C" w:rsidR="00585978" w:rsidRPr="006F5CA6" w:rsidRDefault="00585978" w:rsidP="00585978">
      <w:pPr>
        <w:pStyle w:val="Prrafodelista"/>
        <w:ind w:left="0"/>
        <w:rPr>
          <w:rFonts w:ascii="Arial" w:hAnsi="Arial" w:cs="Arial"/>
          <w:b/>
          <w:sz w:val="22"/>
          <w:szCs w:val="22"/>
        </w:rPr>
      </w:pPr>
    </w:p>
    <w:p w14:paraId="5B413B42" w14:textId="20E69461" w:rsidR="00585978" w:rsidRPr="006F5CA6" w:rsidRDefault="00585978" w:rsidP="00585978">
      <w:pPr>
        <w:pStyle w:val="Prrafodelista"/>
        <w:ind w:left="0"/>
        <w:rPr>
          <w:rFonts w:ascii="Arial" w:hAnsi="Arial" w:cs="Arial"/>
          <w:sz w:val="22"/>
          <w:szCs w:val="22"/>
          <w:lang w:val="es-ES_tradnl"/>
        </w:rPr>
      </w:pPr>
      <w:r w:rsidRPr="006F5CA6">
        <w:rPr>
          <w:rFonts w:ascii="Arial" w:hAnsi="Arial" w:cs="Arial"/>
          <w:sz w:val="22"/>
          <w:szCs w:val="22"/>
          <w:lang w:val="es-ES_tradnl"/>
        </w:rPr>
        <w:t>En el cuarto trimestre (octubre-diciembre) de 2023, el ICTIP presentó una variación anual de 6,45%, en comparación con el cuarto trimestre (octubre-diciembre) de 2022. Los grupos Partes, piezas, servicios de mantenimiento y reparación (9,31%), Peajes y uso de terminales (6,60%), Costos fijos (6,50%) registraron variaciones por encima del promedio nacional. Por otra parte, los grupos Combustibles (6,04%) e Insumos (5,18%) presentaron variación por debajo del promedio nacional.</w:t>
      </w:r>
    </w:p>
    <w:p w14:paraId="48D7068F" w14:textId="7C237410" w:rsidR="00585978" w:rsidRPr="006F5CA6" w:rsidRDefault="00585978" w:rsidP="00585978">
      <w:pPr>
        <w:pStyle w:val="Prrafodelista"/>
        <w:ind w:left="0"/>
        <w:rPr>
          <w:rFonts w:ascii="Arial" w:hAnsi="Arial" w:cs="Arial"/>
          <w:b/>
          <w:sz w:val="22"/>
          <w:szCs w:val="22"/>
          <w:lang w:val="es-ES_tradnl"/>
        </w:rPr>
      </w:pPr>
    </w:p>
    <w:p w14:paraId="77287B07" w14:textId="4A89FAC3" w:rsidR="00585978" w:rsidRPr="006F5CA6" w:rsidRDefault="00585978" w:rsidP="00585978">
      <w:pPr>
        <w:pStyle w:val="Prrafodelista"/>
        <w:ind w:left="0"/>
        <w:rPr>
          <w:rFonts w:ascii="Arial" w:hAnsi="Arial" w:cs="Arial"/>
          <w:b/>
          <w:sz w:val="22"/>
          <w:szCs w:val="22"/>
          <w:lang w:val="es-ES_tradnl"/>
        </w:rPr>
      </w:pPr>
      <w:r w:rsidRPr="006F5CA6">
        <w:rPr>
          <w:rFonts w:ascii="Arial" w:hAnsi="Arial" w:cs="Arial"/>
          <w:b/>
          <w:sz w:val="22"/>
          <w:szCs w:val="22"/>
          <w:lang w:val="es-ES_tradnl"/>
        </w:rPr>
        <w:t>Cuadro 1. ICTIP Variación anual según grupos de costos Cuarto trimestre (octubre-diciembre) 2022 – 2023</w:t>
      </w:r>
    </w:p>
    <w:p w14:paraId="6A7FCF70" w14:textId="2A65D7CB" w:rsidR="00585978" w:rsidRPr="006F5CA6" w:rsidRDefault="00585978" w:rsidP="00585978">
      <w:pPr>
        <w:pStyle w:val="Prrafodelista"/>
        <w:ind w:left="0"/>
        <w:rPr>
          <w:rFonts w:ascii="Arial" w:hAnsi="Arial" w:cs="Arial"/>
          <w:b/>
          <w:sz w:val="22"/>
          <w:szCs w:val="22"/>
          <w:lang w:val="es-ES_tradnl"/>
        </w:rPr>
      </w:pPr>
    </w:p>
    <w:p w14:paraId="20144F21" w14:textId="11502403" w:rsidR="00585978" w:rsidRPr="006F5CA6" w:rsidRDefault="00585978" w:rsidP="00585978">
      <w:pPr>
        <w:pStyle w:val="Prrafodelista"/>
        <w:ind w:left="0"/>
        <w:rPr>
          <w:rFonts w:ascii="Arial" w:hAnsi="Arial" w:cs="Arial"/>
          <w:b/>
          <w:sz w:val="22"/>
          <w:szCs w:val="22"/>
        </w:rPr>
      </w:pPr>
      <w:r w:rsidRPr="006F5CA6">
        <w:rPr>
          <w:rFonts w:ascii="Arial" w:hAnsi="Arial" w:cs="Arial"/>
          <w:noProof/>
          <w:lang w:val="en-US"/>
        </w:rPr>
        <w:drawing>
          <wp:inline distT="0" distB="0" distL="0" distR="0" wp14:anchorId="420147EE" wp14:editId="76F0DCB6">
            <wp:extent cx="5612130" cy="149161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612130" cy="1491615"/>
                    </a:xfrm>
                    <a:prstGeom prst="rect">
                      <a:avLst/>
                    </a:prstGeom>
                  </pic:spPr>
                </pic:pic>
              </a:graphicData>
            </a:graphic>
          </wp:inline>
        </w:drawing>
      </w:r>
    </w:p>
    <w:p w14:paraId="4A823E29" w14:textId="02455811" w:rsidR="00585978" w:rsidRPr="006F5CA6" w:rsidRDefault="00585978" w:rsidP="00585978">
      <w:pPr>
        <w:pStyle w:val="Prrafodelista"/>
        <w:ind w:left="0"/>
        <w:rPr>
          <w:rFonts w:ascii="Arial" w:hAnsi="Arial" w:cs="Arial"/>
          <w:sz w:val="14"/>
          <w:szCs w:val="14"/>
        </w:rPr>
      </w:pPr>
      <w:r w:rsidRPr="006F5CA6">
        <w:rPr>
          <w:rFonts w:ascii="Arial" w:hAnsi="Arial" w:cs="Arial"/>
          <w:sz w:val="14"/>
          <w:szCs w:val="14"/>
          <w:lang w:val="es-ES_tradnl"/>
        </w:rPr>
        <w:t>Fuente: DANE, ICTIP.</w:t>
      </w:r>
    </w:p>
    <w:p w14:paraId="1C34D3C1" w14:textId="31AC4564" w:rsidR="00585978" w:rsidRPr="006F5CA6" w:rsidRDefault="00585978" w:rsidP="00585978">
      <w:pPr>
        <w:pStyle w:val="Prrafodelista"/>
        <w:ind w:left="0"/>
        <w:rPr>
          <w:rFonts w:ascii="Arial" w:hAnsi="Arial" w:cs="Arial"/>
          <w:sz w:val="22"/>
          <w:szCs w:val="22"/>
        </w:rPr>
      </w:pPr>
    </w:p>
    <w:p w14:paraId="38EEE299" w14:textId="745231C6" w:rsidR="00585978" w:rsidRPr="006F5CA6" w:rsidRDefault="00585978" w:rsidP="00585978">
      <w:pPr>
        <w:pStyle w:val="Prrafodelista"/>
        <w:ind w:left="0"/>
        <w:rPr>
          <w:rFonts w:ascii="Arial" w:hAnsi="Arial" w:cs="Arial"/>
          <w:sz w:val="22"/>
          <w:szCs w:val="22"/>
        </w:rPr>
      </w:pPr>
      <w:r w:rsidRPr="006F5CA6">
        <w:rPr>
          <w:rFonts w:ascii="Arial" w:hAnsi="Arial" w:cs="Arial"/>
          <w:sz w:val="22"/>
          <w:szCs w:val="22"/>
          <w:lang w:val="es-ES_tradnl"/>
        </w:rPr>
        <w:lastRenderedPageBreak/>
        <w:t>El mayor aporte a la variación anual del ICTIP (6,45%), se registró en el grupo de Costos fijos, el cual aportó 2,28 puntos porcentuales.</w:t>
      </w:r>
    </w:p>
    <w:p w14:paraId="0D01AECA" w14:textId="5C88B072" w:rsidR="00585978" w:rsidRPr="006F5CA6" w:rsidRDefault="00585978" w:rsidP="00DD7950">
      <w:pPr>
        <w:pStyle w:val="Prrafodelista"/>
        <w:ind w:left="0"/>
        <w:rPr>
          <w:rFonts w:ascii="Arial" w:hAnsi="Arial" w:cs="Arial"/>
          <w:sz w:val="22"/>
          <w:szCs w:val="22"/>
        </w:rPr>
      </w:pPr>
    </w:p>
    <w:p w14:paraId="02E5E9F9" w14:textId="7ECF6582" w:rsidR="00585978" w:rsidRPr="006F5CA6" w:rsidRDefault="00585978" w:rsidP="00DD7950">
      <w:pPr>
        <w:pStyle w:val="Prrafodelista"/>
        <w:ind w:left="0"/>
        <w:rPr>
          <w:rFonts w:ascii="Arial" w:hAnsi="Arial" w:cs="Arial"/>
          <w:b/>
          <w:sz w:val="22"/>
          <w:szCs w:val="22"/>
          <w:lang w:val="es-ES_tradnl"/>
        </w:rPr>
      </w:pPr>
      <w:r w:rsidRPr="006F5CA6">
        <w:rPr>
          <w:rFonts w:ascii="Arial" w:hAnsi="Arial" w:cs="Arial"/>
          <w:b/>
          <w:sz w:val="22"/>
          <w:szCs w:val="22"/>
          <w:lang w:val="es-ES_tradnl"/>
        </w:rPr>
        <w:t>Variación y contribución anual por clases de costos</w:t>
      </w:r>
    </w:p>
    <w:p w14:paraId="75761606" w14:textId="4E37D04D" w:rsidR="00585978" w:rsidRPr="006F5CA6" w:rsidRDefault="00585978" w:rsidP="00DD7950">
      <w:pPr>
        <w:pStyle w:val="Prrafodelista"/>
        <w:ind w:left="0"/>
        <w:rPr>
          <w:rFonts w:ascii="Arial" w:hAnsi="Arial" w:cs="Arial"/>
          <w:sz w:val="22"/>
          <w:szCs w:val="22"/>
          <w:lang w:val="es-ES_tradnl"/>
        </w:rPr>
      </w:pPr>
    </w:p>
    <w:p w14:paraId="1C6248C0" w14:textId="77777777" w:rsidR="00585978" w:rsidRPr="006F5CA6" w:rsidRDefault="00585978" w:rsidP="00DD7950">
      <w:pPr>
        <w:pStyle w:val="Prrafodelista"/>
        <w:ind w:left="0"/>
        <w:rPr>
          <w:rFonts w:ascii="Arial" w:hAnsi="Arial" w:cs="Arial"/>
          <w:sz w:val="22"/>
          <w:szCs w:val="22"/>
          <w:lang w:val="es-ES_tradnl"/>
        </w:rPr>
      </w:pPr>
      <w:r w:rsidRPr="006F5CA6">
        <w:rPr>
          <w:rFonts w:ascii="Arial" w:hAnsi="Arial" w:cs="Arial"/>
          <w:sz w:val="22"/>
          <w:szCs w:val="22"/>
          <w:lang w:val="es-ES_tradnl"/>
        </w:rPr>
        <w:t>Por clases de costos, al comparar el cuarto trimestre (octubre-diciembre) de 2023 con el cuarto trimestre (octubre-diciembre) de 2022, los principales aportes positivos a la variación anual fueron: Mano de obra conductor(es) y ayudante(s) (15,99%), Combustibles (6,04%), Uso de terminales (13,36%) y Lubricantes (13,83%).</w:t>
      </w:r>
    </w:p>
    <w:p w14:paraId="33158CBB" w14:textId="77777777" w:rsidR="00585978" w:rsidRPr="006F5CA6" w:rsidRDefault="00585978" w:rsidP="00DD7950">
      <w:pPr>
        <w:pStyle w:val="Prrafodelista"/>
        <w:ind w:left="0"/>
        <w:rPr>
          <w:rFonts w:ascii="Arial" w:hAnsi="Arial" w:cs="Arial"/>
          <w:sz w:val="22"/>
          <w:szCs w:val="22"/>
          <w:lang w:val="es-ES_tradnl"/>
        </w:rPr>
      </w:pPr>
    </w:p>
    <w:p w14:paraId="4E3EF802" w14:textId="018DAC3F" w:rsidR="00585978" w:rsidRPr="006F5CA6" w:rsidRDefault="00585978" w:rsidP="00DD7950">
      <w:pPr>
        <w:pStyle w:val="Prrafodelista"/>
        <w:ind w:left="0"/>
        <w:rPr>
          <w:rFonts w:ascii="Arial" w:hAnsi="Arial" w:cs="Arial"/>
          <w:b/>
          <w:sz w:val="22"/>
          <w:szCs w:val="22"/>
        </w:rPr>
      </w:pPr>
      <w:r w:rsidRPr="006F5CA6">
        <w:rPr>
          <w:rFonts w:ascii="Arial" w:hAnsi="Arial" w:cs="Arial"/>
          <w:b/>
          <w:sz w:val="22"/>
          <w:szCs w:val="22"/>
          <w:lang w:val="es-ES_tradnl"/>
        </w:rPr>
        <w:t xml:space="preserve"> Tabla 1. ICTIP Variación y contribución anual según las principales clases de costos Cuarto trimestre (octubre-diciembre) 2023</w:t>
      </w:r>
    </w:p>
    <w:p w14:paraId="41F7FA47" w14:textId="5CC4C357" w:rsidR="00585978" w:rsidRPr="006F5CA6" w:rsidRDefault="00585978" w:rsidP="00DD7950">
      <w:pPr>
        <w:pStyle w:val="Prrafodelista"/>
        <w:ind w:left="0"/>
        <w:rPr>
          <w:rFonts w:ascii="Arial" w:hAnsi="Arial" w:cs="Arial"/>
          <w:sz w:val="22"/>
          <w:szCs w:val="22"/>
        </w:rPr>
      </w:pPr>
    </w:p>
    <w:p w14:paraId="0386CB0C" w14:textId="7CCA141C" w:rsidR="00585978" w:rsidRPr="006F5CA6" w:rsidRDefault="00585978" w:rsidP="00DD7950">
      <w:pPr>
        <w:pStyle w:val="Prrafodelista"/>
        <w:ind w:left="0"/>
        <w:rPr>
          <w:rFonts w:ascii="Arial" w:hAnsi="Arial" w:cs="Arial"/>
          <w:sz w:val="22"/>
          <w:szCs w:val="22"/>
        </w:rPr>
      </w:pPr>
      <w:r w:rsidRPr="006F5CA6">
        <w:rPr>
          <w:rFonts w:ascii="Arial" w:hAnsi="Arial" w:cs="Arial"/>
          <w:noProof/>
          <w:lang w:val="en-US"/>
        </w:rPr>
        <w:drawing>
          <wp:inline distT="0" distB="0" distL="0" distR="0" wp14:anchorId="6F727CF7" wp14:editId="79C4BB38">
            <wp:extent cx="5611280" cy="2160396"/>
            <wp:effectExtent l="0" t="0" r="889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28503" cy="2167027"/>
                    </a:xfrm>
                    <a:prstGeom prst="rect">
                      <a:avLst/>
                    </a:prstGeom>
                  </pic:spPr>
                </pic:pic>
              </a:graphicData>
            </a:graphic>
          </wp:inline>
        </w:drawing>
      </w:r>
    </w:p>
    <w:p w14:paraId="201A9DAC" w14:textId="77777777" w:rsidR="00585978" w:rsidRPr="006F5CA6" w:rsidRDefault="00585978" w:rsidP="00DD7950">
      <w:pPr>
        <w:pStyle w:val="Prrafodelista"/>
        <w:ind w:left="0"/>
        <w:rPr>
          <w:rFonts w:ascii="Arial" w:hAnsi="Arial" w:cs="Arial"/>
          <w:sz w:val="22"/>
          <w:szCs w:val="22"/>
        </w:rPr>
      </w:pPr>
    </w:p>
    <w:p w14:paraId="0C342627" w14:textId="77777777" w:rsidR="007C7164" w:rsidRPr="006F5CA6" w:rsidRDefault="007C7164"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Cambios en los ciclos de producción</w:t>
      </w:r>
    </w:p>
    <w:p w14:paraId="47A8699A" w14:textId="77777777" w:rsidR="007C7164" w:rsidRPr="006F5CA6" w:rsidRDefault="007C7164" w:rsidP="007C7164">
      <w:pPr>
        <w:pStyle w:val="Encabezado"/>
        <w:jc w:val="both"/>
        <w:rPr>
          <w:rFonts w:ascii="Arial" w:hAnsi="Arial" w:cs="Arial"/>
          <w:b/>
          <w:sz w:val="22"/>
          <w:szCs w:val="22"/>
          <w:lang w:val="es-CO"/>
        </w:rPr>
      </w:pPr>
    </w:p>
    <w:p w14:paraId="6CC14EC6" w14:textId="1C49C1C4" w:rsidR="00D26C77" w:rsidRPr="006F5CA6" w:rsidRDefault="00585978" w:rsidP="00585978">
      <w:pPr>
        <w:jc w:val="both"/>
        <w:rPr>
          <w:rFonts w:ascii="Arial" w:hAnsi="Arial" w:cs="Arial"/>
          <w:sz w:val="22"/>
          <w:szCs w:val="22"/>
          <w:lang w:val="es-CO"/>
        </w:rPr>
      </w:pPr>
      <w:r w:rsidRPr="006F5CA6">
        <w:rPr>
          <w:rFonts w:ascii="Arial" w:hAnsi="Arial" w:cs="Arial"/>
          <w:sz w:val="22"/>
          <w:szCs w:val="22"/>
          <w:lang w:val="es-CO"/>
        </w:rPr>
        <w:t>Los ciclos de producción en el sector del transporte pueden experimentar cambios de</w:t>
      </w:r>
      <w:r w:rsidR="003C03F5" w:rsidRPr="006F5CA6">
        <w:rPr>
          <w:rFonts w:ascii="Arial" w:hAnsi="Arial" w:cs="Arial"/>
          <w:sz w:val="22"/>
          <w:szCs w:val="22"/>
          <w:lang w:val="es-CO"/>
        </w:rPr>
        <w:t xml:space="preserve">bido a una variedad de factores como las variaciones en el precio de combustible, </w:t>
      </w:r>
      <w:r w:rsidRPr="006F5CA6">
        <w:rPr>
          <w:rFonts w:ascii="Arial" w:hAnsi="Arial" w:cs="Arial"/>
          <w:sz w:val="22"/>
          <w:szCs w:val="22"/>
          <w:lang w:val="es-CO"/>
        </w:rPr>
        <w:t>avances cambios en la demanda del mercado, regulaciones gubernamentales, fluctuaciones económicas y consideraciones medioambientales.</w:t>
      </w:r>
    </w:p>
    <w:p w14:paraId="1912101B" w14:textId="6500A383" w:rsidR="00585978" w:rsidRPr="006F5CA6" w:rsidRDefault="00585978" w:rsidP="00585978">
      <w:pPr>
        <w:jc w:val="both"/>
        <w:rPr>
          <w:rFonts w:ascii="Arial" w:hAnsi="Arial" w:cs="Arial"/>
          <w:sz w:val="22"/>
          <w:szCs w:val="22"/>
          <w:lang w:val="es-CO"/>
        </w:rPr>
      </w:pPr>
    </w:p>
    <w:p w14:paraId="59CAF9A5" w14:textId="2A6572E0" w:rsidR="00D26C77" w:rsidRPr="006F5CA6" w:rsidRDefault="00D26C77"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Dinamica de importaciones, exportaciones</w:t>
      </w:r>
    </w:p>
    <w:p w14:paraId="56216275" w14:textId="10F4B3CD" w:rsidR="00D26C77" w:rsidRPr="006F5CA6" w:rsidRDefault="00D26C77" w:rsidP="00D26C77">
      <w:pPr>
        <w:jc w:val="both"/>
        <w:rPr>
          <w:rFonts w:ascii="Arial" w:hAnsi="Arial" w:cs="Arial"/>
          <w:sz w:val="22"/>
          <w:szCs w:val="22"/>
          <w:lang w:val="es-CO"/>
        </w:rPr>
      </w:pPr>
    </w:p>
    <w:p w14:paraId="1266648B" w14:textId="17303DFF" w:rsidR="00D26C77" w:rsidRPr="006F5CA6" w:rsidRDefault="00D26C77" w:rsidP="00D26C77">
      <w:pPr>
        <w:jc w:val="both"/>
        <w:rPr>
          <w:rFonts w:ascii="Arial" w:hAnsi="Arial" w:cs="Arial"/>
          <w:b/>
          <w:sz w:val="22"/>
          <w:szCs w:val="22"/>
          <w:lang w:val="es-CO"/>
        </w:rPr>
      </w:pPr>
      <w:r w:rsidRPr="006F5CA6">
        <w:rPr>
          <w:rFonts w:ascii="Arial" w:hAnsi="Arial" w:cs="Arial"/>
          <w:b/>
          <w:sz w:val="22"/>
          <w:szCs w:val="22"/>
          <w:lang w:val="es-CO"/>
        </w:rPr>
        <w:t xml:space="preserve">Comportamiento general de las importaciones </w:t>
      </w:r>
    </w:p>
    <w:p w14:paraId="0B6394A9" w14:textId="3AED38F5" w:rsidR="00D26C77" w:rsidRPr="006F5CA6" w:rsidRDefault="00000000" w:rsidP="00D26C77">
      <w:pPr>
        <w:jc w:val="both"/>
        <w:rPr>
          <w:rFonts w:ascii="Arial" w:hAnsi="Arial" w:cs="Arial"/>
          <w:sz w:val="14"/>
          <w:szCs w:val="14"/>
          <w:lang w:val="es-CO"/>
        </w:rPr>
      </w:pPr>
      <w:hyperlink r:id="rId22" w:history="1">
        <w:r w:rsidR="00D26C77" w:rsidRPr="006F5CA6">
          <w:rPr>
            <w:rStyle w:val="Hipervnculo"/>
            <w:rFonts w:ascii="Arial" w:hAnsi="Arial" w:cs="Arial"/>
            <w:sz w:val="14"/>
            <w:szCs w:val="14"/>
            <w:u w:val="none"/>
            <w:lang w:val="es-CO"/>
          </w:rPr>
          <w:t>https://dane.gov.co/index.php/estadisticas-por-tema/comercio-internacional/importaciones</w:t>
        </w:r>
      </w:hyperlink>
    </w:p>
    <w:p w14:paraId="0691D35C" w14:textId="77777777" w:rsidR="00D26C77" w:rsidRPr="006F5CA6" w:rsidRDefault="00D26C77" w:rsidP="00D26C77">
      <w:pPr>
        <w:jc w:val="both"/>
        <w:rPr>
          <w:rFonts w:ascii="Arial" w:hAnsi="Arial" w:cs="Arial"/>
          <w:lang w:val="es-CO"/>
        </w:rPr>
      </w:pPr>
    </w:p>
    <w:p w14:paraId="16A26A56" w14:textId="39AEEB9E" w:rsidR="00D26C77" w:rsidRPr="006F5CA6" w:rsidRDefault="00D26C77" w:rsidP="00D26C77">
      <w:pPr>
        <w:jc w:val="both"/>
        <w:rPr>
          <w:rFonts w:ascii="Arial" w:hAnsi="Arial" w:cs="Arial"/>
          <w:b/>
          <w:sz w:val="22"/>
          <w:szCs w:val="22"/>
          <w:lang w:val="es-CO"/>
        </w:rPr>
      </w:pPr>
      <w:r w:rsidRPr="006F5CA6">
        <w:rPr>
          <w:rFonts w:ascii="Arial" w:hAnsi="Arial" w:cs="Arial"/>
          <w:b/>
          <w:sz w:val="22"/>
          <w:szCs w:val="22"/>
          <w:lang w:val="es-CO"/>
        </w:rPr>
        <w:t>Tabla 1. Valor CIF de las importaciones, variación, contribución y participación según grupos de productos (OMC) Octubre (2023/2022) p</w:t>
      </w:r>
    </w:p>
    <w:p w14:paraId="14F94446" w14:textId="39BCE0B6" w:rsidR="00D26C77" w:rsidRPr="006F5CA6" w:rsidRDefault="00D26C77" w:rsidP="00D26C77">
      <w:pPr>
        <w:jc w:val="both"/>
        <w:rPr>
          <w:rFonts w:ascii="Arial" w:hAnsi="Arial" w:cs="Arial"/>
          <w:b/>
          <w:sz w:val="22"/>
          <w:szCs w:val="22"/>
          <w:lang w:val="es-CO"/>
        </w:rPr>
      </w:pPr>
    </w:p>
    <w:p w14:paraId="1E057133" w14:textId="6FDFF49B" w:rsidR="00D26C77" w:rsidRPr="006F5CA6" w:rsidRDefault="00D26C77" w:rsidP="00D26C77">
      <w:pPr>
        <w:jc w:val="both"/>
        <w:rPr>
          <w:rFonts w:ascii="Arial" w:hAnsi="Arial" w:cs="Arial"/>
          <w:b/>
          <w:sz w:val="22"/>
          <w:szCs w:val="22"/>
          <w:lang w:val="es-CO"/>
        </w:rPr>
      </w:pPr>
      <w:r w:rsidRPr="006F5CA6">
        <w:rPr>
          <w:rFonts w:ascii="Arial" w:hAnsi="Arial" w:cs="Arial"/>
          <w:noProof/>
          <w:lang w:val="en-US"/>
        </w:rPr>
        <w:drawing>
          <wp:inline distT="0" distB="0" distL="0" distR="0" wp14:anchorId="575496DB" wp14:editId="6842AA12">
            <wp:extent cx="5612130" cy="1276140"/>
            <wp:effectExtent l="0" t="0" r="7620" b="63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622578" cy="1278516"/>
                    </a:xfrm>
                    <a:prstGeom prst="rect">
                      <a:avLst/>
                    </a:prstGeom>
                  </pic:spPr>
                </pic:pic>
              </a:graphicData>
            </a:graphic>
          </wp:inline>
        </w:drawing>
      </w:r>
    </w:p>
    <w:p w14:paraId="7DB7D8F6" w14:textId="3C8C5C1A" w:rsidR="00D26C77" w:rsidRPr="006F5CA6" w:rsidRDefault="00D26C77" w:rsidP="00D26C77">
      <w:pPr>
        <w:jc w:val="both"/>
        <w:rPr>
          <w:rFonts w:ascii="Arial" w:hAnsi="Arial" w:cs="Arial"/>
          <w:sz w:val="14"/>
          <w:szCs w:val="14"/>
          <w:lang w:val="es-CO"/>
        </w:rPr>
      </w:pPr>
      <w:r w:rsidRPr="006F5CA6">
        <w:rPr>
          <w:rFonts w:ascii="Arial" w:hAnsi="Arial" w:cs="Arial"/>
          <w:sz w:val="14"/>
          <w:szCs w:val="14"/>
          <w:lang w:val="es-CO"/>
        </w:rPr>
        <w:t xml:space="preserve">Fuente: DIAN – DANE (IMPO) p: Cifra preliminar 1 Incluye las secciones de la Clasificación Uniforme del Comercio Internacional (CUCI) correspondientes a productos alimenticios y animales vivos, bebidas y tabacos, materiales crudos no comestibles y aceites grasas y ceras, excluidos los capítulos de abonos en bruto y menas y desechos de metales. 2 Incluye la sección de combustibles y lubricantes minerales y </w:t>
      </w:r>
      <w:r w:rsidRPr="006F5CA6">
        <w:rPr>
          <w:rFonts w:ascii="Arial" w:hAnsi="Arial" w:cs="Arial"/>
          <w:sz w:val="14"/>
          <w:szCs w:val="14"/>
          <w:lang w:val="es-CO"/>
        </w:rPr>
        <w:lastRenderedPageBreak/>
        <w:t>productos conexos de la CUCI y los capítulos correspondientes a abonos en bruto, menas y desechos de metales y metales no ferrosos. 3 Incluye las secciones de la CUCI correspondientes a productos químicos, artículos manufacturados clasificados según el material, maquinaria y equipo de transporte y artículos manufacturados diversos, excluidos el capítulo de metales no ferrosos y el grupo de armas y municiones. 4 Incluye la sección de la CUCI correspondiente a mercancías y operaciones no clasificadas en otro rubro y el grupo de armas y municiones</w:t>
      </w:r>
    </w:p>
    <w:p w14:paraId="18D0429F" w14:textId="0898953F" w:rsidR="00D26C77" w:rsidRPr="006F5CA6" w:rsidRDefault="00D26C77" w:rsidP="00D26C77">
      <w:pPr>
        <w:jc w:val="both"/>
        <w:rPr>
          <w:rFonts w:ascii="Arial" w:hAnsi="Arial" w:cs="Arial"/>
          <w:sz w:val="22"/>
          <w:szCs w:val="22"/>
          <w:lang w:val="es-CO"/>
        </w:rPr>
      </w:pPr>
    </w:p>
    <w:p w14:paraId="4A55EA9B" w14:textId="77777777" w:rsidR="00D26C77" w:rsidRPr="006F5CA6" w:rsidRDefault="00D26C77" w:rsidP="00D26C77">
      <w:pPr>
        <w:jc w:val="both"/>
        <w:rPr>
          <w:rFonts w:ascii="Arial" w:hAnsi="Arial" w:cs="Arial"/>
          <w:sz w:val="22"/>
          <w:szCs w:val="22"/>
          <w:lang w:val="es-CO"/>
        </w:rPr>
      </w:pPr>
      <w:r w:rsidRPr="006F5CA6">
        <w:rPr>
          <w:rFonts w:ascii="Arial" w:hAnsi="Arial" w:cs="Arial"/>
          <w:sz w:val="22"/>
          <w:szCs w:val="22"/>
          <w:lang w:val="es-CO"/>
        </w:rPr>
        <w:t xml:space="preserve">De acuerdo con las declaraciones de importación registradas ante la DIAN en octubre de 2023, las importaciones fueron US$5.375,7 millones CIF y presentaron una disminución de 12,3% con relación al mismo mes de 2022. Este comportamiento obedeció principalmente a la disminución de 14,9% en el grupo de Manufacturas. </w:t>
      </w:r>
    </w:p>
    <w:p w14:paraId="32626CBB" w14:textId="77777777" w:rsidR="00D26C77" w:rsidRPr="006F5CA6" w:rsidRDefault="00D26C77" w:rsidP="00D26C77">
      <w:pPr>
        <w:jc w:val="both"/>
        <w:rPr>
          <w:rFonts w:ascii="Arial" w:hAnsi="Arial" w:cs="Arial"/>
          <w:sz w:val="22"/>
          <w:szCs w:val="22"/>
          <w:lang w:val="es-CO"/>
        </w:rPr>
      </w:pPr>
    </w:p>
    <w:p w14:paraId="60A2504D" w14:textId="5D160FA1" w:rsidR="00D26C77" w:rsidRPr="006F5CA6" w:rsidRDefault="00D26C77" w:rsidP="00D26C77">
      <w:pPr>
        <w:jc w:val="both"/>
        <w:rPr>
          <w:rFonts w:ascii="Arial" w:hAnsi="Arial" w:cs="Arial"/>
          <w:sz w:val="22"/>
          <w:szCs w:val="22"/>
          <w:lang w:val="es-CO"/>
        </w:rPr>
      </w:pPr>
      <w:r w:rsidRPr="006F5CA6">
        <w:rPr>
          <w:rFonts w:ascii="Arial" w:hAnsi="Arial" w:cs="Arial"/>
          <w:sz w:val="22"/>
          <w:szCs w:val="22"/>
          <w:lang w:val="es-CO"/>
        </w:rPr>
        <w:t>En octubre de 2023, las importaciones de Manufacturas participaron con 71,9% del valor CIF total de las importaciones, seguido por Combustibles y productos de las industrias extractivas con 14,2%, Agropecuarios, alimentos y bebidas con 13,7%, y Otros sectores con 0,2%.</w:t>
      </w:r>
    </w:p>
    <w:p w14:paraId="09A26255" w14:textId="2366246D" w:rsidR="00FE5895" w:rsidRPr="006F5CA6" w:rsidRDefault="00FE5895" w:rsidP="00A76FE4">
      <w:pPr>
        <w:rPr>
          <w:rFonts w:ascii="Arial" w:hAnsi="Arial" w:cs="Arial"/>
          <w:b/>
          <w:sz w:val="22"/>
          <w:szCs w:val="22"/>
          <w:lang w:val="es-CO"/>
        </w:rPr>
      </w:pPr>
    </w:p>
    <w:p w14:paraId="42D26A94" w14:textId="276C1D6E"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t>Comportamiento general de las exportaciones</w:t>
      </w:r>
    </w:p>
    <w:p w14:paraId="79B1C027" w14:textId="26C47A8C" w:rsidR="00D26C77" w:rsidRPr="006F5CA6" w:rsidRDefault="00D26C77" w:rsidP="00D26C77">
      <w:pPr>
        <w:rPr>
          <w:rFonts w:ascii="Arial" w:hAnsi="Arial" w:cs="Arial"/>
          <w:sz w:val="14"/>
          <w:szCs w:val="14"/>
          <w:lang w:val="es-CO"/>
        </w:rPr>
      </w:pPr>
      <w:r w:rsidRPr="006F5CA6">
        <w:rPr>
          <w:rFonts w:ascii="Arial" w:hAnsi="Arial" w:cs="Arial"/>
          <w:sz w:val="14"/>
          <w:szCs w:val="14"/>
          <w:lang w:val="es-CO"/>
        </w:rPr>
        <w:t>https://www.dane.gov.co/files/operaciones/EXPORTACIONES/bol-EXPORTACIONES-nov2023.pdf</w:t>
      </w:r>
    </w:p>
    <w:p w14:paraId="278BDFCE" w14:textId="77777777" w:rsidR="00D26C77" w:rsidRPr="006F5CA6" w:rsidRDefault="00D26C77" w:rsidP="00D26C77">
      <w:pPr>
        <w:rPr>
          <w:rFonts w:ascii="Arial" w:hAnsi="Arial" w:cs="Arial"/>
          <w:b/>
          <w:sz w:val="22"/>
          <w:szCs w:val="22"/>
          <w:lang w:val="es-CO"/>
        </w:rPr>
      </w:pPr>
    </w:p>
    <w:p w14:paraId="1D4F80D8" w14:textId="77777777"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t>Tabla 1. Valor FOB de las exportaciones, variación, contribución y participación según grupos de</w:t>
      </w:r>
    </w:p>
    <w:p w14:paraId="0E0E971E" w14:textId="77777777"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t>productos (OMC)</w:t>
      </w:r>
    </w:p>
    <w:p w14:paraId="20901F53" w14:textId="3C15B276" w:rsidR="00D26C77" w:rsidRPr="006F5CA6" w:rsidRDefault="00D26C77" w:rsidP="00D26C77">
      <w:pPr>
        <w:rPr>
          <w:rFonts w:ascii="Arial" w:hAnsi="Arial" w:cs="Arial"/>
          <w:b/>
          <w:sz w:val="22"/>
          <w:szCs w:val="22"/>
          <w:lang w:val="es-CO"/>
        </w:rPr>
      </w:pPr>
      <w:r w:rsidRPr="006F5CA6">
        <w:rPr>
          <w:rFonts w:ascii="Arial" w:hAnsi="Arial" w:cs="Arial"/>
          <w:b/>
          <w:sz w:val="22"/>
          <w:szCs w:val="22"/>
          <w:lang w:val="es-CO"/>
        </w:rPr>
        <w:t>Noviembre (2023/2022)p</w:t>
      </w:r>
    </w:p>
    <w:p w14:paraId="57DEBE1D" w14:textId="5A9E0308" w:rsidR="00D26C77" w:rsidRPr="006F5CA6" w:rsidRDefault="00D26C77" w:rsidP="00A76FE4">
      <w:pPr>
        <w:rPr>
          <w:rFonts w:ascii="Arial" w:hAnsi="Arial" w:cs="Arial"/>
          <w:b/>
          <w:sz w:val="22"/>
          <w:szCs w:val="22"/>
          <w:lang w:val="es-CO"/>
        </w:rPr>
      </w:pPr>
    </w:p>
    <w:p w14:paraId="7AE73041" w14:textId="0FE54503" w:rsidR="00D26C77" w:rsidRPr="006F5CA6" w:rsidRDefault="00D26C77" w:rsidP="00A76FE4">
      <w:pPr>
        <w:rPr>
          <w:rFonts w:ascii="Arial" w:hAnsi="Arial" w:cs="Arial"/>
          <w:b/>
          <w:sz w:val="22"/>
          <w:szCs w:val="22"/>
          <w:lang w:val="es-CO"/>
        </w:rPr>
      </w:pPr>
      <w:r w:rsidRPr="006F5CA6">
        <w:rPr>
          <w:rFonts w:ascii="Arial" w:hAnsi="Arial" w:cs="Arial"/>
          <w:noProof/>
          <w:lang w:val="en-US"/>
        </w:rPr>
        <w:drawing>
          <wp:inline distT="0" distB="0" distL="0" distR="0" wp14:anchorId="2A36F5AF" wp14:editId="7B555095">
            <wp:extent cx="5612130" cy="1446963"/>
            <wp:effectExtent l="0" t="0" r="7620" b="127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620852" cy="1449212"/>
                    </a:xfrm>
                    <a:prstGeom prst="rect">
                      <a:avLst/>
                    </a:prstGeom>
                  </pic:spPr>
                </pic:pic>
              </a:graphicData>
            </a:graphic>
          </wp:inline>
        </w:drawing>
      </w:r>
    </w:p>
    <w:p w14:paraId="69954AF8" w14:textId="7DD899A8" w:rsidR="00D26C77" w:rsidRPr="006F5CA6" w:rsidRDefault="00D26C77" w:rsidP="00D26C77">
      <w:pPr>
        <w:jc w:val="both"/>
        <w:rPr>
          <w:rFonts w:ascii="Arial" w:hAnsi="Arial" w:cs="Arial"/>
          <w:sz w:val="14"/>
          <w:szCs w:val="14"/>
          <w:lang w:val="es-CO"/>
        </w:rPr>
      </w:pPr>
      <w:r w:rsidRPr="006F5CA6">
        <w:rPr>
          <w:rFonts w:ascii="Arial" w:hAnsi="Arial" w:cs="Arial"/>
          <w:sz w:val="14"/>
          <w:szCs w:val="14"/>
          <w:lang w:val="es-CO"/>
        </w:rPr>
        <w:t>Fuente: DIAN – DANE (EXPO) p Cifras preliminares: como parte del proceso de producción estadística, el DANE realiza análisis y actualización continua de la información en cada una de las fases del proceso; como consecuencia se pueden presentar cambios en la serie histórica por actualización de la información recibida de parte de las fuentes. 1 Incluye las secciones de la Clasificación Uniforme del Comercio Internacional (CUCI) correspondientes a: Productos alimenticios y animales vivos, Bebidas y tabacos, Materiales crudos no comestibles y Aceites grasas y ceras, excluidos los capítulos de Abonos en bruto y menas y desechos de metales. 2 Incluye la sección de Combustibles y lubricantes minerales y Productos conexos de la CUCI y los capítulos correspondientes a abonos en bruto, menas y desechos de metales y metales no ferrosos. 3 Incluye las secciones de la CUCI correspondientes a Productos químicos, artículos manufacturados clasificados según material, Maquinaria y equipo de transporte y artículos manufacturados diversos, excluidos el capítulo de Metales no ferrosos y el grupo de Armas y municiones. 4 Incluye la sección de la CUCI correspondientes a Mercancías y operaciones no clasificadas en otro rubro y el grupo de Oro no monetario</w:t>
      </w:r>
    </w:p>
    <w:p w14:paraId="06529304" w14:textId="01CF87BD" w:rsidR="00D26C77" w:rsidRPr="006F5CA6" w:rsidRDefault="00D26C77" w:rsidP="00A76FE4">
      <w:pPr>
        <w:rPr>
          <w:rFonts w:ascii="Arial" w:hAnsi="Arial" w:cs="Arial"/>
          <w:b/>
          <w:sz w:val="22"/>
          <w:szCs w:val="22"/>
          <w:lang w:val="es-CO"/>
        </w:rPr>
      </w:pPr>
    </w:p>
    <w:p w14:paraId="5393D825" w14:textId="77777777" w:rsidR="00D26C77" w:rsidRPr="006F5CA6" w:rsidRDefault="00D26C77" w:rsidP="00D26C77">
      <w:pPr>
        <w:jc w:val="both"/>
        <w:rPr>
          <w:rFonts w:ascii="Arial" w:hAnsi="Arial" w:cs="Arial"/>
          <w:sz w:val="22"/>
          <w:szCs w:val="22"/>
          <w:lang w:val="es-CO"/>
        </w:rPr>
      </w:pPr>
      <w:r w:rsidRPr="006F5CA6">
        <w:rPr>
          <w:rFonts w:ascii="Arial" w:hAnsi="Arial" w:cs="Arial"/>
          <w:sz w:val="22"/>
          <w:szCs w:val="22"/>
          <w:lang w:val="es-CO"/>
        </w:rPr>
        <w:t xml:space="preserve">De acuerdo con la información de exportaciones procesada por el DANE y la DIAN, en noviembre de 2023 las ventas externas del país fueron US$4.151,8 millones FOB y presentaron una disminución de 9,0% en relación con noviembre de 2022; este resultado se debió principalmente a la caída de 19,1% en las ventas externas del grupo de Combustibles y productos de las industrias extractivas. </w:t>
      </w:r>
    </w:p>
    <w:p w14:paraId="1C7000E1" w14:textId="77777777" w:rsidR="00D26C77" w:rsidRPr="006F5CA6" w:rsidRDefault="00D26C77" w:rsidP="00D26C77">
      <w:pPr>
        <w:jc w:val="both"/>
        <w:rPr>
          <w:rFonts w:ascii="Arial" w:hAnsi="Arial" w:cs="Arial"/>
          <w:sz w:val="22"/>
          <w:szCs w:val="22"/>
          <w:lang w:val="es-CO"/>
        </w:rPr>
      </w:pPr>
    </w:p>
    <w:p w14:paraId="11970467" w14:textId="69D7F21C" w:rsidR="00D26C77" w:rsidRPr="006F5CA6" w:rsidRDefault="00D26C77" w:rsidP="00D26C77">
      <w:pPr>
        <w:jc w:val="both"/>
        <w:rPr>
          <w:rFonts w:ascii="Arial" w:hAnsi="Arial" w:cs="Arial"/>
          <w:sz w:val="22"/>
          <w:szCs w:val="22"/>
          <w:lang w:val="es-CO"/>
        </w:rPr>
      </w:pPr>
      <w:r w:rsidRPr="006F5CA6">
        <w:rPr>
          <w:rFonts w:ascii="Arial" w:hAnsi="Arial" w:cs="Arial"/>
          <w:sz w:val="22"/>
          <w:szCs w:val="22"/>
          <w:lang w:val="es-CO"/>
        </w:rPr>
        <w:t xml:space="preserve">En el mes de referencia, las exportaciones de Combustibles y productos de las industrias extractivas participaron con 51,0% del valor FOB total de las exportaciones; así mismo, Manufacturas con 19,8%, Agropecuarios, alimentos y bebidas 21,5%, y Otros sectores con 7,8%. En noviembre de 2023 se exportaron 12,9 millones de barriles de petróleo crudo, lo que representó una caída de 22,6% frente a noviembre de 2022 </w:t>
      </w:r>
    </w:p>
    <w:p w14:paraId="6A729DF1" w14:textId="77777777" w:rsidR="00D26C77" w:rsidRPr="006F5CA6" w:rsidRDefault="00D26C77" w:rsidP="00A76FE4">
      <w:pPr>
        <w:rPr>
          <w:rFonts w:ascii="Arial" w:hAnsi="Arial" w:cs="Arial"/>
          <w:b/>
          <w:sz w:val="22"/>
          <w:szCs w:val="22"/>
          <w:lang w:val="es-CO"/>
        </w:rPr>
      </w:pPr>
    </w:p>
    <w:p w14:paraId="006F7B27" w14:textId="77777777" w:rsidR="007C7164" w:rsidRPr="006F5CA6" w:rsidRDefault="007C7164" w:rsidP="00EC7B34">
      <w:pPr>
        <w:pStyle w:val="Ttulo1"/>
        <w:spacing w:before="0"/>
        <w:ind w:left="360" w:hanging="270"/>
        <w:rPr>
          <w:rFonts w:cs="Arial"/>
          <w:sz w:val="22"/>
          <w:szCs w:val="22"/>
        </w:rPr>
      </w:pPr>
      <w:r w:rsidRPr="006F5CA6">
        <w:rPr>
          <w:rFonts w:cs="Arial"/>
          <w:sz w:val="22"/>
          <w:szCs w:val="22"/>
        </w:rPr>
        <w:t>TÉCNICO</w:t>
      </w:r>
    </w:p>
    <w:p w14:paraId="4FD439AB" w14:textId="77777777" w:rsidR="007C7164" w:rsidRPr="006F5CA6" w:rsidRDefault="007C7164" w:rsidP="007C7164">
      <w:pPr>
        <w:rPr>
          <w:rFonts w:ascii="Arial" w:hAnsi="Arial" w:cs="Arial"/>
          <w:b/>
          <w:bCs/>
          <w:noProof/>
          <w:sz w:val="22"/>
          <w:szCs w:val="22"/>
          <w:lang w:val="es-CO" w:eastAsia="es-CO"/>
        </w:rPr>
      </w:pPr>
    </w:p>
    <w:p w14:paraId="1BB53F4C" w14:textId="4C4D55E5" w:rsidR="007C7164" w:rsidRPr="006F5CA6" w:rsidRDefault="007C7164"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Condiciones técnicas y tecnológicas del objeto del proceso de contratación</w:t>
      </w:r>
    </w:p>
    <w:p w14:paraId="134A1450" w14:textId="77777777" w:rsidR="007C7164" w:rsidRPr="006F5CA6" w:rsidRDefault="007C7164" w:rsidP="007C7164">
      <w:pPr>
        <w:pStyle w:val="Prrafodelista"/>
        <w:ind w:left="0"/>
        <w:rPr>
          <w:rFonts w:ascii="Arial" w:hAnsi="Arial" w:cs="Arial"/>
          <w:sz w:val="22"/>
          <w:szCs w:val="22"/>
        </w:rPr>
      </w:pPr>
    </w:p>
    <w:p w14:paraId="1BFA0267" w14:textId="6C19A150" w:rsidR="007C7164" w:rsidRPr="006F5CA6" w:rsidRDefault="007C7164" w:rsidP="007C7164">
      <w:pPr>
        <w:pStyle w:val="Prrafodelista"/>
        <w:ind w:left="0"/>
        <w:rPr>
          <w:rFonts w:ascii="Arial" w:hAnsi="Arial" w:cs="Arial"/>
          <w:sz w:val="22"/>
          <w:szCs w:val="22"/>
        </w:rPr>
      </w:pPr>
      <w:r w:rsidRPr="006F5CA6">
        <w:rPr>
          <w:rFonts w:ascii="Arial" w:hAnsi="Arial" w:cs="Arial"/>
          <w:sz w:val="22"/>
          <w:szCs w:val="22"/>
        </w:rPr>
        <w:t>Las condiciones técnicas son las expresadas en las especificaciones técnicas del objeto a contratar, de forma especial en cada uno de los ítems contemplados en la solución técnica a la necesidad planteada y que se pretende satisfacer con esta contratación. (ver anexo Aspectos Técnicos del Objeto)</w:t>
      </w:r>
    </w:p>
    <w:p w14:paraId="613AEBE1" w14:textId="77777777" w:rsidR="007C7164" w:rsidRPr="006F5CA6" w:rsidRDefault="007C7164" w:rsidP="007C7164">
      <w:pPr>
        <w:pStyle w:val="Prrafodelista"/>
        <w:autoSpaceDE w:val="0"/>
        <w:autoSpaceDN w:val="0"/>
        <w:adjustRightInd w:val="0"/>
        <w:rPr>
          <w:rFonts w:ascii="Arial" w:hAnsi="Arial" w:cs="Arial"/>
          <w:b/>
          <w:sz w:val="22"/>
          <w:szCs w:val="22"/>
        </w:rPr>
      </w:pPr>
    </w:p>
    <w:p w14:paraId="2C77F500" w14:textId="77777777" w:rsidR="007C7164" w:rsidRPr="006F5CA6" w:rsidRDefault="007C7164" w:rsidP="00EC7B34">
      <w:pPr>
        <w:pStyle w:val="Ttulo1"/>
        <w:spacing w:before="0"/>
        <w:ind w:left="360" w:hanging="270"/>
        <w:rPr>
          <w:rFonts w:cs="Arial"/>
          <w:sz w:val="22"/>
          <w:szCs w:val="22"/>
        </w:rPr>
      </w:pPr>
      <w:r w:rsidRPr="006F5CA6">
        <w:rPr>
          <w:rFonts w:cs="Arial"/>
          <w:sz w:val="22"/>
          <w:szCs w:val="22"/>
        </w:rPr>
        <w:t>REGULATORIO</w:t>
      </w:r>
    </w:p>
    <w:p w14:paraId="10FEC7CF" w14:textId="77777777" w:rsidR="007C7164" w:rsidRPr="006F5CA6" w:rsidRDefault="007C7164" w:rsidP="007C7164">
      <w:pPr>
        <w:pStyle w:val="Prrafodelista"/>
        <w:autoSpaceDE w:val="0"/>
        <w:autoSpaceDN w:val="0"/>
        <w:adjustRightInd w:val="0"/>
        <w:ind w:left="0"/>
        <w:rPr>
          <w:rFonts w:ascii="Arial" w:hAnsi="Arial" w:cs="Arial"/>
          <w:b/>
          <w:sz w:val="22"/>
          <w:szCs w:val="22"/>
        </w:rPr>
      </w:pPr>
    </w:p>
    <w:p w14:paraId="19441CA1" w14:textId="2154D786" w:rsidR="007C7164" w:rsidRPr="006F5CA6" w:rsidRDefault="007C7164" w:rsidP="00F810FE">
      <w:pPr>
        <w:pStyle w:val="Prrafodelista"/>
        <w:numPr>
          <w:ilvl w:val="0"/>
          <w:numId w:val="7"/>
        </w:numPr>
        <w:rPr>
          <w:rFonts w:ascii="Arial" w:hAnsi="Arial" w:cs="Arial"/>
          <w:b/>
          <w:sz w:val="22"/>
          <w:szCs w:val="22"/>
        </w:rPr>
      </w:pPr>
      <w:r w:rsidRPr="006F5CA6">
        <w:rPr>
          <w:rFonts w:ascii="Arial" w:hAnsi="Arial" w:cs="Arial"/>
          <w:b/>
          <w:bCs/>
          <w:noProof/>
          <w:sz w:val="22"/>
          <w:szCs w:val="22"/>
          <w:lang w:eastAsia="es-CO"/>
        </w:rPr>
        <w:t>Normatividad aplicable al proceso de contratación</w:t>
      </w:r>
    </w:p>
    <w:p w14:paraId="650B0A74" w14:textId="77777777" w:rsidR="007C7164" w:rsidRPr="006F5CA6" w:rsidRDefault="007C7164" w:rsidP="007C7164">
      <w:pPr>
        <w:pStyle w:val="Prrafodelista"/>
        <w:autoSpaceDE w:val="0"/>
        <w:autoSpaceDN w:val="0"/>
        <w:adjustRightInd w:val="0"/>
        <w:rPr>
          <w:rFonts w:ascii="Arial" w:hAnsi="Arial" w:cs="Arial"/>
          <w:sz w:val="22"/>
          <w:szCs w:val="22"/>
        </w:rPr>
      </w:pPr>
    </w:p>
    <w:p w14:paraId="739CE64B" w14:textId="698620DF" w:rsidR="007C7164" w:rsidRPr="006F5CA6" w:rsidRDefault="007C7164" w:rsidP="007C7164">
      <w:pPr>
        <w:pStyle w:val="Prrafodelista"/>
        <w:ind w:left="0"/>
        <w:rPr>
          <w:rFonts w:ascii="Arial" w:hAnsi="Arial" w:cs="Arial"/>
          <w:sz w:val="22"/>
          <w:szCs w:val="22"/>
        </w:rPr>
      </w:pPr>
      <w:r w:rsidRPr="006F5CA6">
        <w:rPr>
          <w:rFonts w:ascii="Arial" w:hAnsi="Arial" w:cs="Arial"/>
          <w:sz w:val="22"/>
          <w:szCs w:val="22"/>
        </w:rPr>
        <w:t>La normatividad aplicable al proceso de contratación es la prevista en el Estatuto General de Contratación Publica en Colombia: Ley 80 de 1.993, Ley 1159 de 2.007, Ley 1474 de 2.011, Ley 1882 de 2018 y Decreto 1082 de 2.015 que reglamentó el sistema de compras y contratación pública en Colombia.</w:t>
      </w:r>
    </w:p>
    <w:p w14:paraId="653BC980" w14:textId="77777777" w:rsidR="007C7164" w:rsidRPr="006F5CA6" w:rsidRDefault="007C7164" w:rsidP="007C7164">
      <w:pPr>
        <w:pStyle w:val="Prrafodelista"/>
        <w:ind w:left="0"/>
        <w:rPr>
          <w:rFonts w:ascii="Arial" w:hAnsi="Arial" w:cs="Arial"/>
          <w:sz w:val="22"/>
          <w:szCs w:val="22"/>
        </w:rPr>
      </w:pPr>
    </w:p>
    <w:p w14:paraId="28F40623" w14:textId="77777777" w:rsidR="00745FC3" w:rsidRPr="00E14A05" w:rsidRDefault="00745FC3" w:rsidP="00745FC3">
      <w:pPr>
        <w:pStyle w:val="Encabezado"/>
        <w:jc w:val="both"/>
        <w:rPr>
          <w:rFonts w:ascii="Arial" w:hAnsi="Arial" w:cs="Arial"/>
          <w:sz w:val="22"/>
          <w:szCs w:val="22"/>
        </w:rPr>
      </w:pPr>
      <w:r w:rsidRPr="00E14A05">
        <w:rPr>
          <w:rFonts w:ascii="Arial" w:hAnsi="Arial" w:cs="Arial"/>
          <w:sz w:val="22"/>
          <w:szCs w:val="22"/>
        </w:rPr>
        <w:t>De acuerdo a lo previsto en el numeral 1, del artículo 2, de la Ley 1150 de 2.007, la modalidad de Selección será mediante licitación pública.</w:t>
      </w:r>
    </w:p>
    <w:p w14:paraId="349C34CC" w14:textId="77777777" w:rsidR="00745FC3" w:rsidRPr="00E14A05" w:rsidRDefault="00745FC3" w:rsidP="00745FC3">
      <w:pPr>
        <w:pStyle w:val="Encabezado"/>
        <w:jc w:val="both"/>
        <w:rPr>
          <w:rFonts w:ascii="Arial" w:hAnsi="Arial" w:cs="Arial"/>
          <w:sz w:val="22"/>
          <w:szCs w:val="22"/>
        </w:rPr>
      </w:pPr>
    </w:p>
    <w:p w14:paraId="2687CE46" w14:textId="5CBDC339" w:rsidR="007C7164" w:rsidRPr="006F5CA6" w:rsidRDefault="007C7164" w:rsidP="007C7164">
      <w:pPr>
        <w:pStyle w:val="Prrafodelista"/>
        <w:ind w:left="0"/>
        <w:rPr>
          <w:rFonts w:ascii="Arial" w:hAnsi="Arial" w:cs="Arial"/>
          <w:sz w:val="22"/>
          <w:szCs w:val="22"/>
        </w:rPr>
      </w:pPr>
      <w:r w:rsidRPr="006F5CA6">
        <w:rPr>
          <w:rFonts w:ascii="Arial" w:hAnsi="Arial" w:cs="Arial"/>
          <w:sz w:val="22"/>
          <w:szCs w:val="22"/>
        </w:rPr>
        <w:t>La presente modalidad de selección se aplica teniendo en cuenta que la cuantía y el objeto de la contratación no corresponden a ningún otro procedimiento contractual establecido en la Ley 1150 de 2007 y su Decreto Reglamentario 1082 de 2.015, garantizando la selección objetiva de la oferta más favorable a la entidad con la observancia estricta de los parámetros legales definidos para el efecto.</w:t>
      </w:r>
    </w:p>
    <w:p w14:paraId="7A743C9E" w14:textId="58467CE5" w:rsidR="00D91C7F" w:rsidRPr="006F5CA6" w:rsidRDefault="00D91C7F" w:rsidP="007C7164">
      <w:pPr>
        <w:pStyle w:val="Prrafodelista"/>
        <w:ind w:left="0"/>
        <w:rPr>
          <w:rFonts w:ascii="Arial" w:hAnsi="Arial" w:cs="Arial"/>
          <w:sz w:val="22"/>
          <w:szCs w:val="22"/>
        </w:rPr>
      </w:pPr>
    </w:p>
    <w:p w14:paraId="0FE01E6C" w14:textId="5FAE4812" w:rsidR="00D91C7F" w:rsidRPr="006F5CA6" w:rsidRDefault="00D91C7F" w:rsidP="00EC7B34">
      <w:pPr>
        <w:pStyle w:val="Ttulo1"/>
        <w:spacing w:before="0"/>
        <w:ind w:left="360" w:hanging="270"/>
        <w:rPr>
          <w:rFonts w:cs="Arial"/>
          <w:sz w:val="22"/>
          <w:szCs w:val="22"/>
        </w:rPr>
      </w:pPr>
      <w:r w:rsidRPr="006F5CA6">
        <w:rPr>
          <w:rFonts w:cs="Arial"/>
          <w:sz w:val="22"/>
          <w:szCs w:val="22"/>
        </w:rPr>
        <w:t>COMPORTAMIENTO DEL GASTO HISTÓRICO</w:t>
      </w:r>
    </w:p>
    <w:p w14:paraId="26525716" w14:textId="4F44EB8E" w:rsidR="00D91C7F" w:rsidRPr="006F5CA6" w:rsidRDefault="00D91C7F" w:rsidP="007C7164">
      <w:pPr>
        <w:pStyle w:val="Prrafodelista"/>
        <w:ind w:left="0"/>
        <w:rPr>
          <w:rFonts w:ascii="Arial" w:hAnsi="Arial" w:cs="Arial"/>
          <w:sz w:val="22"/>
          <w:szCs w:val="22"/>
        </w:rPr>
      </w:pPr>
    </w:p>
    <w:p w14:paraId="7C213A76" w14:textId="77777777" w:rsidR="00D91C7F" w:rsidRPr="006F5CA6" w:rsidRDefault="00D91C7F" w:rsidP="00F810FE">
      <w:pPr>
        <w:pStyle w:val="Prrafodelista"/>
        <w:numPr>
          <w:ilvl w:val="0"/>
          <w:numId w:val="7"/>
        </w:numPr>
        <w:rPr>
          <w:rFonts w:ascii="Arial" w:hAnsi="Arial" w:cs="Arial"/>
          <w:b/>
          <w:bCs/>
          <w:noProof/>
          <w:sz w:val="22"/>
          <w:szCs w:val="22"/>
          <w:lang w:eastAsia="es-CO"/>
        </w:rPr>
      </w:pPr>
      <w:bookmarkStart w:id="2" w:name="_Toc441217096"/>
      <w:r w:rsidRPr="006F5CA6">
        <w:rPr>
          <w:rFonts w:ascii="Arial" w:hAnsi="Arial" w:cs="Arial"/>
          <w:b/>
          <w:bCs/>
          <w:noProof/>
          <w:sz w:val="22"/>
          <w:szCs w:val="22"/>
          <w:lang w:eastAsia="es-CO"/>
        </w:rPr>
        <w:t>Estudio de la Demanda.</w:t>
      </w:r>
      <w:bookmarkEnd w:id="2"/>
    </w:p>
    <w:p w14:paraId="21CCCEA2" w14:textId="77777777" w:rsidR="00D91C7F" w:rsidRPr="006F5CA6" w:rsidRDefault="00D91C7F" w:rsidP="00D91C7F">
      <w:pPr>
        <w:rPr>
          <w:rFonts w:ascii="Arial" w:hAnsi="Arial" w:cs="Arial"/>
          <w:sz w:val="22"/>
          <w:szCs w:val="22"/>
          <w:lang w:val="es-CO" w:eastAsia="es-CO"/>
        </w:rPr>
      </w:pPr>
    </w:p>
    <w:p w14:paraId="491FE9CD" w14:textId="77777777" w:rsidR="00D91C7F" w:rsidRPr="006F5CA6" w:rsidRDefault="00D91C7F" w:rsidP="00D91C7F">
      <w:pPr>
        <w:jc w:val="both"/>
        <w:rPr>
          <w:rFonts w:ascii="Arial" w:hAnsi="Arial" w:cs="Arial"/>
          <w:sz w:val="22"/>
          <w:szCs w:val="22"/>
          <w:lang w:val="es-CO" w:eastAsia="es-CO"/>
        </w:rPr>
      </w:pPr>
      <w:r w:rsidRPr="006F5CA6">
        <w:rPr>
          <w:rFonts w:ascii="Arial" w:hAnsi="Arial" w:cs="Arial"/>
          <w:sz w:val="22"/>
          <w:szCs w:val="22"/>
          <w:lang w:val="es-CO" w:eastAsia="es-CO"/>
        </w:rPr>
        <w:t>La Entidad procedió al estudio de la demanda en lo que respecta al Programa de alimentación escolar utilizando como base de recolección de información al SECOP donde reposan los procesos de contratación llevados a cabo por las entidades públicas de todos los niveles territoriales, en ese sentido se tomó una muestra de procesos de contratación con objetos similares realizados por la Entidad contratante y se observó el comportamiento del sector en otras entidades, de modo que sirvan de base a la hora de elaboración de las condiciones del proceso.</w:t>
      </w:r>
    </w:p>
    <w:p w14:paraId="68594C37" w14:textId="77777777" w:rsidR="00D91C7F" w:rsidRPr="006F5CA6" w:rsidRDefault="00D91C7F" w:rsidP="00D91C7F">
      <w:pPr>
        <w:jc w:val="both"/>
        <w:rPr>
          <w:rFonts w:ascii="Arial" w:hAnsi="Arial" w:cs="Arial"/>
          <w:sz w:val="22"/>
          <w:szCs w:val="22"/>
          <w:lang w:val="es-CO" w:eastAsia="es-CO"/>
        </w:rPr>
      </w:pPr>
    </w:p>
    <w:p w14:paraId="0049B5C6" w14:textId="77777777" w:rsidR="00D91C7F" w:rsidRPr="006F5CA6" w:rsidRDefault="00D91C7F" w:rsidP="00F810FE">
      <w:pPr>
        <w:pStyle w:val="Prrafodelista"/>
        <w:numPr>
          <w:ilvl w:val="0"/>
          <w:numId w:val="9"/>
        </w:numPr>
        <w:rPr>
          <w:rFonts w:ascii="Arial" w:hAnsi="Arial" w:cs="Arial"/>
          <w:b/>
          <w:sz w:val="22"/>
          <w:szCs w:val="22"/>
          <w:lang w:eastAsia="es-CO"/>
        </w:rPr>
        <w:sectPr w:rsidR="00D91C7F" w:rsidRPr="006F5CA6" w:rsidSect="0019430D">
          <w:headerReference w:type="default" r:id="rId25"/>
          <w:footerReference w:type="default" r:id="rId26"/>
          <w:type w:val="continuous"/>
          <w:pgSz w:w="12240" w:h="15840"/>
          <w:pgMar w:top="993" w:right="1701" w:bottom="1560" w:left="1701" w:header="0" w:footer="249" w:gutter="0"/>
          <w:cols w:space="708"/>
          <w:docGrid w:linePitch="360"/>
        </w:sectPr>
      </w:pPr>
    </w:p>
    <w:p w14:paraId="44CDC5A7" w14:textId="4162A466" w:rsidR="00D91C7F" w:rsidRPr="006F5CA6" w:rsidRDefault="00D91C7F" w:rsidP="00F810FE">
      <w:pPr>
        <w:pStyle w:val="Prrafodelista"/>
        <w:numPr>
          <w:ilvl w:val="0"/>
          <w:numId w:val="9"/>
        </w:numPr>
        <w:rPr>
          <w:rFonts w:ascii="Arial" w:hAnsi="Arial" w:cs="Arial"/>
          <w:b/>
          <w:sz w:val="22"/>
          <w:szCs w:val="22"/>
          <w:lang w:eastAsia="es-CO"/>
        </w:rPr>
      </w:pPr>
      <w:r w:rsidRPr="006F5CA6">
        <w:rPr>
          <w:rFonts w:ascii="Arial" w:hAnsi="Arial" w:cs="Arial"/>
          <w:b/>
          <w:sz w:val="22"/>
          <w:szCs w:val="22"/>
          <w:lang w:eastAsia="es-CO"/>
        </w:rPr>
        <w:t>Histórico de Adquisiciones de la Entidad Estatal</w:t>
      </w:r>
    </w:p>
    <w:p w14:paraId="2524722F" w14:textId="77777777" w:rsidR="00D91C7F" w:rsidRPr="006F5CA6" w:rsidRDefault="00D91C7F" w:rsidP="00D91C7F">
      <w:pPr>
        <w:pStyle w:val="Prrafodelista"/>
        <w:rPr>
          <w:rFonts w:ascii="Arial" w:hAnsi="Arial" w:cs="Arial"/>
          <w:b/>
          <w:sz w:val="22"/>
          <w:szCs w:val="22"/>
          <w:lang w:eastAsia="es-CO"/>
        </w:rPr>
      </w:pPr>
    </w:p>
    <w:p w14:paraId="023D38BD" w14:textId="77777777" w:rsidR="00D91C7F" w:rsidRPr="006F5CA6" w:rsidRDefault="00D91C7F" w:rsidP="00D91C7F">
      <w:pPr>
        <w:jc w:val="both"/>
        <w:rPr>
          <w:rFonts w:ascii="Arial" w:hAnsi="Arial" w:cs="Arial"/>
          <w:sz w:val="22"/>
          <w:szCs w:val="22"/>
          <w:lang w:val="es-CO" w:eastAsia="es-CO"/>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4956"/>
      </w:tblGrid>
      <w:tr w:rsidR="00745FC3" w:rsidRPr="006F5CA6" w14:paraId="046C8B2D" w14:textId="77777777" w:rsidTr="009D555A">
        <w:trPr>
          <w:trHeight w:val="230"/>
          <w:jc w:val="center"/>
        </w:trPr>
        <w:tc>
          <w:tcPr>
            <w:tcW w:w="2694" w:type="dxa"/>
            <w:shd w:val="clear" w:color="auto" w:fill="auto"/>
            <w:vAlign w:val="center"/>
            <w:hideMark/>
          </w:tcPr>
          <w:p w14:paraId="01B65EF7"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ENTIDAD</w:t>
            </w:r>
          </w:p>
        </w:tc>
        <w:tc>
          <w:tcPr>
            <w:tcW w:w="4956" w:type="dxa"/>
            <w:vAlign w:val="center"/>
          </w:tcPr>
          <w:p w14:paraId="0FC06D29" w14:textId="1DCA8442" w:rsidR="00745FC3" w:rsidRPr="006F5CA6" w:rsidRDefault="00745FC3" w:rsidP="00772454">
            <w:pPr>
              <w:rPr>
                <w:rFonts w:ascii="Arial" w:hAnsi="Arial" w:cs="Arial"/>
                <w:b/>
                <w:bCs/>
                <w:sz w:val="16"/>
                <w:szCs w:val="16"/>
                <w:lang w:val="es-CO" w:eastAsia="es-CO"/>
              </w:rPr>
            </w:pPr>
            <w:r w:rsidRPr="00745FC3">
              <w:rPr>
                <w:rFonts w:ascii="Arial" w:hAnsi="Arial" w:cs="Arial"/>
                <w:b/>
                <w:bCs/>
                <w:sz w:val="16"/>
                <w:szCs w:val="16"/>
                <w:lang w:eastAsia="es-CO"/>
              </w:rPr>
              <w:t>BOLÍVAR - ALCALDÍA MUNICIPIO DE SAN JACINTO</w:t>
            </w:r>
          </w:p>
        </w:tc>
      </w:tr>
      <w:tr w:rsidR="00745FC3" w:rsidRPr="006F5CA6" w14:paraId="02BD9B2B" w14:textId="77777777" w:rsidTr="009D555A">
        <w:trPr>
          <w:trHeight w:val="73"/>
          <w:jc w:val="center"/>
        </w:trPr>
        <w:tc>
          <w:tcPr>
            <w:tcW w:w="2694" w:type="dxa"/>
            <w:shd w:val="clear" w:color="auto" w:fill="auto"/>
            <w:vAlign w:val="center"/>
            <w:hideMark/>
          </w:tcPr>
          <w:p w14:paraId="7496C868"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MODALIDAD DE SELECCIÓN DEL CONTRATISTA</w:t>
            </w:r>
          </w:p>
        </w:tc>
        <w:tc>
          <w:tcPr>
            <w:tcW w:w="4956" w:type="dxa"/>
            <w:vAlign w:val="center"/>
          </w:tcPr>
          <w:p w14:paraId="2F895FFD" w14:textId="498E7C1D" w:rsidR="00745FC3" w:rsidRPr="006F5CA6" w:rsidRDefault="00745FC3" w:rsidP="00745FC3">
            <w:pPr>
              <w:rPr>
                <w:rFonts w:ascii="Arial" w:hAnsi="Arial" w:cs="Arial"/>
                <w:sz w:val="16"/>
                <w:szCs w:val="16"/>
                <w:lang w:eastAsia="es-CO"/>
              </w:rPr>
            </w:pPr>
            <w:r w:rsidRPr="00745FC3">
              <w:rPr>
                <w:rFonts w:ascii="Arial" w:hAnsi="Arial" w:cs="Arial"/>
                <w:sz w:val="16"/>
                <w:szCs w:val="16"/>
                <w:lang w:eastAsia="es-CO"/>
              </w:rPr>
              <w:t>Licitación Pública</w:t>
            </w:r>
          </w:p>
        </w:tc>
      </w:tr>
      <w:tr w:rsidR="00745FC3" w:rsidRPr="006F5CA6" w14:paraId="0DB3B7F1" w14:textId="77777777" w:rsidTr="009D555A">
        <w:trPr>
          <w:trHeight w:val="896"/>
          <w:jc w:val="center"/>
        </w:trPr>
        <w:tc>
          <w:tcPr>
            <w:tcW w:w="2694" w:type="dxa"/>
            <w:shd w:val="clear" w:color="auto" w:fill="auto"/>
            <w:vAlign w:val="center"/>
            <w:hideMark/>
          </w:tcPr>
          <w:p w14:paraId="3EF66077"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OBJETO DEL CONTRATO</w:t>
            </w:r>
          </w:p>
        </w:tc>
        <w:tc>
          <w:tcPr>
            <w:tcW w:w="4956" w:type="dxa"/>
            <w:vAlign w:val="center"/>
          </w:tcPr>
          <w:p w14:paraId="76905904" w14:textId="2E560D93" w:rsidR="00745FC3" w:rsidRPr="00745FC3" w:rsidRDefault="00745FC3" w:rsidP="00745FC3">
            <w:pPr>
              <w:jc w:val="both"/>
              <w:rPr>
                <w:rFonts w:ascii="Arial" w:hAnsi="Arial" w:cs="Arial"/>
                <w:sz w:val="16"/>
                <w:szCs w:val="16"/>
                <w:lang w:val="es-CO" w:eastAsia="es-CO"/>
              </w:rPr>
            </w:pPr>
            <w:r w:rsidRPr="00745FC3">
              <w:rPr>
                <w:rFonts w:ascii="Arial" w:hAnsi="Arial" w:cs="Arial"/>
                <w:sz w:val="16"/>
                <w:szCs w:val="16"/>
                <w:lang w:val="es-CO" w:eastAsia="es-CO"/>
              </w:rPr>
              <w:t>PRESTACION DEL SERVICIO DE TRANSPORTE TERRESTRE AUTOMOTOR ESPECIAL</w:t>
            </w:r>
            <w:r>
              <w:rPr>
                <w:rFonts w:ascii="Arial" w:hAnsi="Arial" w:cs="Arial"/>
                <w:sz w:val="16"/>
                <w:szCs w:val="16"/>
                <w:lang w:val="es-CO" w:eastAsia="es-CO"/>
              </w:rPr>
              <w:t xml:space="preserve"> </w:t>
            </w:r>
            <w:r w:rsidRPr="00745FC3">
              <w:rPr>
                <w:rFonts w:ascii="Arial" w:hAnsi="Arial" w:cs="Arial"/>
                <w:sz w:val="16"/>
                <w:szCs w:val="16"/>
                <w:lang w:val="es-CO" w:eastAsia="es-CO"/>
              </w:rPr>
              <w:t>EN LA MODALIDAD ESCOLAR (IDA Y REGRESO) PARA LOS ESTUDIANTES DE</w:t>
            </w:r>
            <w:r>
              <w:rPr>
                <w:rFonts w:ascii="Arial" w:hAnsi="Arial" w:cs="Arial"/>
                <w:sz w:val="16"/>
                <w:szCs w:val="16"/>
                <w:lang w:val="es-CO" w:eastAsia="es-CO"/>
              </w:rPr>
              <w:t xml:space="preserve"> </w:t>
            </w:r>
            <w:r w:rsidRPr="00745FC3">
              <w:rPr>
                <w:rFonts w:ascii="Arial" w:hAnsi="Arial" w:cs="Arial"/>
                <w:sz w:val="16"/>
                <w:szCs w:val="16"/>
                <w:lang w:val="es-CO" w:eastAsia="es-CO"/>
              </w:rPr>
              <w:t>PRESCOLAR, BASICA PRIMARIA, BASICA SECUNDARIA Y MEDIA VOCACIONAL DE</w:t>
            </w:r>
          </w:p>
          <w:p w14:paraId="22D05957" w14:textId="41176546" w:rsidR="00745FC3" w:rsidRPr="006F5CA6" w:rsidRDefault="00745FC3" w:rsidP="00745FC3">
            <w:pPr>
              <w:jc w:val="both"/>
              <w:rPr>
                <w:rFonts w:ascii="Arial" w:hAnsi="Arial" w:cs="Arial"/>
                <w:sz w:val="16"/>
                <w:szCs w:val="16"/>
                <w:lang w:val="es-CO" w:eastAsia="es-CO"/>
              </w:rPr>
            </w:pPr>
            <w:r w:rsidRPr="00745FC3">
              <w:rPr>
                <w:rFonts w:ascii="Arial" w:hAnsi="Arial" w:cs="Arial"/>
                <w:sz w:val="16"/>
                <w:szCs w:val="16"/>
                <w:lang w:val="es-CO" w:eastAsia="es-CO"/>
              </w:rPr>
              <w:t>LOS CENTROS E INSTITUCIONES EDUCATIVOS URBANOS Y RURALES DEL</w:t>
            </w:r>
            <w:r>
              <w:rPr>
                <w:rFonts w:ascii="Arial" w:hAnsi="Arial" w:cs="Arial"/>
                <w:sz w:val="16"/>
                <w:szCs w:val="16"/>
                <w:lang w:val="es-CO" w:eastAsia="es-CO"/>
              </w:rPr>
              <w:t xml:space="preserve"> </w:t>
            </w:r>
            <w:r w:rsidRPr="00745FC3">
              <w:rPr>
                <w:rFonts w:ascii="Arial" w:hAnsi="Arial" w:cs="Arial"/>
                <w:sz w:val="16"/>
                <w:szCs w:val="16"/>
                <w:lang w:val="es-CO" w:eastAsia="es-CO"/>
              </w:rPr>
              <w:t>MUNICIPIO DE SAN JACINTO, DURANTE EL PERIODO ESCOLAR DEL AÑO 2018</w:t>
            </w:r>
          </w:p>
        </w:tc>
      </w:tr>
      <w:tr w:rsidR="00745FC3" w:rsidRPr="006F5CA6" w14:paraId="5F598E8D" w14:textId="77777777" w:rsidTr="009D555A">
        <w:trPr>
          <w:trHeight w:val="104"/>
          <w:jc w:val="center"/>
        </w:trPr>
        <w:tc>
          <w:tcPr>
            <w:tcW w:w="2694" w:type="dxa"/>
            <w:shd w:val="clear" w:color="auto" w:fill="auto"/>
            <w:vAlign w:val="center"/>
            <w:hideMark/>
          </w:tcPr>
          <w:p w14:paraId="42A460C8"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CANTIDAD DEL BIEN O SERVICIO: Ver detalles en link del proceso</w:t>
            </w:r>
          </w:p>
        </w:tc>
        <w:tc>
          <w:tcPr>
            <w:tcW w:w="4956" w:type="dxa"/>
            <w:vAlign w:val="center"/>
          </w:tcPr>
          <w:p w14:paraId="56D05E1F" w14:textId="25BB50F3" w:rsidR="00745FC3" w:rsidRPr="006F5CA6" w:rsidRDefault="00745FC3" w:rsidP="00772454">
            <w:pPr>
              <w:rPr>
                <w:rFonts w:ascii="Arial" w:hAnsi="Arial" w:cs="Arial"/>
                <w:sz w:val="16"/>
                <w:szCs w:val="16"/>
                <w:lang w:val="es-CO" w:eastAsia="es-CO"/>
              </w:rPr>
            </w:pPr>
            <w:r w:rsidRPr="00745FC3">
              <w:rPr>
                <w:rFonts w:ascii="Arial" w:hAnsi="Arial" w:cs="Arial"/>
                <w:sz w:val="16"/>
                <w:szCs w:val="16"/>
                <w:lang w:val="es-CO" w:eastAsia="es-CO"/>
              </w:rPr>
              <w:t>https://www.contratos.gov.co/consultas/detalleProceso.do?numConstancia=18-1-187828</w:t>
            </w:r>
          </w:p>
        </w:tc>
      </w:tr>
      <w:tr w:rsidR="00745FC3" w:rsidRPr="006F5CA6" w14:paraId="2053C178" w14:textId="77777777" w:rsidTr="009D555A">
        <w:trPr>
          <w:trHeight w:val="309"/>
          <w:jc w:val="center"/>
        </w:trPr>
        <w:tc>
          <w:tcPr>
            <w:tcW w:w="2694" w:type="dxa"/>
            <w:shd w:val="clear" w:color="auto" w:fill="auto"/>
            <w:vAlign w:val="center"/>
            <w:hideMark/>
          </w:tcPr>
          <w:p w14:paraId="09BEA3CC"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LAS AUTORIZACIONES, PERMISOS Y LICENCIAS REQUERIDAS PARA SU EJECUCIÓN</w:t>
            </w:r>
          </w:p>
        </w:tc>
        <w:tc>
          <w:tcPr>
            <w:tcW w:w="4956" w:type="dxa"/>
            <w:vAlign w:val="center"/>
          </w:tcPr>
          <w:p w14:paraId="2EB2352A" w14:textId="162E1374" w:rsidR="00745FC3" w:rsidRPr="006F5CA6" w:rsidRDefault="00745FC3" w:rsidP="00772454">
            <w:pPr>
              <w:rPr>
                <w:rFonts w:ascii="Arial" w:hAnsi="Arial" w:cs="Arial"/>
                <w:sz w:val="16"/>
                <w:szCs w:val="16"/>
                <w:lang w:val="es-CO" w:eastAsia="es-CO"/>
              </w:rPr>
            </w:pPr>
            <w:r w:rsidRPr="006F5CA6">
              <w:rPr>
                <w:rFonts w:ascii="Arial" w:hAnsi="Arial" w:cs="Arial"/>
                <w:sz w:val="16"/>
                <w:szCs w:val="16"/>
                <w:lang w:val="es-CO" w:eastAsia="es-CO"/>
              </w:rPr>
              <w:t>N/A</w:t>
            </w:r>
          </w:p>
        </w:tc>
      </w:tr>
      <w:tr w:rsidR="00745FC3" w:rsidRPr="006F5CA6" w14:paraId="0AA30F13" w14:textId="77777777" w:rsidTr="009D555A">
        <w:trPr>
          <w:trHeight w:val="135"/>
          <w:jc w:val="center"/>
        </w:trPr>
        <w:tc>
          <w:tcPr>
            <w:tcW w:w="2694" w:type="dxa"/>
            <w:shd w:val="clear" w:color="auto" w:fill="auto"/>
            <w:vAlign w:val="center"/>
            <w:hideMark/>
          </w:tcPr>
          <w:p w14:paraId="4831E95E"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lastRenderedPageBreak/>
              <w:t>VALOR DE LOS CONTRATOS Y FORMA Y CONDICIONES DE PAGO</w:t>
            </w:r>
          </w:p>
        </w:tc>
        <w:tc>
          <w:tcPr>
            <w:tcW w:w="4956" w:type="dxa"/>
            <w:vAlign w:val="center"/>
          </w:tcPr>
          <w:p w14:paraId="00ACF85A" w14:textId="4668389F" w:rsidR="00745FC3" w:rsidRPr="006F5CA6" w:rsidRDefault="00745FC3" w:rsidP="00772454">
            <w:pPr>
              <w:jc w:val="both"/>
              <w:rPr>
                <w:rFonts w:ascii="Arial" w:hAnsi="Arial" w:cs="Arial"/>
                <w:sz w:val="16"/>
                <w:szCs w:val="16"/>
                <w:lang w:eastAsia="es-CO"/>
              </w:rPr>
            </w:pPr>
            <w:r w:rsidRPr="006F5CA6">
              <w:rPr>
                <w:rFonts w:ascii="Arial" w:hAnsi="Arial" w:cs="Arial"/>
                <w:sz w:val="16"/>
                <w:szCs w:val="16"/>
                <w:lang w:val="es-CO" w:eastAsia="es-CO"/>
              </w:rPr>
              <w:t xml:space="preserve">Valor: $ </w:t>
            </w:r>
            <w:r w:rsidR="009D555A" w:rsidRPr="009D555A">
              <w:rPr>
                <w:rFonts w:ascii="Arial" w:hAnsi="Arial" w:cs="Arial"/>
                <w:sz w:val="16"/>
                <w:szCs w:val="16"/>
                <w:lang w:eastAsia="es-CO"/>
              </w:rPr>
              <w:t>265</w:t>
            </w:r>
            <w:r w:rsidR="009D555A">
              <w:rPr>
                <w:rFonts w:ascii="Arial" w:hAnsi="Arial" w:cs="Arial"/>
                <w:sz w:val="16"/>
                <w:szCs w:val="16"/>
                <w:lang w:eastAsia="es-CO"/>
              </w:rPr>
              <w:t>.</w:t>
            </w:r>
            <w:r w:rsidR="009D555A" w:rsidRPr="009D555A">
              <w:rPr>
                <w:rFonts w:ascii="Arial" w:hAnsi="Arial" w:cs="Arial"/>
                <w:sz w:val="16"/>
                <w:szCs w:val="16"/>
                <w:lang w:eastAsia="es-CO"/>
              </w:rPr>
              <w:t>000</w:t>
            </w:r>
            <w:r w:rsidR="009D555A">
              <w:rPr>
                <w:rFonts w:ascii="Arial" w:hAnsi="Arial" w:cs="Arial"/>
                <w:sz w:val="16"/>
                <w:szCs w:val="16"/>
                <w:lang w:eastAsia="es-CO"/>
              </w:rPr>
              <w:t>.</w:t>
            </w:r>
            <w:r w:rsidR="009D555A" w:rsidRPr="009D555A">
              <w:rPr>
                <w:rFonts w:ascii="Arial" w:hAnsi="Arial" w:cs="Arial"/>
                <w:sz w:val="16"/>
                <w:szCs w:val="16"/>
                <w:lang w:eastAsia="es-CO"/>
              </w:rPr>
              <w:t>000</w:t>
            </w:r>
          </w:p>
          <w:p w14:paraId="06C03272" w14:textId="77777777" w:rsidR="00745FC3" w:rsidRPr="006F5CA6" w:rsidRDefault="00745FC3" w:rsidP="00772454">
            <w:pPr>
              <w:jc w:val="both"/>
              <w:rPr>
                <w:rFonts w:ascii="Arial" w:hAnsi="Arial" w:cs="Arial"/>
                <w:sz w:val="16"/>
                <w:szCs w:val="16"/>
                <w:lang w:val="es-CO" w:eastAsia="es-CO"/>
              </w:rPr>
            </w:pPr>
          </w:p>
          <w:p w14:paraId="165BF72A" w14:textId="77777777"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val="es-CO" w:eastAsia="es-CO"/>
              </w:rPr>
              <w:t xml:space="preserve">Forma de pago: pagos parciales previa prestación del servicio </w:t>
            </w:r>
          </w:p>
          <w:p w14:paraId="0CA13500" w14:textId="77777777" w:rsidR="00745FC3" w:rsidRPr="006F5CA6" w:rsidRDefault="00745FC3" w:rsidP="00772454">
            <w:pPr>
              <w:jc w:val="both"/>
              <w:rPr>
                <w:rFonts w:ascii="Arial" w:hAnsi="Arial" w:cs="Arial"/>
                <w:sz w:val="16"/>
                <w:szCs w:val="16"/>
                <w:lang w:val="es-CO" w:eastAsia="es-CO"/>
              </w:rPr>
            </w:pPr>
          </w:p>
        </w:tc>
      </w:tr>
      <w:tr w:rsidR="00745FC3" w:rsidRPr="006F5CA6" w14:paraId="1A149FC6" w14:textId="77777777" w:rsidTr="009D555A">
        <w:trPr>
          <w:trHeight w:val="813"/>
          <w:jc w:val="center"/>
        </w:trPr>
        <w:tc>
          <w:tcPr>
            <w:tcW w:w="2694" w:type="dxa"/>
            <w:shd w:val="clear" w:color="auto" w:fill="auto"/>
            <w:vAlign w:val="center"/>
            <w:hideMark/>
          </w:tcPr>
          <w:p w14:paraId="2C860F31"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NÚMERO DE CONTRATOS SUSCRITOS PARA EL EFECTO Y VIGENCIA DE LOS MISMOS.</w:t>
            </w:r>
          </w:p>
        </w:tc>
        <w:tc>
          <w:tcPr>
            <w:tcW w:w="4956" w:type="dxa"/>
            <w:vAlign w:val="center"/>
          </w:tcPr>
          <w:p w14:paraId="6125CAA1" w14:textId="77777777"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val="es-CO" w:eastAsia="es-CO"/>
              </w:rPr>
              <w:t>Número de contratos suscritos: un contrato, no registra adiciones.</w:t>
            </w:r>
          </w:p>
          <w:p w14:paraId="4DADDF36" w14:textId="68FB515C" w:rsidR="00745FC3" w:rsidRPr="006F5CA6" w:rsidRDefault="00745FC3" w:rsidP="00D62FB5">
            <w:pPr>
              <w:jc w:val="both"/>
              <w:rPr>
                <w:rFonts w:ascii="Arial" w:hAnsi="Arial" w:cs="Arial"/>
                <w:sz w:val="16"/>
                <w:szCs w:val="16"/>
                <w:lang w:val="es-CO" w:eastAsia="es-CO"/>
              </w:rPr>
            </w:pPr>
            <w:r w:rsidRPr="006F5CA6">
              <w:rPr>
                <w:rFonts w:ascii="Arial" w:hAnsi="Arial" w:cs="Arial"/>
                <w:sz w:val="16"/>
                <w:szCs w:val="16"/>
                <w:lang w:val="es-CO" w:eastAsia="es-CO"/>
              </w:rPr>
              <w:t>Vigencia: plazo</w:t>
            </w:r>
            <w:r w:rsidR="009D555A">
              <w:rPr>
                <w:rFonts w:ascii="Arial" w:hAnsi="Arial" w:cs="Arial"/>
                <w:sz w:val="16"/>
                <w:szCs w:val="16"/>
                <w:lang w:val="es-CO" w:eastAsia="es-CO"/>
              </w:rPr>
              <w:t xml:space="preserve"> </w:t>
            </w:r>
            <w:r w:rsidR="00D62FB5">
              <w:rPr>
                <w:rFonts w:ascii="Arial" w:hAnsi="Arial" w:cs="Arial"/>
                <w:sz w:val="16"/>
                <w:szCs w:val="16"/>
                <w:lang w:val="es-CO" w:eastAsia="es-CO"/>
              </w:rPr>
              <w:t>55</w:t>
            </w:r>
            <w:r w:rsidRPr="006F5CA6">
              <w:rPr>
                <w:rFonts w:ascii="Arial" w:hAnsi="Arial" w:cs="Arial"/>
                <w:sz w:val="16"/>
                <w:szCs w:val="16"/>
                <w:lang w:val="es-CO" w:eastAsia="es-CO"/>
              </w:rPr>
              <w:t xml:space="preserve"> días, más el término legalmente previsto para su liquidación. </w:t>
            </w:r>
          </w:p>
        </w:tc>
      </w:tr>
      <w:tr w:rsidR="00745FC3" w:rsidRPr="006F5CA6" w14:paraId="1DB131CA" w14:textId="77777777" w:rsidTr="009D555A">
        <w:trPr>
          <w:trHeight w:val="671"/>
          <w:jc w:val="center"/>
        </w:trPr>
        <w:tc>
          <w:tcPr>
            <w:tcW w:w="2694" w:type="dxa"/>
            <w:shd w:val="clear" w:color="auto" w:fill="auto"/>
            <w:vAlign w:val="center"/>
            <w:hideMark/>
          </w:tcPr>
          <w:p w14:paraId="24422781"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PRESUPUESTO CON CARGO AL CUAL FUERON EJECUTADOS LOS CONTRATOS (INVERSIÓN O FUNCIONAMIENTO) Y SI HUBO LUGAR A VIGENCIAS FUTURAS</w:t>
            </w:r>
          </w:p>
        </w:tc>
        <w:tc>
          <w:tcPr>
            <w:tcW w:w="4956" w:type="dxa"/>
            <w:vAlign w:val="center"/>
          </w:tcPr>
          <w:p w14:paraId="58DD73CA" w14:textId="77777777" w:rsidR="00745FC3" w:rsidRPr="006F5CA6" w:rsidRDefault="00745FC3" w:rsidP="00772454">
            <w:pPr>
              <w:jc w:val="both"/>
              <w:rPr>
                <w:rFonts w:ascii="Arial" w:hAnsi="Arial" w:cs="Arial"/>
                <w:sz w:val="16"/>
                <w:szCs w:val="16"/>
                <w:lang w:val="es-CO" w:eastAsia="es-CO"/>
              </w:rPr>
            </w:pPr>
          </w:p>
          <w:p w14:paraId="4C13E23E" w14:textId="42AFF210"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eastAsia="es-CO"/>
              </w:rPr>
              <w:t>Inversión</w:t>
            </w:r>
          </w:p>
        </w:tc>
      </w:tr>
      <w:tr w:rsidR="00745FC3" w:rsidRPr="006F5CA6" w14:paraId="541442B3" w14:textId="77777777" w:rsidTr="009D555A">
        <w:trPr>
          <w:trHeight w:val="1096"/>
          <w:jc w:val="center"/>
        </w:trPr>
        <w:tc>
          <w:tcPr>
            <w:tcW w:w="2694" w:type="dxa"/>
            <w:shd w:val="clear" w:color="auto" w:fill="auto"/>
            <w:vAlign w:val="center"/>
            <w:hideMark/>
          </w:tcPr>
          <w:p w14:paraId="31CFC3E9"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OFERENTES QUE HAN PARTICIPADO EN LOS PROCESOS DE SELECCIÓN Y CONTRATISTAS</w:t>
            </w:r>
          </w:p>
        </w:tc>
        <w:tc>
          <w:tcPr>
            <w:tcW w:w="4956" w:type="dxa"/>
            <w:vAlign w:val="center"/>
          </w:tcPr>
          <w:p w14:paraId="41B815AF" w14:textId="51FD9D33" w:rsidR="00745FC3" w:rsidRPr="006F5CA6" w:rsidRDefault="009D555A" w:rsidP="00772454">
            <w:pPr>
              <w:jc w:val="both"/>
              <w:rPr>
                <w:rFonts w:ascii="Arial" w:hAnsi="Arial" w:cs="Arial"/>
                <w:sz w:val="16"/>
                <w:szCs w:val="16"/>
                <w:lang w:eastAsia="es-CO"/>
              </w:rPr>
            </w:pPr>
            <w:r w:rsidRPr="009D555A">
              <w:rPr>
                <w:rFonts w:ascii="Arial" w:hAnsi="Arial" w:cs="Arial"/>
                <w:sz w:val="16"/>
                <w:szCs w:val="16"/>
                <w:lang w:eastAsia="es-CO"/>
              </w:rPr>
              <w:t>COOPERATIVA DE TAXIS DE PLATO</w:t>
            </w:r>
          </w:p>
        </w:tc>
      </w:tr>
      <w:tr w:rsidR="00745FC3" w:rsidRPr="006F5CA6" w14:paraId="177EAC13" w14:textId="77777777" w:rsidTr="009D555A">
        <w:trPr>
          <w:trHeight w:val="73"/>
          <w:jc w:val="center"/>
        </w:trPr>
        <w:tc>
          <w:tcPr>
            <w:tcW w:w="2694" w:type="dxa"/>
            <w:shd w:val="clear" w:color="auto" w:fill="auto"/>
            <w:vAlign w:val="center"/>
            <w:hideMark/>
          </w:tcPr>
          <w:p w14:paraId="284FB7F4"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COMPORTAMIENTO DE LOS CONTRATISTAS, IMPOSICIÓN DE SANCIONES</w:t>
            </w:r>
          </w:p>
        </w:tc>
        <w:tc>
          <w:tcPr>
            <w:tcW w:w="4956" w:type="dxa"/>
            <w:vAlign w:val="center"/>
          </w:tcPr>
          <w:p w14:paraId="700AA51C" w14:textId="035737A7"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val="es-CO" w:eastAsia="es-CO"/>
              </w:rPr>
              <w:t>Ejecución normal y adecuada del contrato. No se registraron procesos sancionatorios, ni efectividad de garantías.</w:t>
            </w:r>
          </w:p>
        </w:tc>
      </w:tr>
      <w:tr w:rsidR="00745FC3" w:rsidRPr="006F5CA6" w14:paraId="032B8AF2" w14:textId="77777777" w:rsidTr="009D555A">
        <w:trPr>
          <w:trHeight w:val="73"/>
          <w:jc w:val="center"/>
        </w:trPr>
        <w:tc>
          <w:tcPr>
            <w:tcW w:w="2694" w:type="dxa"/>
            <w:shd w:val="clear" w:color="auto" w:fill="auto"/>
            <w:vAlign w:val="center"/>
            <w:hideMark/>
          </w:tcPr>
          <w:p w14:paraId="5511512F" w14:textId="77777777" w:rsidR="00745FC3" w:rsidRPr="006F5CA6" w:rsidRDefault="00745FC3" w:rsidP="00772454">
            <w:pPr>
              <w:rPr>
                <w:rFonts w:ascii="Arial" w:hAnsi="Arial" w:cs="Arial"/>
                <w:b/>
                <w:bCs/>
                <w:sz w:val="16"/>
                <w:szCs w:val="16"/>
                <w:lang w:val="es-CO" w:eastAsia="es-CO"/>
              </w:rPr>
            </w:pPr>
            <w:r w:rsidRPr="006F5CA6">
              <w:rPr>
                <w:rFonts w:ascii="Arial" w:hAnsi="Arial" w:cs="Arial"/>
                <w:b/>
                <w:bCs/>
                <w:sz w:val="16"/>
                <w:szCs w:val="16"/>
                <w:lang w:val="es-CO" w:eastAsia="es-CO"/>
              </w:rPr>
              <w:t>GARANTÍAS EXIGIDAS EN LOS PROCESO DE CONTRATACIÓN Y SINIESTROS.</w:t>
            </w:r>
          </w:p>
        </w:tc>
        <w:tc>
          <w:tcPr>
            <w:tcW w:w="4956" w:type="dxa"/>
            <w:vAlign w:val="center"/>
          </w:tcPr>
          <w:p w14:paraId="43FEBF56" w14:textId="77777777"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val="es-CO" w:eastAsia="es-CO"/>
              </w:rPr>
              <w:t>Cumplimiento</w:t>
            </w:r>
          </w:p>
          <w:p w14:paraId="1EFF0C87" w14:textId="77777777"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val="es-CO" w:eastAsia="es-CO"/>
              </w:rPr>
              <w:t>Pago de salarios, prestaciones sociales legales e indemnizaciones laborales</w:t>
            </w:r>
          </w:p>
          <w:p w14:paraId="3990590E" w14:textId="77777777" w:rsidR="00745FC3" w:rsidRPr="006F5CA6" w:rsidRDefault="00745FC3" w:rsidP="00772454">
            <w:pPr>
              <w:jc w:val="both"/>
              <w:rPr>
                <w:rFonts w:ascii="Arial" w:hAnsi="Arial" w:cs="Arial"/>
                <w:sz w:val="16"/>
                <w:szCs w:val="16"/>
                <w:lang w:val="es-CO" w:eastAsia="es-CO"/>
              </w:rPr>
            </w:pPr>
            <w:r w:rsidRPr="006F5CA6">
              <w:rPr>
                <w:rFonts w:ascii="Arial" w:hAnsi="Arial" w:cs="Arial"/>
                <w:sz w:val="16"/>
                <w:szCs w:val="16"/>
                <w:lang w:val="es-CO" w:eastAsia="es-CO"/>
              </w:rPr>
              <w:t>Calidad del servicio</w:t>
            </w:r>
          </w:p>
          <w:p w14:paraId="6B663D77" w14:textId="71B548E5" w:rsidR="00745FC3" w:rsidRPr="006F5CA6" w:rsidRDefault="00745FC3" w:rsidP="00772454">
            <w:pPr>
              <w:jc w:val="both"/>
              <w:rPr>
                <w:rFonts w:ascii="Arial" w:hAnsi="Arial" w:cs="Arial"/>
                <w:sz w:val="16"/>
                <w:szCs w:val="16"/>
                <w:lang w:val="es-CO" w:eastAsia="es-CO"/>
              </w:rPr>
            </w:pPr>
            <w:r w:rsidRPr="006F5CA6">
              <w:rPr>
                <w:rFonts w:ascii="Arial" w:hAnsi="Arial" w:cs="Arial"/>
                <w:bCs/>
                <w:sz w:val="16"/>
                <w:szCs w:val="16"/>
                <w:lang w:val="es-CO" w:eastAsia="es-CO"/>
              </w:rPr>
              <w:t>Responsabilidad civil extra contractual</w:t>
            </w:r>
          </w:p>
        </w:tc>
      </w:tr>
    </w:tbl>
    <w:p w14:paraId="34DDD502" w14:textId="77777777" w:rsidR="00D91C7F" w:rsidRPr="006F5CA6" w:rsidRDefault="00D91C7F" w:rsidP="00D91C7F">
      <w:pPr>
        <w:rPr>
          <w:rFonts w:ascii="Arial" w:hAnsi="Arial" w:cs="Arial"/>
          <w:sz w:val="22"/>
          <w:szCs w:val="22"/>
          <w:lang w:val="es-CO" w:eastAsia="es-CO"/>
        </w:rPr>
      </w:pPr>
    </w:p>
    <w:p w14:paraId="6ABF13C3" w14:textId="7619CDD6" w:rsidR="009D555A" w:rsidRDefault="009D555A" w:rsidP="009D555A">
      <w:pPr>
        <w:tabs>
          <w:tab w:val="left" w:pos="-142"/>
        </w:tabs>
        <w:autoSpaceDE w:val="0"/>
        <w:autoSpaceDN w:val="0"/>
        <w:adjustRightInd w:val="0"/>
        <w:ind w:left="142"/>
        <w:jc w:val="both"/>
        <w:rPr>
          <w:rFonts w:ascii="Arial" w:eastAsia="Times New Roman" w:hAnsi="Arial" w:cs="Arial"/>
          <w:sz w:val="22"/>
          <w:szCs w:val="22"/>
          <w:lang w:val="es-CO" w:eastAsia="es-ES" w:bidi="es-ES"/>
        </w:rPr>
      </w:pPr>
      <w:r w:rsidRPr="009D555A">
        <w:rPr>
          <w:rFonts w:ascii="Arial" w:eastAsia="Times New Roman" w:hAnsi="Arial" w:cs="Arial"/>
          <w:sz w:val="22"/>
          <w:szCs w:val="22"/>
          <w:lang w:val="es-CO" w:eastAsia="es-ES" w:bidi="es-ES"/>
        </w:rPr>
        <w:t>Adicionalmente se toma como referencia los datos consignados en la herramienta del Modelo de Abastecimiento Estratégico de CCE3. Este enfoque se presenta de manera detallada a continuación:</w:t>
      </w:r>
    </w:p>
    <w:p w14:paraId="56FA8BFE" w14:textId="64D975D9" w:rsidR="009D555A" w:rsidRDefault="009D555A" w:rsidP="009D555A">
      <w:pPr>
        <w:tabs>
          <w:tab w:val="left" w:pos="-142"/>
        </w:tabs>
        <w:autoSpaceDE w:val="0"/>
        <w:autoSpaceDN w:val="0"/>
        <w:adjustRightInd w:val="0"/>
        <w:ind w:left="142"/>
        <w:jc w:val="both"/>
        <w:rPr>
          <w:rFonts w:ascii="Arial" w:eastAsia="Times New Roman" w:hAnsi="Arial" w:cs="Arial"/>
          <w:sz w:val="22"/>
          <w:szCs w:val="22"/>
          <w:lang w:val="es-CO" w:eastAsia="es-ES" w:bidi="es-ES"/>
        </w:rPr>
      </w:pPr>
    </w:p>
    <w:p w14:paraId="058AF93A" w14:textId="34277F53" w:rsidR="009D555A" w:rsidRDefault="009D555A" w:rsidP="009D555A">
      <w:pPr>
        <w:tabs>
          <w:tab w:val="left" w:pos="-142"/>
        </w:tabs>
        <w:autoSpaceDE w:val="0"/>
        <w:autoSpaceDN w:val="0"/>
        <w:adjustRightInd w:val="0"/>
        <w:ind w:left="142"/>
        <w:jc w:val="both"/>
        <w:rPr>
          <w:rFonts w:ascii="Arial" w:eastAsia="Times New Roman" w:hAnsi="Arial" w:cs="Arial"/>
          <w:sz w:val="22"/>
          <w:szCs w:val="22"/>
          <w:lang w:val="es-CO" w:eastAsia="es-ES" w:bidi="es-ES"/>
        </w:rPr>
      </w:pPr>
      <w:r>
        <w:rPr>
          <w:rFonts w:ascii="Arial" w:eastAsia="Times New Roman" w:hAnsi="Arial" w:cs="Arial"/>
          <w:sz w:val="22"/>
          <w:szCs w:val="22"/>
          <w:lang w:val="es-CO" w:eastAsia="es-ES" w:bidi="es-ES"/>
        </w:rPr>
        <w:lastRenderedPageBreak/>
        <w:t>‘</w:t>
      </w:r>
      <w:r>
        <w:rPr>
          <w:noProof/>
          <w:lang w:val="en-US"/>
        </w:rPr>
        <w:drawing>
          <wp:inline distT="0" distB="0" distL="0" distR="0" wp14:anchorId="07D6703F" wp14:editId="0B721F4D">
            <wp:extent cx="5612130" cy="3671570"/>
            <wp:effectExtent l="0" t="0" r="7620" b="508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12130" cy="3671570"/>
                    </a:xfrm>
                    <a:prstGeom prst="rect">
                      <a:avLst/>
                    </a:prstGeom>
                  </pic:spPr>
                </pic:pic>
              </a:graphicData>
            </a:graphic>
          </wp:inline>
        </w:drawing>
      </w:r>
    </w:p>
    <w:p w14:paraId="6A4C6F63" w14:textId="594B13C4" w:rsidR="009D555A" w:rsidRDefault="009D555A" w:rsidP="009D555A">
      <w:pPr>
        <w:tabs>
          <w:tab w:val="left" w:pos="-142"/>
        </w:tabs>
        <w:autoSpaceDE w:val="0"/>
        <w:autoSpaceDN w:val="0"/>
        <w:adjustRightInd w:val="0"/>
        <w:ind w:left="142"/>
        <w:jc w:val="center"/>
        <w:rPr>
          <w:rFonts w:ascii="Arial" w:eastAsia="Times New Roman" w:hAnsi="Arial" w:cs="Arial"/>
          <w:sz w:val="22"/>
          <w:szCs w:val="22"/>
          <w:lang w:val="es-CO" w:eastAsia="es-ES" w:bidi="es-ES"/>
        </w:rPr>
      </w:pPr>
      <w:r>
        <w:rPr>
          <w:noProof/>
          <w:lang w:val="en-US"/>
        </w:rPr>
        <w:drawing>
          <wp:inline distT="0" distB="0" distL="0" distR="0" wp14:anchorId="483121C5" wp14:editId="1FE96EC4">
            <wp:extent cx="5400675" cy="2714625"/>
            <wp:effectExtent l="0" t="0" r="9525"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400675" cy="2714625"/>
                    </a:xfrm>
                    <a:prstGeom prst="rect">
                      <a:avLst/>
                    </a:prstGeom>
                  </pic:spPr>
                </pic:pic>
              </a:graphicData>
            </a:graphic>
          </wp:inline>
        </w:drawing>
      </w:r>
    </w:p>
    <w:p w14:paraId="304239BE" w14:textId="11957452" w:rsidR="009D555A" w:rsidRDefault="009D555A" w:rsidP="009D555A">
      <w:pPr>
        <w:tabs>
          <w:tab w:val="left" w:pos="-142"/>
        </w:tabs>
        <w:autoSpaceDE w:val="0"/>
        <w:autoSpaceDN w:val="0"/>
        <w:adjustRightInd w:val="0"/>
        <w:ind w:left="142"/>
        <w:jc w:val="center"/>
        <w:rPr>
          <w:rFonts w:ascii="Arial" w:eastAsia="Times New Roman" w:hAnsi="Arial" w:cs="Arial"/>
          <w:sz w:val="22"/>
          <w:szCs w:val="22"/>
          <w:lang w:val="es-CO" w:eastAsia="es-ES" w:bidi="es-ES"/>
        </w:rPr>
      </w:pPr>
    </w:p>
    <w:p w14:paraId="2D9C37F8" w14:textId="7BE50CEE" w:rsidR="009D555A" w:rsidRPr="009D555A" w:rsidRDefault="009D555A" w:rsidP="009D555A">
      <w:pPr>
        <w:tabs>
          <w:tab w:val="left" w:pos="-142"/>
        </w:tabs>
        <w:autoSpaceDE w:val="0"/>
        <w:autoSpaceDN w:val="0"/>
        <w:adjustRightInd w:val="0"/>
        <w:ind w:left="142"/>
        <w:jc w:val="center"/>
        <w:rPr>
          <w:rFonts w:ascii="Arial" w:eastAsia="Times New Roman" w:hAnsi="Arial" w:cs="Arial"/>
          <w:sz w:val="22"/>
          <w:szCs w:val="22"/>
          <w:lang w:val="es-CO" w:eastAsia="es-ES" w:bidi="es-ES"/>
        </w:rPr>
      </w:pPr>
      <w:r>
        <w:rPr>
          <w:noProof/>
          <w:lang w:val="en-US"/>
        </w:rPr>
        <w:lastRenderedPageBreak/>
        <w:drawing>
          <wp:inline distT="0" distB="0" distL="0" distR="0" wp14:anchorId="1D2DF6EE" wp14:editId="0766D4AB">
            <wp:extent cx="4791075" cy="1943100"/>
            <wp:effectExtent l="0" t="0" r="952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91075" cy="1943100"/>
                    </a:xfrm>
                    <a:prstGeom prst="rect">
                      <a:avLst/>
                    </a:prstGeom>
                  </pic:spPr>
                </pic:pic>
              </a:graphicData>
            </a:graphic>
          </wp:inline>
        </w:drawing>
      </w:r>
    </w:p>
    <w:p w14:paraId="22231CB7" w14:textId="77777777" w:rsidR="009D555A" w:rsidRDefault="009D555A" w:rsidP="009D555A">
      <w:pPr>
        <w:tabs>
          <w:tab w:val="left" w:pos="-142"/>
        </w:tabs>
        <w:autoSpaceDE w:val="0"/>
        <w:autoSpaceDN w:val="0"/>
        <w:adjustRightInd w:val="0"/>
        <w:ind w:left="-993"/>
        <w:jc w:val="both"/>
        <w:rPr>
          <w:rFonts w:ascii="Arial" w:eastAsia="Times New Roman" w:hAnsi="Arial" w:cs="Arial"/>
          <w:sz w:val="22"/>
          <w:szCs w:val="22"/>
          <w:lang w:eastAsia="es-ES" w:bidi="es-ES"/>
        </w:rPr>
      </w:pPr>
    </w:p>
    <w:p w14:paraId="0BF92907" w14:textId="78E27C0C" w:rsidR="009D555A" w:rsidRPr="0002484E" w:rsidRDefault="009D555A" w:rsidP="0002484E">
      <w:pPr>
        <w:tabs>
          <w:tab w:val="left" w:pos="-142"/>
        </w:tabs>
        <w:autoSpaceDE w:val="0"/>
        <w:autoSpaceDN w:val="0"/>
        <w:adjustRightInd w:val="0"/>
        <w:ind w:left="-284"/>
        <w:jc w:val="both"/>
        <w:rPr>
          <w:rFonts w:ascii="Arial" w:eastAsia="Times New Roman" w:hAnsi="Arial" w:cs="Arial"/>
          <w:sz w:val="22"/>
          <w:szCs w:val="22"/>
          <w:lang w:eastAsia="es-ES" w:bidi="es-ES"/>
        </w:rPr>
      </w:pPr>
      <w:r w:rsidRPr="009D555A">
        <w:rPr>
          <w:rFonts w:ascii="Arial" w:eastAsia="Times New Roman" w:hAnsi="Arial" w:cs="Arial"/>
          <w:sz w:val="22"/>
          <w:szCs w:val="22"/>
          <w:lang w:eastAsia="es-ES" w:bidi="es-ES"/>
        </w:rPr>
        <w:t>Durante las vigencias anteriores, la entidad ha realizado procesos de contratación clasificados en el segmento 70 (Servicios de transporte, Almacenaje y Correo) del Clasificador de Bienes y Servici</w:t>
      </w:r>
      <w:r>
        <w:rPr>
          <w:rFonts w:ascii="Arial" w:eastAsia="Times New Roman" w:hAnsi="Arial" w:cs="Arial"/>
          <w:sz w:val="22"/>
          <w:szCs w:val="22"/>
          <w:lang w:eastAsia="es-ES" w:bidi="es-ES"/>
        </w:rPr>
        <w:t xml:space="preserve">os de Colombia Compra Eficiente a través de las modalidades de Selección Abreviada de Menor Cuantía y Licitación Publica </w:t>
      </w:r>
    </w:p>
    <w:p w14:paraId="638EF52F" w14:textId="77777777" w:rsidR="009D555A" w:rsidRPr="006F5CA6" w:rsidRDefault="009D555A" w:rsidP="00D91C7F">
      <w:pPr>
        <w:tabs>
          <w:tab w:val="left" w:pos="-142"/>
        </w:tabs>
        <w:autoSpaceDE w:val="0"/>
        <w:autoSpaceDN w:val="0"/>
        <w:adjustRightInd w:val="0"/>
        <w:ind w:left="-993"/>
        <w:jc w:val="both"/>
        <w:rPr>
          <w:rFonts w:ascii="Arial" w:eastAsia="Times New Roman" w:hAnsi="Arial" w:cs="Arial"/>
          <w:sz w:val="22"/>
          <w:szCs w:val="22"/>
          <w:lang w:val="es-CO" w:eastAsia="es-ES"/>
        </w:rPr>
      </w:pPr>
    </w:p>
    <w:p w14:paraId="14B5C5F7" w14:textId="3CA29402" w:rsidR="00D91C7F" w:rsidRPr="006F5CA6" w:rsidRDefault="00D91C7F" w:rsidP="00F810FE">
      <w:pPr>
        <w:pStyle w:val="Prrafodelista"/>
        <w:numPr>
          <w:ilvl w:val="0"/>
          <w:numId w:val="9"/>
        </w:numPr>
        <w:rPr>
          <w:rFonts w:ascii="Arial" w:hAnsi="Arial" w:cs="Arial"/>
          <w:b/>
          <w:sz w:val="22"/>
          <w:szCs w:val="22"/>
          <w:lang w:eastAsia="es-CO"/>
        </w:rPr>
      </w:pPr>
      <w:r w:rsidRPr="006F5CA6">
        <w:rPr>
          <w:rFonts w:ascii="Arial" w:hAnsi="Arial" w:cs="Arial"/>
          <w:b/>
          <w:sz w:val="22"/>
          <w:szCs w:val="22"/>
          <w:lang w:eastAsia="es-CO"/>
        </w:rPr>
        <w:t>Histórico de compras o adquisiciones de otras Entidades Estatales y otros consumidores del bien o servicio a nivel nacional:</w:t>
      </w:r>
    </w:p>
    <w:p w14:paraId="50F34FFE" w14:textId="44FBE021" w:rsidR="009D555A" w:rsidRDefault="009D555A" w:rsidP="0002484E">
      <w:pPr>
        <w:rPr>
          <w:rFonts w:ascii="Arial" w:hAnsi="Arial" w:cs="Arial"/>
          <w:b/>
          <w:sz w:val="22"/>
          <w:szCs w:val="22"/>
          <w:lang w:val="es-CO" w:eastAsia="es-CO"/>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4956"/>
      </w:tblGrid>
      <w:tr w:rsidR="0002484E" w:rsidRPr="006F5CA6" w14:paraId="2143DB2F" w14:textId="77777777" w:rsidTr="006E6E94">
        <w:trPr>
          <w:trHeight w:val="230"/>
          <w:jc w:val="center"/>
        </w:trPr>
        <w:tc>
          <w:tcPr>
            <w:tcW w:w="2694" w:type="dxa"/>
            <w:shd w:val="clear" w:color="auto" w:fill="auto"/>
            <w:vAlign w:val="center"/>
            <w:hideMark/>
          </w:tcPr>
          <w:p w14:paraId="52445D0F"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ENTIDAD</w:t>
            </w:r>
          </w:p>
        </w:tc>
        <w:tc>
          <w:tcPr>
            <w:tcW w:w="4956" w:type="dxa"/>
            <w:vAlign w:val="center"/>
          </w:tcPr>
          <w:p w14:paraId="078324B6" w14:textId="77777777" w:rsidR="0002484E" w:rsidRPr="0002484E" w:rsidRDefault="0002484E" w:rsidP="0002484E">
            <w:pPr>
              <w:rPr>
                <w:rFonts w:ascii="Arial" w:hAnsi="Arial" w:cs="Arial"/>
                <w:b/>
                <w:bCs/>
                <w:sz w:val="16"/>
                <w:szCs w:val="16"/>
                <w:lang w:val="en-US" w:eastAsia="es-CO"/>
              </w:rPr>
            </w:pPr>
            <w:r w:rsidRPr="0002484E">
              <w:rPr>
                <w:rFonts w:ascii="Arial" w:hAnsi="Arial" w:cs="Arial"/>
                <w:b/>
                <w:bCs/>
                <w:sz w:val="16"/>
                <w:szCs w:val="16"/>
                <w:lang w:val="en-US" w:eastAsia="es-CO"/>
              </w:rPr>
              <w:t>BOLÍVAR - ALCALDÍA MUNICIPIO DE TIQUISIO</w:t>
            </w:r>
          </w:p>
          <w:p w14:paraId="23B2E690" w14:textId="2BFF9851" w:rsidR="0002484E" w:rsidRPr="006F5CA6" w:rsidRDefault="0002484E" w:rsidP="006E6E94">
            <w:pPr>
              <w:rPr>
                <w:rFonts w:ascii="Arial" w:hAnsi="Arial" w:cs="Arial"/>
                <w:b/>
                <w:bCs/>
                <w:sz w:val="16"/>
                <w:szCs w:val="16"/>
                <w:lang w:val="es-CO" w:eastAsia="es-CO"/>
              </w:rPr>
            </w:pPr>
          </w:p>
        </w:tc>
      </w:tr>
      <w:tr w:rsidR="0002484E" w:rsidRPr="006F5CA6" w14:paraId="167AC726" w14:textId="77777777" w:rsidTr="006E6E94">
        <w:trPr>
          <w:trHeight w:val="73"/>
          <w:jc w:val="center"/>
        </w:trPr>
        <w:tc>
          <w:tcPr>
            <w:tcW w:w="2694" w:type="dxa"/>
            <w:shd w:val="clear" w:color="auto" w:fill="auto"/>
            <w:vAlign w:val="center"/>
            <w:hideMark/>
          </w:tcPr>
          <w:p w14:paraId="433C6EBE"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MODALIDAD DE SELECCIÓN DEL CONTRATISTA</w:t>
            </w:r>
          </w:p>
        </w:tc>
        <w:tc>
          <w:tcPr>
            <w:tcW w:w="4956" w:type="dxa"/>
            <w:vAlign w:val="center"/>
          </w:tcPr>
          <w:p w14:paraId="0071529B" w14:textId="77777777" w:rsidR="0002484E" w:rsidRPr="006F5CA6" w:rsidRDefault="0002484E" w:rsidP="006E6E94">
            <w:pPr>
              <w:rPr>
                <w:rFonts w:ascii="Arial" w:hAnsi="Arial" w:cs="Arial"/>
                <w:sz w:val="16"/>
                <w:szCs w:val="16"/>
                <w:lang w:eastAsia="es-CO"/>
              </w:rPr>
            </w:pPr>
            <w:r w:rsidRPr="00745FC3">
              <w:rPr>
                <w:rFonts w:ascii="Arial" w:hAnsi="Arial" w:cs="Arial"/>
                <w:sz w:val="16"/>
                <w:szCs w:val="16"/>
                <w:lang w:eastAsia="es-CO"/>
              </w:rPr>
              <w:t>Licitación Pública</w:t>
            </w:r>
          </w:p>
        </w:tc>
      </w:tr>
      <w:tr w:rsidR="0002484E" w:rsidRPr="006F5CA6" w14:paraId="7E1C9DAA" w14:textId="77777777" w:rsidTr="006E6E94">
        <w:trPr>
          <w:trHeight w:val="896"/>
          <w:jc w:val="center"/>
        </w:trPr>
        <w:tc>
          <w:tcPr>
            <w:tcW w:w="2694" w:type="dxa"/>
            <w:shd w:val="clear" w:color="auto" w:fill="auto"/>
            <w:vAlign w:val="center"/>
            <w:hideMark/>
          </w:tcPr>
          <w:p w14:paraId="7F36B12D"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OBJETO DEL CONTRATO</w:t>
            </w:r>
          </w:p>
        </w:tc>
        <w:tc>
          <w:tcPr>
            <w:tcW w:w="4956" w:type="dxa"/>
            <w:vAlign w:val="center"/>
          </w:tcPr>
          <w:p w14:paraId="32A85048" w14:textId="7E873ABD" w:rsidR="0002484E" w:rsidRPr="006F5CA6" w:rsidRDefault="0002484E" w:rsidP="006E6E94">
            <w:pPr>
              <w:jc w:val="both"/>
              <w:rPr>
                <w:rFonts w:ascii="Arial" w:hAnsi="Arial" w:cs="Arial"/>
                <w:sz w:val="16"/>
                <w:szCs w:val="16"/>
                <w:lang w:val="es-CO" w:eastAsia="es-CO"/>
              </w:rPr>
            </w:pPr>
            <w:r w:rsidRPr="0002484E">
              <w:rPr>
                <w:rFonts w:ascii="Arial" w:hAnsi="Arial" w:cs="Arial"/>
                <w:sz w:val="16"/>
                <w:szCs w:val="16"/>
                <w:lang w:val="es-CO" w:eastAsia="es-CO"/>
              </w:rPr>
              <w:t>PRESTACIÓN DE SERVICIO DE TRANSPORTE ESCOLAR, PARA LOS ESTUDIANTES DE LAS INSTITUCIONES EDUCATIVAS OFICIALES DEL MUNICIPIO DE TIQUISIO BOLÍVAR, DURANTE EL AÑO LECTIVO 2022</w:t>
            </w:r>
          </w:p>
        </w:tc>
      </w:tr>
      <w:tr w:rsidR="0002484E" w:rsidRPr="006F5CA6" w14:paraId="31B39B28" w14:textId="77777777" w:rsidTr="006E6E94">
        <w:trPr>
          <w:trHeight w:val="104"/>
          <w:jc w:val="center"/>
        </w:trPr>
        <w:tc>
          <w:tcPr>
            <w:tcW w:w="2694" w:type="dxa"/>
            <w:shd w:val="clear" w:color="auto" w:fill="auto"/>
            <w:vAlign w:val="center"/>
            <w:hideMark/>
          </w:tcPr>
          <w:p w14:paraId="2AD975D9"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CANTIDAD DEL BIEN O SERVICIO: Ver detalles en link del proceso</w:t>
            </w:r>
          </w:p>
        </w:tc>
        <w:tc>
          <w:tcPr>
            <w:tcW w:w="4956" w:type="dxa"/>
            <w:vAlign w:val="center"/>
          </w:tcPr>
          <w:p w14:paraId="738ADFAB" w14:textId="78F3F7A6" w:rsidR="0002484E" w:rsidRPr="006F5CA6" w:rsidRDefault="0002484E" w:rsidP="0002484E">
            <w:pPr>
              <w:rPr>
                <w:rFonts w:ascii="Arial" w:hAnsi="Arial" w:cs="Arial"/>
                <w:sz w:val="16"/>
                <w:szCs w:val="16"/>
                <w:lang w:val="es-CO" w:eastAsia="es-CO"/>
              </w:rPr>
            </w:pPr>
            <w:r w:rsidRPr="0002484E">
              <w:rPr>
                <w:rFonts w:ascii="Arial" w:hAnsi="Arial" w:cs="Arial"/>
                <w:sz w:val="16"/>
                <w:szCs w:val="16"/>
                <w:lang w:val="es-CO" w:eastAsia="es-CO"/>
              </w:rPr>
              <w:t>https://www.contratos.gov.co/consultas/detalleProceso.do?numConstancia=22-1-223752</w:t>
            </w:r>
          </w:p>
        </w:tc>
      </w:tr>
      <w:tr w:rsidR="0002484E" w:rsidRPr="006F5CA6" w14:paraId="1CBFF1E7" w14:textId="77777777" w:rsidTr="006E6E94">
        <w:trPr>
          <w:trHeight w:val="309"/>
          <w:jc w:val="center"/>
        </w:trPr>
        <w:tc>
          <w:tcPr>
            <w:tcW w:w="2694" w:type="dxa"/>
            <w:shd w:val="clear" w:color="auto" w:fill="auto"/>
            <w:vAlign w:val="center"/>
            <w:hideMark/>
          </w:tcPr>
          <w:p w14:paraId="52542712"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LAS AUTORIZACIONES, PERMISOS Y LICENCIAS REQUERIDAS PARA SU EJECUCIÓN</w:t>
            </w:r>
          </w:p>
        </w:tc>
        <w:tc>
          <w:tcPr>
            <w:tcW w:w="4956" w:type="dxa"/>
            <w:vAlign w:val="center"/>
          </w:tcPr>
          <w:p w14:paraId="016BB9B4" w14:textId="77777777" w:rsidR="0002484E" w:rsidRPr="006F5CA6" w:rsidRDefault="0002484E" w:rsidP="006E6E94">
            <w:pPr>
              <w:rPr>
                <w:rFonts w:ascii="Arial" w:hAnsi="Arial" w:cs="Arial"/>
                <w:sz w:val="16"/>
                <w:szCs w:val="16"/>
                <w:lang w:val="es-CO" w:eastAsia="es-CO"/>
              </w:rPr>
            </w:pPr>
            <w:r w:rsidRPr="006F5CA6">
              <w:rPr>
                <w:rFonts w:ascii="Arial" w:hAnsi="Arial" w:cs="Arial"/>
                <w:sz w:val="16"/>
                <w:szCs w:val="16"/>
                <w:lang w:val="es-CO" w:eastAsia="es-CO"/>
              </w:rPr>
              <w:t>N/A</w:t>
            </w:r>
          </w:p>
        </w:tc>
      </w:tr>
      <w:tr w:rsidR="0002484E" w:rsidRPr="006F5CA6" w14:paraId="7F343B27" w14:textId="77777777" w:rsidTr="006E6E94">
        <w:trPr>
          <w:trHeight w:val="135"/>
          <w:jc w:val="center"/>
        </w:trPr>
        <w:tc>
          <w:tcPr>
            <w:tcW w:w="2694" w:type="dxa"/>
            <w:shd w:val="clear" w:color="auto" w:fill="auto"/>
            <w:vAlign w:val="center"/>
            <w:hideMark/>
          </w:tcPr>
          <w:p w14:paraId="0AAFF7A6"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VALOR DE LOS CONTRATOS Y FORMA Y CONDICIONES DE PAGO</w:t>
            </w:r>
          </w:p>
        </w:tc>
        <w:tc>
          <w:tcPr>
            <w:tcW w:w="4956" w:type="dxa"/>
            <w:vAlign w:val="center"/>
          </w:tcPr>
          <w:p w14:paraId="1BBC5A49" w14:textId="048C367D" w:rsidR="0002484E" w:rsidRPr="006F5CA6" w:rsidRDefault="0002484E" w:rsidP="006E6E94">
            <w:pPr>
              <w:jc w:val="both"/>
              <w:rPr>
                <w:rFonts w:ascii="Arial" w:hAnsi="Arial" w:cs="Arial"/>
                <w:sz w:val="16"/>
                <w:szCs w:val="16"/>
                <w:lang w:eastAsia="es-CO"/>
              </w:rPr>
            </w:pPr>
            <w:r w:rsidRPr="006F5CA6">
              <w:rPr>
                <w:rFonts w:ascii="Arial" w:hAnsi="Arial" w:cs="Arial"/>
                <w:sz w:val="16"/>
                <w:szCs w:val="16"/>
                <w:lang w:val="es-CO" w:eastAsia="es-CO"/>
              </w:rPr>
              <w:t xml:space="preserve">Valor: $ </w:t>
            </w:r>
            <w:r w:rsidRPr="0002484E">
              <w:rPr>
                <w:rFonts w:ascii="Arial" w:hAnsi="Arial" w:cs="Arial"/>
                <w:sz w:val="16"/>
                <w:szCs w:val="16"/>
                <w:lang w:eastAsia="es-CO"/>
              </w:rPr>
              <w:t>709.937.320</w:t>
            </w:r>
          </w:p>
          <w:p w14:paraId="23E05C7B" w14:textId="77777777" w:rsidR="0002484E" w:rsidRPr="006F5CA6" w:rsidRDefault="0002484E" w:rsidP="006E6E94">
            <w:pPr>
              <w:jc w:val="both"/>
              <w:rPr>
                <w:rFonts w:ascii="Arial" w:hAnsi="Arial" w:cs="Arial"/>
                <w:sz w:val="16"/>
                <w:szCs w:val="16"/>
                <w:lang w:val="es-CO" w:eastAsia="es-CO"/>
              </w:rPr>
            </w:pPr>
          </w:p>
          <w:p w14:paraId="71488E1F"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val="es-CO" w:eastAsia="es-CO"/>
              </w:rPr>
              <w:t xml:space="preserve">Forma de pago: pagos parciales previa prestación del servicio </w:t>
            </w:r>
          </w:p>
          <w:p w14:paraId="07811CA3" w14:textId="77777777" w:rsidR="0002484E" w:rsidRPr="006F5CA6" w:rsidRDefault="0002484E" w:rsidP="006E6E94">
            <w:pPr>
              <w:jc w:val="both"/>
              <w:rPr>
                <w:rFonts w:ascii="Arial" w:hAnsi="Arial" w:cs="Arial"/>
                <w:sz w:val="16"/>
                <w:szCs w:val="16"/>
                <w:lang w:val="es-CO" w:eastAsia="es-CO"/>
              </w:rPr>
            </w:pPr>
          </w:p>
        </w:tc>
      </w:tr>
      <w:tr w:rsidR="0002484E" w:rsidRPr="006F5CA6" w14:paraId="7C7D45DA" w14:textId="77777777" w:rsidTr="006E6E94">
        <w:trPr>
          <w:trHeight w:val="813"/>
          <w:jc w:val="center"/>
        </w:trPr>
        <w:tc>
          <w:tcPr>
            <w:tcW w:w="2694" w:type="dxa"/>
            <w:shd w:val="clear" w:color="auto" w:fill="auto"/>
            <w:vAlign w:val="center"/>
            <w:hideMark/>
          </w:tcPr>
          <w:p w14:paraId="11CE523D"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NÚMERO DE CONTRATOS SUSCRITOS PARA EL EFECTO Y VIGENCIA DE LOS MISMOS.</w:t>
            </w:r>
          </w:p>
        </w:tc>
        <w:tc>
          <w:tcPr>
            <w:tcW w:w="4956" w:type="dxa"/>
            <w:vAlign w:val="center"/>
          </w:tcPr>
          <w:p w14:paraId="3335A66F"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val="es-CO" w:eastAsia="es-CO"/>
              </w:rPr>
              <w:t>Número de contratos suscritos: un contrato, no registra adiciones.</w:t>
            </w:r>
          </w:p>
          <w:p w14:paraId="2C3EB39D" w14:textId="28239722" w:rsidR="0002484E" w:rsidRPr="006F5CA6" w:rsidRDefault="0002484E" w:rsidP="00D62FB5">
            <w:pPr>
              <w:jc w:val="both"/>
              <w:rPr>
                <w:rFonts w:ascii="Arial" w:hAnsi="Arial" w:cs="Arial"/>
                <w:sz w:val="16"/>
                <w:szCs w:val="16"/>
                <w:lang w:val="es-CO" w:eastAsia="es-CO"/>
              </w:rPr>
            </w:pPr>
            <w:r w:rsidRPr="006F5CA6">
              <w:rPr>
                <w:rFonts w:ascii="Arial" w:hAnsi="Arial" w:cs="Arial"/>
                <w:sz w:val="16"/>
                <w:szCs w:val="16"/>
                <w:lang w:val="es-CO" w:eastAsia="es-CO"/>
              </w:rPr>
              <w:t>Vigencia: plazo</w:t>
            </w:r>
            <w:r>
              <w:rPr>
                <w:rFonts w:ascii="Arial" w:hAnsi="Arial" w:cs="Arial"/>
                <w:sz w:val="16"/>
                <w:szCs w:val="16"/>
                <w:lang w:val="es-CO" w:eastAsia="es-CO"/>
              </w:rPr>
              <w:t xml:space="preserve"> </w:t>
            </w:r>
            <w:r w:rsidR="00D62FB5">
              <w:rPr>
                <w:rFonts w:ascii="Arial" w:hAnsi="Arial" w:cs="Arial"/>
                <w:sz w:val="16"/>
                <w:szCs w:val="16"/>
                <w:lang w:val="es-CO" w:eastAsia="es-CO"/>
              </w:rPr>
              <w:t>26 semanas kectivas</w:t>
            </w:r>
            <w:r w:rsidRPr="006F5CA6">
              <w:rPr>
                <w:rFonts w:ascii="Arial" w:hAnsi="Arial" w:cs="Arial"/>
                <w:sz w:val="16"/>
                <w:szCs w:val="16"/>
                <w:lang w:val="es-CO" w:eastAsia="es-CO"/>
              </w:rPr>
              <w:t xml:space="preserve">, más el término legalmente previsto para su liquidación. </w:t>
            </w:r>
          </w:p>
        </w:tc>
      </w:tr>
      <w:tr w:rsidR="0002484E" w:rsidRPr="006F5CA6" w14:paraId="62462AFE" w14:textId="77777777" w:rsidTr="006E6E94">
        <w:trPr>
          <w:trHeight w:val="671"/>
          <w:jc w:val="center"/>
        </w:trPr>
        <w:tc>
          <w:tcPr>
            <w:tcW w:w="2694" w:type="dxa"/>
            <w:shd w:val="clear" w:color="auto" w:fill="auto"/>
            <w:vAlign w:val="center"/>
            <w:hideMark/>
          </w:tcPr>
          <w:p w14:paraId="6CEDC8C2"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PRESUPUESTO CON CARGO AL CUAL FUERON EJECUTADOS LOS CONTRATOS (INVERSIÓN O FUNCIONAMIENTO) Y SI HUBO LUGAR A VIGENCIAS FUTURAS</w:t>
            </w:r>
          </w:p>
        </w:tc>
        <w:tc>
          <w:tcPr>
            <w:tcW w:w="4956" w:type="dxa"/>
            <w:vAlign w:val="center"/>
          </w:tcPr>
          <w:p w14:paraId="793BB162" w14:textId="77777777" w:rsidR="0002484E" w:rsidRPr="006F5CA6" w:rsidRDefault="0002484E" w:rsidP="006E6E94">
            <w:pPr>
              <w:jc w:val="both"/>
              <w:rPr>
                <w:rFonts w:ascii="Arial" w:hAnsi="Arial" w:cs="Arial"/>
                <w:sz w:val="16"/>
                <w:szCs w:val="16"/>
                <w:lang w:val="es-CO" w:eastAsia="es-CO"/>
              </w:rPr>
            </w:pPr>
          </w:p>
          <w:p w14:paraId="02110700"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eastAsia="es-CO"/>
              </w:rPr>
              <w:t>Inversión</w:t>
            </w:r>
          </w:p>
        </w:tc>
      </w:tr>
      <w:tr w:rsidR="0002484E" w:rsidRPr="006F5CA6" w14:paraId="02DAC791" w14:textId="77777777" w:rsidTr="006E6E94">
        <w:trPr>
          <w:trHeight w:val="1096"/>
          <w:jc w:val="center"/>
        </w:trPr>
        <w:tc>
          <w:tcPr>
            <w:tcW w:w="2694" w:type="dxa"/>
            <w:shd w:val="clear" w:color="auto" w:fill="auto"/>
            <w:vAlign w:val="center"/>
            <w:hideMark/>
          </w:tcPr>
          <w:p w14:paraId="38EC419F"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OFERENTES QUE HAN PARTICIPADO EN LOS PROCESOS DE SELECCIÓN Y CONTRATISTAS</w:t>
            </w:r>
          </w:p>
        </w:tc>
        <w:tc>
          <w:tcPr>
            <w:tcW w:w="4956" w:type="dxa"/>
            <w:vAlign w:val="center"/>
          </w:tcPr>
          <w:p w14:paraId="5A9E3818" w14:textId="7893AEF5" w:rsidR="0002484E" w:rsidRPr="006F5CA6" w:rsidRDefault="0002484E" w:rsidP="006E6E94">
            <w:pPr>
              <w:jc w:val="both"/>
              <w:rPr>
                <w:rFonts w:ascii="Arial" w:hAnsi="Arial" w:cs="Arial"/>
                <w:sz w:val="16"/>
                <w:szCs w:val="16"/>
                <w:lang w:eastAsia="es-CO"/>
              </w:rPr>
            </w:pPr>
            <w:r w:rsidRPr="0002484E">
              <w:rPr>
                <w:rFonts w:ascii="Arial" w:hAnsi="Arial" w:cs="Arial"/>
                <w:sz w:val="16"/>
                <w:szCs w:val="16"/>
                <w:lang w:eastAsia="es-CO"/>
              </w:rPr>
              <w:t>COOPERATIVA MULTIACTIVA DE TRANSPORTE TERRESTRE FLUVIAL Y AGROPECUARIO DEL DEPARTAMENTO DE SUCRE</w:t>
            </w:r>
          </w:p>
        </w:tc>
      </w:tr>
      <w:tr w:rsidR="0002484E" w:rsidRPr="006F5CA6" w14:paraId="76A37748" w14:textId="77777777" w:rsidTr="006E6E94">
        <w:trPr>
          <w:trHeight w:val="73"/>
          <w:jc w:val="center"/>
        </w:trPr>
        <w:tc>
          <w:tcPr>
            <w:tcW w:w="2694" w:type="dxa"/>
            <w:shd w:val="clear" w:color="auto" w:fill="auto"/>
            <w:vAlign w:val="center"/>
            <w:hideMark/>
          </w:tcPr>
          <w:p w14:paraId="1E26A6CC"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lastRenderedPageBreak/>
              <w:t>COMPORTAMIENTO DE LOS CONTRATISTAS, IMPOSICIÓN DE SANCIONES</w:t>
            </w:r>
          </w:p>
        </w:tc>
        <w:tc>
          <w:tcPr>
            <w:tcW w:w="4956" w:type="dxa"/>
            <w:vAlign w:val="center"/>
          </w:tcPr>
          <w:p w14:paraId="4BD99E87"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val="es-CO" w:eastAsia="es-CO"/>
              </w:rPr>
              <w:t>Ejecución normal y adecuada del contrato. No se registraron procesos sancionatorios, ni efectividad de garantías.</w:t>
            </w:r>
          </w:p>
        </w:tc>
      </w:tr>
      <w:tr w:rsidR="0002484E" w:rsidRPr="006F5CA6" w14:paraId="01B59FD9" w14:textId="77777777" w:rsidTr="006E6E94">
        <w:trPr>
          <w:trHeight w:val="73"/>
          <w:jc w:val="center"/>
        </w:trPr>
        <w:tc>
          <w:tcPr>
            <w:tcW w:w="2694" w:type="dxa"/>
            <w:shd w:val="clear" w:color="auto" w:fill="auto"/>
            <w:vAlign w:val="center"/>
            <w:hideMark/>
          </w:tcPr>
          <w:p w14:paraId="782407FA" w14:textId="77777777" w:rsidR="0002484E" w:rsidRPr="006F5CA6" w:rsidRDefault="0002484E" w:rsidP="006E6E94">
            <w:pPr>
              <w:rPr>
                <w:rFonts w:ascii="Arial" w:hAnsi="Arial" w:cs="Arial"/>
                <w:b/>
                <w:bCs/>
                <w:sz w:val="16"/>
                <w:szCs w:val="16"/>
                <w:lang w:val="es-CO" w:eastAsia="es-CO"/>
              </w:rPr>
            </w:pPr>
            <w:r w:rsidRPr="006F5CA6">
              <w:rPr>
                <w:rFonts w:ascii="Arial" w:hAnsi="Arial" w:cs="Arial"/>
                <w:b/>
                <w:bCs/>
                <w:sz w:val="16"/>
                <w:szCs w:val="16"/>
                <w:lang w:val="es-CO" w:eastAsia="es-CO"/>
              </w:rPr>
              <w:t>GARANTÍAS EXIGIDAS EN LOS PROCESO DE CONTRATACIÓN Y SINIESTROS.</w:t>
            </w:r>
          </w:p>
        </w:tc>
        <w:tc>
          <w:tcPr>
            <w:tcW w:w="4956" w:type="dxa"/>
            <w:vAlign w:val="center"/>
          </w:tcPr>
          <w:p w14:paraId="195307B8"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val="es-CO" w:eastAsia="es-CO"/>
              </w:rPr>
              <w:t>Cumplimiento</w:t>
            </w:r>
          </w:p>
          <w:p w14:paraId="215BE81A"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val="es-CO" w:eastAsia="es-CO"/>
              </w:rPr>
              <w:t>Pago de salarios, prestaciones sociales legales e indemnizaciones laborales</w:t>
            </w:r>
          </w:p>
          <w:p w14:paraId="5DE3E125"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sz w:val="16"/>
                <w:szCs w:val="16"/>
                <w:lang w:val="es-CO" w:eastAsia="es-CO"/>
              </w:rPr>
              <w:t>Calidad del servicio</w:t>
            </w:r>
          </w:p>
          <w:p w14:paraId="0A412F06" w14:textId="77777777" w:rsidR="0002484E" w:rsidRPr="006F5CA6" w:rsidRDefault="0002484E" w:rsidP="006E6E94">
            <w:pPr>
              <w:jc w:val="both"/>
              <w:rPr>
                <w:rFonts w:ascii="Arial" w:hAnsi="Arial" w:cs="Arial"/>
                <w:sz w:val="16"/>
                <w:szCs w:val="16"/>
                <w:lang w:val="es-CO" w:eastAsia="es-CO"/>
              </w:rPr>
            </w:pPr>
            <w:r w:rsidRPr="006F5CA6">
              <w:rPr>
                <w:rFonts w:ascii="Arial" w:hAnsi="Arial" w:cs="Arial"/>
                <w:bCs/>
                <w:sz w:val="16"/>
                <w:szCs w:val="16"/>
                <w:lang w:val="es-CO" w:eastAsia="es-CO"/>
              </w:rPr>
              <w:t>Responsabilidad civil extra contractual</w:t>
            </w:r>
          </w:p>
        </w:tc>
      </w:tr>
    </w:tbl>
    <w:p w14:paraId="0DD2278F" w14:textId="77777777" w:rsidR="0002484E" w:rsidRDefault="0002484E" w:rsidP="0002484E">
      <w:pPr>
        <w:rPr>
          <w:rFonts w:ascii="Arial" w:hAnsi="Arial" w:cs="Arial"/>
          <w:b/>
          <w:sz w:val="22"/>
          <w:szCs w:val="22"/>
          <w:lang w:eastAsia="es-CO"/>
        </w:rPr>
      </w:pPr>
    </w:p>
    <w:p w14:paraId="1898B845" w14:textId="37E8494B" w:rsidR="009D555A" w:rsidRDefault="009D555A" w:rsidP="00D91C7F">
      <w:pPr>
        <w:ind w:left="360"/>
        <w:rPr>
          <w:rFonts w:ascii="Arial" w:hAnsi="Arial" w:cs="Arial"/>
          <w:b/>
          <w:sz w:val="22"/>
          <w:szCs w:val="22"/>
          <w:lang w:eastAsia="es-CO"/>
        </w:rPr>
      </w:pPr>
    </w:p>
    <w:tbl>
      <w:tblPr>
        <w:tblW w:w="7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94"/>
        <w:gridCol w:w="4956"/>
      </w:tblGrid>
      <w:tr w:rsidR="00D62FB5" w:rsidRPr="006F5CA6" w14:paraId="655C0EB8" w14:textId="77777777" w:rsidTr="006E6E94">
        <w:trPr>
          <w:trHeight w:val="230"/>
          <w:jc w:val="center"/>
        </w:trPr>
        <w:tc>
          <w:tcPr>
            <w:tcW w:w="2694" w:type="dxa"/>
            <w:shd w:val="clear" w:color="auto" w:fill="auto"/>
            <w:vAlign w:val="center"/>
            <w:hideMark/>
          </w:tcPr>
          <w:p w14:paraId="59003B1D"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ENTIDAD</w:t>
            </w:r>
          </w:p>
        </w:tc>
        <w:tc>
          <w:tcPr>
            <w:tcW w:w="4956" w:type="dxa"/>
            <w:vAlign w:val="center"/>
          </w:tcPr>
          <w:p w14:paraId="4685664E" w14:textId="77777777" w:rsidR="00D62FB5" w:rsidRPr="00D62FB5" w:rsidRDefault="00D62FB5" w:rsidP="00D62FB5">
            <w:pPr>
              <w:rPr>
                <w:rFonts w:ascii="Arial" w:hAnsi="Arial" w:cs="Arial"/>
                <w:b/>
                <w:bCs/>
                <w:sz w:val="16"/>
                <w:szCs w:val="16"/>
                <w:lang w:val="es-ES" w:eastAsia="es-CO"/>
              </w:rPr>
            </w:pPr>
            <w:r w:rsidRPr="00D62FB5">
              <w:rPr>
                <w:rFonts w:ascii="Arial" w:hAnsi="Arial" w:cs="Arial"/>
                <w:b/>
                <w:bCs/>
                <w:sz w:val="16"/>
                <w:szCs w:val="16"/>
                <w:lang w:val="es-ES" w:eastAsia="es-CO"/>
              </w:rPr>
              <w:t>BOLÍVAR - ALCALDÍA MUNICIPIO DE SANTA CATALINA</w:t>
            </w:r>
          </w:p>
          <w:p w14:paraId="124111FF" w14:textId="77777777" w:rsidR="00D62FB5" w:rsidRPr="00D62FB5" w:rsidRDefault="00D62FB5" w:rsidP="006E6E94">
            <w:pPr>
              <w:rPr>
                <w:rFonts w:ascii="Arial" w:hAnsi="Arial" w:cs="Arial"/>
                <w:b/>
                <w:bCs/>
                <w:sz w:val="16"/>
                <w:szCs w:val="16"/>
                <w:lang w:val="es-ES" w:eastAsia="es-CO"/>
              </w:rPr>
            </w:pPr>
          </w:p>
        </w:tc>
      </w:tr>
      <w:tr w:rsidR="00D62FB5" w:rsidRPr="006F5CA6" w14:paraId="3A8C4075" w14:textId="77777777" w:rsidTr="006E6E94">
        <w:trPr>
          <w:trHeight w:val="73"/>
          <w:jc w:val="center"/>
        </w:trPr>
        <w:tc>
          <w:tcPr>
            <w:tcW w:w="2694" w:type="dxa"/>
            <w:shd w:val="clear" w:color="auto" w:fill="auto"/>
            <w:vAlign w:val="center"/>
            <w:hideMark/>
          </w:tcPr>
          <w:p w14:paraId="17AD93B2"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MODALIDAD DE SELECCIÓN DEL CONTRATISTA</w:t>
            </w:r>
          </w:p>
        </w:tc>
        <w:tc>
          <w:tcPr>
            <w:tcW w:w="4956" w:type="dxa"/>
            <w:vAlign w:val="center"/>
          </w:tcPr>
          <w:p w14:paraId="7907C7E3" w14:textId="6F3FF5D4" w:rsidR="00D62FB5" w:rsidRPr="00D62FB5" w:rsidRDefault="00D62FB5" w:rsidP="006E6E94">
            <w:pPr>
              <w:rPr>
                <w:rFonts w:ascii="Arial" w:hAnsi="Arial" w:cs="Arial"/>
                <w:sz w:val="16"/>
                <w:szCs w:val="16"/>
                <w:lang w:val="es-ES" w:eastAsia="es-CO"/>
              </w:rPr>
            </w:pPr>
            <w:r w:rsidRPr="00D62FB5">
              <w:rPr>
                <w:rFonts w:ascii="Arial" w:hAnsi="Arial" w:cs="Arial"/>
                <w:sz w:val="16"/>
                <w:szCs w:val="16"/>
                <w:lang w:eastAsia="es-CO"/>
              </w:rPr>
              <w:t>Selección Abreviada de Menor Cuantía</w:t>
            </w:r>
          </w:p>
        </w:tc>
      </w:tr>
      <w:tr w:rsidR="00D62FB5" w:rsidRPr="006F5CA6" w14:paraId="2995C8C8" w14:textId="77777777" w:rsidTr="006E6E94">
        <w:trPr>
          <w:trHeight w:val="896"/>
          <w:jc w:val="center"/>
        </w:trPr>
        <w:tc>
          <w:tcPr>
            <w:tcW w:w="2694" w:type="dxa"/>
            <w:shd w:val="clear" w:color="auto" w:fill="auto"/>
            <w:vAlign w:val="center"/>
            <w:hideMark/>
          </w:tcPr>
          <w:p w14:paraId="31919F0C"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OBJETO DEL CONTRATO</w:t>
            </w:r>
          </w:p>
        </w:tc>
        <w:tc>
          <w:tcPr>
            <w:tcW w:w="4956" w:type="dxa"/>
            <w:vAlign w:val="center"/>
          </w:tcPr>
          <w:p w14:paraId="3A8F6155" w14:textId="0F086D76" w:rsidR="00D62FB5" w:rsidRPr="006F5CA6" w:rsidRDefault="00D62FB5" w:rsidP="006E6E94">
            <w:pPr>
              <w:jc w:val="both"/>
              <w:rPr>
                <w:rFonts w:ascii="Arial" w:hAnsi="Arial" w:cs="Arial"/>
                <w:sz w:val="16"/>
                <w:szCs w:val="16"/>
                <w:lang w:val="es-CO" w:eastAsia="es-CO"/>
              </w:rPr>
            </w:pPr>
            <w:r w:rsidRPr="00D62FB5">
              <w:rPr>
                <w:rFonts w:ascii="Arial" w:hAnsi="Arial" w:cs="Arial"/>
                <w:sz w:val="16"/>
                <w:szCs w:val="16"/>
                <w:lang w:val="es-CO" w:eastAsia="es-CO"/>
              </w:rPr>
              <w:t>SERVICIO DE TRANSPORTE ESCOLAR DE LAS INSTITUCIONES EDUCATIVAS OFICIALES DEL MUNICIPIO DE SANTA CATALINA – BOLÍVAR PARA GARANTIZAR EL CUBRIMIENTO DE LAS RUTAS ESCOLARES Y FACILITAR LA PERMANENCIA EN EL SISTEMA EDUCATIVO PARA LA VIGENCIA 2023</w:t>
            </w:r>
          </w:p>
        </w:tc>
      </w:tr>
      <w:tr w:rsidR="00D62FB5" w:rsidRPr="006F5CA6" w14:paraId="72A460AA" w14:textId="77777777" w:rsidTr="006E6E94">
        <w:trPr>
          <w:trHeight w:val="104"/>
          <w:jc w:val="center"/>
        </w:trPr>
        <w:tc>
          <w:tcPr>
            <w:tcW w:w="2694" w:type="dxa"/>
            <w:shd w:val="clear" w:color="auto" w:fill="auto"/>
            <w:vAlign w:val="center"/>
            <w:hideMark/>
          </w:tcPr>
          <w:p w14:paraId="72445E65"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CANTIDAD DEL BIEN O SERVICIO: Ver detalles en link del proceso</w:t>
            </w:r>
          </w:p>
        </w:tc>
        <w:tc>
          <w:tcPr>
            <w:tcW w:w="4956" w:type="dxa"/>
            <w:vAlign w:val="center"/>
          </w:tcPr>
          <w:p w14:paraId="43E63C4E" w14:textId="59EC8971" w:rsidR="00D62FB5" w:rsidRPr="006F5CA6" w:rsidRDefault="00D62FB5" w:rsidP="00D62FB5">
            <w:pPr>
              <w:rPr>
                <w:rFonts w:ascii="Arial" w:hAnsi="Arial" w:cs="Arial"/>
                <w:sz w:val="16"/>
                <w:szCs w:val="16"/>
                <w:lang w:val="es-CO" w:eastAsia="es-CO"/>
              </w:rPr>
            </w:pPr>
            <w:r w:rsidRPr="00D62FB5">
              <w:rPr>
                <w:rFonts w:ascii="Arial" w:hAnsi="Arial" w:cs="Arial"/>
                <w:sz w:val="16"/>
                <w:szCs w:val="16"/>
                <w:lang w:val="es-CO" w:eastAsia="es-CO"/>
              </w:rPr>
              <w:t>https://www.contratos.gov.co/consultas/detalleProceso.do?numConstancia=23-11-13748699</w:t>
            </w:r>
          </w:p>
        </w:tc>
      </w:tr>
      <w:tr w:rsidR="00D62FB5" w:rsidRPr="006F5CA6" w14:paraId="678EAE9B" w14:textId="77777777" w:rsidTr="006E6E94">
        <w:trPr>
          <w:trHeight w:val="309"/>
          <w:jc w:val="center"/>
        </w:trPr>
        <w:tc>
          <w:tcPr>
            <w:tcW w:w="2694" w:type="dxa"/>
            <w:shd w:val="clear" w:color="auto" w:fill="auto"/>
            <w:vAlign w:val="center"/>
            <w:hideMark/>
          </w:tcPr>
          <w:p w14:paraId="271D3BEA"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LAS AUTORIZACIONES, PERMISOS Y LICENCIAS REQUERIDAS PARA SU EJECUCIÓN</w:t>
            </w:r>
          </w:p>
        </w:tc>
        <w:tc>
          <w:tcPr>
            <w:tcW w:w="4956" w:type="dxa"/>
            <w:vAlign w:val="center"/>
          </w:tcPr>
          <w:p w14:paraId="2790580D" w14:textId="77777777" w:rsidR="00D62FB5" w:rsidRPr="006F5CA6" w:rsidRDefault="00D62FB5" w:rsidP="006E6E94">
            <w:pPr>
              <w:rPr>
                <w:rFonts w:ascii="Arial" w:hAnsi="Arial" w:cs="Arial"/>
                <w:sz w:val="16"/>
                <w:szCs w:val="16"/>
                <w:lang w:val="es-CO" w:eastAsia="es-CO"/>
              </w:rPr>
            </w:pPr>
            <w:r w:rsidRPr="006F5CA6">
              <w:rPr>
                <w:rFonts w:ascii="Arial" w:hAnsi="Arial" w:cs="Arial"/>
                <w:sz w:val="16"/>
                <w:szCs w:val="16"/>
                <w:lang w:val="es-CO" w:eastAsia="es-CO"/>
              </w:rPr>
              <w:t>N/A</w:t>
            </w:r>
          </w:p>
        </w:tc>
      </w:tr>
      <w:tr w:rsidR="00D62FB5" w:rsidRPr="006F5CA6" w14:paraId="48894D0D" w14:textId="77777777" w:rsidTr="006E6E94">
        <w:trPr>
          <w:trHeight w:val="135"/>
          <w:jc w:val="center"/>
        </w:trPr>
        <w:tc>
          <w:tcPr>
            <w:tcW w:w="2694" w:type="dxa"/>
            <w:shd w:val="clear" w:color="auto" w:fill="auto"/>
            <w:vAlign w:val="center"/>
            <w:hideMark/>
          </w:tcPr>
          <w:p w14:paraId="67CD5FE0"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VALOR DE LOS CONTRATOS Y FORMA Y CONDICIONES DE PAGO</w:t>
            </w:r>
          </w:p>
        </w:tc>
        <w:tc>
          <w:tcPr>
            <w:tcW w:w="4956" w:type="dxa"/>
            <w:vAlign w:val="center"/>
          </w:tcPr>
          <w:p w14:paraId="4CE3FFF9" w14:textId="593D5872" w:rsidR="00D62FB5" w:rsidRPr="006F5CA6" w:rsidRDefault="00D62FB5" w:rsidP="006E6E94">
            <w:pPr>
              <w:jc w:val="both"/>
              <w:rPr>
                <w:rFonts w:ascii="Arial" w:hAnsi="Arial" w:cs="Arial"/>
                <w:sz w:val="16"/>
                <w:szCs w:val="16"/>
                <w:lang w:eastAsia="es-CO"/>
              </w:rPr>
            </w:pPr>
            <w:r w:rsidRPr="006F5CA6">
              <w:rPr>
                <w:rFonts w:ascii="Arial" w:hAnsi="Arial" w:cs="Arial"/>
                <w:sz w:val="16"/>
                <w:szCs w:val="16"/>
                <w:lang w:val="es-CO" w:eastAsia="es-CO"/>
              </w:rPr>
              <w:t xml:space="preserve">Valor: $ </w:t>
            </w:r>
            <w:r>
              <w:rPr>
                <w:rFonts w:ascii="Arial" w:hAnsi="Arial" w:cs="Arial"/>
                <w:sz w:val="16"/>
                <w:szCs w:val="16"/>
                <w:lang w:eastAsia="es-CO"/>
              </w:rPr>
              <w:t>156.750.</w:t>
            </w:r>
            <w:r w:rsidRPr="00D62FB5">
              <w:rPr>
                <w:rFonts w:ascii="Arial" w:hAnsi="Arial" w:cs="Arial"/>
                <w:sz w:val="16"/>
                <w:szCs w:val="16"/>
                <w:lang w:eastAsia="es-CO"/>
              </w:rPr>
              <w:t>000</w:t>
            </w:r>
          </w:p>
          <w:p w14:paraId="61DFC700" w14:textId="77777777" w:rsidR="00D62FB5" w:rsidRPr="006F5CA6" w:rsidRDefault="00D62FB5" w:rsidP="006E6E94">
            <w:pPr>
              <w:jc w:val="both"/>
              <w:rPr>
                <w:rFonts w:ascii="Arial" w:hAnsi="Arial" w:cs="Arial"/>
                <w:sz w:val="16"/>
                <w:szCs w:val="16"/>
                <w:lang w:val="es-CO" w:eastAsia="es-CO"/>
              </w:rPr>
            </w:pPr>
          </w:p>
          <w:p w14:paraId="60E23925"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 xml:space="preserve">Forma de pago: pagos parciales previa prestación del servicio </w:t>
            </w:r>
          </w:p>
          <w:p w14:paraId="61B71ABA" w14:textId="77777777" w:rsidR="00D62FB5" w:rsidRPr="006F5CA6" w:rsidRDefault="00D62FB5" w:rsidP="006E6E94">
            <w:pPr>
              <w:jc w:val="both"/>
              <w:rPr>
                <w:rFonts w:ascii="Arial" w:hAnsi="Arial" w:cs="Arial"/>
                <w:sz w:val="16"/>
                <w:szCs w:val="16"/>
                <w:lang w:val="es-CO" w:eastAsia="es-CO"/>
              </w:rPr>
            </w:pPr>
          </w:p>
        </w:tc>
      </w:tr>
      <w:tr w:rsidR="00D62FB5" w:rsidRPr="006F5CA6" w14:paraId="2281BB1A" w14:textId="77777777" w:rsidTr="006E6E94">
        <w:trPr>
          <w:trHeight w:val="813"/>
          <w:jc w:val="center"/>
        </w:trPr>
        <w:tc>
          <w:tcPr>
            <w:tcW w:w="2694" w:type="dxa"/>
            <w:shd w:val="clear" w:color="auto" w:fill="auto"/>
            <w:vAlign w:val="center"/>
            <w:hideMark/>
          </w:tcPr>
          <w:p w14:paraId="565DD2BF"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NÚMERO DE CONTRATOS SUSCRITOS PARA EL EFECTO Y VIGENCIA DE LOS MISMOS.</w:t>
            </w:r>
          </w:p>
        </w:tc>
        <w:tc>
          <w:tcPr>
            <w:tcW w:w="4956" w:type="dxa"/>
            <w:vAlign w:val="center"/>
          </w:tcPr>
          <w:p w14:paraId="686AE039"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Número de contratos suscritos: un contrato, no registra adiciones.</w:t>
            </w:r>
          </w:p>
          <w:p w14:paraId="6728C7B1"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Vigencia: plazo</w:t>
            </w:r>
            <w:r>
              <w:rPr>
                <w:rFonts w:ascii="Arial" w:hAnsi="Arial" w:cs="Arial"/>
                <w:sz w:val="16"/>
                <w:szCs w:val="16"/>
                <w:lang w:val="es-CO" w:eastAsia="es-CO"/>
              </w:rPr>
              <w:t xml:space="preserve"> 26 semanas kectivas</w:t>
            </w:r>
            <w:r w:rsidRPr="006F5CA6">
              <w:rPr>
                <w:rFonts w:ascii="Arial" w:hAnsi="Arial" w:cs="Arial"/>
                <w:sz w:val="16"/>
                <w:szCs w:val="16"/>
                <w:lang w:val="es-CO" w:eastAsia="es-CO"/>
              </w:rPr>
              <w:t xml:space="preserve">, más el término legalmente previsto para su liquidación. </w:t>
            </w:r>
          </w:p>
        </w:tc>
      </w:tr>
      <w:tr w:rsidR="00D62FB5" w:rsidRPr="006F5CA6" w14:paraId="525FB4AF" w14:textId="77777777" w:rsidTr="006E6E94">
        <w:trPr>
          <w:trHeight w:val="671"/>
          <w:jc w:val="center"/>
        </w:trPr>
        <w:tc>
          <w:tcPr>
            <w:tcW w:w="2694" w:type="dxa"/>
            <w:shd w:val="clear" w:color="auto" w:fill="auto"/>
            <w:vAlign w:val="center"/>
            <w:hideMark/>
          </w:tcPr>
          <w:p w14:paraId="65F39A34"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PRESUPUESTO CON CARGO AL CUAL FUERON EJECUTADOS LOS CONTRATOS (INVERSIÓN O FUNCIONAMIENTO) Y SI HUBO LUGAR A VIGENCIAS FUTURAS</w:t>
            </w:r>
          </w:p>
        </w:tc>
        <w:tc>
          <w:tcPr>
            <w:tcW w:w="4956" w:type="dxa"/>
            <w:vAlign w:val="center"/>
          </w:tcPr>
          <w:p w14:paraId="4D6F9ADA" w14:textId="77777777" w:rsidR="00D62FB5" w:rsidRPr="006F5CA6" w:rsidRDefault="00D62FB5" w:rsidP="006E6E94">
            <w:pPr>
              <w:jc w:val="both"/>
              <w:rPr>
                <w:rFonts w:ascii="Arial" w:hAnsi="Arial" w:cs="Arial"/>
                <w:sz w:val="16"/>
                <w:szCs w:val="16"/>
                <w:lang w:val="es-CO" w:eastAsia="es-CO"/>
              </w:rPr>
            </w:pPr>
          </w:p>
          <w:p w14:paraId="4D946E7E"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eastAsia="es-CO"/>
              </w:rPr>
              <w:t>Inversión</w:t>
            </w:r>
          </w:p>
        </w:tc>
      </w:tr>
      <w:tr w:rsidR="00D62FB5" w:rsidRPr="006F5CA6" w14:paraId="7C6E33FA" w14:textId="77777777" w:rsidTr="006E6E94">
        <w:trPr>
          <w:trHeight w:val="1096"/>
          <w:jc w:val="center"/>
        </w:trPr>
        <w:tc>
          <w:tcPr>
            <w:tcW w:w="2694" w:type="dxa"/>
            <w:shd w:val="clear" w:color="auto" w:fill="auto"/>
            <w:vAlign w:val="center"/>
            <w:hideMark/>
          </w:tcPr>
          <w:p w14:paraId="3CA38068"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OFERENTES QUE HAN PARTICIPADO EN LOS PROCESOS DE SELECCIÓN Y CONTRATISTAS</w:t>
            </w:r>
          </w:p>
        </w:tc>
        <w:tc>
          <w:tcPr>
            <w:tcW w:w="4956" w:type="dxa"/>
            <w:vAlign w:val="center"/>
          </w:tcPr>
          <w:p w14:paraId="6781DFA9" w14:textId="7937FEEF" w:rsidR="00D62FB5" w:rsidRPr="006F5CA6" w:rsidRDefault="00D62FB5" w:rsidP="006E6E94">
            <w:pPr>
              <w:jc w:val="both"/>
              <w:rPr>
                <w:rFonts w:ascii="Arial" w:hAnsi="Arial" w:cs="Arial"/>
                <w:sz w:val="16"/>
                <w:szCs w:val="16"/>
                <w:lang w:eastAsia="es-CO"/>
              </w:rPr>
            </w:pPr>
            <w:r w:rsidRPr="00D62FB5">
              <w:rPr>
                <w:rFonts w:ascii="Arial" w:hAnsi="Arial" w:cs="Arial"/>
                <w:sz w:val="16"/>
                <w:szCs w:val="16"/>
                <w:lang w:eastAsia="es-CO"/>
              </w:rPr>
              <w:t>TRANSPORTES KEMUEL S.A.S.</w:t>
            </w:r>
          </w:p>
        </w:tc>
      </w:tr>
      <w:tr w:rsidR="00D62FB5" w:rsidRPr="006F5CA6" w14:paraId="105EB6EA" w14:textId="77777777" w:rsidTr="006E6E94">
        <w:trPr>
          <w:trHeight w:val="73"/>
          <w:jc w:val="center"/>
        </w:trPr>
        <w:tc>
          <w:tcPr>
            <w:tcW w:w="2694" w:type="dxa"/>
            <w:shd w:val="clear" w:color="auto" w:fill="auto"/>
            <w:vAlign w:val="center"/>
            <w:hideMark/>
          </w:tcPr>
          <w:p w14:paraId="2ACCF901"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COMPORTAMIENTO DE LOS CONTRATISTAS, IMPOSICIÓN DE SANCIONES</w:t>
            </w:r>
          </w:p>
        </w:tc>
        <w:tc>
          <w:tcPr>
            <w:tcW w:w="4956" w:type="dxa"/>
            <w:vAlign w:val="center"/>
          </w:tcPr>
          <w:p w14:paraId="14796685"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Ejecución normal y adecuada del contrato. No se registraron procesos sancionatorios, ni efectividad de garantías.</w:t>
            </w:r>
          </w:p>
        </w:tc>
      </w:tr>
      <w:tr w:rsidR="00D62FB5" w:rsidRPr="006F5CA6" w14:paraId="791171D1" w14:textId="77777777" w:rsidTr="006E6E94">
        <w:trPr>
          <w:trHeight w:val="73"/>
          <w:jc w:val="center"/>
        </w:trPr>
        <w:tc>
          <w:tcPr>
            <w:tcW w:w="2694" w:type="dxa"/>
            <w:shd w:val="clear" w:color="auto" w:fill="auto"/>
            <w:vAlign w:val="center"/>
            <w:hideMark/>
          </w:tcPr>
          <w:p w14:paraId="1C9BE422" w14:textId="77777777" w:rsidR="00D62FB5" w:rsidRPr="006F5CA6" w:rsidRDefault="00D62FB5" w:rsidP="006E6E94">
            <w:pPr>
              <w:rPr>
                <w:rFonts w:ascii="Arial" w:hAnsi="Arial" w:cs="Arial"/>
                <w:b/>
                <w:bCs/>
                <w:sz w:val="16"/>
                <w:szCs w:val="16"/>
                <w:lang w:val="es-CO" w:eastAsia="es-CO"/>
              </w:rPr>
            </w:pPr>
            <w:r w:rsidRPr="006F5CA6">
              <w:rPr>
                <w:rFonts w:ascii="Arial" w:hAnsi="Arial" w:cs="Arial"/>
                <w:b/>
                <w:bCs/>
                <w:sz w:val="16"/>
                <w:szCs w:val="16"/>
                <w:lang w:val="es-CO" w:eastAsia="es-CO"/>
              </w:rPr>
              <w:t>GARANTÍAS EXIGIDAS EN LOS PROCESO DE CONTRATACIÓN Y SINIESTROS.</w:t>
            </w:r>
          </w:p>
        </w:tc>
        <w:tc>
          <w:tcPr>
            <w:tcW w:w="4956" w:type="dxa"/>
            <w:vAlign w:val="center"/>
          </w:tcPr>
          <w:p w14:paraId="238BBDE0"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Cumplimiento</w:t>
            </w:r>
          </w:p>
          <w:p w14:paraId="430005D4"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Pago de salarios, prestaciones sociales legales e indemnizaciones laborales</w:t>
            </w:r>
          </w:p>
          <w:p w14:paraId="72EC6C7B"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sz w:val="16"/>
                <w:szCs w:val="16"/>
                <w:lang w:val="es-CO" w:eastAsia="es-CO"/>
              </w:rPr>
              <w:t>Calidad del servicio</w:t>
            </w:r>
          </w:p>
          <w:p w14:paraId="730A9C0C" w14:textId="77777777" w:rsidR="00D62FB5" w:rsidRPr="006F5CA6" w:rsidRDefault="00D62FB5" w:rsidP="006E6E94">
            <w:pPr>
              <w:jc w:val="both"/>
              <w:rPr>
                <w:rFonts w:ascii="Arial" w:hAnsi="Arial" w:cs="Arial"/>
                <w:sz w:val="16"/>
                <w:szCs w:val="16"/>
                <w:lang w:val="es-CO" w:eastAsia="es-CO"/>
              </w:rPr>
            </w:pPr>
            <w:r w:rsidRPr="006F5CA6">
              <w:rPr>
                <w:rFonts w:ascii="Arial" w:hAnsi="Arial" w:cs="Arial"/>
                <w:bCs/>
                <w:sz w:val="16"/>
                <w:szCs w:val="16"/>
                <w:lang w:val="es-CO" w:eastAsia="es-CO"/>
              </w:rPr>
              <w:t>Responsabilidad civil extra contractual</w:t>
            </w:r>
          </w:p>
        </w:tc>
      </w:tr>
    </w:tbl>
    <w:p w14:paraId="655095DD" w14:textId="77777777" w:rsidR="009D555A" w:rsidRPr="006F5CA6" w:rsidRDefault="009D555A" w:rsidP="00D91C7F">
      <w:pPr>
        <w:ind w:left="360"/>
        <w:rPr>
          <w:rFonts w:ascii="Arial" w:hAnsi="Arial" w:cs="Arial"/>
          <w:b/>
          <w:sz w:val="22"/>
          <w:szCs w:val="22"/>
          <w:lang w:eastAsia="es-CO"/>
        </w:rPr>
        <w:sectPr w:rsidR="009D555A" w:rsidRPr="006F5CA6" w:rsidSect="0019430D">
          <w:type w:val="continuous"/>
          <w:pgSz w:w="12240" w:h="15840"/>
          <w:pgMar w:top="2308" w:right="1701" w:bottom="1418" w:left="1701" w:header="567" w:footer="301" w:gutter="0"/>
          <w:cols w:space="708"/>
          <w:docGrid w:linePitch="360"/>
        </w:sectPr>
      </w:pPr>
    </w:p>
    <w:p w14:paraId="74F80516" w14:textId="6AE17F74" w:rsidR="00E8145F" w:rsidRPr="006F5CA6" w:rsidRDefault="00EC7B34" w:rsidP="00EC7B34">
      <w:pPr>
        <w:pStyle w:val="Ttulo1"/>
        <w:spacing w:before="0"/>
        <w:ind w:left="360" w:hanging="270"/>
        <w:rPr>
          <w:rFonts w:cs="Arial"/>
          <w:sz w:val="22"/>
          <w:szCs w:val="22"/>
        </w:rPr>
      </w:pPr>
      <w:bookmarkStart w:id="3" w:name="_Toc441217095"/>
      <w:r w:rsidRPr="006F5CA6">
        <w:rPr>
          <w:rFonts w:cs="Arial"/>
          <w:sz w:val="22"/>
          <w:szCs w:val="22"/>
        </w:rPr>
        <w:t>ESTUDIO DE LA OFERTA.</w:t>
      </w:r>
      <w:bookmarkEnd w:id="3"/>
    </w:p>
    <w:p w14:paraId="69E81B2B" w14:textId="77777777" w:rsidR="00E8145F" w:rsidRPr="006F5CA6" w:rsidRDefault="00E8145F" w:rsidP="00793EA5">
      <w:pPr>
        <w:rPr>
          <w:rFonts w:ascii="Arial" w:hAnsi="Arial" w:cs="Arial"/>
          <w:sz w:val="22"/>
          <w:szCs w:val="22"/>
          <w:lang w:val="es-CO" w:eastAsia="es-CO"/>
        </w:rPr>
      </w:pPr>
    </w:p>
    <w:p w14:paraId="1983C879" w14:textId="77777777" w:rsidR="006865CD" w:rsidRPr="006F5CA6" w:rsidRDefault="006865CD" w:rsidP="006865CD">
      <w:pPr>
        <w:jc w:val="both"/>
        <w:rPr>
          <w:rFonts w:ascii="Arial" w:hAnsi="Arial" w:cs="Arial"/>
          <w:sz w:val="22"/>
          <w:szCs w:val="22"/>
          <w:lang w:val="es-CO" w:eastAsia="es-CO" w:bidi="es-ES"/>
        </w:rPr>
      </w:pPr>
      <w:r w:rsidRPr="006F5CA6">
        <w:rPr>
          <w:rFonts w:ascii="Arial" w:hAnsi="Arial" w:cs="Arial"/>
          <w:sz w:val="22"/>
          <w:szCs w:val="22"/>
          <w:lang w:val="es-CO" w:eastAsia="es-CO" w:bidi="es-ES"/>
        </w:rPr>
        <w:t>De acuerdo con el análisis de la demanda por parte de la entidad, y de las entidades analizadas a nivel departamental, podrían indicarse como posibles oferentes las siguientes personas naturales o jurídicas:</w:t>
      </w:r>
    </w:p>
    <w:p w14:paraId="36DC8BA2" w14:textId="16F47BA2" w:rsidR="006F32EB" w:rsidRPr="006F5CA6" w:rsidRDefault="006F32EB" w:rsidP="00793EA5">
      <w:pPr>
        <w:jc w:val="both"/>
        <w:rPr>
          <w:rFonts w:ascii="Arial" w:hAnsi="Arial" w:cs="Arial"/>
          <w:sz w:val="22"/>
          <w:szCs w:val="22"/>
          <w:lang w:val="es-CO" w:eastAsia="es-CO"/>
        </w:rPr>
      </w:pPr>
    </w:p>
    <w:p w14:paraId="1D02AF45" w14:textId="77777777" w:rsidR="00D62FB5" w:rsidRPr="00D62FB5" w:rsidRDefault="00D62FB5" w:rsidP="00D62FB5">
      <w:pPr>
        <w:jc w:val="both"/>
        <w:rPr>
          <w:rFonts w:ascii="Arial" w:hAnsi="Arial" w:cs="Arial"/>
          <w:sz w:val="22"/>
          <w:szCs w:val="22"/>
          <w:lang w:val="es-ES" w:eastAsia="es-CO"/>
        </w:rPr>
      </w:pPr>
      <w:r w:rsidRPr="00D62FB5">
        <w:rPr>
          <w:rFonts w:ascii="Arial" w:hAnsi="Arial" w:cs="Arial"/>
          <w:sz w:val="22"/>
          <w:szCs w:val="22"/>
          <w:lang w:val="es-ES" w:eastAsia="es-CO"/>
        </w:rPr>
        <w:lastRenderedPageBreak/>
        <w:t>COOPERATIVA DE TAXIS DE PLATO</w:t>
      </w:r>
    </w:p>
    <w:p w14:paraId="0B0AAB42" w14:textId="77777777" w:rsidR="00D62FB5" w:rsidRPr="00D62FB5" w:rsidRDefault="00D62FB5" w:rsidP="00D62FB5">
      <w:pPr>
        <w:jc w:val="both"/>
        <w:rPr>
          <w:rFonts w:ascii="Arial" w:hAnsi="Arial" w:cs="Arial"/>
          <w:sz w:val="22"/>
          <w:szCs w:val="22"/>
          <w:lang w:val="es-ES" w:eastAsia="es-CO"/>
        </w:rPr>
      </w:pPr>
      <w:r w:rsidRPr="00D62FB5">
        <w:rPr>
          <w:rFonts w:ascii="Arial" w:hAnsi="Arial" w:cs="Arial"/>
          <w:sz w:val="22"/>
          <w:szCs w:val="22"/>
          <w:lang w:val="es-ES" w:eastAsia="es-CO"/>
        </w:rPr>
        <w:t>COOPERATIVA MULTIACTIVA DE TRANSPORTE TERRESTRE FLUVIAL Y AGROPECUARIO DEL DEPARTAMENTO DE SUCRE</w:t>
      </w:r>
    </w:p>
    <w:p w14:paraId="198CEF1A" w14:textId="3358B781" w:rsidR="00E62851" w:rsidRPr="00D62FB5" w:rsidRDefault="00D62FB5" w:rsidP="00D62FB5">
      <w:pPr>
        <w:jc w:val="both"/>
        <w:rPr>
          <w:rFonts w:ascii="Arial" w:hAnsi="Arial" w:cs="Arial"/>
          <w:sz w:val="22"/>
          <w:szCs w:val="22"/>
          <w:lang w:eastAsia="es-CO"/>
        </w:rPr>
      </w:pPr>
      <w:r w:rsidRPr="00D62FB5">
        <w:rPr>
          <w:rFonts w:ascii="Arial" w:hAnsi="Arial" w:cs="Arial"/>
          <w:sz w:val="22"/>
          <w:szCs w:val="22"/>
          <w:lang w:val="es-ES" w:eastAsia="es-CO"/>
        </w:rPr>
        <w:t>TRANSPORTES KEMUEL S.A.S.</w:t>
      </w:r>
    </w:p>
    <w:p w14:paraId="5358149D" w14:textId="77777777" w:rsidR="00E62851" w:rsidRPr="006F5CA6" w:rsidRDefault="00E62851" w:rsidP="00793EA5">
      <w:pPr>
        <w:jc w:val="both"/>
        <w:rPr>
          <w:rFonts w:ascii="Arial" w:hAnsi="Arial" w:cs="Arial"/>
          <w:sz w:val="22"/>
          <w:szCs w:val="22"/>
          <w:lang w:val="es-CO" w:eastAsia="es-CO"/>
        </w:rPr>
      </w:pPr>
      <w:r w:rsidRPr="006F5CA6">
        <w:rPr>
          <w:rFonts w:ascii="Arial" w:hAnsi="Arial" w:cs="Arial"/>
          <w:sz w:val="22"/>
          <w:szCs w:val="22"/>
          <w:lang w:val="es-CO" w:eastAsia="es-CO"/>
        </w:rPr>
        <w:t>Se debe resaltar que:</w:t>
      </w:r>
    </w:p>
    <w:p w14:paraId="751BAA6A" w14:textId="77777777" w:rsidR="00E62851" w:rsidRPr="006F5CA6" w:rsidRDefault="00E62851" w:rsidP="00793EA5">
      <w:pPr>
        <w:jc w:val="both"/>
        <w:rPr>
          <w:rFonts w:ascii="Arial" w:hAnsi="Arial" w:cs="Arial"/>
          <w:sz w:val="22"/>
          <w:szCs w:val="22"/>
          <w:lang w:val="es-CO" w:eastAsia="es-CO"/>
        </w:rPr>
      </w:pPr>
    </w:p>
    <w:p w14:paraId="4165AD7A" w14:textId="77777777" w:rsidR="00E62851" w:rsidRPr="006F5CA6" w:rsidRDefault="00E62851" w:rsidP="00F810FE">
      <w:pPr>
        <w:pStyle w:val="Prrafodelista"/>
        <w:numPr>
          <w:ilvl w:val="0"/>
          <w:numId w:val="10"/>
        </w:numPr>
        <w:rPr>
          <w:rFonts w:ascii="Arial" w:hAnsi="Arial" w:cs="Arial"/>
          <w:sz w:val="22"/>
          <w:szCs w:val="22"/>
          <w:lang w:eastAsia="es-CO"/>
        </w:rPr>
      </w:pPr>
      <w:r w:rsidRPr="006F5CA6">
        <w:rPr>
          <w:rFonts w:ascii="Arial" w:hAnsi="Arial" w:cs="Arial"/>
          <w:sz w:val="22"/>
          <w:szCs w:val="22"/>
          <w:lang w:eastAsia="es-CO"/>
        </w:rPr>
        <w:t xml:space="preserve">Todas estas empresas, personas naturales, </w:t>
      </w:r>
      <w:r w:rsidR="006F32EB" w:rsidRPr="006F5CA6">
        <w:rPr>
          <w:rFonts w:ascii="Arial" w:hAnsi="Arial" w:cs="Arial"/>
          <w:sz w:val="22"/>
          <w:szCs w:val="22"/>
          <w:lang w:eastAsia="es-CO"/>
        </w:rPr>
        <w:t>cuentan</w:t>
      </w:r>
      <w:r w:rsidRPr="006F5CA6">
        <w:rPr>
          <w:rFonts w:ascii="Arial" w:hAnsi="Arial" w:cs="Arial"/>
          <w:sz w:val="22"/>
          <w:szCs w:val="22"/>
          <w:lang w:eastAsia="es-CO"/>
        </w:rPr>
        <w:t xml:space="preserve"> con experiencia, capacidad financiera y jurídica suficiente; por lo cual las sitúan, sin perjuicio de las exigencias de la entidad dentro del proceso de selección, entre los posibles oferentes que eventualmente podrían tener la idoneidad para ejecutar el objeto del contrato.</w:t>
      </w:r>
    </w:p>
    <w:p w14:paraId="74BCFCA8" w14:textId="77777777" w:rsidR="00E62851" w:rsidRPr="006F5CA6" w:rsidRDefault="00E62851" w:rsidP="00F810FE">
      <w:pPr>
        <w:pStyle w:val="Prrafodelista"/>
        <w:numPr>
          <w:ilvl w:val="0"/>
          <w:numId w:val="10"/>
        </w:numPr>
        <w:rPr>
          <w:rFonts w:ascii="Arial" w:hAnsi="Arial" w:cs="Arial"/>
          <w:sz w:val="22"/>
          <w:szCs w:val="22"/>
          <w:lang w:eastAsia="es-CO"/>
        </w:rPr>
      </w:pPr>
      <w:r w:rsidRPr="006F5CA6">
        <w:rPr>
          <w:rFonts w:ascii="Arial" w:hAnsi="Arial" w:cs="Arial"/>
          <w:sz w:val="22"/>
          <w:szCs w:val="22"/>
          <w:lang w:eastAsia="es-CO"/>
        </w:rPr>
        <w:t>El listado de empresas no constituye ninguna recomendación al proceso de contratación, se presenta únicamente con fines de estudio de la oferta para conocer el sector relativo al que pertenece la presente contratación sin que ello sea excluyente de nuevos oferentes.</w:t>
      </w:r>
    </w:p>
    <w:p w14:paraId="1135A2FC" w14:textId="1945B2EC" w:rsidR="00E62851" w:rsidRDefault="00E62851" w:rsidP="00793EA5">
      <w:pPr>
        <w:rPr>
          <w:rFonts w:ascii="Arial" w:hAnsi="Arial" w:cs="Arial"/>
          <w:sz w:val="22"/>
          <w:szCs w:val="22"/>
          <w:lang w:val="es-CO" w:eastAsia="es-CO"/>
        </w:rPr>
      </w:pPr>
    </w:p>
    <w:p w14:paraId="21EDC69A" w14:textId="39E8D300" w:rsidR="0002484E" w:rsidRDefault="0002484E" w:rsidP="00793EA5">
      <w:pPr>
        <w:rPr>
          <w:rFonts w:ascii="Arial" w:hAnsi="Arial" w:cs="Arial"/>
          <w:sz w:val="22"/>
          <w:szCs w:val="22"/>
          <w:lang w:val="es-CO" w:eastAsia="es-CO"/>
        </w:rPr>
      </w:pPr>
    </w:p>
    <w:p w14:paraId="546C3D5C" w14:textId="77777777" w:rsidR="0002484E" w:rsidRPr="0002484E" w:rsidRDefault="0002484E" w:rsidP="0002484E">
      <w:pPr>
        <w:pStyle w:val="Prrafodelista"/>
        <w:ind w:left="0"/>
        <w:rPr>
          <w:rFonts w:ascii="Arial" w:hAnsi="Arial" w:cs="Arial"/>
          <w:b/>
          <w:sz w:val="22"/>
          <w:szCs w:val="22"/>
          <w:lang w:eastAsia="es-CO" w:bidi="es-ES"/>
        </w:rPr>
      </w:pPr>
      <w:r w:rsidRPr="0002484E">
        <w:rPr>
          <w:rFonts w:ascii="Arial" w:hAnsi="Arial" w:cs="Arial"/>
          <w:sz w:val="22"/>
          <w:szCs w:val="22"/>
          <w:lang w:eastAsia="es-CO" w:bidi="es-ES"/>
        </w:rPr>
        <w:t>Adicionalmente se toma como referencia los datos consignados en la herramienta del Modelo de Abastecimiento Estratégico de CCE3 en el módulo análisis de la oferta que detalla las diversas empresas que han participado en distintos procesos de contratación, las cuales también son consideradas como potenciales oferentes que podrían participar en el presente proceso</w:t>
      </w:r>
      <w:r w:rsidRPr="0002484E">
        <w:rPr>
          <w:rFonts w:ascii="Arial" w:hAnsi="Arial" w:cs="Arial"/>
          <w:b/>
          <w:sz w:val="22"/>
          <w:szCs w:val="22"/>
          <w:lang w:eastAsia="es-CO" w:bidi="es-ES"/>
        </w:rPr>
        <w:t>.</w:t>
      </w:r>
    </w:p>
    <w:p w14:paraId="577AE297" w14:textId="77777777" w:rsidR="0002484E" w:rsidRPr="0002484E" w:rsidRDefault="0002484E" w:rsidP="0002484E">
      <w:pPr>
        <w:pStyle w:val="Prrafodelista"/>
        <w:rPr>
          <w:rFonts w:ascii="Arial" w:hAnsi="Arial" w:cs="Arial"/>
          <w:b/>
          <w:sz w:val="22"/>
          <w:szCs w:val="22"/>
          <w:lang w:eastAsia="es-CO"/>
        </w:rPr>
      </w:pPr>
    </w:p>
    <w:p w14:paraId="2053917A" w14:textId="77777777" w:rsidR="0002484E" w:rsidRDefault="0002484E" w:rsidP="0002484E">
      <w:pPr>
        <w:ind w:left="360"/>
        <w:rPr>
          <w:rFonts w:ascii="Arial" w:hAnsi="Arial" w:cs="Arial"/>
          <w:b/>
          <w:sz w:val="22"/>
          <w:szCs w:val="22"/>
          <w:lang w:eastAsia="es-CO"/>
        </w:rPr>
      </w:pPr>
      <w:r>
        <w:rPr>
          <w:noProof/>
          <w:lang w:val="en-US"/>
        </w:rPr>
        <w:drawing>
          <wp:inline distT="0" distB="0" distL="0" distR="0" wp14:anchorId="1CDEBA5C" wp14:editId="50169536">
            <wp:extent cx="5612130" cy="3886200"/>
            <wp:effectExtent l="0" t="0" r="762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12130" cy="3886200"/>
                    </a:xfrm>
                    <a:prstGeom prst="rect">
                      <a:avLst/>
                    </a:prstGeom>
                  </pic:spPr>
                </pic:pic>
              </a:graphicData>
            </a:graphic>
          </wp:inline>
        </w:drawing>
      </w:r>
    </w:p>
    <w:p w14:paraId="4100A7E6" w14:textId="77777777" w:rsidR="0002484E" w:rsidRDefault="0002484E" w:rsidP="0002484E">
      <w:pPr>
        <w:ind w:left="360"/>
        <w:rPr>
          <w:rFonts w:ascii="Arial" w:hAnsi="Arial" w:cs="Arial"/>
          <w:b/>
          <w:sz w:val="22"/>
          <w:szCs w:val="22"/>
          <w:lang w:eastAsia="es-CO"/>
        </w:rPr>
      </w:pPr>
      <w:r>
        <w:rPr>
          <w:noProof/>
          <w:lang w:val="en-US"/>
        </w:rPr>
        <w:lastRenderedPageBreak/>
        <w:drawing>
          <wp:inline distT="0" distB="0" distL="0" distR="0" wp14:anchorId="45BE18D1" wp14:editId="28CAE6FD">
            <wp:extent cx="5612130" cy="3413125"/>
            <wp:effectExtent l="0" t="0" r="762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2130" cy="3413125"/>
                    </a:xfrm>
                    <a:prstGeom prst="rect">
                      <a:avLst/>
                    </a:prstGeom>
                  </pic:spPr>
                </pic:pic>
              </a:graphicData>
            </a:graphic>
          </wp:inline>
        </w:drawing>
      </w:r>
    </w:p>
    <w:p w14:paraId="5135ED55" w14:textId="77777777" w:rsidR="0002484E" w:rsidRDefault="0002484E" w:rsidP="0002484E">
      <w:pPr>
        <w:ind w:left="360"/>
        <w:rPr>
          <w:rFonts w:ascii="Arial" w:hAnsi="Arial" w:cs="Arial"/>
          <w:b/>
          <w:sz w:val="22"/>
          <w:szCs w:val="22"/>
          <w:lang w:eastAsia="es-CO"/>
        </w:rPr>
      </w:pPr>
    </w:p>
    <w:p w14:paraId="33F376E0" w14:textId="1E243AFB" w:rsidR="0002484E" w:rsidRDefault="0002484E" w:rsidP="00793EA5">
      <w:pPr>
        <w:rPr>
          <w:rFonts w:ascii="Arial" w:hAnsi="Arial" w:cs="Arial"/>
          <w:sz w:val="22"/>
          <w:szCs w:val="22"/>
          <w:lang w:val="es-CO" w:eastAsia="es-CO"/>
        </w:rPr>
      </w:pPr>
    </w:p>
    <w:p w14:paraId="6EF76D39" w14:textId="25260CD5" w:rsidR="0002484E" w:rsidRDefault="0002484E" w:rsidP="00793EA5">
      <w:pPr>
        <w:rPr>
          <w:rFonts w:ascii="Arial" w:hAnsi="Arial" w:cs="Arial"/>
          <w:sz w:val="22"/>
          <w:szCs w:val="22"/>
          <w:lang w:val="es-CO" w:eastAsia="es-CO"/>
        </w:rPr>
      </w:pPr>
    </w:p>
    <w:p w14:paraId="3FC71B39" w14:textId="77777777" w:rsidR="0002484E" w:rsidRPr="006F5CA6" w:rsidRDefault="0002484E" w:rsidP="00793EA5">
      <w:pPr>
        <w:rPr>
          <w:rFonts w:ascii="Arial" w:hAnsi="Arial" w:cs="Arial"/>
          <w:sz w:val="22"/>
          <w:szCs w:val="22"/>
          <w:lang w:val="es-CO" w:eastAsia="es-CO"/>
        </w:rPr>
      </w:pPr>
    </w:p>
    <w:p w14:paraId="741858A1" w14:textId="6C9647B4" w:rsidR="001F1099" w:rsidRPr="006F5CA6" w:rsidRDefault="00EC7B34" w:rsidP="00EC7B34">
      <w:pPr>
        <w:pStyle w:val="Ttulo1"/>
        <w:spacing w:before="0"/>
        <w:ind w:left="360" w:hanging="270"/>
        <w:rPr>
          <w:rFonts w:cs="Arial"/>
          <w:sz w:val="22"/>
          <w:szCs w:val="22"/>
        </w:rPr>
      </w:pPr>
      <w:r w:rsidRPr="006F5CA6">
        <w:rPr>
          <w:rFonts w:cs="Arial"/>
          <w:sz w:val="22"/>
          <w:szCs w:val="22"/>
        </w:rPr>
        <w:t>CAPACIDAD FINANCIERA Y CAPACIDAD DE ORGANIZACIÓN RESULTADO DE LA MUESTRA</w:t>
      </w:r>
    </w:p>
    <w:p w14:paraId="650D153E" w14:textId="77777777" w:rsidR="001F1099" w:rsidRPr="006F5CA6" w:rsidRDefault="001F1099" w:rsidP="001F1099">
      <w:pPr>
        <w:rPr>
          <w:rFonts w:ascii="Arial" w:hAnsi="Arial" w:cs="Arial"/>
          <w:b/>
          <w:bCs/>
          <w:noProof/>
          <w:sz w:val="22"/>
          <w:szCs w:val="22"/>
          <w:lang w:val="es-CO" w:eastAsia="es-CO"/>
        </w:rPr>
      </w:pPr>
    </w:p>
    <w:p w14:paraId="3064D379" w14:textId="0B7B41AD" w:rsidR="001F1099" w:rsidRPr="006F5CA6" w:rsidRDefault="00FA4DCD" w:rsidP="00FA4DCD">
      <w:pPr>
        <w:jc w:val="both"/>
        <w:rPr>
          <w:rFonts w:ascii="Arial" w:hAnsi="Arial" w:cs="Arial"/>
          <w:bCs/>
          <w:noProof/>
          <w:sz w:val="22"/>
          <w:szCs w:val="22"/>
          <w:lang w:eastAsia="es-CO"/>
        </w:rPr>
      </w:pPr>
      <w:r w:rsidRPr="006F5CA6">
        <w:rPr>
          <w:rFonts w:ascii="Arial" w:hAnsi="Arial" w:cs="Arial"/>
          <w:bCs/>
          <w:noProof/>
          <w:sz w:val="22"/>
          <w:szCs w:val="22"/>
          <w:lang w:eastAsia="es-CO"/>
        </w:rPr>
        <w:t>Los indicadores financieros y de capacidad de organización aportados por los proponentes, en procesos de contratación que tenían como objeto la prestación del servicio de transporte escolar así:</w:t>
      </w:r>
    </w:p>
    <w:p w14:paraId="29D7C6C1" w14:textId="77777777" w:rsidR="00FA4DCD" w:rsidRPr="006F5CA6" w:rsidRDefault="00FA4DCD" w:rsidP="001F1099">
      <w:pPr>
        <w:rPr>
          <w:rFonts w:ascii="Arial" w:hAnsi="Arial" w:cs="Arial"/>
          <w:b/>
          <w:bCs/>
          <w:noProof/>
          <w:sz w:val="22"/>
          <w:szCs w:val="22"/>
          <w:lang w:val="es-CO" w:eastAsia="es-CO"/>
        </w:rPr>
      </w:pPr>
    </w:p>
    <w:tbl>
      <w:tblPr>
        <w:tblW w:w="8801" w:type="dxa"/>
        <w:jc w:val="center"/>
        <w:tblLook w:val="04A0" w:firstRow="1" w:lastRow="0" w:firstColumn="1" w:lastColumn="0" w:noHBand="0" w:noVBand="1"/>
      </w:tblPr>
      <w:tblGrid>
        <w:gridCol w:w="2547"/>
        <w:gridCol w:w="870"/>
        <w:gridCol w:w="1461"/>
        <w:gridCol w:w="1391"/>
        <w:gridCol w:w="1266"/>
        <w:gridCol w:w="1266"/>
      </w:tblGrid>
      <w:tr w:rsidR="00E85F5F" w:rsidRPr="006F5CA6" w14:paraId="31D30AFF" w14:textId="77777777" w:rsidTr="00E85F5F">
        <w:trPr>
          <w:trHeight w:val="540"/>
          <w:jc w:val="center"/>
        </w:trPr>
        <w:tc>
          <w:tcPr>
            <w:tcW w:w="2547" w:type="dxa"/>
            <w:tcBorders>
              <w:top w:val="single" w:sz="4" w:space="0" w:color="auto"/>
              <w:left w:val="single" w:sz="4" w:space="0" w:color="auto"/>
              <w:bottom w:val="single" w:sz="4" w:space="0" w:color="auto"/>
              <w:right w:val="single" w:sz="4" w:space="0" w:color="auto"/>
            </w:tcBorders>
            <w:shd w:val="clear" w:color="auto" w:fill="00B0F0"/>
            <w:noWrap/>
            <w:vAlign w:val="center"/>
            <w:hideMark/>
          </w:tcPr>
          <w:p w14:paraId="369A9296" w14:textId="77777777" w:rsidR="00E85F5F" w:rsidRPr="006F5CA6" w:rsidRDefault="00E85F5F" w:rsidP="00A9713F">
            <w:pPr>
              <w:jc w:val="both"/>
              <w:rPr>
                <w:rFonts w:ascii="Arial" w:eastAsia="Times New Roman" w:hAnsi="Arial" w:cs="Arial"/>
                <w:b/>
                <w:bCs/>
                <w:color w:val="000000"/>
                <w:sz w:val="14"/>
                <w:szCs w:val="14"/>
                <w:lang w:val="es-CO"/>
              </w:rPr>
            </w:pPr>
            <w:r w:rsidRPr="006F5CA6">
              <w:rPr>
                <w:rFonts w:ascii="Arial" w:eastAsia="Times New Roman" w:hAnsi="Arial" w:cs="Arial"/>
                <w:b/>
                <w:bCs/>
                <w:color w:val="000000"/>
                <w:sz w:val="14"/>
                <w:szCs w:val="14"/>
                <w:lang w:val="es-CO"/>
              </w:rPr>
              <w:t>NOMBRE</w:t>
            </w:r>
          </w:p>
        </w:tc>
        <w:tc>
          <w:tcPr>
            <w:tcW w:w="870" w:type="dxa"/>
            <w:tcBorders>
              <w:top w:val="single" w:sz="4" w:space="0" w:color="auto"/>
              <w:left w:val="nil"/>
              <w:bottom w:val="single" w:sz="4" w:space="0" w:color="auto"/>
              <w:right w:val="single" w:sz="4" w:space="0" w:color="auto"/>
            </w:tcBorders>
            <w:shd w:val="clear" w:color="auto" w:fill="00B0F0"/>
            <w:vAlign w:val="center"/>
            <w:hideMark/>
          </w:tcPr>
          <w:p w14:paraId="62F65C9B" w14:textId="77777777" w:rsidR="00E85F5F" w:rsidRPr="006F5CA6" w:rsidRDefault="00E85F5F" w:rsidP="00FA4DCD">
            <w:pPr>
              <w:jc w:val="center"/>
              <w:rPr>
                <w:rFonts w:ascii="Arial" w:eastAsia="Times New Roman" w:hAnsi="Arial" w:cs="Arial"/>
                <w:b/>
                <w:bCs/>
                <w:color w:val="000000"/>
                <w:sz w:val="14"/>
                <w:szCs w:val="14"/>
                <w:lang w:val="es-CO"/>
              </w:rPr>
            </w:pPr>
            <w:r w:rsidRPr="006F5CA6">
              <w:rPr>
                <w:rFonts w:ascii="Arial" w:eastAsia="Times New Roman" w:hAnsi="Arial" w:cs="Arial"/>
                <w:b/>
                <w:bCs/>
                <w:color w:val="000000"/>
                <w:sz w:val="14"/>
                <w:szCs w:val="14"/>
                <w:lang w:val="es-CO"/>
              </w:rPr>
              <w:t>LIQUIDEZ</w:t>
            </w:r>
          </w:p>
        </w:tc>
        <w:tc>
          <w:tcPr>
            <w:tcW w:w="1461" w:type="dxa"/>
            <w:tcBorders>
              <w:top w:val="single" w:sz="4" w:space="0" w:color="auto"/>
              <w:left w:val="nil"/>
              <w:bottom w:val="single" w:sz="4" w:space="0" w:color="auto"/>
              <w:right w:val="single" w:sz="4" w:space="0" w:color="auto"/>
            </w:tcBorders>
            <w:shd w:val="clear" w:color="auto" w:fill="00B0F0"/>
            <w:vAlign w:val="center"/>
            <w:hideMark/>
          </w:tcPr>
          <w:p w14:paraId="204B9787" w14:textId="77777777" w:rsidR="00E85F5F" w:rsidRPr="006F5CA6" w:rsidRDefault="00E85F5F" w:rsidP="00FA4DCD">
            <w:pPr>
              <w:jc w:val="center"/>
              <w:rPr>
                <w:rFonts w:ascii="Arial" w:eastAsia="Times New Roman" w:hAnsi="Arial" w:cs="Arial"/>
                <w:b/>
                <w:bCs/>
                <w:color w:val="000000"/>
                <w:sz w:val="14"/>
                <w:szCs w:val="14"/>
                <w:lang w:val="es-CO"/>
              </w:rPr>
            </w:pPr>
            <w:r w:rsidRPr="006F5CA6">
              <w:rPr>
                <w:rFonts w:ascii="Arial" w:eastAsia="Times New Roman" w:hAnsi="Arial" w:cs="Arial"/>
                <w:b/>
                <w:bCs/>
                <w:color w:val="000000"/>
                <w:sz w:val="14"/>
                <w:szCs w:val="14"/>
                <w:lang w:val="es-CO"/>
              </w:rPr>
              <w:t>ENDAUDAMIENTO</w:t>
            </w:r>
          </w:p>
        </w:tc>
        <w:tc>
          <w:tcPr>
            <w:tcW w:w="1391" w:type="dxa"/>
            <w:tcBorders>
              <w:top w:val="single" w:sz="4" w:space="0" w:color="auto"/>
              <w:left w:val="nil"/>
              <w:bottom w:val="single" w:sz="4" w:space="0" w:color="auto"/>
              <w:right w:val="single" w:sz="4" w:space="0" w:color="auto"/>
            </w:tcBorders>
            <w:shd w:val="clear" w:color="auto" w:fill="00B0F0"/>
            <w:vAlign w:val="center"/>
            <w:hideMark/>
          </w:tcPr>
          <w:p w14:paraId="0F00DB21" w14:textId="77777777" w:rsidR="00E85F5F" w:rsidRPr="006F5CA6" w:rsidRDefault="00E85F5F" w:rsidP="00FA4DCD">
            <w:pPr>
              <w:jc w:val="center"/>
              <w:rPr>
                <w:rFonts w:ascii="Arial" w:eastAsia="Times New Roman" w:hAnsi="Arial" w:cs="Arial"/>
                <w:b/>
                <w:bCs/>
                <w:color w:val="000000"/>
                <w:sz w:val="14"/>
                <w:szCs w:val="14"/>
                <w:lang w:val="es-CO"/>
              </w:rPr>
            </w:pPr>
            <w:r w:rsidRPr="006F5CA6">
              <w:rPr>
                <w:rFonts w:ascii="Arial" w:eastAsia="Times New Roman" w:hAnsi="Arial" w:cs="Arial"/>
                <w:b/>
                <w:bCs/>
                <w:color w:val="000000"/>
                <w:sz w:val="14"/>
                <w:szCs w:val="14"/>
                <w:lang w:val="es-CO"/>
              </w:rPr>
              <w:t>RAZON DE COBERTURA</w:t>
            </w:r>
          </w:p>
        </w:tc>
        <w:tc>
          <w:tcPr>
            <w:tcW w:w="1266" w:type="dxa"/>
            <w:tcBorders>
              <w:top w:val="single" w:sz="4" w:space="0" w:color="auto"/>
              <w:left w:val="nil"/>
              <w:bottom w:val="single" w:sz="4" w:space="0" w:color="auto"/>
              <w:right w:val="single" w:sz="4" w:space="0" w:color="auto"/>
            </w:tcBorders>
            <w:shd w:val="clear" w:color="auto" w:fill="00B0F0"/>
            <w:vAlign w:val="center"/>
            <w:hideMark/>
          </w:tcPr>
          <w:p w14:paraId="2EE34699" w14:textId="77777777" w:rsidR="00E85F5F" w:rsidRPr="006F5CA6" w:rsidRDefault="00E85F5F" w:rsidP="00FA4DCD">
            <w:pPr>
              <w:jc w:val="center"/>
              <w:rPr>
                <w:rFonts w:ascii="Arial" w:eastAsia="Times New Roman" w:hAnsi="Arial" w:cs="Arial"/>
                <w:b/>
                <w:bCs/>
                <w:color w:val="000000"/>
                <w:sz w:val="14"/>
                <w:szCs w:val="14"/>
                <w:lang w:val="es-CO"/>
              </w:rPr>
            </w:pPr>
            <w:r w:rsidRPr="006F5CA6">
              <w:rPr>
                <w:rFonts w:ascii="Arial" w:eastAsia="Times New Roman" w:hAnsi="Arial" w:cs="Arial"/>
                <w:b/>
                <w:bCs/>
                <w:color w:val="000000"/>
                <w:sz w:val="14"/>
                <w:szCs w:val="14"/>
                <w:lang w:val="es-CO"/>
              </w:rPr>
              <w:t>RENTABILIDAD DEL PATRIMONIO</w:t>
            </w:r>
          </w:p>
        </w:tc>
        <w:tc>
          <w:tcPr>
            <w:tcW w:w="1266" w:type="dxa"/>
            <w:tcBorders>
              <w:top w:val="single" w:sz="4" w:space="0" w:color="auto"/>
              <w:left w:val="nil"/>
              <w:bottom w:val="single" w:sz="4" w:space="0" w:color="auto"/>
              <w:right w:val="single" w:sz="4" w:space="0" w:color="auto"/>
            </w:tcBorders>
            <w:shd w:val="clear" w:color="auto" w:fill="00B0F0"/>
            <w:vAlign w:val="center"/>
            <w:hideMark/>
          </w:tcPr>
          <w:p w14:paraId="60182B9B" w14:textId="77777777" w:rsidR="00E85F5F" w:rsidRPr="006F5CA6" w:rsidRDefault="00E85F5F" w:rsidP="00FA4DCD">
            <w:pPr>
              <w:jc w:val="center"/>
              <w:rPr>
                <w:rFonts w:ascii="Arial" w:eastAsia="Times New Roman" w:hAnsi="Arial" w:cs="Arial"/>
                <w:b/>
                <w:bCs/>
                <w:color w:val="000000"/>
                <w:sz w:val="14"/>
                <w:szCs w:val="14"/>
                <w:lang w:val="es-CO"/>
              </w:rPr>
            </w:pPr>
            <w:r w:rsidRPr="006F5CA6">
              <w:rPr>
                <w:rFonts w:ascii="Arial" w:eastAsia="Times New Roman" w:hAnsi="Arial" w:cs="Arial"/>
                <w:b/>
                <w:bCs/>
                <w:color w:val="000000"/>
                <w:sz w:val="14"/>
                <w:szCs w:val="14"/>
                <w:lang w:val="es-CO"/>
              </w:rPr>
              <w:t>RENTABILIDAD DEL ACTIVO</w:t>
            </w:r>
          </w:p>
        </w:tc>
      </w:tr>
      <w:tr w:rsidR="00E85F5F" w:rsidRPr="006F5CA6" w14:paraId="24C103B3"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8599C27"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AGENCIA DE VIAJES Y TRANSPORTES ESPECIALES TRAVESIAS TOURS S.A.S.</w:t>
            </w:r>
          </w:p>
        </w:tc>
        <w:tc>
          <w:tcPr>
            <w:tcW w:w="870" w:type="dxa"/>
            <w:tcBorders>
              <w:top w:val="nil"/>
              <w:left w:val="nil"/>
              <w:bottom w:val="single" w:sz="4" w:space="0" w:color="auto"/>
              <w:right w:val="single" w:sz="4" w:space="0" w:color="auto"/>
            </w:tcBorders>
            <w:shd w:val="clear" w:color="auto" w:fill="auto"/>
            <w:vAlign w:val="center"/>
            <w:hideMark/>
          </w:tcPr>
          <w:p w14:paraId="70C82A8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6,67</w:t>
            </w:r>
          </w:p>
        </w:tc>
        <w:tc>
          <w:tcPr>
            <w:tcW w:w="1461" w:type="dxa"/>
            <w:tcBorders>
              <w:top w:val="nil"/>
              <w:left w:val="nil"/>
              <w:bottom w:val="single" w:sz="4" w:space="0" w:color="auto"/>
              <w:right w:val="single" w:sz="4" w:space="0" w:color="auto"/>
            </w:tcBorders>
            <w:shd w:val="clear" w:color="auto" w:fill="auto"/>
            <w:vAlign w:val="center"/>
            <w:hideMark/>
          </w:tcPr>
          <w:p w14:paraId="4A147D3F"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33</w:t>
            </w:r>
          </w:p>
        </w:tc>
        <w:tc>
          <w:tcPr>
            <w:tcW w:w="1391" w:type="dxa"/>
            <w:tcBorders>
              <w:top w:val="nil"/>
              <w:left w:val="nil"/>
              <w:bottom w:val="single" w:sz="4" w:space="0" w:color="auto"/>
              <w:right w:val="single" w:sz="4" w:space="0" w:color="auto"/>
            </w:tcBorders>
            <w:shd w:val="clear" w:color="auto" w:fill="auto"/>
            <w:vAlign w:val="center"/>
            <w:hideMark/>
          </w:tcPr>
          <w:p w14:paraId="0F15ABA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47,21</w:t>
            </w:r>
          </w:p>
        </w:tc>
        <w:tc>
          <w:tcPr>
            <w:tcW w:w="1266" w:type="dxa"/>
            <w:tcBorders>
              <w:top w:val="nil"/>
              <w:left w:val="nil"/>
              <w:bottom w:val="single" w:sz="4" w:space="0" w:color="auto"/>
              <w:right w:val="single" w:sz="4" w:space="0" w:color="auto"/>
            </w:tcBorders>
            <w:shd w:val="clear" w:color="auto" w:fill="auto"/>
            <w:noWrap/>
            <w:vAlign w:val="bottom"/>
            <w:hideMark/>
          </w:tcPr>
          <w:p w14:paraId="4D66463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101</w:t>
            </w:r>
          </w:p>
        </w:tc>
        <w:tc>
          <w:tcPr>
            <w:tcW w:w="1266" w:type="dxa"/>
            <w:tcBorders>
              <w:top w:val="nil"/>
              <w:left w:val="nil"/>
              <w:bottom w:val="single" w:sz="4" w:space="0" w:color="auto"/>
              <w:right w:val="single" w:sz="4" w:space="0" w:color="auto"/>
            </w:tcBorders>
            <w:shd w:val="clear" w:color="auto" w:fill="auto"/>
            <w:vAlign w:val="center"/>
            <w:hideMark/>
          </w:tcPr>
          <w:p w14:paraId="67A04FB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66</w:t>
            </w:r>
          </w:p>
        </w:tc>
      </w:tr>
      <w:tr w:rsidR="00E85F5F" w:rsidRPr="006F5CA6" w14:paraId="1CEC5152"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1BB7B64F" w14:textId="77777777" w:rsidR="00E85F5F" w:rsidRPr="002F1E9E" w:rsidRDefault="00E85F5F" w:rsidP="00A9713F">
            <w:pPr>
              <w:jc w:val="both"/>
              <w:rPr>
                <w:rFonts w:ascii="Arial" w:eastAsia="Times New Roman" w:hAnsi="Arial" w:cs="Arial"/>
                <w:color w:val="000000"/>
                <w:sz w:val="14"/>
                <w:szCs w:val="14"/>
                <w:lang w:val="en-US"/>
              </w:rPr>
            </w:pPr>
            <w:r w:rsidRPr="002F1E9E">
              <w:rPr>
                <w:rFonts w:ascii="Arial" w:eastAsia="Times New Roman" w:hAnsi="Arial" w:cs="Arial"/>
                <w:color w:val="000000"/>
                <w:sz w:val="14"/>
                <w:szCs w:val="14"/>
                <w:lang w:val="en-US"/>
              </w:rPr>
              <w:t>AMERICAN TOUR S.A.S.</w:t>
            </w:r>
          </w:p>
        </w:tc>
        <w:tc>
          <w:tcPr>
            <w:tcW w:w="870" w:type="dxa"/>
            <w:tcBorders>
              <w:top w:val="nil"/>
              <w:left w:val="nil"/>
              <w:bottom w:val="single" w:sz="4" w:space="0" w:color="auto"/>
              <w:right w:val="single" w:sz="4" w:space="0" w:color="auto"/>
            </w:tcBorders>
            <w:shd w:val="clear" w:color="auto" w:fill="auto"/>
            <w:vAlign w:val="center"/>
            <w:hideMark/>
          </w:tcPr>
          <w:p w14:paraId="71D9A4BA"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2,86</w:t>
            </w:r>
          </w:p>
        </w:tc>
        <w:tc>
          <w:tcPr>
            <w:tcW w:w="1461" w:type="dxa"/>
            <w:tcBorders>
              <w:top w:val="nil"/>
              <w:left w:val="nil"/>
              <w:bottom w:val="single" w:sz="4" w:space="0" w:color="auto"/>
              <w:right w:val="single" w:sz="4" w:space="0" w:color="auto"/>
            </w:tcBorders>
            <w:shd w:val="clear" w:color="auto" w:fill="auto"/>
            <w:vAlign w:val="center"/>
            <w:hideMark/>
          </w:tcPr>
          <w:p w14:paraId="45915DF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42</w:t>
            </w:r>
          </w:p>
        </w:tc>
        <w:tc>
          <w:tcPr>
            <w:tcW w:w="1391" w:type="dxa"/>
            <w:tcBorders>
              <w:top w:val="nil"/>
              <w:left w:val="nil"/>
              <w:bottom w:val="single" w:sz="4" w:space="0" w:color="auto"/>
              <w:right w:val="single" w:sz="4" w:space="0" w:color="auto"/>
            </w:tcBorders>
            <w:shd w:val="clear" w:color="auto" w:fill="auto"/>
            <w:vAlign w:val="center"/>
            <w:hideMark/>
          </w:tcPr>
          <w:p w14:paraId="74CECA3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53,17</w:t>
            </w:r>
          </w:p>
        </w:tc>
        <w:tc>
          <w:tcPr>
            <w:tcW w:w="1266" w:type="dxa"/>
            <w:tcBorders>
              <w:top w:val="nil"/>
              <w:left w:val="nil"/>
              <w:bottom w:val="single" w:sz="4" w:space="0" w:color="auto"/>
              <w:right w:val="single" w:sz="4" w:space="0" w:color="auto"/>
            </w:tcBorders>
            <w:shd w:val="clear" w:color="auto" w:fill="auto"/>
            <w:vAlign w:val="center"/>
            <w:hideMark/>
          </w:tcPr>
          <w:p w14:paraId="3C31432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31</w:t>
            </w:r>
          </w:p>
        </w:tc>
        <w:tc>
          <w:tcPr>
            <w:tcW w:w="1266" w:type="dxa"/>
            <w:tcBorders>
              <w:top w:val="nil"/>
              <w:left w:val="nil"/>
              <w:bottom w:val="single" w:sz="4" w:space="0" w:color="auto"/>
              <w:right w:val="single" w:sz="4" w:space="0" w:color="auto"/>
            </w:tcBorders>
            <w:shd w:val="clear" w:color="auto" w:fill="auto"/>
            <w:vAlign w:val="center"/>
            <w:hideMark/>
          </w:tcPr>
          <w:p w14:paraId="48EA039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17</w:t>
            </w:r>
          </w:p>
        </w:tc>
      </w:tr>
      <w:tr w:rsidR="00E85F5F" w:rsidRPr="006F5CA6" w14:paraId="4B26C85E"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30F86A0B"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ASOCIACION DE TRANSPORTADORES ESPECIALES</w:t>
            </w:r>
          </w:p>
        </w:tc>
        <w:tc>
          <w:tcPr>
            <w:tcW w:w="870" w:type="dxa"/>
            <w:tcBorders>
              <w:top w:val="nil"/>
              <w:left w:val="nil"/>
              <w:bottom w:val="single" w:sz="4" w:space="0" w:color="auto"/>
              <w:right w:val="single" w:sz="4" w:space="0" w:color="auto"/>
            </w:tcBorders>
            <w:shd w:val="clear" w:color="auto" w:fill="auto"/>
            <w:vAlign w:val="center"/>
            <w:hideMark/>
          </w:tcPr>
          <w:p w14:paraId="4508E4C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16,09</w:t>
            </w:r>
          </w:p>
        </w:tc>
        <w:tc>
          <w:tcPr>
            <w:tcW w:w="1461" w:type="dxa"/>
            <w:tcBorders>
              <w:top w:val="nil"/>
              <w:left w:val="nil"/>
              <w:bottom w:val="single" w:sz="4" w:space="0" w:color="auto"/>
              <w:right w:val="single" w:sz="4" w:space="0" w:color="auto"/>
            </w:tcBorders>
            <w:shd w:val="clear" w:color="auto" w:fill="auto"/>
            <w:vAlign w:val="center"/>
            <w:hideMark/>
          </w:tcPr>
          <w:p w14:paraId="013CF29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19</w:t>
            </w:r>
          </w:p>
        </w:tc>
        <w:tc>
          <w:tcPr>
            <w:tcW w:w="1391" w:type="dxa"/>
            <w:tcBorders>
              <w:top w:val="nil"/>
              <w:left w:val="nil"/>
              <w:bottom w:val="single" w:sz="4" w:space="0" w:color="auto"/>
              <w:right w:val="single" w:sz="4" w:space="0" w:color="auto"/>
            </w:tcBorders>
            <w:shd w:val="clear" w:color="auto" w:fill="auto"/>
            <w:vAlign w:val="center"/>
            <w:hideMark/>
          </w:tcPr>
          <w:p w14:paraId="1A337E5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15,97</w:t>
            </w:r>
          </w:p>
        </w:tc>
        <w:tc>
          <w:tcPr>
            <w:tcW w:w="1266" w:type="dxa"/>
            <w:tcBorders>
              <w:top w:val="nil"/>
              <w:left w:val="nil"/>
              <w:bottom w:val="single" w:sz="4" w:space="0" w:color="auto"/>
              <w:right w:val="single" w:sz="4" w:space="0" w:color="auto"/>
            </w:tcBorders>
            <w:shd w:val="clear" w:color="auto" w:fill="auto"/>
            <w:vAlign w:val="center"/>
            <w:hideMark/>
          </w:tcPr>
          <w:p w14:paraId="4481E61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21</w:t>
            </w:r>
          </w:p>
        </w:tc>
        <w:tc>
          <w:tcPr>
            <w:tcW w:w="1266" w:type="dxa"/>
            <w:tcBorders>
              <w:top w:val="nil"/>
              <w:left w:val="nil"/>
              <w:bottom w:val="single" w:sz="4" w:space="0" w:color="auto"/>
              <w:right w:val="single" w:sz="4" w:space="0" w:color="auto"/>
            </w:tcBorders>
            <w:shd w:val="clear" w:color="auto" w:fill="auto"/>
            <w:vAlign w:val="center"/>
            <w:hideMark/>
          </w:tcPr>
          <w:p w14:paraId="466588B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17</w:t>
            </w:r>
          </w:p>
        </w:tc>
      </w:tr>
      <w:tr w:rsidR="00E85F5F" w:rsidRPr="006F5CA6" w14:paraId="4DC6E197"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9E193DE"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BUSEXPRESS S.A.S. "EN REORGANIZACION EMPRESARIAL"</w:t>
            </w:r>
          </w:p>
        </w:tc>
        <w:tc>
          <w:tcPr>
            <w:tcW w:w="870" w:type="dxa"/>
            <w:tcBorders>
              <w:top w:val="nil"/>
              <w:left w:val="nil"/>
              <w:bottom w:val="single" w:sz="4" w:space="0" w:color="auto"/>
              <w:right w:val="single" w:sz="4" w:space="0" w:color="auto"/>
            </w:tcBorders>
            <w:shd w:val="clear" w:color="auto" w:fill="auto"/>
            <w:vAlign w:val="center"/>
            <w:hideMark/>
          </w:tcPr>
          <w:p w14:paraId="4DF27DB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3,03</w:t>
            </w:r>
          </w:p>
        </w:tc>
        <w:tc>
          <w:tcPr>
            <w:tcW w:w="1461" w:type="dxa"/>
            <w:tcBorders>
              <w:top w:val="nil"/>
              <w:left w:val="nil"/>
              <w:bottom w:val="single" w:sz="4" w:space="0" w:color="auto"/>
              <w:right w:val="single" w:sz="4" w:space="0" w:color="auto"/>
            </w:tcBorders>
            <w:shd w:val="clear" w:color="auto" w:fill="auto"/>
            <w:vAlign w:val="center"/>
            <w:hideMark/>
          </w:tcPr>
          <w:p w14:paraId="6ACCEB8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39</w:t>
            </w:r>
          </w:p>
        </w:tc>
        <w:tc>
          <w:tcPr>
            <w:tcW w:w="1391" w:type="dxa"/>
            <w:tcBorders>
              <w:top w:val="nil"/>
              <w:left w:val="nil"/>
              <w:bottom w:val="single" w:sz="4" w:space="0" w:color="auto"/>
              <w:right w:val="single" w:sz="4" w:space="0" w:color="auto"/>
            </w:tcBorders>
            <w:shd w:val="clear" w:color="auto" w:fill="auto"/>
            <w:vAlign w:val="center"/>
            <w:hideMark/>
          </w:tcPr>
          <w:p w14:paraId="5274A06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7,64</w:t>
            </w:r>
          </w:p>
        </w:tc>
        <w:tc>
          <w:tcPr>
            <w:tcW w:w="1266" w:type="dxa"/>
            <w:tcBorders>
              <w:top w:val="nil"/>
              <w:left w:val="nil"/>
              <w:bottom w:val="single" w:sz="4" w:space="0" w:color="auto"/>
              <w:right w:val="single" w:sz="4" w:space="0" w:color="auto"/>
            </w:tcBorders>
            <w:shd w:val="clear" w:color="auto" w:fill="auto"/>
            <w:vAlign w:val="center"/>
            <w:hideMark/>
          </w:tcPr>
          <w:p w14:paraId="5F39EA0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12</w:t>
            </w:r>
          </w:p>
        </w:tc>
        <w:tc>
          <w:tcPr>
            <w:tcW w:w="1266" w:type="dxa"/>
            <w:tcBorders>
              <w:top w:val="nil"/>
              <w:left w:val="nil"/>
              <w:bottom w:val="single" w:sz="4" w:space="0" w:color="auto"/>
              <w:right w:val="single" w:sz="4" w:space="0" w:color="auto"/>
            </w:tcBorders>
            <w:shd w:val="clear" w:color="auto" w:fill="auto"/>
            <w:vAlign w:val="center"/>
            <w:hideMark/>
          </w:tcPr>
          <w:p w14:paraId="4BD3F63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w:t>
            </w:r>
          </w:p>
        </w:tc>
      </w:tr>
      <w:tr w:rsidR="00E85F5F" w:rsidRPr="006F5CA6" w14:paraId="6CF2216A"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61C94B06"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COOPERATIVA SIBATEÑA DE TRANSPORTE COOPSITRANS LTDA.</w:t>
            </w:r>
          </w:p>
        </w:tc>
        <w:tc>
          <w:tcPr>
            <w:tcW w:w="870" w:type="dxa"/>
            <w:tcBorders>
              <w:top w:val="nil"/>
              <w:left w:val="nil"/>
              <w:bottom w:val="single" w:sz="4" w:space="0" w:color="auto"/>
              <w:right w:val="single" w:sz="4" w:space="0" w:color="auto"/>
            </w:tcBorders>
            <w:shd w:val="clear" w:color="auto" w:fill="auto"/>
            <w:vAlign w:val="center"/>
            <w:hideMark/>
          </w:tcPr>
          <w:p w14:paraId="025017F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8,60</w:t>
            </w:r>
          </w:p>
        </w:tc>
        <w:tc>
          <w:tcPr>
            <w:tcW w:w="1461" w:type="dxa"/>
            <w:tcBorders>
              <w:top w:val="nil"/>
              <w:left w:val="nil"/>
              <w:bottom w:val="single" w:sz="4" w:space="0" w:color="auto"/>
              <w:right w:val="single" w:sz="4" w:space="0" w:color="auto"/>
            </w:tcBorders>
            <w:shd w:val="clear" w:color="auto" w:fill="auto"/>
            <w:vAlign w:val="center"/>
            <w:hideMark/>
          </w:tcPr>
          <w:p w14:paraId="55B4696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59</w:t>
            </w:r>
          </w:p>
        </w:tc>
        <w:tc>
          <w:tcPr>
            <w:tcW w:w="1391" w:type="dxa"/>
            <w:tcBorders>
              <w:top w:val="nil"/>
              <w:left w:val="nil"/>
              <w:bottom w:val="single" w:sz="4" w:space="0" w:color="auto"/>
              <w:right w:val="single" w:sz="4" w:space="0" w:color="auto"/>
            </w:tcBorders>
            <w:shd w:val="clear" w:color="auto" w:fill="auto"/>
            <w:vAlign w:val="center"/>
            <w:hideMark/>
          </w:tcPr>
          <w:p w14:paraId="053D366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48,32</w:t>
            </w:r>
          </w:p>
        </w:tc>
        <w:tc>
          <w:tcPr>
            <w:tcW w:w="1266" w:type="dxa"/>
            <w:tcBorders>
              <w:top w:val="nil"/>
              <w:left w:val="nil"/>
              <w:bottom w:val="single" w:sz="4" w:space="0" w:color="auto"/>
              <w:right w:val="single" w:sz="4" w:space="0" w:color="auto"/>
            </w:tcBorders>
            <w:shd w:val="clear" w:color="auto" w:fill="auto"/>
            <w:vAlign w:val="center"/>
            <w:hideMark/>
          </w:tcPr>
          <w:p w14:paraId="185C893A"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9</w:t>
            </w:r>
          </w:p>
        </w:tc>
        <w:tc>
          <w:tcPr>
            <w:tcW w:w="1266" w:type="dxa"/>
            <w:tcBorders>
              <w:top w:val="nil"/>
              <w:left w:val="nil"/>
              <w:bottom w:val="single" w:sz="4" w:space="0" w:color="auto"/>
              <w:right w:val="single" w:sz="4" w:space="0" w:color="auto"/>
            </w:tcBorders>
            <w:shd w:val="clear" w:color="auto" w:fill="auto"/>
            <w:vAlign w:val="center"/>
            <w:hideMark/>
          </w:tcPr>
          <w:p w14:paraId="310922F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w:t>
            </w:r>
          </w:p>
        </w:tc>
      </w:tr>
      <w:tr w:rsidR="00E85F5F" w:rsidRPr="006F5CA6" w14:paraId="714EA0B7"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1FF8D97E"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COOTRANSFUSA</w:t>
            </w:r>
          </w:p>
        </w:tc>
        <w:tc>
          <w:tcPr>
            <w:tcW w:w="870" w:type="dxa"/>
            <w:tcBorders>
              <w:top w:val="nil"/>
              <w:left w:val="nil"/>
              <w:bottom w:val="single" w:sz="4" w:space="0" w:color="auto"/>
              <w:right w:val="single" w:sz="4" w:space="0" w:color="auto"/>
            </w:tcBorders>
            <w:shd w:val="clear" w:color="auto" w:fill="auto"/>
            <w:vAlign w:val="center"/>
            <w:hideMark/>
          </w:tcPr>
          <w:p w14:paraId="28BC858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5,12</w:t>
            </w:r>
          </w:p>
        </w:tc>
        <w:tc>
          <w:tcPr>
            <w:tcW w:w="1461" w:type="dxa"/>
            <w:tcBorders>
              <w:top w:val="nil"/>
              <w:left w:val="nil"/>
              <w:bottom w:val="single" w:sz="4" w:space="0" w:color="auto"/>
              <w:right w:val="single" w:sz="4" w:space="0" w:color="auto"/>
            </w:tcBorders>
            <w:shd w:val="clear" w:color="auto" w:fill="auto"/>
            <w:vAlign w:val="center"/>
            <w:hideMark/>
          </w:tcPr>
          <w:p w14:paraId="635B3BD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44</w:t>
            </w:r>
          </w:p>
        </w:tc>
        <w:tc>
          <w:tcPr>
            <w:tcW w:w="1391" w:type="dxa"/>
            <w:tcBorders>
              <w:top w:val="nil"/>
              <w:left w:val="nil"/>
              <w:bottom w:val="single" w:sz="4" w:space="0" w:color="auto"/>
              <w:right w:val="single" w:sz="4" w:space="0" w:color="auto"/>
            </w:tcBorders>
            <w:shd w:val="clear" w:color="auto" w:fill="auto"/>
            <w:vAlign w:val="center"/>
            <w:hideMark/>
          </w:tcPr>
          <w:p w14:paraId="3E13C95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311</w:t>
            </w:r>
          </w:p>
        </w:tc>
        <w:tc>
          <w:tcPr>
            <w:tcW w:w="1266" w:type="dxa"/>
            <w:tcBorders>
              <w:top w:val="nil"/>
              <w:left w:val="nil"/>
              <w:bottom w:val="single" w:sz="4" w:space="0" w:color="auto"/>
              <w:right w:val="single" w:sz="4" w:space="0" w:color="auto"/>
            </w:tcBorders>
            <w:shd w:val="clear" w:color="auto" w:fill="auto"/>
            <w:vAlign w:val="center"/>
            <w:hideMark/>
          </w:tcPr>
          <w:p w14:paraId="181F58A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w:t>
            </w:r>
          </w:p>
        </w:tc>
        <w:tc>
          <w:tcPr>
            <w:tcW w:w="1266" w:type="dxa"/>
            <w:tcBorders>
              <w:top w:val="nil"/>
              <w:left w:val="nil"/>
              <w:bottom w:val="single" w:sz="4" w:space="0" w:color="auto"/>
              <w:right w:val="single" w:sz="4" w:space="0" w:color="auto"/>
            </w:tcBorders>
            <w:shd w:val="clear" w:color="auto" w:fill="auto"/>
            <w:vAlign w:val="center"/>
            <w:hideMark/>
          </w:tcPr>
          <w:p w14:paraId="0599074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w:t>
            </w:r>
          </w:p>
        </w:tc>
      </w:tr>
      <w:tr w:rsidR="00E85F5F" w:rsidRPr="006F5CA6" w14:paraId="03789F11"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707884AA"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ESCONDOR SA</w:t>
            </w:r>
          </w:p>
        </w:tc>
        <w:tc>
          <w:tcPr>
            <w:tcW w:w="870" w:type="dxa"/>
            <w:tcBorders>
              <w:top w:val="nil"/>
              <w:left w:val="nil"/>
              <w:bottom w:val="single" w:sz="4" w:space="0" w:color="auto"/>
              <w:right w:val="single" w:sz="4" w:space="0" w:color="auto"/>
            </w:tcBorders>
            <w:shd w:val="clear" w:color="auto" w:fill="auto"/>
            <w:vAlign w:val="center"/>
            <w:hideMark/>
          </w:tcPr>
          <w:p w14:paraId="5A86551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5,19</w:t>
            </w:r>
          </w:p>
        </w:tc>
        <w:tc>
          <w:tcPr>
            <w:tcW w:w="1461" w:type="dxa"/>
            <w:tcBorders>
              <w:top w:val="nil"/>
              <w:left w:val="nil"/>
              <w:bottom w:val="single" w:sz="4" w:space="0" w:color="auto"/>
              <w:right w:val="single" w:sz="4" w:space="0" w:color="auto"/>
            </w:tcBorders>
            <w:shd w:val="clear" w:color="auto" w:fill="auto"/>
            <w:vAlign w:val="center"/>
            <w:hideMark/>
          </w:tcPr>
          <w:p w14:paraId="6E7AF30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19</w:t>
            </w:r>
          </w:p>
        </w:tc>
        <w:tc>
          <w:tcPr>
            <w:tcW w:w="1391" w:type="dxa"/>
            <w:tcBorders>
              <w:top w:val="nil"/>
              <w:left w:val="nil"/>
              <w:bottom w:val="single" w:sz="4" w:space="0" w:color="auto"/>
              <w:right w:val="single" w:sz="4" w:space="0" w:color="auto"/>
            </w:tcBorders>
            <w:shd w:val="clear" w:color="auto" w:fill="auto"/>
            <w:vAlign w:val="center"/>
            <w:hideMark/>
          </w:tcPr>
          <w:p w14:paraId="7DCB0D3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841,94</w:t>
            </w:r>
          </w:p>
        </w:tc>
        <w:tc>
          <w:tcPr>
            <w:tcW w:w="1266" w:type="dxa"/>
            <w:tcBorders>
              <w:top w:val="nil"/>
              <w:left w:val="nil"/>
              <w:bottom w:val="single" w:sz="4" w:space="0" w:color="auto"/>
              <w:right w:val="single" w:sz="4" w:space="0" w:color="auto"/>
            </w:tcBorders>
            <w:shd w:val="clear" w:color="auto" w:fill="auto"/>
            <w:vAlign w:val="center"/>
            <w:hideMark/>
          </w:tcPr>
          <w:p w14:paraId="71C5F82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w:t>
            </w:r>
          </w:p>
        </w:tc>
        <w:tc>
          <w:tcPr>
            <w:tcW w:w="1266" w:type="dxa"/>
            <w:tcBorders>
              <w:top w:val="nil"/>
              <w:left w:val="nil"/>
              <w:bottom w:val="single" w:sz="4" w:space="0" w:color="auto"/>
              <w:right w:val="single" w:sz="4" w:space="0" w:color="auto"/>
            </w:tcBorders>
            <w:shd w:val="clear" w:color="auto" w:fill="auto"/>
            <w:vAlign w:val="center"/>
            <w:hideMark/>
          </w:tcPr>
          <w:p w14:paraId="52CCD00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w:t>
            </w:r>
          </w:p>
        </w:tc>
      </w:tr>
      <w:tr w:rsidR="00E85F5F" w:rsidRPr="006F5CA6" w14:paraId="57B6FBB8"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457B031A"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GRUPO EMPRESARIAL JHS SAS</w:t>
            </w:r>
          </w:p>
        </w:tc>
        <w:tc>
          <w:tcPr>
            <w:tcW w:w="870" w:type="dxa"/>
            <w:tcBorders>
              <w:top w:val="nil"/>
              <w:left w:val="nil"/>
              <w:bottom w:val="single" w:sz="4" w:space="0" w:color="auto"/>
              <w:right w:val="single" w:sz="4" w:space="0" w:color="auto"/>
            </w:tcBorders>
            <w:shd w:val="clear" w:color="auto" w:fill="auto"/>
            <w:vAlign w:val="center"/>
            <w:hideMark/>
          </w:tcPr>
          <w:p w14:paraId="1B32D19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3,83</w:t>
            </w:r>
          </w:p>
        </w:tc>
        <w:tc>
          <w:tcPr>
            <w:tcW w:w="1461" w:type="dxa"/>
            <w:tcBorders>
              <w:top w:val="nil"/>
              <w:left w:val="nil"/>
              <w:bottom w:val="single" w:sz="4" w:space="0" w:color="auto"/>
              <w:right w:val="single" w:sz="4" w:space="0" w:color="auto"/>
            </w:tcBorders>
            <w:shd w:val="clear" w:color="auto" w:fill="auto"/>
            <w:vAlign w:val="center"/>
            <w:hideMark/>
          </w:tcPr>
          <w:p w14:paraId="079E685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48</w:t>
            </w:r>
          </w:p>
        </w:tc>
        <w:tc>
          <w:tcPr>
            <w:tcW w:w="1391" w:type="dxa"/>
            <w:tcBorders>
              <w:top w:val="nil"/>
              <w:left w:val="nil"/>
              <w:bottom w:val="single" w:sz="4" w:space="0" w:color="auto"/>
              <w:right w:val="single" w:sz="4" w:space="0" w:color="auto"/>
            </w:tcBorders>
            <w:shd w:val="clear" w:color="auto" w:fill="auto"/>
            <w:vAlign w:val="center"/>
            <w:hideMark/>
          </w:tcPr>
          <w:p w14:paraId="6315A21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42,68</w:t>
            </w:r>
          </w:p>
        </w:tc>
        <w:tc>
          <w:tcPr>
            <w:tcW w:w="1266" w:type="dxa"/>
            <w:tcBorders>
              <w:top w:val="nil"/>
              <w:left w:val="nil"/>
              <w:bottom w:val="single" w:sz="4" w:space="0" w:color="auto"/>
              <w:right w:val="single" w:sz="4" w:space="0" w:color="auto"/>
            </w:tcBorders>
            <w:shd w:val="clear" w:color="auto" w:fill="auto"/>
            <w:vAlign w:val="center"/>
            <w:hideMark/>
          </w:tcPr>
          <w:p w14:paraId="4FF7B64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17</w:t>
            </w:r>
          </w:p>
        </w:tc>
        <w:tc>
          <w:tcPr>
            <w:tcW w:w="1266" w:type="dxa"/>
            <w:tcBorders>
              <w:top w:val="nil"/>
              <w:left w:val="nil"/>
              <w:bottom w:val="single" w:sz="4" w:space="0" w:color="auto"/>
              <w:right w:val="single" w:sz="4" w:space="0" w:color="auto"/>
            </w:tcBorders>
            <w:shd w:val="clear" w:color="auto" w:fill="auto"/>
            <w:vAlign w:val="center"/>
            <w:hideMark/>
          </w:tcPr>
          <w:p w14:paraId="6D179F0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9</w:t>
            </w:r>
          </w:p>
        </w:tc>
      </w:tr>
      <w:tr w:rsidR="00E85F5F" w:rsidRPr="006F5CA6" w14:paraId="534EC0CF"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1E39A1D"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LAAN S.A.S</w:t>
            </w:r>
          </w:p>
        </w:tc>
        <w:tc>
          <w:tcPr>
            <w:tcW w:w="870" w:type="dxa"/>
            <w:tcBorders>
              <w:top w:val="nil"/>
              <w:left w:val="nil"/>
              <w:bottom w:val="single" w:sz="4" w:space="0" w:color="auto"/>
              <w:right w:val="single" w:sz="4" w:space="0" w:color="auto"/>
            </w:tcBorders>
            <w:shd w:val="clear" w:color="auto" w:fill="auto"/>
            <w:vAlign w:val="center"/>
            <w:hideMark/>
          </w:tcPr>
          <w:p w14:paraId="339BFCF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2,51</w:t>
            </w:r>
          </w:p>
        </w:tc>
        <w:tc>
          <w:tcPr>
            <w:tcW w:w="1461" w:type="dxa"/>
            <w:tcBorders>
              <w:top w:val="nil"/>
              <w:left w:val="nil"/>
              <w:bottom w:val="single" w:sz="4" w:space="0" w:color="auto"/>
              <w:right w:val="single" w:sz="4" w:space="0" w:color="auto"/>
            </w:tcBorders>
            <w:shd w:val="clear" w:color="auto" w:fill="auto"/>
            <w:vAlign w:val="center"/>
            <w:hideMark/>
          </w:tcPr>
          <w:p w14:paraId="02444C9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40,08</w:t>
            </w:r>
          </w:p>
        </w:tc>
        <w:tc>
          <w:tcPr>
            <w:tcW w:w="1391" w:type="dxa"/>
            <w:tcBorders>
              <w:top w:val="nil"/>
              <w:left w:val="nil"/>
              <w:bottom w:val="single" w:sz="4" w:space="0" w:color="auto"/>
              <w:right w:val="single" w:sz="4" w:space="0" w:color="auto"/>
            </w:tcBorders>
            <w:shd w:val="clear" w:color="auto" w:fill="auto"/>
            <w:vAlign w:val="center"/>
            <w:hideMark/>
          </w:tcPr>
          <w:p w14:paraId="113A69C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1,25</w:t>
            </w:r>
          </w:p>
        </w:tc>
        <w:tc>
          <w:tcPr>
            <w:tcW w:w="1266" w:type="dxa"/>
            <w:tcBorders>
              <w:top w:val="nil"/>
              <w:left w:val="nil"/>
              <w:bottom w:val="single" w:sz="4" w:space="0" w:color="auto"/>
              <w:right w:val="single" w:sz="4" w:space="0" w:color="auto"/>
            </w:tcBorders>
            <w:shd w:val="clear" w:color="auto" w:fill="auto"/>
            <w:vAlign w:val="center"/>
            <w:hideMark/>
          </w:tcPr>
          <w:p w14:paraId="08F826D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6,18</w:t>
            </w:r>
          </w:p>
        </w:tc>
        <w:tc>
          <w:tcPr>
            <w:tcW w:w="1266" w:type="dxa"/>
            <w:tcBorders>
              <w:top w:val="nil"/>
              <w:left w:val="nil"/>
              <w:bottom w:val="single" w:sz="4" w:space="0" w:color="auto"/>
              <w:right w:val="single" w:sz="4" w:space="0" w:color="auto"/>
            </w:tcBorders>
            <w:shd w:val="clear" w:color="auto" w:fill="auto"/>
            <w:vAlign w:val="center"/>
            <w:hideMark/>
          </w:tcPr>
          <w:p w14:paraId="32F633F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3,85</w:t>
            </w:r>
          </w:p>
        </w:tc>
      </w:tr>
      <w:tr w:rsidR="00E85F5F" w:rsidRPr="006F5CA6" w14:paraId="296D8E68"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F47A9FB"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LÍNEAS ESPECIALES CAJITUR SAS</w:t>
            </w:r>
          </w:p>
        </w:tc>
        <w:tc>
          <w:tcPr>
            <w:tcW w:w="870" w:type="dxa"/>
            <w:tcBorders>
              <w:top w:val="nil"/>
              <w:left w:val="nil"/>
              <w:bottom w:val="single" w:sz="4" w:space="0" w:color="auto"/>
              <w:right w:val="single" w:sz="4" w:space="0" w:color="auto"/>
            </w:tcBorders>
            <w:shd w:val="clear" w:color="auto" w:fill="auto"/>
            <w:vAlign w:val="center"/>
            <w:hideMark/>
          </w:tcPr>
          <w:p w14:paraId="4B50C16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1,12</w:t>
            </w:r>
          </w:p>
        </w:tc>
        <w:tc>
          <w:tcPr>
            <w:tcW w:w="1461" w:type="dxa"/>
            <w:tcBorders>
              <w:top w:val="nil"/>
              <w:left w:val="nil"/>
              <w:bottom w:val="single" w:sz="4" w:space="0" w:color="auto"/>
              <w:right w:val="single" w:sz="4" w:space="0" w:color="auto"/>
            </w:tcBorders>
            <w:shd w:val="clear" w:color="auto" w:fill="auto"/>
            <w:vAlign w:val="center"/>
            <w:hideMark/>
          </w:tcPr>
          <w:p w14:paraId="741931C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55</w:t>
            </w:r>
          </w:p>
        </w:tc>
        <w:tc>
          <w:tcPr>
            <w:tcW w:w="1391" w:type="dxa"/>
            <w:tcBorders>
              <w:top w:val="nil"/>
              <w:left w:val="nil"/>
              <w:bottom w:val="single" w:sz="4" w:space="0" w:color="auto"/>
              <w:right w:val="single" w:sz="4" w:space="0" w:color="auto"/>
            </w:tcBorders>
            <w:shd w:val="clear" w:color="auto" w:fill="auto"/>
            <w:vAlign w:val="center"/>
            <w:hideMark/>
          </w:tcPr>
          <w:p w14:paraId="0596E46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5,37</w:t>
            </w:r>
          </w:p>
        </w:tc>
        <w:tc>
          <w:tcPr>
            <w:tcW w:w="1266" w:type="dxa"/>
            <w:tcBorders>
              <w:top w:val="nil"/>
              <w:left w:val="nil"/>
              <w:bottom w:val="single" w:sz="4" w:space="0" w:color="auto"/>
              <w:right w:val="single" w:sz="4" w:space="0" w:color="auto"/>
            </w:tcBorders>
            <w:shd w:val="clear" w:color="auto" w:fill="auto"/>
            <w:vAlign w:val="center"/>
            <w:hideMark/>
          </w:tcPr>
          <w:p w14:paraId="08C4FFE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25</w:t>
            </w:r>
          </w:p>
        </w:tc>
        <w:tc>
          <w:tcPr>
            <w:tcW w:w="1266" w:type="dxa"/>
            <w:tcBorders>
              <w:top w:val="nil"/>
              <w:left w:val="nil"/>
              <w:bottom w:val="single" w:sz="4" w:space="0" w:color="auto"/>
              <w:right w:val="single" w:sz="4" w:space="0" w:color="auto"/>
            </w:tcBorders>
            <w:shd w:val="clear" w:color="auto" w:fill="auto"/>
            <w:vAlign w:val="center"/>
            <w:hideMark/>
          </w:tcPr>
          <w:p w14:paraId="0899715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w:t>
            </w:r>
          </w:p>
        </w:tc>
      </w:tr>
      <w:tr w:rsidR="00E85F5F" w:rsidRPr="006F5CA6" w14:paraId="7511A8AE"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6AFCF6EF"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LINESCOL S.A.S.</w:t>
            </w:r>
          </w:p>
        </w:tc>
        <w:tc>
          <w:tcPr>
            <w:tcW w:w="870" w:type="dxa"/>
            <w:tcBorders>
              <w:top w:val="nil"/>
              <w:left w:val="nil"/>
              <w:bottom w:val="single" w:sz="4" w:space="0" w:color="auto"/>
              <w:right w:val="single" w:sz="4" w:space="0" w:color="auto"/>
            </w:tcBorders>
            <w:shd w:val="clear" w:color="auto" w:fill="auto"/>
            <w:vAlign w:val="center"/>
            <w:hideMark/>
          </w:tcPr>
          <w:p w14:paraId="059A1B4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4,40</w:t>
            </w:r>
          </w:p>
        </w:tc>
        <w:tc>
          <w:tcPr>
            <w:tcW w:w="1461" w:type="dxa"/>
            <w:tcBorders>
              <w:top w:val="nil"/>
              <w:left w:val="nil"/>
              <w:bottom w:val="single" w:sz="4" w:space="0" w:color="auto"/>
              <w:right w:val="single" w:sz="4" w:space="0" w:color="auto"/>
            </w:tcBorders>
            <w:shd w:val="clear" w:color="auto" w:fill="auto"/>
            <w:vAlign w:val="center"/>
            <w:hideMark/>
          </w:tcPr>
          <w:p w14:paraId="0415835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33</w:t>
            </w:r>
          </w:p>
        </w:tc>
        <w:tc>
          <w:tcPr>
            <w:tcW w:w="1391" w:type="dxa"/>
            <w:tcBorders>
              <w:top w:val="nil"/>
              <w:left w:val="nil"/>
              <w:bottom w:val="single" w:sz="4" w:space="0" w:color="auto"/>
              <w:right w:val="single" w:sz="4" w:space="0" w:color="auto"/>
            </w:tcBorders>
            <w:shd w:val="clear" w:color="auto" w:fill="auto"/>
            <w:noWrap/>
            <w:vAlign w:val="bottom"/>
            <w:hideMark/>
          </w:tcPr>
          <w:p w14:paraId="485C161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INDETERMINADO</w:t>
            </w:r>
          </w:p>
        </w:tc>
        <w:tc>
          <w:tcPr>
            <w:tcW w:w="1266" w:type="dxa"/>
            <w:tcBorders>
              <w:top w:val="nil"/>
              <w:left w:val="nil"/>
              <w:bottom w:val="single" w:sz="4" w:space="0" w:color="auto"/>
              <w:right w:val="single" w:sz="4" w:space="0" w:color="auto"/>
            </w:tcBorders>
            <w:shd w:val="clear" w:color="auto" w:fill="auto"/>
            <w:vAlign w:val="center"/>
            <w:hideMark/>
          </w:tcPr>
          <w:p w14:paraId="0FC9464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w:t>
            </w:r>
          </w:p>
        </w:tc>
        <w:tc>
          <w:tcPr>
            <w:tcW w:w="1266" w:type="dxa"/>
            <w:tcBorders>
              <w:top w:val="nil"/>
              <w:left w:val="nil"/>
              <w:bottom w:val="single" w:sz="4" w:space="0" w:color="auto"/>
              <w:right w:val="single" w:sz="4" w:space="0" w:color="auto"/>
            </w:tcBorders>
            <w:shd w:val="clear" w:color="auto" w:fill="auto"/>
            <w:vAlign w:val="center"/>
            <w:hideMark/>
          </w:tcPr>
          <w:p w14:paraId="3798FEC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0</w:t>
            </w:r>
          </w:p>
        </w:tc>
      </w:tr>
      <w:tr w:rsidR="00E85F5F" w:rsidRPr="006F5CA6" w14:paraId="6DAE7205"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418114D2" w14:textId="77777777" w:rsidR="00E85F5F" w:rsidRPr="002F1E9E" w:rsidRDefault="00E85F5F" w:rsidP="00A9713F">
            <w:pPr>
              <w:jc w:val="both"/>
              <w:rPr>
                <w:rFonts w:ascii="Arial" w:eastAsia="Times New Roman" w:hAnsi="Arial" w:cs="Arial"/>
                <w:color w:val="000000"/>
                <w:sz w:val="14"/>
                <w:szCs w:val="14"/>
                <w:lang w:val="en-US"/>
              </w:rPr>
            </w:pPr>
            <w:r w:rsidRPr="002F1E9E">
              <w:rPr>
                <w:rFonts w:ascii="Arial" w:eastAsia="Times New Roman" w:hAnsi="Arial" w:cs="Arial"/>
                <w:color w:val="000000"/>
                <w:sz w:val="14"/>
                <w:szCs w:val="14"/>
                <w:lang w:val="en-US"/>
              </w:rPr>
              <w:lastRenderedPageBreak/>
              <w:t>LUXE BH TRANSPORTS S.A.S</w:t>
            </w:r>
          </w:p>
        </w:tc>
        <w:tc>
          <w:tcPr>
            <w:tcW w:w="870" w:type="dxa"/>
            <w:tcBorders>
              <w:top w:val="nil"/>
              <w:left w:val="nil"/>
              <w:bottom w:val="single" w:sz="4" w:space="0" w:color="auto"/>
              <w:right w:val="single" w:sz="4" w:space="0" w:color="auto"/>
            </w:tcBorders>
            <w:shd w:val="clear" w:color="auto" w:fill="auto"/>
            <w:vAlign w:val="center"/>
            <w:hideMark/>
          </w:tcPr>
          <w:p w14:paraId="10088EA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1,89</w:t>
            </w:r>
          </w:p>
        </w:tc>
        <w:tc>
          <w:tcPr>
            <w:tcW w:w="1461" w:type="dxa"/>
            <w:tcBorders>
              <w:top w:val="nil"/>
              <w:left w:val="nil"/>
              <w:bottom w:val="single" w:sz="4" w:space="0" w:color="auto"/>
              <w:right w:val="single" w:sz="4" w:space="0" w:color="auto"/>
            </w:tcBorders>
            <w:shd w:val="clear" w:color="auto" w:fill="auto"/>
            <w:vAlign w:val="center"/>
            <w:hideMark/>
          </w:tcPr>
          <w:p w14:paraId="3354CE9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38</w:t>
            </w:r>
          </w:p>
        </w:tc>
        <w:tc>
          <w:tcPr>
            <w:tcW w:w="1391" w:type="dxa"/>
            <w:tcBorders>
              <w:top w:val="nil"/>
              <w:left w:val="nil"/>
              <w:bottom w:val="single" w:sz="4" w:space="0" w:color="auto"/>
              <w:right w:val="single" w:sz="4" w:space="0" w:color="auto"/>
            </w:tcBorders>
            <w:shd w:val="clear" w:color="auto" w:fill="auto"/>
            <w:vAlign w:val="center"/>
            <w:hideMark/>
          </w:tcPr>
          <w:p w14:paraId="57866CB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118</w:t>
            </w:r>
          </w:p>
        </w:tc>
        <w:tc>
          <w:tcPr>
            <w:tcW w:w="1266" w:type="dxa"/>
            <w:tcBorders>
              <w:top w:val="nil"/>
              <w:left w:val="nil"/>
              <w:bottom w:val="single" w:sz="4" w:space="0" w:color="auto"/>
              <w:right w:val="single" w:sz="4" w:space="0" w:color="auto"/>
            </w:tcBorders>
            <w:shd w:val="clear" w:color="auto" w:fill="auto"/>
            <w:vAlign w:val="center"/>
            <w:hideMark/>
          </w:tcPr>
          <w:p w14:paraId="5B059DF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23</w:t>
            </w:r>
          </w:p>
        </w:tc>
        <w:tc>
          <w:tcPr>
            <w:tcW w:w="1266" w:type="dxa"/>
            <w:tcBorders>
              <w:top w:val="nil"/>
              <w:left w:val="nil"/>
              <w:bottom w:val="single" w:sz="4" w:space="0" w:color="auto"/>
              <w:right w:val="single" w:sz="4" w:space="0" w:color="auto"/>
            </w:tcBorders>
            <w:shd w:val="clear" w:color="auto" w:fill="auto"/>
            <w:vAlign w:val="center"/>
            <w:hideMark/>
          </w:tcPr>
          <w:p w14:paraId="018A05B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14</w:t>
            </w:r>
          </w:p>
        </w:tc>
      </w:tr>
      <w:tr w:rsidR="00E85F5F" w:rsidRPr="006F5CA6" w14:paraId="456F27B8"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58592C4E"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SASO SA</w:t>
            </w:r>
          </w:p>
        </w:tc>
        <w:tc>
          <w:tcPr>
            <w:tcW w:w="870" w:type="dxa"/>
            <w:tcBorders>
              <w:top w:val="nil"/>
              <w:left w:val="nil"/>
              <w:bottom w:val="single" w:sz="4" w:space="0" w:color="auto"/>
              <w:right w:val="single" w:sz="4" w:space="0" w:color="auto"/>
            </w:tcBorders>
            <w:shd w:val="clear" w:color="auto" w:fill="auto"/>
            <w:vAlign w:val="center"/>
            <w:hideMark/>
          </w:tcPr>
          <w:p w14:paraId="70057F9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8,38</w:t>
            </w:r>
          </w:p>
        </w:tc>
        <w:tc>
          <w:tcPr>
            <w:tcW w:w="1461" w:type="dxa"/>
            <w:tcBorders>
              <w:top w:val="nil"/>
              <w:left w:val="nil"/>
              <w:bottom w:val="single" w:sz="4" w:space="0" w:color="auto"/>
              <w:right w:val="single" w:sz="4" w:space="0" w:color="auto"/>
            </w:tcBorders>
            <w:shd w:val="clear" w:color="auto" w:fill="auto"/>
            <w:vAlign w:val="center"/>
            <w:hideMark/>
          </w:tcPr>
          <w:p w14:paraId="1DFC496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18</w:t>
            </w:r>
          </w:p>
        </w:tc>
        <w:tc>
          <w:tcPr>
            <w:tcW w:w="1391" w:type="dxa"/>
            <w:tcBorders>
              <w:top w:val="nil"/>
              <w:left w:val="nil"/>
              <w:bottom w:val="single" w:sz="4" w:space="0" w:color="auto"/>
              <w:right w:val="single" w:sz="4" w:space="0" w:color="auto"/>
            </w:tcBorders>
            <w:shd w:val="clear" w:color="auto" w:fill="auto"/>
            <w:vAlign w:val="center"/>
            <w:hideMark/>
          </w:tcPr>
          <w:p w14:paraId="7298B8F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12,22</w:t>
            </w:r>
          </w:p>
        </w:tc>
        <w:tc>
          <w:tcPr>
            <w:tcW w:w="1266" w:type="dxa"/>
            <w:tcBorders>
              <w:top w:val="nil"/>
              <w:left w:val="nil"/>
              <w:bottom w:val="single" w:sz="4" w:space="0" w:color="auto"/>
              <w:right w:val="single" w:sz="4" w:space="0" w:color="auto"/>
            </w:tcBorders>
            <w:shd w:val="clear" w:color="auto" w:fill="auto"/>
            <w:vAlign w:val="center"/>
            <w:hideMark/>
          </w:tcPr>
          <w:p w14:paraId="67FD306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w:t>
            </w:r>
          </w:p>
        </w:tc>
        <w:tc>
          <w:tcPr>
            <w:tcW w:w="1266" w:type="dxa"/>
            <w:tcBorders>
              <w:top w:val="nil"/>
              <w:left w:val="nil"/>
              <w:bottom w:val="single" w:sz="4" w:space="0" w:color="auto"/>
              <w:right w:val="single" w:sz="4" w:space="0" w:color="auto"/>
            </w:tcBorders>
            <w:shd w:val="clear" w:color="auto" w:fill="auto"/>
            <w:vAlign w:val="center"/>
            <w:hideMark/>
          </w:tcPr>
          <w:p w14:paraId="7735BFE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w:t>
            </w:r>
          </w:p>
        </w:tc>
      </w:tr>
      <w:tr w:rsidR="00E85F5F" w:rsidRPr="006F5CA6" w14:paraId="79A5B401"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545386D3"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SERVI ESPECIALES GACHANCIPA Y TURISMO SAS</w:t>
            </w:r>
          </w:p>
        </w:tc>
        <w:tc>
          <w:tcPr>
            <w:tcW w:w="870" w:type="dxa"/>
            <w:tcBorders>
              <w:top w:val="nil"/>
              <w:left w:val="nil"/>
              <w:bottom w:val="single" w:sz="4" w:space="0" w:color="auto"/>
              <w:right w:val="single" w:sz="4" w:space="0" w:color="auto"/>
            </w:tcBorders>
            <w:shd w:val="clear" w:color="auto" w:fill="auto"/>
            <w:vAlign w:val="center"/>
            <w:hideMark/>
          </w:tcPr>
          <w:p w14:paraId="2368235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2,03</w:t>
            </w:r>
          </w:p>
        </w:tc>
        <w:tc>
          <w:tcPr>
            <w:tcW w:w="1461" w:type="dxa"/>
            <w:tcBorders>
              <w:top w:val="nil"/>
              <w:left w:val="nil"/>
              <w:bottom w:val="single" w:sz="4" w:space="0" w:color="auto"/>
              <w:right w:val="single" w:sz="4" w:space="0" w:color="auto"/>
            </w:tcBorders>
            <w:shd w:val="clear" w:color="auto" w:fill="auto"/>
            <w:vAlign w:val="center"/>
            <w:hideMark/>
          </w:tcPr>
          <w:p w14:paraId="6D20C6E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46</w:t>
            </w:r>
          </w:p>
        </w:tc>
        <w:tc>
          <w:tcPr>
            <w:tcW w:w="1391" w:type="dxa"/>
            <w:tcBorders>
              <w:top w:val="nil"/>
              <w:left w:val="nil"/>
              <w:bottom w:val="single" w:sz="4" w:space="0" w:color="auto"/>
              <w:right w:val="single" w:sz="4" w:space="0" w:color="auto"/>
            </w:tcBorders>
            <w:shd w:val="clear" w:color="auto" w:fill="auto"/>
            <w:vAlign w:val="center"/>
            <w:hideMark/>
          </w:tcPr>
          <w:p w14:paraId="1D7A6C6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8,71</w:t>
            </w:r>
          </w:p>
        </w:tc>
        <w:tc>
          <w:tcPr>
            <w:tcW w:w="1266" w:type="dxa"/>
            <w:tcBorders>
              <w:top w:val="nil"/>
              <w:left w:val="nil"/>
              <w:bottom w:val="single" w:sz="4" w:space="0" w:color="auto"/>
              <w:right w:val="single" w:sz="4" w:space="0" w:color="auto"/>
            </w:tcBorders>
            <w:shd w:val="clear" w:color="auto" w:fill="auto"/>
            <w:vAlign w:val="center"/>
            <w:hideMark/>
          </w:tcPr>
          <w:p w14:paraId="7C9D439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21</w:t>
            </w:r>
          </w:p>
        </w:tc>
        <w:tc>
          <w:tcPr>
            <w:tcW w:w="1266" w:type="dxa"/>
            <w:tcBorders>
              <w:top w:val="nil"/>
              <w:left w:val="nil"/>
              <w:bottom w:val="single" w:sz="4" w:space="0" w:color="auto"/>
              <w:right w:val="single" w:sz="4" w:space="0" w:color="auto"/>
            </w:tcBorders>
            <w:shd w:val="clear" w:color="auto" w:fill="auto"/>
            <w:vAlign w:val="center"/>
            <w:hideMark/>
          </w:tcPr>
          <w:p w14:paraId="3837F7F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w:t>
            </w:r>
          </w:p>
        </w:tc>
      </w:tr>
      <w:tr w:rsidR="00E85F5F" w:rsidRPr="006F5CA6" w14:paraId="4B51F311"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64F7841F"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SERVICIOS INTEGRALES GB SAS</w:t>
            </w:r>
          </w:p>
        </w:tc>
        <w:tc>
          <w:tcPr>
            <w:tcW w:w="870" w:type="dxa"/>
            <w:tcBorders>
              <w:top w:val="nil"/>
              <w:left w:val="nil"/>
              <w:bottom w:val="single" w:sz="4" w:space="0" w:color="auto"/>
              <w:right w:val="single" w:sz="4" w:space="0" w:color="auto"/>
            </w:tcBorders>
            <w:shd w:val="clear" w:color="auto" w:fill="auto"/>
            <w:vAlign w:val="center"/>
            <w:hideMark/>
          </w:tcPr>
          <w:p w14:paraId="0694798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9,93</w:t>
            </w:r>
          </w:p>
        </w:tc>
        <w:tc>
          <w:tcPr>
            <w:tcW w:w="1461" w:type="dxa"/>
            <w:tcBorders>
              <w:top w:val="nil"/>
              <w:left w:val="nil"/>
              <w:bottom w:val="single" w:sz="4" w:space="0" w:color="auto"/>
              <w:right w:val="single" w:sz="4" w:space="0" w:color="auto"/>
            </w:tcBorders>
            <w:shd w:val="clear" w:color="auto" w:fill="auto"/>
            <w:vAlign w:val="center"/>
            <w:hideMark/>
          </w:tcPr>
          <w:p w14:paraId="0907B30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w:t>
            </w:r>
          </w:p>
        </w:tc>
        <w:tc>
          <w:tcPr>
            <w:tcW w:w="1391" w:type="dxa"/>
            <w:tcBorders>
              <w:top w:val="nil"/>
              <w:left w:val="nil"/>
              <w:bottom w:val="single" w:sz="4" w:space="0" w:color="auto"/>
              <w:right w:val="single" w:sz="4" w:space="0" w:color="auto"/>
            </w:tcBorders>
            <w:shd w:val="clear" w:color="auto" w:fill="auto"/>
            <w:vAlign w:val="center"/>
            <w:hideMark/>
          </w:tcPr>
          <w:p w14:paraId="076AB0E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113</w:t>
            </w:r>
          </w:p>
        </w:tc>
        <w:tc>
          <w:tcPr>
            <w:tcW w:w="1266" w:type="dxa"/>
            <w:tcBorders>
              <w:top w:val="nil"/>
              <w:left w:val="nil"/>
              <w:bottom w:val="single" w:sz="4" w:space="0" w:color="auto"/>
              <w:right w:val="single" w:sz="4" w:space="0" w:color="auto"/>
            </w:tcBorders>
            <w:shd w:val="clear" w:color="auto" w:fill="auto"/>
            <w:vAlign w:val="center"/>
            <w:hideMark/>
          </w:tcPr>
          <w:p w14:paraId="2310BC8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25</w:t>
            </w:r>
          </w:p>
        </w:tc>
        <w:tc>
          <w:tcPr>
            <w:tcW w:w="1266" w:type="dxa"/>
            <w:tcBorders>
              <w:top w:val="nil"/>
              <w:left w:val="nil"/>
              <w:bottom w:val="single" w:sz="4" w:space="0" w:color="auto"/>
              <w:right w:val="single" w:sz="4" w:space="0" w:color="auto"/>
            </w:tcBorders>
            <w:shd w:val="clear" w:color="auto" w:fill="auto"/>
            <w:vAlign w:val="center"/>
            <w:hideMark/>
          </w:tcPr>
          <w:p w14:paraId="541E16A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23</w:t>
            </w:r>
          </w:p>
        </w:tc>
      </w:tr>
      <w:tr w:rsidR="00E85F5F" w:rsidRPr="006F5CA6" w14:paraId="5070066E"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1E6BBED"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SERVITURES DE LA SABANA SAS</w:t>
            </w:r>
          </w:p>
        </w:tc>
        <w:tc>
          <w:tcPr>
            <w:tcW w:w="870" w:type="dxa"/>
            <w:tcBorders>
              <w:top w:val="nil"/>
              <w:left w:val="nil"/>
              <w:bottom w:val="single" w:sz="4" w:space="0" w:color="auto"/>
              <w:right w:val="single" w:sz="4" w:space="0" w:color="auto"/>
            </w:tcBorders>
            <w:shd w:val="clear" w:color="auto" w:fill="auto"/>
            <w:vAlign w:val="center"/>
            <w:hideMark/>
          </w:tcPr>
          <w:p w14:paraId="2BC44A6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2,74</w:t>
            </w:r>
          </w:p>
        </w:tc>
        <w:tc>
          <w:tcPr>
            <w:tcW w:w="1461" w:type="dxa"/>
            <w:tcBorders>
              <w:top w:val="nil"/>
              <w:left w:val="nil"/>
              <w:bottom w:val="single" w:sz="4" w:space="0" w:color="auto"/>
              <w:right w:val="single" w:sz="4" w:space="0" w:color="auto"/>
            </w:tcBorders>
            <w:shd w:val="clear" w:color="auto" w:fill="auto"/>
            <w:vAlign w:val="center"/>
            <w:hideMark/>
          </w:tcPr>
          <w:p w14:paraId="2466A94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35,19</w:t>
            </w:r>
          </w:p>
        </w:tc>
        <w:tc>
          <w:tcPr>
            <w:tcW w:w="1391" w:type="dxa"/>
            <w:tcBorders>
              <w:top w:val="nil"/>
              <w:left w:val="nil"/>
              <w:bottom w:val="single" w:sz="4" w:space="0" w:color="auto"/>
              <w:right w:val="single" w:sz="4" w:space="0" w:color="auto"/>
            </w:tcBorders>
            <w:shd w:val="clear" w:color="auto" w:fill="auto"/>
            <w:vAlign w:val="center"/>
            <w:hideMark/>
          </w:tcPr>
          <w:p w14:paraId="1178150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20,1</w:t>
            </w:r>
          </w:p>
        </w:tc>
        <w:tc>
          <w:tcPr>
            <w:tcW w:w="1266" w:type="dxa"/>
            <w:tcBorders>
              <w:top w:val="nil"/>
              <w:left w:val="nil"/>
              <w:bottom w:val="single" w:sz="4" w:space="0" w:color="auto"/>
              <w:right w:val="single" w:sz="4" w:space="0" w:color="auto"/>
            </w:tcBorders>
            <w:shd w:val="clear" w:color="auto" w:fill="auto"/>
            <w:vAlign w:val="center"/>
            <w:hideMark/>
          </w:tcPr>
          <w:p w14:paraId="46CB956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38,25</w:t>
            </w:r>
          </w:p>
        </w:tc>
        <w:tc>
          <w:tcPr>
            <w:tcW w:w="1266" w:type="dxa"/>
            <w:tcBorders>
              <w:top w:val="nil"/>
              <w:left w:val="nil"/>
              <w:bottom w:val="single" w:sz="4" w:space="0" w:color="auto"/>
              <w:right w:val="single" w:sz="4" w:space="0" w:color="auto"/>
            </w:tcBorders>
            <w:shd w:val="clear" w:color="auto" w:fill="auto"/>
            <w:vAlign w:val="center"/>
            <w:hideMark/>
          </w:tcPr>
          <w:p w14:paraId="0B2F141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24,79</w:t>
            </w:r>
          </w:p>
        </w:tc>
      </w:tr>
      <w:tr w:rsidR="00E85F5F" w:rsidRPr="006F5CA6" w14:paraId="69DEF3D3"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74B395B4"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TOURS DE LAS AMERICAS SAS</w:t>
            </w:r>
          </w:p>
        </w:tc>
        <w:tc>
          <w:tcPr>
            <w:tcW w:w="870" w:type="dxa"/>
            <w:tcBorders>
              <w:top w:val="nil"/>
              <w:left w:val="nil"/>
              <w:bottom w:val="single" w:sz="4" w:space="0" w:color="auto"/>
              <w:right w:val="single" w:sz="4" w:space="0" w:color="auto"/>
            </w:tcBorders>
            <w:shd w:val="clear" w:color="auto" w:fill="auto"/>
            <w:vAlign w:val="center"/>
            <w:hideMark/>
          </w:tcPr>
          <w:p w14:paraId="2883223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20,76</w:t>
            </w:r>
          </w:p>
        </w:tc>
        <w:tc>
          <w:tcPr>
            <w:tcW w:w="1461" w:type="dxa"/>
            <w:tcBorders>
              <w:top w:val="nil"/>
              <w:left w:val="nil"/>
              <w:bottom w:val="single" w:sz="4" w:space="0" w:color="auto"/>
              <w:right w:val="single" w:sz="4" w:space="0" w:color="auto"/>
            </w:tcBorders>
            <w:shd w:val="clear" w:color="auto" w:fill="auto"/>
            <w:vAlign w:val="center"/>
            <w:hideMark/>
          </w:tcPr>
          <w:p w14:paraId="49C53DC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27</w:t>
            </w:r>
          </w:p>
        </w:tc>
        <w:tc>
          <w:tcPr>
            <w:tcW w:w="1391" w:type="dxa"/>
            <w:tcBorders>
              <w:top w:val="nil"/>
              <w:left w:val="nil"/>
              <w:bottom w:val="single" w:sz="4" w:space="0" w:color="auto"/>
              <w:right w:val="single" w:sz="4" w:space="0" w:color="auto"/>
            </w:tcBorders>
            <w:shd w:val="clear" w:color="auto" w:fill="auto"/>
            <w:vAlign w:val="center"/>
            <w:hideMark/>
          </w:tcPr>
          <w:p w14:paraId="2EDFB6F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4,63</w:t>
            </w:r>
          </w:p>
        </w:tc>
        <w:tc>
          <w:tcPr>
            <w:tcW w:w="1266" w:type="dxa"/>
            <w:tcBorders>
              <w:top w:val="nil"/>
              <w:left w:val="nil"/>
              <w:bottom w:val="single" w:sz="4" w:space="0" w:color="auto"/>
              <w:right w:val="single" w:sz="4" w:space="0" w:color="auto"/>
            </w:tcBorders>
            <w:shd w:val="clear" w:color="auto" w:fill="auto"/>
            <w:vAlign w:val="center"/>
            <w:hideMark/>
          </w:tcPr>
          <w:p w14:paraId="5779DF2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w:t>
            </w:r>
          </w:p>
        </w:tc>
        <w:tc>
          <w:tcPr>
            <w:tcW w:w="1266" w:type="dxa"/>
            <w:tcBorders>
              <w:top w:val="nil"/>
              <w:left w:val="nil"/>
              <w:bottom w:val="single" w:sz="4" w:space="0" w:color="auto"/>
              <w:right w:val="single" w:sz="4" w:space="0" w:color="auto"/>
            </w:tcBorders>
            <w:shd w:val="clear" w:color="auto" w:fill="auto"/>
            <w:vAlign w:val="center"/>
            <w:hideMark/>
          </w:tcPr>
          <w:p w14:paraId="79724CA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w:t>
            </w:r>
          </w:p>
        </w:tc>
      </w:tr>
      <w:tr w:rsidR="00E85F5F" w:rsidRPr="006F5CA6" w14:paraId="3FA602E6" w14:textId="77777777" w:rsidTr="00E85F5F">
        <w:trPr>
          <w:trHeight w:val="36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93CCA0F"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TRANSPORTE ZONAL INTEGRADO SAS EN REORGANIZACION</w:t>
            </w:r>
          </w:p>
        </w:tc>
        <w:tc>
          <w:tcPr>
            <w:tcW w:w="870" w:type="dxa"/>
            <w:tcBorders>
              <w:top w:val="nil"/>
              <w:left w:val="nil"/>
              <w:bottom w:val="single" w:sz="4" w:space="0" w:color="auto"/>
              <w:right w:val="single" w:sz="4" w:space="0" w:color="auto"/>
            </w:tcBorders>
            <w:shd w:val="clear" w:color="auto" w:fill="auto"/>
            <w:vAlign w:val="center"/>
            <w:hideMark/>
          </w:tcPr>
          <w:p w14:paraId="1C20643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24,70</w:t>
            </w:r>
          </w:p>
        </w:tc>
        <w:tc>
          <w:tcPr>
            <w:tcW w:w="1461" w:type="dxa"/>
            <w:tcBorders>
              <w:top w:val="nil"/>
              <w:left w:val="nil"/>
              <w:bottom w:val="single" w:sz="4" w:space="0" w:color="auto"/>
              <w:right w:val="single" w:sz="4" w:space="0" w:color="auto"/>
            </w:tcBorders>
            <w:shd w:val="clear" w:color="auto" w:fill="auto"/>
            <w:vAlign w:val="center"/>
            <w:hideMark/>
          </w:tcPr>
          <w:p w14:paraId="21B13F6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86,45</w:t>
            </w:r>
          </w:p>
        </w:tc>
        <w:tc>
          <w:tcPr>
            <w:tcW w:w="1391" w:type="dxa"/>
            <w:tcBorders>
              <w:top w:val="nil"/>
              <w:left w:val="nil"/>
              <w:bottom w:val="single" w:sz="4" w:space="0" w:color="auto"/>
              <w:right w:val="single" w:sz="4" w:space="0" w:color="auto"/>
            </w:tcBorders>
            <w:shd w:val="clear" w:color="auto" w:fill="auto"/>
            <w:vAlign w:val="center"/>
            <w:hideMark/>
          </w:tcPr>
          <w:p w14:paraId="27D995A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INDETERMINADO</w:t>
            </w:r>
          </w:p>
        </w:tc>
        <w:tc>
          <w:tcPr>
            <w:tcW w:w="1266" w:type="dxa"/>
            <w:tcBorders>
              <w:top w:val="nil"/>
              <w:left w:val="nil"/>
              <w:bottom w:val="single" w:sz="4" w:space="0" w:color="auto"/>
              <w:right w:val="single" w:sz="4" w:space="0" w:color="auto"/>
            </w:tcBorders>
            <w:shd w:val="clear" w:color="auto" w:fill="auto"/>
            <w:vAlign w:val="center"/>
            <w:hideMark/>
          </w:tcPr>
          <w:p w14:paraId="614EF59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16,4</w:t>
            </w:r>
          </w:p>
        </w:tc>
        <w:tc>
          <w:tcPr>
            <w:tcW w:w="1266" w:type="dxa"/>
            <w:tcBorders>
              <w:top w:val="nil"/>
              <w:left w:val="nil"/>
              <w:bottom w:val="single" w:sz="4" w:space="0" w:color="auto"/>
              <w:right w:val="single" w:sz="4" w:space="0" w:color="auto"/>
            </w:tcBorders>
            <w:shd w:val="clear" w:color="auto" w:fill="auto"/>
            <w:vAlign w:val="center"/>
            <w:hideMark/>
          </w:tcPr>
          <w:p w14:paraId="2D309E7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7,21</w:t>
            </w:r>
          </w:p>
        </w:tc>
      </w:tr>
      <w:tr w:rsidR="00E85F5F" w:rsidRPr="006F5CA6" w14:paraId="27B42FA4"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5ECA1429"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TRANSPORTES CSC SAS EN REORGANIZACION</w:t>
            </w:r>
          </w:p>
        </w:tc>
        <w:tc>
          <w:tcPr>
            <w:tcW w:w="870" w:type="dxa"/>
            <w:tcBorders>
              <w:top w:val="nil"/>
              <w:left w:val="nil"/>
              <w:bottom w:val="single" w:sz="4" w:space="0" w:color="auto"/>
              <w:right w:val="single" w:sz="4" w:space="0" w:color="auto"/>
            </w:tcBorders>
            <w:shd w:val="clear" w:color="auto" w:fill="auto"/>
            <w:vAlign w:val="center"/>
            <w:hideMark/>
          </w:tcPr>
          <w:p w14:paraId="0974443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1,91</w:t>
            </w:r>
          </w:p>
        </w:tc>
        <w:tc>
          <w:tcPr>
            <w:tcW w:w="1461" w:type="dxa"/>
            <w:tcBorders>
              <w:top w:val="nil"/>
              <w:left w:val="nil"/>
              <w:bottom w:val="single" w:sz="4" w:space="0" w:color="auto"/>
              <w:right w:val="single" w:sz="4" w:space="0" w:color="auto"/>
            </w:tcBorders>
            <w:shd w:val="clear" w:color="auto" w:fill="auto"/>
            <w:vAlign w:val="center"/>
            <w:hideMark/>
          </w:tcPr>
          <w:p w14:paraId="4C6A756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86,04</w:t>
            </w:r>
          </w:p>
        </w:tc>
        <w:tc>
          <w:tcPr>
            <w:tcW w:w="1391" w:type="dxa"/>
            <w:tcBorders>
              <w:top w:val="nil"/>
              <w:left w:val="nil"/>
              <w:bottom w:val="single" w:sz="4" w:space="0" w:color="auto"/>
              <w:right w:val="single" w:sz="4" w:space="0" w:color="auto"/>
            </w:tcBorders>
            <w:shd w:val="clear" w:color="auto" w:fill="auto"/>
            <w:vAlign w:val="center"/>
            <w:hideMark/>
          </w:tcPr>
          <w:p w14:paraId="2B26044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0,58</w:t>
            </w:r>
          </w:p>
        </w:tc>
        <w:tc>
          <w:tcPr>
            <w:tcW w:w="1266" w:type="dxa"/>
            <w:tcBorders>
              <w:top w:val="nil"/>
              <w:left w:val="nil"/>
              <w:bottom w:val="single" w:sz="4" w:space="0" w:color="auto"/>
              <w:right w:val="single" w:sz="4" w:space="0" w:color="auto"/>
            </w:tcBorders>
            <w:shd w:val="clear" w:color="auto" w:fill="auto"/>
            <w:vAlign w:val="center"/>
            <w:hideMark/>
          </w:tcPr>
          <w:p w14:paraId="6C7FAD5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12,62</w:t>
            </w:r>
          </w:p>
        </w:tc>
        <w:tc>
          <w:tcPr>
            <w:tcW w:w="1266" w:type="dxa"/>
            <w:tcBorders>
              <w:top w:val="nil"/>
              <w:left w:val="nil"/>
              <w:bottom w:val="single" w:sz="4" w:space="0" w:color="auto"/>
              <w:right w:val="single" w:sz="4" w:space="0" w:color="auto"/>
            </w:tcBorders>
            <w:shd w:val="clear" w:color="auto" w:fill="auto"/>
            <w:vAlign w:val="center"/>
            <w:hideMark/>
          </w:tcPr>
          <w:p w14:paraId="7929418F"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3,24</w:t>
            </w:r>
          </w:p>
        </w:tc>
      </w:tr>
      <w:tr w:rsidR="00E85F5F" w:rsidRPr="006F5CA6" w14:paraId="1B2B05E4"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4694770D"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TRANSPORTES ESMERALDA SAS</w:t>
            </w:r>
          </w:p>
        </w:tc>
        <w:tc>
          <w:tcPr>
            <w:tcW w:w="870" w:type="dxa"/>
            <w:tcBorders>
              <w:top w:val="nil"/>
              <w:left w:val="nil"/>
              <w:bottom w:val="single" w:sz="4" w:space="0" w:color="auto"/>
              <w:right w:val="single" w:sz="4" w:space="0" w:color="auto"/>
            </w:tcBorders>
            <w:shd w:val="clear" w:color="auto" w:fill="auto"/>
            <w:vAlign w:val="center"/>
            <w:hideMark/>
          </w:tcPr>
          <w:p w14:paraId="48A80AB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4,09</w:t>
            </w:r>
          </w:p>
        </w:tc>
        <w:tc>
          <w:tcPr>
            <w:tcW w:w="1461" w:type="dxa"/>
            <w:tcBorders>
              <w:top w:val="nil"/>
              <w:left w:val="nil"/>
              <w:bottom w:val="single" w:sz="4" w:space="0" w:color="auto"/>
              <w:right w:val="single" w:sz="4" w:space="0" w:color="auto"/>
            </w:tcBorders>
            <w:shd w:val="clear" w:color="auto" w:fill="auto"/>
            <w:vAlign w:val="center"/>
            <w:hideMark/>
          </w:tcPr>
          <w:p w14:paraId="71AFAB8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41</w:t>
            </w:r>
          </w:p>
        </w:tc>
        <w:tc>
          <w:tcPr>
            <w:tcW w:w="1391" w:type="dxa"/>
            <w:tcBorders>
              <w:top w:val="nil"/>
              <w:left w:val="nil"/>
              <w:bottom w:val="single" w:sz="4" w:space="0" w:color="auto"/>
              <w:right w:val="single" w:sz="4" w:space="0" w:color="auto"/>
            </w:tcBorders>
            <w:shd w:val="clear" w:color="auto" w:fill="auto"/>
            <w:vAlign w:val="center"/>
            <w:hideMark/>
          </w:tcPr>
          <w:p w14:paraId="7B552C5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23,57</w:t>
            </w:r>
          </w:p>
        </w:tc>
        <w:tc>
          <w:tcPr>
            <w:tcW w:w="1266" w:type="dxa"/>
            <w:tcBorders>
              <w:top w:val="nil"/>
              <w:left w:val="nil"/>
              <w:bottom w:val="single" w:sz="4" w:space="0" w:color="auto"/>
              <w:right w:val="single" w:sz="4" w:space="0" w:color="auto"/>
            </w:tcBorders>
            <w:shd w:val="clear" w:color="auto" w:fill="auto"/>
            <w:vAlign w:val="center"/>
            <w:hideMark/>
          </w:tcPr>
          <w:p w14:paraId="0D930A0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22</w:t>
            </w:r>
          </w:p>
        </w:tc>
        <w:tc>
          <w:tcPr>
            <w:tcW w:w="1266" w:type="dxa"/>
            <w:tcBorders>
              <w:top w:val="nil"/>
              <w:left w:val="nil"/>
              <w:bottom w:val="single" w:sz="4" w:space="0" w:color="auto"/>
              <w:right w:val="single" w:sz="4" w:space="0" w:color="auto"/>
            </w:tcBorders>
            <w:shd w:val="clear" w:color="auto" w:fill="auto"/>
            <w:vAlign w:val="center"/>
            <w:hideMark/>
          </w:tcPr>
          <w:p w14:paraId="5CF3A0B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13</w:t>
            </w:r>
          </w:p>
        </w:tc>
      </w:tr>
      <w:tr w:rsidR="00E85F5F" w:rsidRPr="006F5CA6" w14:paraId="2A653A0B"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5C8DC28F"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TRANSPORTES GALILEA S.A.S</w:t>
            </w:r>
          </w:p>
        </w:tc>
        <w:tc>
          <w:tcPr>
            <w:tcW w:w="870" w:type="dxa"/>
            <w:tcBorders>
              <w:top w:val="nil"/>
              <w:left w:val="nil"/>
              <w:bottom w:val="single" w:sz="4" w:space="0" w:color="auto"/>
              <w:right w:val="single" w:sz="4" w:space="0" w:color="auto"/>
            </w:tcBorders>
            <w:shd w:val="clear" w:color="auto" w:fill="auto"/>
            <w:vAlign w:val="center"/>
            <w:hideMark/>
          </w:tcPr>
          <w:p w14:paraId="456DD3C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2,75</w:t>
            </w:r>
          </w:p>
        </w:tc>
        <w:tc>
          <w:tcPr>
            <w:tcW w:w="1461" w:type="dxa"/>
            <w:tcBorders>
              <w:top w:val="nil"/>
              <w:left w:val="nil"/>
              <w:bottom w:val="single" w:sz="4" w:space="0" w:color="auto"/>
              <w:right w:val="single" w:sz="4" w:space="0" w:color="auto"/>
            </w:tcBorders>
            <w:shd w:val="clear" w:color="auto" w:fill="auto"/>
            <w:vAlign w:val="center"/>
            <w:hideMark/>
          </w:tcPr>
          <w:p w14:paraId="2162150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48</w:t>
            </w:r>
          </w:p>
        </w:tc>
        <w:tc>
          <w:tcPr>
            <w:tcW w:w="1391" w:type="dxa"/>
            <w:tcBorders>
              <w:top w:val="nil"/>
              <w:left w:val="nil"/>
              <w:bottom w:val="single" w:sz="4" w:space="0" w:color="auto"/>
              <w:right w:val="single" w:sz="4" w:space="0" w:color="auto"/>
            </w:tcBorders>
            <w:shd w:val="clear" w:color="auto" w:fill="auto"/>
            <w:noWrap/>
            <w:vAlign w:val="bottom"/>
            <w:hideMark/>
          </w:tcPr>
          <w:p w14:paraId="4ACD1C3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INDETERMINADO</w:t>
            </w:r>
          </w:p>
        </w:tc>
        <w:tc>
          <w:tcPr>
            <w:tcW w:w="1266" w:type="dxa"/>
            <w:tcBorders>
              <w:top w:val="nil"/>
              <w:left w:val="nil"/>
              <w:bottom w:val="single" w:sz="4" w:space="0" w:color="auto"/>
              <w:right w:val="single" w:sz="4" w:space="0" w:color="auto"/>
            </w:tcBorders>
            <w:shd w:val="clear" w:color="auto" w:fill="auto"/>
            <w:vAlign w:val="center"/>
            <w:hideMark/>
          </w:tcPr>
          <w:p w14:paraId="39C10536"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15</w:t>
            </w:r>
          </w:p>
        </w:tc>
        <w:tc>
          <w:tcPr>
            <w:tcW w:w="1266" w:type="dxa"/>
            <w:tcBorders>
              <w:top w:val="nil"/>
              <w:left w:val="nil"/>
              <w:bottom w:val="single" w:sz="4" w:space="0" w:color="auto"/>
              <w:right w:val="single" w:sz="4" w:space="0" w:color="auto"/>
            </w:tcBorders>
            <w:shd w:val="clear" w:color="auto" w:fill="auto"/>
            <w:vAlign w:val="center"/>
            <w:hideMark/>
          </w:tcPr>
          <w:p w14:paraId="3CF1B32C"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w:t>
            </w:r>
          </w:p>
        </w:tc>
      </w:tr>
      <w:tr w:rsidR="00E85F5F" w:rsidRPr="006F5CA6" w14:paraId="715F2B01"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8708686"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TRANSPORTES TORRES LTDA</w:t>
            </w:r>
          </w:p>
        </w:tc>
        <w:tc>
          <w:tcPr>
            <w:tcW w:w="870" w:type="dxa"/>
            <w:tcBorders>
              <w:top w:val="nil"/>
              <w:left w:val="nil"/>
              <w:bottom w:val="single" w:sz="4" w:space="0" w:color="auto"/>
              <w:right w:val="single" w:sz="4" w:space="0" w:color="auto"/>
            </w:tcBorders>
            <w:shd w:val="clear" w:color="auto" w:fill="auto"/>
            <w:vAlign w:val="center"/>
            <w:hideMark/>
          </w:tcPr>
          <w:p w14:paraId="5FE583F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3,37</w:t>
            </w:r>
          </w:p>
        </w:tc>
        <w:tc>
          <w:tcPr>
            <w:tcW w:w="1461" w:type="dxa"/>
            <w:tcBorders>
              <w:top w:val="nil"/>
              <w:left w:val="nil"/>
              <w:bottom w:val="single" w:sz="4" w:space="0" w:color="auto"/>
              <w:right w:val="single" w:sz="4" w:space="0" w:color="auto"/>
            </w:tcBorders>
            <w:shd w:val="clear" w:color="auto" w:fill="auto"/>
            <w:vAlign w:val="center"/>
            <w:hideMark/>
          </w:tcPr>
          <w:p w14:paraId="03039669"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50</w:t>
            </w:r>
          </w:p>
        </w:tc>
        <w:tc>
          <w:tcPr>
            <w:tcW w:w="1391" w:type="dxa"/>
            <w:tcBorders>
              <w:top w:val="nil"/>
              <w:left w:val="nil"/>
              <w:bottom w:val="single" w:sz="4" w:space="0" w:color="auto"/>
              <w:right w:val="single" w:sz="4" w:space="0" w:color="auto"/>
            </w:tcBorders>
            <w:shd w:val="clear" w:color="auto" w:fill="auto"/>
            <w:vAlign w:val="center"/>
            <w:hideMark/>
          </w:tcPr>
          <w:p w14:paraId="3BADF62A"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6,94</w:t>
            </w:r>
          </w:p>
        </w:tc>
        <w:tc>
          <w:tcPr>
            <w:tcW w:w="1266" w:type="dxa"/>
            <w:tcBorders>
              <w:top w:val="nil"/>
              <w:left w:val="nil"/>
              <w:bottom w:val="single" w:sz="4" w:space="0" w:color="auto"/>
              <w:right w:val="single" w:sz="4" w:space="0" w:color="auto"/>
            </w:tcBorders>
            <w:shd w:val="clear" w:color="auto" w:fill="auto"/>
            <w:vAlign w:val="center"/>
            <w:hideMark/>
          </w:tcPr>
          <w:p w14:paraId="1BC96FB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39</w:t>
            </w:r>
          </w:p>
        </w:tc>
        <w:tc>
          <w:tcPr>
            <w:tcW w:w="1266" w:type="dxa"/>
            <w:tcBorders>
              <w:top w:val="nil"/>
              <w:left w:val="nil"/>
              <w:bottom w:val="single" w:sz="4" w:space="0" w:color="auto"/>
              <w:right w:val="single" w:sz="4" w:space="0" w:color="auto"/>
            </w:tcBorders>
            <w:shd w:val="clear" w:color="auto" w:fill="auto"/>
            <w:vAlign w:val="center"/>
            <w:hideMark/>
          </w:tcPr>
          <w:p w14:paraId="19CEC04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19</w:t>
            </w:r>
          </w:p>
        </w:tc>
      </w:tr>
      <w:tr w:rsidR="00E85F5F" w:rsidRPr="006F5CA6" w14:paraId="4449D609"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6B01AEC9"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TURES DE SIECHA S.A.S.</w:t>
            </w:r>
          </w:p>
        </w:tc>
        <w:tc>
          <w:tcPr>
            <w:tcW w:w="870" w:type="dxa"/>
            <w:tcBorders>
              <w:top w:val="nil"/>
              <w:left w:val="nil"/>
              <w:bottom w:val="single" w:sz="4" w:space="0" w:color="auto"/>
              <w:right w:val="single" w:sz="4" w:space="0" w:color="auto"/>
            </w:tcBorders>
            <w:shd w:val="clear" w:color="auto" w:fill="auto"/>
            <w:vAlign w:val="center"/>
            <w:hideMark/>
          </w:tcPr>
          <w:p w14:paraId="3A9B44B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2,74</w:t>
            </w:r>
          </w:p>
        </w:tc>
        <w:tc>
          <w:tcPr>
            <w:tcW w:w="1461" w:type="dxa"/>
            <w:tcBorders>
              <w:top w:val="nil"/>
              <w:left w:val="nil"/>
              <w:bottom w:val="single" w:sz="4" w:space="0" w:color="auto"/>
              <w:right w:val="single" w:sz="4" w:space="0" w:color="auto"/>
            </w:tcBorders>
            <w:shd w:val="clear" w:color="auto" w:fill="auto"/>
            <w:vAlign w:val="center"/>
            <w:hideMark/>
          </w:tcPr>
          <w:p w14:paraId="71A8D9E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52</w:t>
            </w:r>
          </w:p>
        </w:tc>
        <w:tc>
          <w:tcPr>
            <w:tcW w:w="1391" w:type="dxa"/>
            <w:tcBorders>
              <w:top w:val="nil"/>
              <w:left w:val="nil"/>
              <w:bottom w:val="single" w:sz="4" w:space="0" w:color="auto"/>
              <w:right w:val="single" w:sz="4" w:space="0" w:color="auto"/>
            </w:tcBorders>
            <w:shd w:val="clear" w:color="auto" w:fill="auto"/>
            <w:vAlign w:val="center"/>
            <w:hideMark/>
          </w:tcPr>
          <w:p w14:paraId="75BC6B8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3,78</w:t>
            </w:r>
          </w:p>
        </w:tc>
        <w:tc>
          <w:tcPr>
            <w:tcW w:w="1266" w:type="dxa"/>
            <w:tcBorders>
              <w:top w:val="nil"/>
              <w:left w:val="nil"/>
              <w:bottom w:val="single" w:sz="4" w:space="0" w:color="auto"/>
              <w:right w:val="single" w:sz="4" w:space="0" w:color="auto"/>
            </w:tcBorders>
            <w:shd w:val="clear" w:color="auto" w:fill="auto"/>
            <w:vAlign w:val="center"/>
            <w:hideMark/>
          </w:tcPr>
          <w:p w14:paraId="5876EB25"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w:t>
            </w:r>
          </w:p>
        </w:tc>
        <w:tc>
          <w:tcPr>
            <w:tcW w:w="1266" w:type="dxa"/>
            <w:tcBorders>
              <w:top w:val="nil"/>
              <w:left w:val="nil"/>
              <w:bottom w:val="single" w:sz="4" w:space="0" w:color="auto"/>
              <w:right w:val="single" w:sz="4" w:space="0" w:color="auto"/>
            </w:tcBorders>
            <w:shd w:val="clear" w:color="auto" w:fill="auto"/>
            <w:vAlign w:val="center"/>
            <w:hideMark/>
          </w:tcPr>
          <w:p w14:paraId="6527CC1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w:t>
            </w:r>
          </w:p>
        </w:tc>
      </w:tr>
      <w:tr w:rsidR="00E85F5F" w:rsidRPr="006F5CA6" w14:paraId="08DF4D29"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5FA4E618"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TURESTUR LIMITADA</w:t>
            </w:r>
          </w:p>
        </w:tc>
        <w:tc>
          <w:tcPr>
            <w:tcW w:w="870" w:type="dxa"/>
            <w:tcBorders>
              <w:top w:val="nil"/>
              <w:left w:val="nil"/>
              <w:bottom w:val="single" w:sz="4" w:space="0" w:color="auto"/>
              <w:right w:val="single" w:sz="4" w:space="0" w:color="auto"/>
            </w:tcBorders>
            <w:shd w:val="clear" w:color="auto" w:fill="auto"/>
            <w:vAlign w:val="center"/>
            <w:hideMark/>
          </w:tcPr>
          <w:p w14:paraId="541C03DB"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24,68</w:t>
            </w:r>
          </w:p>
        </w:tc>
        <w:tc>
          <w:tcPr>
            <w:tcW w:w="1461" w:type="dxa"/>
            <w:tcBorders>
              <w:top w:val="nil"/>
              <w:left w:val="nil"/>
              <w:bottom w:val="single" w:sz="4" w:space="0" w:color="auto"/>
              <w:right w:val="single" w:sz="4" w:space="0" w:color="auto"/>
            </w:tcBorders>
            <w:shd w:val="clear" w:color="auto" w:fill="auto"/>
            <w:vAlign w:val="center"/>
            <w:hideMark/>
          </w:tcPr>
          <w:p w14:paraId="51CCB9E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24</w:t>
            </w:r>
          </w:p>
        </w:tc>
        <w:tc>
          <w:tcPr>
            <w:tcW w:w="1391" w:type="dxa"/>
            <w:tcBorders>
              <w:top w:val="nil"/>
              <w:left w:val="nil"/>
              <w:bottom w:val="single" w:sz="4" w:space="0" w:color="auto"/>
              <w:right w:val="single" w:sz="4" w:space="0" w:color="auto"/>
            </w:tcBorders>
            <w:shd w:val="clear" w:color="auto" w:fill="auto"/>
            <w:vAlign w:val="center"/>
            <w:hideMark/>
          </w:tcPr>
          <w:p w14:paraId="3605C357"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88,24</w:t>
            </w:r>
          </w:p>
        </w:tc>
        <w:tc>
          <w:tcPr>
            <w:tcW w:w="1266" w:type="dxa"/>
            <w:tcBorders>
              <w:top w:val="nil"/>
              <w:left w:val="nil"/>
              <w:bottom w:val="single" w:sz="4" w:space="0" w:color="auto"/>
              <w:right w:val="single" w:sz="4" w:space="0" w:color="auto"/>
            </w:tcBorders>
            <w:shd w:val="clear" w:color="auto" w:fill="auto"/>
            <w:vAlign w:val="center"/>
            <w:hideMark/>
          </w:tcPr>
          <w:p w14:paraId="1623BF5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52</w:t>
            </w:r>
          </w:p>
        </w:tc>
        <w:tc>
          <w:tcPr>
            <w:tcW w:w="1266" w:type="dxa"/>
            <w:tcBorders>
              <w:top w:val="nil"/>
              <w:left w:val="nil"/>
              <w:bottom w:val="single" w:sz="4" w:space="0" w:color="auto"/>
              <w:right w:val="single" w:sz="4" w:space="0" w:color="auto"/>
            </w:tcBorders>
            <w:shd w:val="clear" w:color="auto" w:fill="auto"/>
            <w:vAlign w:val="center"/>
            <w:hideMark/>
          </w:tcPr>
          <w:p w14:paraId="746F50A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39</w:t>
            </w:r>
          </w:p>
        </w:tc>
      </w:tr>
      <w:tr w:rsidR="00E85F5F" w:rsidRPr="006F5CA6" w14:paraId="4DEFFFC8"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799FD291"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TURISNAL SAS</w:t>
            </w:r>
          </w:p>
        </w:tc>
        <w:tc>
          <w:tcPr>
            <w:tcW w:w="870" w:type="dxa"/>
            <w:tcBorders>
              <w:top w:val="nil"/>
              <w:left w:val="nil"/>
              <w:bottom w:val="single" w:sz="4" w:space="0" w:color="auto"/>
              <w:right w:val="single" w:sz="4" w:space="0" w:color="auto"/>
            </w:tcBorders>
            <w:shd w:val="clear" w:color="auto" w:fill="auto"/>
            <w:vAlign w:val="center"/>
            <w:hideMark/>
          </w:tcPr>
          <w:p w14:paraId="035DF91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2,13</w:t>
            </w:r>
          </w:p>
        </w:tc>
        <w:tc>
          <w:tcPr>
            <w:tcW w:w="1461" w:type="dxa"/>
            <w:tcBorders>
              <w:top w:val="nil"/>
              <w:left w:val="nil"/>
              <w:bottom w:val="single" w:sz="4" w:space="0" w:color="auto"/>
              <w:right w:val="single" w:sz="4" w:space="0" w:color="auto"/>
            </w:tcBorders>
            <w:shd w:val="clear" w:color="auto" w:fill="auto"/>
            <w:vAlign w:val="center"/>
            <w:hideMark/>
          </w:tcPr>
          <w:p w14:paraId="472AB1D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55</w:t>
            </w:r>
          </w:p>
        </w:tc>
        <w:tc>
          <w:tcPr>
            <w:tcW w:w="1391" w:type="dxa"/>
            <w:tcBorders>
              <w:top w:val="nil"/>
              <w:left w:val="nil"/>
              <w:bottom w:val="single" w:sz="4" w:space="0" w:color="auto"/>
              <w:right w:val="single" w:sz="4" w:space="0" w:color="auto"/>
            </w:tcBorders>
            <w:shd w:val="clear" w:color="auto" w:fill="auto"/>
            <w:vAlign w:val="center"/>
            <w:hideMark/>
          </w:tcPr>
          <w:p w14:paraId="4BF64D7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w:t>
            </w:r>
          </w:p>
        </w:tc>
        <w:tc>
          <w:tcPr>
            <w:tcW w:w="1266" w:type="dxa"/>
            <w:tcBorders>
              <w:top w:val="nil"/>
              <w:left w:val="nil"/>
              <w:bottom w:val="single" w:sz="4" w:space="0" w:color="auto"/>
              <w:right w:val="single" w:sz="4" w:space="0" w:color="auto"/>
            </w:tcBorders>
            <w:shd w:val="clear" w:color="auto" w:fill="auto"/>
            <w:vAlign w:val="center"/>
            <w:hideMark/>
          </w:tcPr>
          <w:p w14:paraId="4305BFF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27</w:t>
            </w:r>
          </w:p>
        </w:tc>
        <w:tc>
          <w:tcPr>
            <w:tcW w:w="1266" w:type="dxa"/>
            <w:tcBorders>
              <w:top w:val="nil"/>
              <w:left w:val="nil"/>
              <w:bottom w:val="single" w:sz="4" w:space="0" w:color="auto"/>
              <w:right w:val="single" w:sz="4" w:space="0" w:color="auto"/>
            </w:tcBorders>
            <w:shd w:val="clear" w:color="auto" w:fill="auto"/>
            <w:vAlign w:val="center"/>
            <w:hideMark/>
          </w:tcPr>
          <w:p w14:paraId="4EA15CD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11</w:t>
            </w:r>
          </w:p>
        </w:tc>
      </w:tr>
      <w:tr w:rsidR="00E85F5F" w:rsidRPr="006F5CA6" w14:paraId="5DCD4E13"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0B347640"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TURISTRAN SAS</w:t>
            </w:r>
          </w:p>
        </w:tc>
        <w:tc>
          <w:tcPr>
            <w:tcW w:w="870" w:type="dxa"/>
            <w:tcBorders>
              <w:top w:val="nil"/>
              <w:left w:val="nil"/>
              <w:bottom w:val="single" w:sz="4" w:space="0" w:color="auto"/>
              <w:right w:val="single" w:sz="4" w:space="0" w:color="auto"/>
            </w:tcBorders>
            <w:shd w:val="clear" w:color="auto" w:fill="auto"/>
            <w:vAlign w:val="center"/>
            <w:hideMark/>
          </w:tcPr>
          <w:p w14:paraId="76A9198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10,66</w:t>
            </w:r>
          </w:p>
        </w:tc>
        <w:tc>
          <w:tcPr>
            <w:tcW w:w="1461" w:type="dxa"/>
            <w:tcBorders>
              <w:top w:val="nil"/>
              <w:left w:val="nil"/>
              <w:bottom w:val="single" w:sz="4" w:space="0" w:color="auto"/>
              <w:right w:val="single" w:sz="4" w:space="0" w:color="auto"/>
            </w:tcBorders>
            <w:shd w:val="clear" w:color="auto" w:fill="auto"/>
            <w:vAlign w:val="center"/>
            <w:hideMark/>
          </w:tcPr>
          <w:p w14:paraId="5044B37F"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40</w:t>
            </w:r>
          </w:p>
        </w:tc>
        <w:tc>
          <w:tcPr>
            <w:tcW w:w="1391" w:type="dxa"/>
            <w:tcBorders>
              <w:top w:val="nil"/>
              <w:left w:val="nil"/>
              <w:bottom w:val="single" w:sz="4" w:space="0" w:color="auto"/>
              <w:right w:val="single" w:sz="4" w:space="0" w:color="auto"/>
            </w:tcBorders>
            <w:shd w:val="clear" w:color="auto" w:fill="auto"/>
            <w:vAlign w:val="center"/>
            <w:hideMark/>
          </w:tcPr>
          <w:p w14:paraId="76A6E12E"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15,04</w:t>
            </w:r>
          </w:p>
        </w:tc>
        <w:tc>
          <w:tcPr>
            <w:tcW w:w="1266" w:type="dxa"/>
            <w:tcBorders>
              <w:top w:val="nil"/>
              <w:left w:val="nil"/>
              <w:bottom w:val="single" w:sz="4" w:space="0" w:color="auto"/>
              <w:right w:val="single" w:sz="4" w:space="0" w:color="auto"/>
            </w:tcBorders>
            <w:shd w:val="clear" w:color="auto" w:fill="auto"/>
            <w:vAlign w:val="center"/>
            <w:hideMark/>
          </w:tcPr>
          <w:p w14:paraId="7B199DF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10</w:t>
            </w:r>
          </w:p>
        </w:tc>
        <w:tc>
          <w:tcPr>
            <w:tcW w:w="1266" w:type="dxa"/>
            <w:tcBorders>
              <w:top w:val="nil"/>
              <w:left w:val="nil"/>
              <w:bottom w:val="single" w:sz="4" w:space="0" w:color="auto"/>
              <w:right w:val="single" w:sz="4" w:space="0" w:color="auto"/>
            </w:tcBorders>
            <w:shd w:val="clear" w:color="auto" w:fill="auto"/>
            <w:vAlign w:val="center"/>
            <w:hideMark/>
          </w:tcPr>
          <w:p w14:paraId="20CD06B0"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6</w:t>
            </w:r>
          </w:p>
        </w:tc>
      </w:tr>
      <w:tr w:rsidR="00E85F5F" w:rsidRPr="006F5CA6" w14:paraId="364BBAB1"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283918A1"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VIACOLTUR S.A.S</w:t>
            </w:r>
          </w:p>
        </w:tc>
        <w:tc>
          <w:tcPr>
            <w:tcW w:w="870" w:type="dxa"/>
            <w:tcBorders>
              <w:top w:val="nil"/>
              <w:left w:val="nil"/>
              <w:bottom w:val="single" w:sz="4" w:space="0" w:color="auto"/>
              <w:right w:val="single" w:sz="4" w:space="0" w:color="auto"/>
            </w:tcBorders>
            <w:shd w:val="clear" w:color="auto" w:fill="auto"/>
            <w:vAlign w:val="center"/>
            <w:hideMark/>
          </w:tcPr>
          <w:p w14:paraId="31729748"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8,72</w:t>
            </w:r>
          </w:p>
        </w:tc>
        <w:tc>
          <w:tcPr>
            <w:tcW w:w="1461" w:type="dxa"/>
            <w:tcBorders>
              <w:top w:val="nil"/>
              <w:left w:val="nil"/>
              <w:bottom w:val="single" w:sz="4" w:space="0" w:color="auto"/>
              <w:right w:val="single" w:sz="4" w:space="0" w:color="auto"/>
            </w:tcBorders>
            <w:shd w:val="clear" w:color="auto" w:fill="auto"/>
            <w:vAlign w:val="center"/>
            <w:hideMark/>
          </w:tcPr>
          <w:p w14:paraId="142260E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49</w:t>
            </w:r>
          </w:p>
        </w:tc>
        <w:tc>
          <w:tcPr>
            <w:tcW w:w="1391" w:type="dxa"/>
            <w:tcBorders>
              <w:top w:val="nil"/>
              <w:left w:val="nil"/>
              <w:bottom w:val="single" w:sz="4" w:space="0" w:color="auto"/>
              <w:right w:val="single" w:sz="4" w:space="0" w:color="auto"/>
            </w:tcBorders>
            <w:shd w:val="clear" w:color="auto" w:fill="auto"/>
            <w:vAlign w:val="center"/>
            <w:hideMark/>
          </w:tcPr>
          <w:p w14:paraId="05EB424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9,84</w:t>
            </w:r>
          </w:p>
        </w:tc>
        <w:tc>
          <w:tcPr>
            <w:tcW w:w="1266" w:type="dxa"/>
            <w:tcBorders>
              <w:top w:val="nil"/>
              <w:left w:val="nil"/>
              <w:bottom w:val="single" w:sz="4" w:space="0" w:color="auto"/>
              <w:right w:val="single" w:sz="4" w:space="0" w:color="auto"/>
            </w:tcBorders>
            <w:shd w:val="clear" w:color="auto" w:fill="auto"/>
            <w:vAlign w:val="center"/>
            <w:hideMark/>
          </w:tcPr>
          <w:p w14:paraId="2D5B3E0B"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26</w:t>
            </w:r>
          </w:p>
        </w:tc>
        <w:tc>
          <w:tcPr>
            <w:tcW w:w="1266" w:type="dxa"/>
            <w:tcBorders>
              <w:top w:val="nil"/>
              <w:left w:val="nil"/>
              <w:bottom w:val="single" w:sz="4" w:space="0" w:color="auto"/>
              <w:right w:val="single" w:sz="4" w:space="0" w:color="auto"/>
            </w:tcBorders>
            <w:shd w:val="clear" w:color="auto" w:fill="auto"/>
            <w:vAlign w:val="center"/>
            <w:hideMark/>
          </w:tcPr>
          <w:p w14:paraId="2067FD12"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13</w:t>
            </w:r>
          </w:p>
        </w:tc>
      </w:tr>
      <w:tr w:rsidR="00E85F5F" w:rsidRPr="006F5CA6" w14:paraId="6B75E3A1" w14:textId="77777777" w:rsidTr="00E85F5F">
        <w:trPr>
          <w:trHeight w:val="180"/>
          <w:jc w:val="center"/>
        </w:trPr>
        <w:tc>
          <w:tcPr>
            <w:tcW w:w="2547" w:type="dxa"/>
            <w:tcBorders>
              <w:top w:val="nil"/>
              <w:left w:val="single" w:sz="4" w:space="0" w:color="auto"/>
              <w:bottom w:val="single" w:sz="4" w:space="0" w:color="auto"/>
              <w:right w:val="single" w:sz="4" w:space="0" w:color="auto"/>
            </w:tcBorders>
            <w:shd w:val="clear" w:color="auto" w:fill="auto"/>
            <w:noWrap/>
            <w:vAlign w:val="center"/>
            <w:hideMark/>
          </w:tcPr>
          <w:p w14:paraId="1245E10F" w14:textId="77777777" w:rsidR="00E85F5F" w:rsidRPr="006F5CA6" w:rsidRDefault="00E85F5F" w:rsidP="00A9713F">
            <w:pPr>
              <w:jc w:val="both"/>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VIAJES EMPRESARIALES Y TURISMO POR COLOMBIA SAS</w:t>
            </w:r>
          </w:p>
        </w:tc>
        <w:tc>
          <w:tcPr>
            <w:tcW w:w="870" w:type="dxa"/>
            <w:tcBorders>
              <w:top w:val="nil"/>
              <w:left w:val="nil"/>
              <w:bottom w:val="single" w:sz="4" w:space="0" w:color="auto"/>
              <w:right w:val="single" w:sz="4" w:space="0" w:color="auto"/>
            </w:tcBorders>
            <w:shd w:val="clear" w:color="auto" w:fill="auto"/>
            <w:vAlign w:val="center"/>
            <w:hideMark/>
          </w:tcPr>
          <w:p w14:paraId="1DD7BE3D"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3,99</w:t>
            </w:r>
          </w:p>
        </w:tc>
        <w:tc>
          <w:tcPr>
            <w:tcW w:w="1461" w:type="dxa"/>
            <w:tcBorders>
              <w:top w:val="nil"/>
              <w:left w:val="nil"/>
              <w:bottom w:val="single" w:sz="4" w:space="0" w:color="auto"/>
              <w:right w:val="single" w:sz="4" w:space="0" w:color="auto"/>
            </w:tcBorders>
            <w:shd w:val="clear" w:color="auto" w:fill="auto"/>
            <w:vAlign w:val="center"/>
            <w:hideMark/>
          </w:tcPr>
          <w:p w14:paraId="78A9F011"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77</w:t>
            </w:r>
          </w:p>
        </w:tc>
        <w:tc>
          <w:tcPr>
            <w:tcW w:w="1391" w:type="dxa"/>
            <w:tcBorders>
              <w:top w:val="nil"/>
              <w:left w:val="nil"/>
              <w:bottom w:val="single" w:sz="4" w:space="0" w:color="auto"/>
              <w:right w:val="single" w:sz="4" w:space="0" w:color="auto"/>
            </w:tcBorders>
            <w:shd w:val="clear" w:color="auto" w:fill="auto"/>
            <w:vAlign w:val="center"/>
            <w:hideMark/>
          </w:tcPr>
          <w:p w14:paraId="2A6BA813"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0,95</w:t>
            </w:r>
          </w:p>
        </w:tc>
        <w:tc>
          <w:tcPr>
            <w:tcW w:w="1266" w:type="dxa"/>
            <w:tcBorders>
              <w:top w:val="nil"/>
              <w:left w:val="nil"/>
              <w:bottom w:val="single" w:sz="4" w:space="0" w:color="auto"/>
              <w:right w:val="single" w:sz="4" w:space="0" w:color="auto"/>
            </w:tcBorders>
            <w:shd w:val="clear" w:color="auto" w:fill="auto"/>
            <w:vAlign w:val="center"/>
            <w:hideMark/>
          </w:tcPr>
          <w:p w14:paraId="7F1BA9F4"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39</w:t>
            </w:r>
          </w:p>
        </w:tc>
        <w:tc>
          <w:tcPr>
            <w:tcW w:w="1266" w:type="dxa"/>
            <w:tcBorders>
              <w:top w:val="nil"/>
              <w:left w:val="nil"/>
              <w:bottom w:val="single" w:sz="4" w:space="0" w:color="auto"/>
              <w:right w:val="single" w:sz="4" w:space="0" w:color="auto"/>
            </w:tcBorders>
            <w:shd w:val="clear" w:color="auto" w:fill="auto"/>
            <w:vAlign w:val="center"/>
            <w:hideMark/>
          </w:tcPr>
          <w:p w14:paraId="6353F9AA" w14:textId="77777777" w:rsidR="00E85F5F" w:rsidRPr="006F5CA6" w:rsidRDefault="00E85F5F" w:rsidP="00FA4DCD">
            <w:pPr>
              <w:jc w:val="center"/>
              <w:rPr>
                <w:rFonts w:ascii="Arial" w:eastAsia="Times New Roman" w:hAnsi="Arial" w:cs="Arial"/>
                <w:color w:val="000000"/>
                <w:sz w:val="14"/>
                <w:szCs w:val="14"/>
                <w:lang w:val="es-CO"/>
              </w:rPr>
            </w:pPr>
            <w:r w:rsidRPr="006F5CA6">
              <w:rPr>
                <w:rFonts w:ascii="Arial" w:eastAsia="Times New Roman" w:hAnsi="Arial" w:cs="Arial"/>
                <w:color w:val="000000"/>
                <w:sz w:val="14"/>
                <w:szCs w:val="14"/>
                <w:lang w:val="es-CO"/>
              </w:rPr>
              <w:t>9</w:t>
            </w:r>
          </w:p>
        </w:tc>
      </w:tr>
    </w:tbl>
    <w:p w14:paraId="2E93AB7A" w14:textId="562CD988" w:rsidR="00E8145F" w:rsidRPr="006F5CA6" w:rsidRDefault="00E8145F" w:rsidP="00793EA5">
      <w:pPr>
        <w:rPr>
          <w:rFonts w:ascii="Arial" w:hAnsi="Arial" w:cs="Arial"/>
          <w:sz w:val="22"/>
          <w:szCs w:val="22"/>
          <w:lang w:val="es-CO" w:eastAsia="es-CO"/>
        </w:rPr>
      </w:pPr>
    </w:p>
    <w:p w14:paraId="0734782B" w14:textId="77777777" w:rsidR="003B530C" w:rsidRPr="006F5CA6" w:rsidRDefault="003B530C" w:rsidP="003B530C">
      <w:pPr>
        <w:rPr>
          <w:rFonts w:ascii="Arial" w:hAnsi="Arial" w:cs="Arial"/>
          <w:sz w:val="22"/>
          <w:szCs w:val="22"/>
          <w:lang w:val="es-CO" w:eastAsia="es-CO"/>
        </w:rPr>
      </w:pPr>
      <w:r w:rsidRPr="006F5CA6">
        <w:rPr>
          <w:rFonts w:ascii="Arial" w:hAnsi="Arial" w:cs="Arial"/>
          <w:sz w:val="22"/>
          <w:szCs w:val="22"/>
          <w:lang w:val="es-CO" w:eastAsia="es-CO"/>
        </w:rPr>
        <w:t>De las cuales podemos abstraer las siguientes conclusiones, útiles para la definición de los requisitos habilitantes dentro de este proceso de selección:</w:t>
      </w:r>
    </w:p>
    <w:p w14:paraId="2A450936" w14:textId="377DC089" w:rsidR="00985CD5" w:rsidRPr="006F5CA6" w:rsidRDefault="00985CD5" w:rsidP="00793EA5">
      <w:pPr>
        <w:rPr>
          <w:rFonts w:ascii="Arial" w:hAnsi="Arial" w:cs="Arial"/>
          <w:sz w:val="22"/>
          <w:szCs w:val="22"/>
          <w:lang w:val="es-CO" w:eastAsia="es-CO"/>
        </w:rPr>
      </w:pPr>
    </w:p>
    <w:p w14:paraId="28B7E625" w14:textId="36D71E27" w:rsidR="00B56A31" w:rsidRPr="006F5CA6" w:rsidRDefault="00B56A31" w:rsidP="00B56A31">
      <w:pPr>
        <w:rPr>
          <w:rFonts w:ascii="Arial" w:hAnsi="Arial" w:cs="Arial"/>
          <w:b/>
          <w:sz w:val="22"/>
          <w:szCs w:val="22"/>
          <w:lang w:val="es-CO" w:eastAsia="es-CO"/>
        </w:rPr>
      </w:pPr>
      <w:r w:rsidRPr="006F5CA6">
        <w:rPr>
          <w:rFonts w:ascii="Arial" w:hAnsi="Arial" w:cs="Arial"/>
          <w:b/>
          <w:sz w:val="22"/>
          <w:szCs w:val="22"/>
          <w:lang w:val="es-CO" w:eastAsia="es-CO"/>
        </w:rPr>
        <w:t>Índice de liquidez</w:t>
      </w:r>
    </w:p>
    <w:p w14:paraId="3204EE09" w14:textId="5C4B7460" w:rsidR="00B56A31" w:rsidRPr="006F5CA6" w:rsidRDefault="00B56A31" w:rsidP="00B56A31">
      <w:pPr>
        <w:rPr>
          <w:rFonts w:ascii="Arial" w:hAnsi="Arial" w:cs="Arial"/>
          <w:b/>
          <w:sz w:val="22"/>
          <w:szCs w:val="22"/>
          <w:lang w:val="es-CO" w:eastAsia="es-CO"/>
        </w:rPr>
      </w:pPr>
      <w:r w:rsidRPr="006F5CA6">
        <w:rPr>
          <w:rFonts w:ascii="Arial" w:hAnsi="Arial" w:cs="Arial"/>
          <w:b/>
          <w:sz w:val="22"/>
          <w:szCs w:val="22"/>
          <w:lang w:val="es-CO" w:eastAsia="es-CO"/>
        </w:rPr>
        <w:t>Análisis de la muestra</w:t>
      </w:r>
    </w:p>
    <w:p w14:paraId="022CABE3" w14:textId="77777777" w:rsidR="00B56A31" w:rsidRPr="006F5CA6" w:rsidRDefault="00B56A31" w:rsidP="00B56A31">
      <w:pPr>
        <w:rPr>
          <w:rFonts w:ascii="Arial" w:hAnsi="Arial" w:cs="Arial"/>
          <w:sz w:val="22"/>
          <w:szCs w:val="22"/>
          <w:lang w:val="es-CO" w:eastAsia="es-CO"/>
        </w:rPr>
      </w:pPr>
    </w:p>
    <w:p w14:paraId="06CAC410" w14:textId="6320F78A" w:rsidR="00B56A31" w:rsidRPr="006F5CA6" w:rsidRDefault="00A9713F" w:rsidP="00B56A31">
      <w:pPr>
        <w:jc w:val="center"/>
        <w:rPr>
          <w:rFonts w:ascii="Arial" w:hAnsi="Arial" w:cs="Arial"/>
          <w:sz w:val="22"/>
          <w:szCs w:val="22"/>
          <w:lang w:val="es-CO" w:eastAsia="es-CO"/>
        </w:rPr>
      </w:pPr>
      <w:r w:rsidRPr="006F5CA6">
        <w:rPr>
          <w:rFonts w:ascii="Arial" w:hAnsi="Arial" w:cs="Arial"/>
          <w:noProof/>
          <w:lang w:val="en-US"/>
        </w:rPr>
        <mc:AlternateContent>
          <mc:Choice Requires="cx1">
            <w:drawing>
              <wp:inline distT="0" distB="0" distL="0" distR="0" wp14:anchorId="02C54AC5" wp14:editId="785027C5">
                <wp:extent cx="4572000" cy="2743200"/>
                <wp:effectExtent l="0" t="0" r="0" b="0"/>
                <wp:docPr id="4" name="Gráfico 4"/>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2"/>
                  </a:graphicData>
                </a:graphic>
              </wp:inline>
            </w:drawing>
          </mc:Choice>
          <mc:Fallback>
            <w:drawing>
              <wp:inline distT="0" distB="0" distL="0" distR="0" wp14:anchorId="02C54AC5" wp14:editId="785027C5">
                <wp:extent cx="4572000" cy="2743200"/>
                <wp:effectExtent l="0" t="0" r="0" b="0"/>
                <wp:docPr id="4" name="Gráfico 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Gráfico 4"/>
                        <pic:cNvPicPr>
                          <a:picLocks noGrp="1" noRot="1" noChangeAspect="1" noMove="1" noResize="1" noEditPoints="1" noAdjustHandles="1" noChangeArrowheads="1" noChangeShapeType="1"/>
                        </pic:cNvPicPr>
                      </pic:nvPicPr>
                      <pic:blipFill>
                        <a:blip r:embed="rId33"/>
                        <a:stretch>
                          <a:fillRect/>
                        </a:stretch>
                      </pic:blipFill>
                      <pic:spPr>
                        <a:xfrm>
                          <a:off x="0" y="0"/>
                          <a:ext cx="4572000" cy="2743200"/>
                        </a:xfrm>
                        <a:prstGeom prst="rect">
                          <a:avLst/>
                        </a:prstGeom>
                      </pic:spPr>
                    </pic:pic>
                  </a:graphicData>
                </a:graphic>
              </wp:inline>
            </w:drawing>
          </mc:Fallback>
        </mc:AlternateContent>
      </w:r>
    </w:p>
    <w:p w14:paraId="2BD04DD1" w14:textId="77777777" w:rsidR="00B56A31" w:rsidRPr="006F5CA6" w:rsidRDefault="00B56A31" w:rsidP="00B56A31">
      <w:pPr>
        <w:rPr>
          <w:rFonts w:ascii="Arial" w:hAnsi="Arial" w:cs="Arial"/>
          <w:sz w:val="22"/>
          <w:szCs w:val="22"/>
          <w:lang w:val="es-CO" w:eastAsia="es-CO"/>
        </w:rPr>
      </w:pPr>
      <w:r w:rsidRPr="006F5CA6">
        <w:rPr>
          <w:rFonts w:ascii="Arial" w:hAnsi="Arial" w:cs="Arial"/>
          <w:sz w:val="22"/>
          <w:szCs w:val="22"/>
          <w:lang w:val="es-CO" w:eastAsia="es-CO"/>
        </w:rPr>
        <w:t>Fuente: Elaboración Propia</w:t>
      </w:r>
    </w:p>
    <w:p w14:paraId="714617A4" w14:textId="77777777" w:rsidR="00B56A31" w:rsidRPr="006F5CA6" w:rsidRDefault="00B56A31" w:rsidP="00B56A31">
      <w:pPr>
        <w:rPr>
          <w:rFonts w:ascii="Arial" w:hAnsi="Arial" w:cs="Arial"/>
          <w:sz w:val="22"/>
          <w:szCs w:val="22"/>
          <w:lang w:val="es-CO" w:eastAsia="es-CO"/>
        </w:rPr>
      </w:pPr>
    </w:p>
    <w:p w14:paraId="63714C5B" w14:textId="1ACFB296" w:rsidR="00BC489F" w:rsidRPr="006F5CA6" w:rsidRDefault="00BC489F" w:rsidP="00BC489F">
      <w:pPr>
        <w:jc w:val="both"/>
        <w:rPr>
          <w:rFonts w:ascii="Arial" w:hAnsi="Arial" w:cs="Arial"/>
          <w:sz w:val="22"/>
          <w:szCs w:val="22"/>
          <w:lang w:val="es-CO" w:eastAsia="es-CO"/>
        </w:rPr>
      </w:pPr>
    </w:p>
    <w:p w14:paraId="5306F317" w14:textId="433856E2" w:rsidR="00B56A31" w:rsidRPr="006F5CA6" w:rsidRDefault="00BC489F" w:rsidP="00BC489F">
      <w:pPr>
        <w:jc w:val="both"/>
        <w:rPr>
          <w:rFonts w:ascii="Arial" w:hAnsi="Arial" w:cs="Arial"/>
          <w:sz w:val="22"/>
          <w:szCs w:val="22"/>
          <w:lang w:val="es-CO" w:eastAsia="es-CO"/>
        </w:rPr>
      </w:pPr>
      <w:r w:rsidRPr="006F5CA6">
        <w:rPr>
          <w:rFonts w:ascii="Arial" w:hAnsi="Arial" w:cs="Arial"/>
          <w:sz w:val="22"/>
          <w:szCs w:val="22"/>
          <w:lang w:val="es-CO" w:eastAsia="es-CO"/>
        </w:rPr>
        <w:t xml:space="preserve">Se puede apreciar que </w:t>
      </w:r>
      <w:r w:rsidR="00B56A31" w:rsidRPr="006F5CA6">
        <w:rPr>
          <w:rFonts w:ascii="Arial" w:hAnsi="Arial" w:cs="Arial"/>
          <w:sz w:val="22"/>
          <w:szCs w:val="22"/>
          <w:lang w:val="es-CO" w:eastAsia="es-CO"/>
        </w:rPr>
        <w:t>las empresas analizadas presentan índices</w:t>
      </w:r>
      <w:r w:rsidRPr="006F5CA6">
        <w:rPr>
          <w:rFonts w:ascii="Arial" w:hAnsi="Arial" w:cs="Arial"/>
          <w:sz w:val="22"/>
          <w:szCs w:val="22"/>
          <w:lang w:val="es-CO" w:eastAsia="es-CO"/>
        </w:rPr>
        <w:t xml:space="preserve"> muy variados con relación a </w:t>
      </w:r>
      <w:r w:rsidR="00B56A31" w:rsidRPr="006F5CA6">
        <w:rPr>
          <w:rFonts w:ascii="Arial" w:hAnsi="Arial" w:cs="Arial"/>
          <w:sz w:val="22"/>
          <w:szCs w:val="22"/>
          <w:lang w:val="es-CO" w:eastAsia="es-CO"/>
        </w:rPr>
        <w:t>la actividad económica, no obstante, se procederá a calcular la mediana de la muestra con el fin de obtener un resultado neutro y minimizar la posibilidad de que el resultado final se vea afectado.</w:t>
      </w:r>
    </w:p>
    <w:p w14:paraId="4CA89930" w14:textId="77777777" w:rsidR="00B56A31" w:rsidRPr="006F5CA6" w:rsidRDefault="00B56A31" w:rsidP="00B56A31">
      <w:pPr>
        <w:rPr>
          <w:rFonts w:ascii="Arial" w:hAnsi="Arial" w:cs="Arial"/>
          <w:sz w:val="22"/>
          <w:szCs w:val="22"/>
          <w:lang w:val="es-CO" w:eastAsia="es-CO"/>
        </w:rPr>
      </w:pPr>
    </w:p>
    <w:tbl>
      <w:tblPr>
        <w:tblW w:w="2493" w:type="dxa"/>
        <w:jc w:val="center"/>
        <w:tblLook w:val="04A0" w:firstRow="1" w:lastRow="0" w:firstColumn="1" w:lastColumn="0" w:noHBand="0" w:noVBand="1"/>
      </w:tblPr>
      <w:tblGrid>
        <w:gridCol w:w="1293"/>
        <w:gridCol w:w="1200"/>
      </w:tblGrid>
      <w:tr w:rsidR="00BC489F" w:rsidRPr="006F5CA6" w14:paraId="3A863BE0" w14:textId="77777777" w:rsidTr="00BC489F">
        <w:trPr>
          <w:trHeight w:val="300"/>
          <w:jc w:val="center"/>
        </w:trPr>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9AC7D" w14:textId="77777777" w:rsidR="00BC489F" w:rsidRPr="006F5CA6" w:rsidRDefault="00BC489F" w:rsidP="00BC489F">
            <w:pPr>
              <w:rPr>
                <w:rFonts w:ascii="Arial" w:hAnsi="Arial" w:cs="Arial"/>
                <w:sz w:val="14"/>
                <w:szCs w:val="14"/>
                <w:lang w:val="es-CO" w:eastAsia="es-CO"/>
              </w:rPr>
            </w:pPr>
            <w:r w:rsidRPr="006F5CA6">
              <w:rPr>
                <w:rFonts w:ascii="Arial" w:hAnsi="Arial" w:cs="Arial"/>
                <w:sz w:val="14"/>
                <w:szCs w:val="14"/>
                <w:lang w:val="es-CO" w:eastAsia="es-CO"/>
              </w:rPr>
              <w:lastRenderedPageBreak/>
              <w:t>Mediana</w:t>
            </w:r>
          </w:p>
        </w:tc>
        <w:tc>
          <w:tcPr>
            <w:tcW w:w="1200" w:type="dxa"/>
            <w:tcBorders>
              <w:top w:val="single" w:sz="4" w:space="0" w:color="auto"/>
              <w:left w:val="nil"/>
              <w:bottom w:val="single" w:sz="4" w:space="0" w:color="auto"/>
              <w:right w:val="single" w:sz="4" w:space="0" w:color="auto"/>
            </w:tcBorders>
            <w:shd w:val="clear" w:color="auto" w:fill="auto"/>
            <w:noWrap/>
            <w:hideMark/>
          </w:tcPr>
          <w:p w14:paraId="3D2B2063" w14:textId="5C817568" w:rsidR="00BC489F" w:rsidRPr="006F5CA6" w:rsidRDefault="00E17A9D" w:rsidP="00BC489F">
            <w:pPr>
              <w:jc w:val="center"/>
              <w:rPr>
                <w:rFonts w:ascii="Arial" w:hAnsi="Arial" w:cs="Arial"/>
                <w:sz w:val="14"/>
                <w:szCs w:val="14"/>
                <w:lang w:val="es-CO" w:eastAsia="es-CO"/>
              </w:rPr>
            </w:pPr>
            <w:r w:rsidRPr="006F5CA6">
              <w:rPr>
                <w:rFonts w:ascii="Arial" w:hAnsi="Arial" w:cs="Arial"/>
                <w:sz w:val="14"/>
                <w:szCs w:val="14"/>
                <w:lang w:val="es-CO"/>
              </w:rPr>
              <w:t>4,04</w:t>
            </w:r>
          </w:p>
        </w:tc>
      </w:tr>
    </w:tbl>
    <w:p w14:paraId="20A8DD1B" w14:textId="77777777" w:rsidR="00B56A31" w:rsidRPr="006F5CA6" w:rsidRDefault="00B56A31" w:rsidP="00B56A31">
      <w:pPr>
        <w:rPr>
          <w:rFonts w:ascii="Arial" w:hAnsi="Arial" w:cs="Arial"/>
          <w:sz w:val="22"/>
          <w:szCs w:val="22"/>
          <w:lang w:val="es-CO" w:eastAsia="es-CO"/>
        </w:rPr>
      </w:pPr>
    </w:p>
    <w:p w14:paraId="0937268F" w14:textId="4395BECF" w:rsidR="00B56A31" w:rsidRPr="006F5CA6" w:rsidRDefault="00B56A31" w:rsidP="00BC489F">
      <w:pPr>
        <w:jc w:val="both"/>
        <w:rPr>
          <w:rFonts w:ascii="Arial" w:hAnsi="Arial" w:cs="Arial"/>
          <w:sz w:val="22"/>
          <w:szCs w:val="22"/>
          <w:lang w:val="es-CO" w:eastAsia="es-CO"/>
        </w:rPr>
      </w:pPr>
      <w:r w:rsidRPr="006F5CA6">
        <w:rPr>
          <w:rFonts w:ascii="Arial" w:hAnsi="Arial" w:cs="Arial"/>
          <w:sz w:val="22"/>
          <w:szCs w:val="22"/>
          <w:lang w:val="es-CO" w:eastAsia="es-CO"/>
        </w:rPr>
        <w:t>De acuerdo a ello, y atendiendo a la naturaleza del contrato, el valor del mismo, la forma de pago, los riesgos previsibles analizado y los análisis estadísticos realizados; la liquidez a exigir s</w:t>
      </w:r>
      <w:r w:rsidR="00E17A9D" w:rsidRPr="006F5CA6">
        <w:rPr>
          <w:rFonts w:ascii="Arial" w:hAnsi="Arial" w:cs="Arial"/>
          <w:sz w:val="22"/>
          <w:szCs w:val="22"/>
          <w:lang w:val="es-CO" w:eastAsia="es-CO"/>
        </w:rPr>
        <w:t xml:space="preserve">erá de </w:t>
      </w:r>
      <w:r w:rsidR="001D42C9">
        <w:rPr>
          <w:rFonts w:ascii="Arial" w:hAnsi="Arial" w:cs="Arial"/>
          <w:sz w:val="22"/>
          <w:szCs w:val="22"/>
          <w:lang w:val="es-CO" w:eastAsia="es-CO"/>
        </w:rPr>
        <w:t>2</w:t>
      </w:r>
    </w:p>
    <w:p w14:paraId="23CEF5F2" w14:textId="77777777" w:rsidR="00B56A31" w:rsidRPr="006F5CA6" w:rsidRDefault="00B56A31" w:rsidP="00B56A31">
      <w:pPr>
        <w:rPr>
          <w:rFonts w:ascii="Arial" w:hAnsi="Arial" w:cs="Arial"/>
          <w:sz w:val="22"/>
          <w:szCs w:val="22"/>
          <w:lang w:val="es-CO" w:eastAsia="es-CO"/>
        </w:rPr>
      </w:pPr>
    </w:p>
    <w:p w14:paraId="55BE0F04" w14:textId="111260B2" w:rsidR="00B56A31" w:rsidRPr="006F5CA6" w:rsidRDefault="00B56A31" w:rsidP="00B56A31">
      <w:pPr>
        <w:rPr>
          <w:rFonts w:ascii="Arial" w:hAnsi="Arial" w:cs="Arial"/>
          <w:b/>
          <w:sz w:val="22"/>
          <w:szCs w:val="22"/>
          <w:lang w:val="es-CO" w:eastAsia="es-CO"/>
        </w:rPr>
      </w:pPr>
      <w:r w:rsidRPr="006F5CA6">
        <w:rPr>
          <w:rFonts w:ascii="Arial" w:hAnsi="Arial" w:cs="Arial"/>
          <w:sz w:val="22"/>
          <w:szCs w:val="22"/>
          <w:lang w:val="es-CO" w:eastAsia="es-CO"/>
        </w:rPr>
        <w:t xml:space="preserve"> </w:t>
      </w:r>
      <w:r w:rsidR="00BC489F" w:rsidRPr="006F5CA6">
        <w:rPr>
          <w:rFonts w:ascii="Arial" w:hAnsi="Arial" w:cs="Arial"/>
          <w:b/>
          <w:sz w:val="22"/>
          <w:szCs w:val="22"/>
          <w:lang w:val="es-CO" w:eastAsia="es-CO"/>
        </w:rPr>
        <w:t>Nivel de endeudamiento</w:t>
      </w:r>
    </w:p>
    <w:p w14:paraId="7752FEF1" w14:textId="77777777" w:rsidR="00B56A31" w:rsidRPr="006F5CA6" w:rsidRDefault="00B56A31" w:rsidP="00B56A31">
      <w:pPr>
        <w:rPr>
          <w:rFonts w:ascii="Arial" w:hAnsi="Arial" w:cs="Arial"/>
          <w:sz w:val="22"/>
          <w:szCs w:val="22"/>
          <w:lang w:val="es-CO" w:eastAsia="es-CO"/>
        </w:rPr>
      </w:pPr>
    </w:p>
    <w:p w14:paraId="460B525F" w14:textId="0907118B" w:rsidR="00B56A31" w:rsidRPr="006F5CA6" w:rsidRDefault="00E17A9D" w:rsidP="00BC489F">
      <w:pPr>
        <w:jc w:val="center"/>
        <w:rPr>
          <w:rFonts w:ascii="Arial" w:hAnsi="Arial" w:cs="Arial"/>
          <w:sz w:val="22"/>
          <w:szCs w:val="22"/>
          <w:lang w:val="es-CO" w:eastAsia="es-CO"/>
        </w:rPr>
      </w:pPr>
      <w:r w:rsidRPr="006F5CA6">
        <w:rPr>
          <w:rFonts w:ascii="Arial" w:hAnsi="Arial" w:cs="Arial"/>
          <w:noProof/>
          <w:lang w:val="en-US"/>
        </w:rPr>
        <mc:AlternateContent>
          <mc:Choice Requires="cx1">
            <w:drawing>
              <wp:inline distT="0" distB="0" distL="0" distR="0" wp14:anchorId="6F38AE60" wp14:editId="3612969F">
                <wp:extent cx="4572000" cy="2743200"/>
                <wp:effectExtent l="0" t="0" r="0" b="0"/>
                <wp:docPr id="5" name="Gráfico 5"/>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4"/>
                  </a:graphicData>
                </a:graphic>
              </wp:inline>
            </w:drawing>
          </mc:Choice>
          <mc:Fallback>
            <w:drawing>
              <wp:inline distT="0" distB="0" distL="0" distR="0" wp14:anchorId="6F38AE60" wp14:editId="3612969F">
                <wp:extent cx="4572000" cy="2743200"/>
                <wp:effectExtent l="0" t="0" r="0" b="0"/>
                <wp:docPr id="5" name="Gráfico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Gráfico 5"/>
                        <pic:cNvPicPr>
                          <a:picLocks noGrp="1" noRot="1" noChangeAspect="1" noMove="1" noResize="1" noEditPoints="1" noAdjustHandles="1" noChangeArrowheads="1" noChangeShapeType="1"/>
                        </pic:cNvPicPr>
                      </pic:nvPicPr>
                      <pic:blipFill>
                        <a:blip r:embed="rId35"/>
                        <a:stretch>
                          <a:fillRect/>
                        </a:stretch>
                      </pic:blipFill>
                      <pic:spPr>
                        <a:xfrm>
                          <a:off x="0" y="0"/>
                          <a:ext cx="4572000" cy="2743200"/>
                        </a:xfrm>
                        <a:prstGeom prst="rect">
                          <a:avLst/>
                        </a:prstGeom>
                      </pic:spPr>
                    </pic:pic>
                  </a:graphicData>
                </a:graphic>
              </wp:inline>
            </w:drawing>
          </mc:Fallback>
        </mc:AlternateContent>
      </w:r>
    </w:p>
    <w:p w14:paraId="3B63D2DD" w14:textId="77777777" w:rsidR="00B56A31" w:rsidRPr="006F5CA6" w:rsidRDefault="00B56A31" w:rsidP="00B56A31">
      <w:pPr>
        <w:rPr>
          <w:rFonts w:ascii="Arial" w:hAnsi="Arial" w:cs="Arial"/>
          <w:sz w:val="22"/>
          <w:szCs w:val="22"/>
          <w:lang w:val="es-CO" w:eastAsia="es-CO"/>
        </w:rPr>
      </w:pPr>
      <w:r w:rsidRPr="006F5CA6">
        <w:rPr>
          <w:rFonts w:ascii="Arial" w:hAnsi="Arial" w:cs="Arial"/>
          <w:sz w:val="22"/>
          <w:szCs w:val="22"/>
          <w:lang w:val="es-CO" w:eastAsia="es-CO"/>
        </w:rPr>
        <w:t>Fuente: Elaboración Propia</w:t>
      </w:r>
    </w:p>
    <w:p w14:paraId="7F9D45A4" w14:textId="77777777" w:rsidR="00B56A31" w:rsidRPr="006F5CA6" w:rsidRDefault="00B56A31" w:rsidP="00B56A31">
      <w:pPr>
        <w:rPr>
          <w:rFonts w:ascii="Arial" w:hAnsi="Arial" w:cs="Arial"/>
          <w:sz w:val="22"/>
          <w:szCs w:val="22"/>
          <w:lang w:val="es-CO" w:eastAsia="es-CO"/>
        </w:rPr>
      </w:pPr>
    </w:p>
    <w:p w14:paraId="4F85B138" w14:textId="77777777" w:rsidR="00B56A31" w:rsidRPr="006F5CA6" w:rsidRDefault="00B56A31" w:rsidP="00B56A31">
      <w:pPr>
        <w:rPr>
          <w:rFonts w:ascii="Arial" w:hAnsi="Arial" w:cs="Arial"/>
          <w:sz w:val="22"/>
          <w:szCs w:val="22"/>
          <w:lang w:val="es-CO" w:eastAsia="es-CO"/>
        </w:rPr>
      </w:pPr>
    </w:p>
    <w:p w14:paraId="56EC88EF" w14:textId="06AD2355" w:rsidR="00B56A31" w:rsidRPr="006F5CA6" w:rsidRDefault="00BC489F" w:rsidP="00B56A31">
      <w:pPr>
        <w:rPr>
          <w:rFonts w:ascii="Arial" w:hAnsi="Arial" w:cs="Arial"/>
          <w:sz w:val="22"/>
          <w:szCs w:val="22"/>
          <w:lang w:val="es-CO" w:eastAsia="es-CO"/>
        </w:rPr>
      </w:pPr>
      <w:r w:rsidRPr="006F5CA6">
        <w:rPr>
          <w:rFonts w:ascii="Arial" w:hAnsi="Arial" w:cs="Arial"/>
          <w:sz w:val="22"/>
          <w:szCs w:val="22"/>
          <w:lang w:val="es-CO" w:eastAsia="es-CO"/>
        </w:rPr>
        <w:t xml:space="preserve">Análisis del resultado: </w:t>
      </w:r>
      <w:r w:rsidR="00B56A31" w:rsidRPr="006F5CA6">
        <w:rPr>
          <w:rFonts w:ascii="Arial" w:hAnsi="Arial" w:cs="Arial"/>
          <w:sz w:val="22"/>
          <w:szCs w:val="22"/>
          <w:lang w:val="es-CO" w:eastAsia="es-CO"/>
        </w:rPr>
        <w:t>El p</w:t>
      </w:r>
      <w:r w:rsidR="00E17A9D" w:rsidRPr="006F5CA6">
        <w:rPr>
          <w:rFonts w:ascii="Arial" w:hAnsi="Arial" w:cs="Arial"/>
          <w:sz w:val="22"/>
          <w:szCs w:val="22"/>
          <w:lang w:val="es-CO" w:eastAsia="es-CO"/>
        </w:rPr>
        <w:t>romedio de la muestra es de 43,24</w:t>
      </w:r>
    </w:p>
    <w:p w14:paraId="4B4E1FA0" w14:textId="3B311DFD" w:rsidR="00B56A31" w:rsidRPr="006F5CA6" w:rsidRDefault="00B56A31" w:rsidP="00BC489F">
      <w:pPr>
        <w:jc w:val="both"/>
        <w:rPr>
          <w:rFonts w:ascii="Arial" w:hAnsi="Arial" w:cs="Arial"/>
          <w:sz w:val="22"/>
          <w:szCs w:val="22"/>
          <w:lang w:val="es-CO" w:eastAsia="es-CO"/>
        </w:rPr>
      </w:pPr>
      <w:r w:rsidRPr="006F5CA6">
        <w:rPr>
          <w:rFonts w:ascii="Arial" w:hAnsi="Arial" w:cs="Arial"/>
          <w:sz w:val="22"/>
          <w:szCs w:val="22"/>
          <w:lang w:val="es-CO" w:eastAsia="es-CO"/>
        </w:rPr>
        <w:t>Se puede apreciar que las empresas analizadas presentan índices de endeudamiento típicos de la actividad económica. No obstante, se procederá a calcular la mediana de la muestra con el fin de obtener un resultado neutro y minimizar la posibilidad de que el resultado final se vea afectado.</w:t>
      </w:r>
    </w:p>
    <w:p w14:paraId="0F201F0F" w14:textId="77777777" w:rsidR="00B56A31" w:rsidRPr="006F5CA6" w:rsidRDefault="00B56A31" w:rsidP="00B56A31">
      <w:pPr>
        <w:rPr>
          <w:rFonts w:ascii="Arial" w:hAnsi="Arial" w:cs="Arial"/>
          <w:sz w:val="22"/>
          <w:szCs w:val="22"/>
          <w:lang w:val="es-CO" w:eastAsia="es-CO"/>
        </w:rPr>
      </w:pPr>
    </w:p>
    <w:tbl>
      <w:tblPr>
        <w:tblW w:w="2400" w:type="dxa"/>
        <w:jc w:val="center"/>
        <w:tblLook w:val="04A0" w:firstRow="1" w:lastRow="0" w:firstColumn="1" w:lastColumn="0" w:noHBand="0" w:noVBand="1"/>
      </w:tblPr>
      <w:tblGrid>
        <w:gridCol w:w="1200"/>
        <w:gridCol w:w="1200"/>
      </w:tblGrid>
      <w:tr w:rsidR="00902F08" w:rsidRPr="006F5CA6" w14:paraId="19857C53" w14:textId="77777777" w:rsidTr="00701B0D">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54456F" w14:textId="77777777" w:rsidR="00902F08" w:rsidRPr="006F5CA6" w:rsidRDefault="00902F08" w:rsidP="00902F08">
            <w:pPr>
              <w:rPr>
                <w:rFonts w:ascii="Arial" w:hAnsi="Arial" w:cs="Arial"/>
                <w:sz w:val="14"/>
                <w:szCs w:val="14"/>
                <w:lang w:val="es-CO"/>
              </w:rPr>
            </w:pPr>
            <w:r w:rsidRPr="006F5CA6">
              <w:rPr>
                <w:rFonts w:ascii="Arial" w:hAnsi="Arial" w:cs="Arial"/>
                <w:sz w:val="14"/>
                <w:szCs w:val="14"/>
                <w:lang w:val="es-CO"/>
              </w:rPr>
              <w:t>Mediana</w:t>
            </w:r>
          </w:p>
        </w:tc>
        <w:tc>
          <w:tcPr>
            <w:tcW w:w="1200" w:type="dxa"/>
            <w:tcBorders>
              <w:top w:val="single" w:sz="4" w:space="0" w:color="auto"/>
              <w:left w:val="nil"/>
              <w:bottom w:val="single" w:sz="4" w:space="0" w:color="auto"/>
              <w:right w:val="single" w:sz="4" w:space="0" w:color="auto"/>
            </w:tcBorders>
            <w:shd w:val="clear" w:color="auto" w:fill="auto"/>
            <w:noWrap/>
            <w:hideMark/>
          </w:tcPr>
          <w:p w14:paraId="61F89BFF" w14:textId="5DC8A27E" w:rsidR="00902F08" w:rsidRPr="006F5CA6" w:rsidRDefault="00E17A9D" w:rsidP="00902F08">
            <w:pPr>
              <w:rPr>
                <w:rFonts w:ascii="Arial" w:hAnsi="Arial" w:cs="Arial"/>
                <w:sz w:val="14"/>
                <w:szCs w:val="14"/>
                <w:lang w:val="es-CO"/>
              </w:rPr>
            </w:pPr>
            <w:r w:rsidRPr="006F5CA6">
              <w:rPr>
                <w:rFonts w:ascii="Arial" w:hAnsi="Arial" w:cs="Arial"/>
                <w:sz w:val="14"/>
                <w:szCs w:val="14"/>
                <w:lang w:val="es-CO"/>
              </w:rPr>
              <w:t>41,50</w:t>
            </w:r>
          </w:p>
        </w:tc>
      </w:tr>
    </w:tbl>
    <w:p w14:paraId="36E78722" w14:textId="77777777" w:rsidR="00B56A31" w:rsidRPr="006F5CA6" w:rsidRDefault="00B56A31" w:rsidP="00B56A31">
      <w:pPr>
        <w:rPr>
          <w:rFonts w:ascii="Arial" w:hAnsi="Arial" w:cs="Arial"/>
          <w:sz w:val="22"/>
          <w:szCs w:val="22"/>
          <w:lang w:val="es-CO" w:eastAsia="es-CO"/>
        </w:rPr>
      </w:pPr>
    </w:p>
    <w:p w14:paraId="6B37E955" w14:textId="77777777" w:rsidR="00B56A31" w:rsidRPr="006F5CA6" w:rsidRDefault="00B56A31" w:rsidP="00B56A31">
      <w:pPr>
        <w:rPr>
          <w:rFonts w:ascii="Arial" w:hAnsi="Arial" w:cs="Arial"/>
          <w:sz w:val="22"/>
          <w:szCs w:val="22"/>
          <w:lang w:val="es-CO" w:eastAsia="es-CO"/>
        </w:rPr>
      </w:pPr>
    </w:p>
    <w:p w14:paraId="5AFF54BE" w14:textId="6CE7D82C" w:rsidR="00B56A31" w:rsidRPr="006F5CA6" w:rsidRDefault="00B56A31" w:rsidP="001A5871">
      <w:pPr>
        <w:jc w:val="both"/>
        <w:rPr>
          <w:rFonts w:ascii="Arial" w:hAnsi="Arial" w:cs="Arial"/>
          <w:sz w:val="22"/>
          <w:szCs w:val="22"/>
          <w:lang w:val="es-CO" w:eastAsia="es-CO"/>
        </w:rPr>
      </w:pPr>
      <w:r w:rsidRPr="006F5CA6">
        <w:rPr>
          <w:rFonts w:ascii="Arial" w:hAnsi="Arial" w:cs="Arial"/>
          <w:sz w:val="22"/>
          <w:szCs w:val="22"/>
          <w:lang w:val="es-CO" w:eastAsia="es-CO"/>
        </w:rPr>
        <w:t>De acuerdo a ello, y atendiendo a la naturaleza del contrato, el valor del mismo, la forma de pago, los riesgos previsibles analizado; el índice de End</w:t>
      </w:r>
      <w:r w:rsidR="00D36355" w:rsidRPr="006F5CA6">
        <w:rPr>
          <w:rFonts w:ascii="Arial" w:hAnsi="Arial" w:cs="Arial"/>
          <w:sz w:val="22"/>
          <w:szCs w:val="22"/>
          <w:lang w:val="es-CO" w:eastAsia="es-CO"/>
        </w:rPr>
        <w:t xml:space="preserve">eudamiento a exigir será de </w:t>
      </w:r>
      <w:r w:rsidR="001D42C9">
        <w:rPr>
          <w:rFonts w:ascii="Arial" w:hAnsi="Arial" w:cs="Arial"/>
          <w:sz w:val="22"/>
          <w:szCs w:val="22"/>
          <w:lang w:val="es-CO" w:eastAsia="es-CO"/>
        </w:rPr>
        <w:t>5</w:t>
      </w:r>
      <w:r w:rsidR="00673602">
        <w:rPr>
          <w:rFonts w:ascii="Arial" w:hAnsi="Arial" w:cs="Arial"/>
          <w:sz w:val="22"/>
          <w:szCs w:val="22"/>
          <w:lang w:val="es-CO" w:eastAsia="es-CO"/>
        </w:rPr>
        <w:t>5</w:t>
      </w:r>
      <w:r w:rsidR="00E17A9D" w:rsidRPr="006F5CA6">
        <w:rPr>
          <w:rFonts w:ascii="Arial" w:hAnsi="Arial" w:cs="Arial"/>
          <w:sz w:val="22"/>
          <w:szCs w:val="22"/>
          <w:lang w:val="es-CO" w:eastAsia="es-CO"/>
        </w:rPr>
        <w:t>%</w:t>
      </w:r>
    </w:p>
    <w:p w14:paraId="5DCF227A" w14:textId="21C3504D" w:rsidR="005357D1" w:rsidRPr="006F5CA6" w:rsidRDefault="005357D1" w:rsidP="00B56A31">
      <w:pPr>
        <w:rPr>
          <w:rFonts w:ascii="Arial" w:hAnsi="Arial" w:cs="Arial"/>
          <w:sz w:val="22"/>
          <w:szCs w:val="22"/>
          <w:lang w:val="es-CO" w:eastAsia="es-CO"/>
        </w:rPr>
      </w:pPr>
    </w:p>
    <w:p w14:paraId="3D7A4FB2" w14:textId="7693F018" w:rsidR="00B56A31" w:rsidRPr="006F5CA6" w:rsidRDefault="00601508" w:rsidP="00B56A31">
      <w:pPr>
        <w:rPr>
          <w:rFonts w:ascii="Arial" w:hAnsi="Arial" w:cs="Arial"/>
          <w:b/>
          <w:sz w:val="22"/>
          <w:szCs w:val="22"/>
          <w:lang w:val="es-CO" w:eastAsia="es-CO"/>
        </w:rPr>
      </w:pPr>
      <w:r w:rsidRPr="006F5CA6">
        <w:rPr>
          <w:rFonts w:ascii="Arial" w:hAnsi="Arial" w:cs="Arial"/>
          <w:b/>
          <w:sz w:val="22"/>
          <w:szCs w:val="22"/>
          <w:lang w:val="es-CO" w:eastAsia="es-CO"/>
        </w:rPr>
        <w:t>Razón de cobertura de intereses</w:t>
      </w:r>
    </w:p>
    <w:p w14:paraId="185033D0" w14:textId="77777777" w:rsidR="00B56A31" w:rsidRPr="006F5CA6" w:rsidRDefault="00B56A31" w:rsidP="00B56A31">
      <w:pPr>
        <w:rPr>
          <w:rFonts w:ascii="Arial" w:hAnsi="Arial" w:cs="Arial"/>
          <w:sz w:val="22"/>
          <w:szCs w:val="22"/>
          <w:lang w:val="es-CO" w:eastAsia="es-CO"/>
        </w:rPr>
      </w:pPr>
    </w:p>
    <w:p w14:paraId="57E0655D" w14:textId="77777777" w:rsidR="00B56A31" w:rsidRPr="006F5CA6" w:rsidRDefault="00B56A31" w:rsidP="001A5871">
      <w:pPr>
        <w:jc w:val="both"/>
        <w:rPr>
          <w:rFonts w:ascii="Arial" w:hAnsi="Arial" w:cs="Arial"/>
          <w:sz w:val="22"/>
          <w:szCs w:val="22"/>
          <w:lang w:val="es-CO" w:eastAsia="es-CO"/>
        </w:rPr>
      </w:pPr>
      <w:r w:rsidRPr="006F5CA6">
        <w:rPr>
          <w:rFonts w:ascii="Arial" w:hAnsi="Arial" w:cs="Arial"/>
          <w:sz w:val="22"/>
          <w:szCs w:val="22"/>
          <w:lang w:val="es-CO" w:eastAsia="es-CO"/>
        </w:rPr>
        <w:t>Respecto del índice de razón de cobertura de interés la entidad lo determinara en razón a las variables de: a) forma de pago, b) riesgos asociados a la ejecución del contrato, c) plazo de ejecución d) valor del contrato y e) análisis estadísticos.</w:t>
      </w:r>
    </w:p>
    <w:p w14:paraId="735653B5" w14:textId="6419C0F3" w:rsidR="00B56A31" w:rsidRPr="006F5CA6" w:rsidRDefault="00B56A31" w:rsidP="00B56A31">
      <w:pPr>
        <w:rPr>
          <w:rFonts w:ascii="Arial" w:hAnsi="Arial" w:cs="Arial"/>
          <w:sz w:val="22"/>
          <w:szCs w:val="22"/>
          <w:lang w:val="es-CO" w:eastAsia="es-CO"/>
        </w:rPr>
      </w:pPr>
    </w:p>
    <w:p w14:paraId="4B0C28FB" w14:textId="1EEE776B" w:rsidR="00BC489F" w:rsidRPr="006F5CA6" w:rsidRDefault="00E17A9D" w:rsidP="00BC489F">
      <w:pPr>
        <w:jc w:val="center"/>
        <w:rPr>
          <w:rFonts w:ascii="Arial" w:hAnsi="Arial" w:cs="Arial"/>
          <w:sz w:val="22"/>
          <w:szCs w:val="22"/>
          <w:lang w:val="es-CO" w:eastAsia="es-CO"/>
        </w:rPr>
      </w:pPr>
      <w:r w:rsidRPr="006F5CA6">
        <w:rPr>
          <w:rFonts w:ascii="Arial" w:hAnsi="Arial" w:cs="Arial"/>
          <w:noProof/>
          <w:lang w:val="en-US"/>
        </w:rPr>
        <w:lastRenderedPageBreak/>
        <mc:AlternateContent>
          <mc:Choice Requires="cx1">
            <w:drawing>
              <wp:inline distT="0" distB="0" distL="0" distR="0" wp14:anchorId="3D68037C" wp14:editId="5A5A8E0D">
                <wp:extent cx="4572000" cy="2743200"/>
                <wp:effectExtent l="0" t="0" r="0" b="0"/>
                <wp:docPr id="6" name="Gráfico 6"/>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6"/>
                  </a:graphicData>
                </a:graphic>
              </wp:inline>
            </w:drawing>
          </mc:Choice>
          <mc:Fallback>
            <w:drawing>
              <wp:inline distT="0" distB="0" distL="0" distR="0" wp14:anchorId="3D68037C" wp14:editId="5A5A8E0D">
                <wp:extent cx="4572000" cy="2743200"/>
                <wp:effectExtent l="0" t="0" r="0" b="0"/>
                <wp:docPr id="6" name="Gráfico 6"/>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 name="Gráfico 6"/>
                        <pic:cNvPicPr>
                          <a:picLocks noGrp="1" noRot="1" noChangeAspect="1" noMove="1" noResize="1" noEditPoints="1" noAdjustHandles="1" noChangeArrowheads="1" noChangeShapeType="1"/>
                        </pic:cNvPicPr>
                      </pic:nvPicPr>
                      <pic:blipFill>
                        <a:blip r:embed="rId37"/>
                        <a:stretch>
                          <a:fillRect/>
                        </a:stretch>
                      </pic:blipFill>
                      <pic:spPr>
                        <a:xfrm>
                          <a:off x="0" y="0"/>
                          <a:ext cx="4572000" cy="2743200"/>
                        </a:xfrm>
                        <a:prstGeom prst="rect">
                          <a:avLst/>
                        </a:prstGeom>
                      </pic:spPr>
                    </pic:pic>
                  </a:graphicData>
                </a:graphic>
              </wp:inline>
            </w:drawing>
          </mc:Fallback>
        </mc:AlternateContent>
      </w:r>
    </w:p>
    <w:p w14:paraId="51D637F8" w14:textId="77777777" w:rsidR="00B56A31" w:rsidRPr="006F5CA6" w:rsidRDefault="00B56A31" w:rsidP="00B56A31">
      <w:pPr>
        <w:rPr>
          <w:rFonts w:ascii="Arial" w:hAnsi="Arial" w:cs="Arial"/>
          <w:sz w:val="22"/>
          <w:szCs w:val="22"/>
          <w:lang w:val="es-CO" w:eastAsia="es-CO"/>
        </w:rPr>
      </w:pPr>
      <w:r w:rsidRPr="006F5CA6">
        <w:rPr>
          <w:rFonts w:ascii="Arial" w:hAnsi="Arial" w:cs="Arial"/>
          <w:sz w:val="22"/>
          <w:szCs w:val="22"/>
          <w:lang w:val="es-CO" w:eastAsia="es-CO"/>
        </w:rPr>
        <w:t>Fuente: Elaboración Propia</w:t>
      </w:r>
    </w:p>
    <w:p w14:paraId="222E109E" w14:textId="77777777" w:rsidR="00B56A31" w:rsidRPr="006F5CA6" w:rsidRDefault="00B56A31" w:rsidP="00B56A31">
      <w:pPr>
        <w:rPr>
          <w:rFonts w:ascii="Arial" w:hAnsi="Arial" w:cs="Arial"/>
          <w:sz w:val="22"/>
          <w:szCs w:val="22"/>
          <w:lang w:val="es-CO" w:eastAsia="es-CO"/>
        </w:rPr>
      </w:pPr>
    </w:p>
    <w:p w14:paraId="5C4049F9" w14:textId="750E9469" w:rsidR="00B56A31" w:rsidRPr="006F5CA6" w:rsidRDefault="00601508" w:rsidP="00601508">
      <w:pPr>
        <w:jc w:val="both"/>
        <w:rPr>
          <w:rFonts w:ascii="Arial" w:hAnsi="Arial" w:cs="Arial"/>
          <w:sz w:val="22"/>
          <w:szCs w:val="22"/>
          <w:lang w:val="es-CO" w:eastAsia="es-CO"/>
        </w:rPr>
      </w:pPr>
      <w:r w:rsidRPr="006F5CA6">
        <w:rPr>
          <w:rFonts w:ascii="Arial" w:hAnsi="Arial" w:cs="Arial"/>
          <w:sz w:val="22"/>
          <w:szCs w:val="22"/>
          <w:lang w:val="es-CO" w:eastAsia="es-CO"/>
        </w:rPr>
        <w:t xml:space="preserve">Análisis: el </w:t>
      </w:r>
      <w:r w:rsidR="00B56A31" w:rsidRPr="006F5CA6">
        <w:rPr>
          <w:rFonts w:ascii="Arial" w:hAnsi="Arial" w:cs="Arial"/>
          <w:sz w:val="22"/>
          <w:szCs w:val="22"/>
          <w:lang w:val="es-CO" w:eastAsia="es-CO"/>
        </w:rPr>
        <w:t xml:space="preserve">promedio de la muestra es de: </w:t>
      </w:r>
      <w:r w:rsidR="00E17A9D" w:rsidRPr="006F5CA6">
        <w:rPr>
          <w:rFonts w:ascii="Arial" w:hAnsi="Arial" w:cs="Arial"/>
          <w:sz w:val="22"/>
          <w:szCs w:val="22"/>
          <w:lang w:val="es-CO" w:eastAsia="es-CO"/>
        </w:rPr>
        <w:t>19,96</w:t>
      </w:r>
      <w:r w:rsidR="00B56A31" w:rsidRPr="006F5CA6">
        <w:rPr>
          <w:rFonts w:ascii="Arial" w:hAnsi="Arial" w:cs="Arial"/>
          <w:sz w:val="22"/>
          <w:szCs w:val="22"/>
          <w:lang w:val="es-CO" w:eastAsia="es-CO"/>
        </w:rPr>
        <w:t xml:space="preserve"> una vez excluidos los índices atípicos, no obstante, se procederá a calcular la mediana de la muestra con el fin de obtener un resultado neutro y minimizar la posibilidad de que el resultado final se vea afectado.</w:t>
      </w:r>
    </w:p>
    <w:p w14:paraId="2962C7B9" w14:textId="77777777" w:rsidR="00B56A31" w:rsidRPr="006F5CA6" w:rsidRDefault="00B56A31" w:rsidP="00B56A31">
      <w:pPr>
        <w:rPr>
          <w:rFonts w:ascii="Arial" w:hAnsi="Arial" w:cs="Arial"/>
          <w:sz w:val="22"/>
          <w:szCs w:val="22"/>
          <w:lang w:val="es-CO" w:eastAsia="es-CO"/>
        </w:rPr>
      </w:pPr>
    </w:p>
    <w:tbl>
      <w:tblPr>
        <w:tblW w:w="2493" w:type="dxa"/>
        <w:jc w:val="center"/>
        <w:tblLook w:val="04A0" w:firstRow="1" w:lastRow="0" w:firstColumn="1" w:lastColumn="0" w:noHBand="0" w:noVBand="1"/>
      </w:tblPr>
      <w:tblGrid>
        <w:gridCol w:w="1293"/>
        <w:gridCol w:w="1200"/>
      </w:tblGrid>
      <w:tr w:rsidR="00601508" w:rsidRPr="006F5CA6" w14:paraId="7CE02A2F" w14:textId="77777777" w:rsidTr="00601508">
        <w:trPr>
          <w:trHeight w:val="300"/>
          <w:jc w:val="center"/>
        </w:trPr>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94DE1F" w14:textId="77777777" w:rsidR="00601508" w:rsidRPr="006F5CA6" w:rsidRDefault="00601508" w:rsidP="00601508">
            <w:pPr>
              <w:jc w:val="center"/>
              <w:rPr>
                <w:rFonts w:ascii="Arial" w:hAnsi="Arial" w:cs="Arial"/>
                <w:sz w:val="14"/>
                <w:szCs w:val="14"/>
                <w:lang w:val="es-CO" w:eastAsia="es-CO"/>
              </w:rPr>
            </w:pPr>
            <w:r w:rsidRPr="006F5CA6">
              <w:rPr>
                <w:rFonts w:ascii="Arial" w:hAnsi="Arial" w:cs="Arial"/>
                <w:sz w:val="14"/>
                <w:szCs w:val="14"/>
                <w:lang w:val="es-CO" w:eastAsia="es-CO"/>
              </w:rPr>
              <w:t>Mediana</w:t>
            </w:r>
          </w:p>
        </w:tc>
        <w:tc>
          <w:tcPr>
            <w:tcW w:w="1200" w:type="dxa"/>
            <w:tcBorders>
              <w:top w:val="single" w:sz="4" w:space="0" w:color="auto"/>
              <w:left w:val="nil"/>
              <w:bottom w:val="single" w:sz="4" w:space="0" w:color="auto"/>
              <w:right w:val="single" w:sz="4" w:space="0" w:color="auto"/>
            </w:tcBorders>
            <w:shd w:val="clear" w:color="auto" w:fill="auto"/>
            <w:noWrap/>
            <w:hideMark/>
          </w:tcPr>
          <w:p w14:paraId="631A23E6" w14:textId="2658C0B8" w:rsidR="00601508" w:rsidRPr="006F5CA6" w:rsidRDefault="00E17A9D" w:rsidP="00601508">
            <w:pPr>
              <w:jc w:val="center"/>
              <w:rPr>
                <w:rFonts w:ascii="Arial" w:hAnsi="Arial" w:cs="Arial"/>
                <w:sz w:val="14"/>
                <w:szCs w:val="14"/>
                <w:lang w:val="es-CO" w:eastAsia="es-CO"/>
              </w:rPr>
            </w:pPr>
            <w:r w:rsidRPr="006F5CA6">
              <w:rPr>
                <w:rFonts w:ascii="Arial" w:hAnsi="Arial" w:cs="Arial"/>
                <w:sz w:val="14"/>
                <w:szCs w:val="14"/>
                <w:lang w:val="es-CO"/>
              </w:rPr>
              <w:t>15,04</w:t>
            </w:r>
          </w:p>
        </w:tc>
      </w:tr>
    </w:tbl>
    <w:p w14:paraId="13494ED5" w14:textId="77777777" w:rsidR="00B56A31" w:rsidRPr="006F5CA6" w:rsidRDefault="00B56A31" w:rsidP="00B56A31">
      <w:pPr>
        <w:rPr>
          <w:rFonts w:ascii="Arial" w:hAnsi="Arial" w:cs="Arial"/>
          <w:sz w:val="22"/>
          <w:szCs w:val="22"/>
          <w:lang w:val="es-CO" w:eastAsia="es-CO"/>
        </w:rPr>
      </w:pPr>
    </w:p>
    <w:p w14:paraId="7E620782" w14:textId="2C8EDF35" w:rsidR="00B56A31" w:rsidRPr="006F5CA6" w:rsidRDefault="00B56A31" w:rsidP="00601508">
      <w:pPr>
        <w:jc w:val="both"/>
        <w:rPr>
          <w:rFonts w:ascii="Arial" w:hAnsi="Arial" w:cs="Arial"/>
          <w:sz w:val="22"/>
          <w:szCs w:val="22"/>
          <w:lang w:val="es-CO" w:eastAsia="es-CO"/>
        </w:rPr>
      </w:pPr>
      <w:r w:rsidRPr="006F5CA6">
        <w:rPr>
          <w:rFonts w:ascii="Arial" w:hAnsi="Arial" w:cs="Arial"/>
          <w:sz w:val="22"/>
          <w:szCs w:val="22"/>
          <w:lang w:val="es-CO" w:eastAsia="es-CO"/>
        </w:rPr>
        <w:t xml:space="preserve">Es necesario precisar que dicho índice refleja la capacidad del proponente de cumplir con sus obligaciones financieras, y para el presente proceso cobra singular vigencia, en razón a que el contrato no tiene pactado anticipo, por lo cual, se requiere verificar que los proponentes habilitados cuenten con una alta capacidad de cumplir con obligaciones financieras producto de los endeudamientos a que pueda recurrir para financiar la ejecución del contrato, por lo cual, se establecerá en </w:t>
      </w:r>
      <w:r w:rsidR="001D42C9">
        <w:rPr>
          <w:rFonts w:ascii="Arial" w:hAnsi="Arial" w:cs="Arial"/>
          <w:sz w:val="22"/>
          <w:szCs w:val="22"/>
          <w:lang w:val="es-CO" w:eastAsia="es-CO"/>
        </w:rPr>
        <w:t>2</w:t>
      </w:r>
    </w:p>
    <w:p w14:paraId="0086B4B6" w14:textId="77777777" w:rsidR="00894F74" w:rsidRPr="006F5CA6" w:rsidRDefault="00894F74" w:rsidP="00894F74">
      <w:pPr>
        <w:rPr>
          <w:rFonts w:ascii="Arial" w:hAnsi="Arial" w:cs="Arial"/>
          <w:sz w:val="22"/>
          <w:szCs w:val="22"/>
          <w:lang w:val="es-CO" w:eastAsia="es-CO"/>
        </w:rPr>
      </w:pPr>
    </w:p>
    <w:p w14:paraId="11C70708" w14:textId="77777777" w:rsidR="00B56A31" w:rsidRPr="006F5CA6" w:rsidRDefault="00B56A31" w:rsidP="001A5871">
      <w:pPr>
        <w:jc w:val="both"/>
        <w:rPr>
          <w:rFonts w:ascii="Arial" w:hAnsi="Arial" w:cs="Arial"/>
          <w:sz w:val="22"/>
          <w:szCs w:val="22"/>
          <w:lang w:val="es-CO" w:eastAsia="es-CO"/>
        </w:rPr>
      </w:pPr>
    </w:p>
    <w:p w14:paraId="1B657AAD" w14:textId="77777777" w:rsidR="00B56A31" w:rsidRPr="006F5CA6" w:rsidRDefault="00B56A31" w:rsidP="001A5871">
      <w:pPr>
        <w:jc w:val="both"/>
        <w:rPr>
          <w:rFonts w:ascii="Arial" w:hAnsi="Arial" w:cs="Arial"/>
          <w:sz w:val="22"/>
          <w:szCs w:val="22"/>
          <w:lang w:val="es-CO" w:eastAsia="es-CO"/>
        </w:rPr>
      </w:pPr>
      <w:r w:rsidRPr="006F5CA6">
        <w:rPr>
          <w:rFonts w:ascii="Arial" w:hAnsi="Arial" w:cs="Arial"/>
          <w:sz w:val="22"/>
          <w:szCs w:val="22"/>
          <w:lang w:val="es-CO" w:eastAsia="es-CO"/>
        </w:rPr>
        <w:t>En torno a los indicadores de capacidad organizacional, debemos precisar lo siguiente:</w:t>
      </w:r>
    </w:p>
    <w:p w14:paraId="1F1FFE3D" w14:textId="77777777" w:rsidR="00B56A31" w:rsidRPr="006F5CA6" w:rsidRDefault="00B56A31" w:rsidP="001A5871">
      <w:pPr>
        <w:jc w:val="both"/>
        <w:rPr>
          <w:rFonts w:ascii="Arial" w:hAnsi="Arial" w:cs="Arial"/>
          <w:sz w:val="22"/>
          <w:szCs w:val="22"/>
          <w:lang w:val="es-CO" w:eastAsia="es-CO"/>
        </w:rPr>
      </w:pPr>
    </w:p>
    <w:p w14:paraId="29693743" w14:textId="4207E8DC" w:rsidR="00B56A31" w:rsidRPr="006F5CA6" w:rsidRDefault="00894F74" w:rsidP="00B56A31">
      <w:pPr>
        <w:rPr>
          <w:rFonts w:ascii="Arial" w:hAnsi="Arial" w:cs="Arial"/>
          <w:b/>
          <w:sz w:val="22"/>
          <w:szCs w:val="22"/>
          <w:lang w:val="es-CO" w:eastAsia="es-CO"/>
        </w:rPr>
      </w:pPr>
      <w:r w:rsidRPr="006F5CA6">
        <w:rPr>
          <w:rFonts w:ascii="Arial" w:hAnsi="Arial" w:cs="Arial"/>
          <w:b/>
          <w:sz w:val="22"/>
          <w:szCs w:val="22"/>
          <w:lang w:val="es-CO" w:eastAsia="es-CO"/>
        </w:rPr>
        <w:t>Rentabilidad del patrimonio</w:t>
      </w:r>
    </w:p>
    <w:p w14:paraId="4479DBA8" w14:textId="77777777" w:rsidR="00B56A31" w:rsidRPr="006F5CA6" w:rsidRDefault="00B56A31" w:rsidP="00B56A31">
      <w:pPr>
        <w:rPr>
          <w:rFonts w:ascii="Arial" w:hAnsi="Arial" w:cs="Arial"/>
          <w:sz w:val="22"/>
          <w:szCs w:val="22"/>
          <w:lang w:val="es-CO" w:eastAsia="es-CO"/>
        </w:rPr>
      </w:pPr>
    </w:p>
    <w:p w14:paraId="11EC9F77" w14:textId="0A6F17E5" w:rsidR="00B56A31" w:rsidRPr="006F5CA6" w:rsidRDefault="00E17A9D" w:rsidP="00BC489F">
      <w:pPr>
        <w:jc w:val="center"/>
        <w:rPr>
          <w:rFonts w:ascii="Arial" w:hAnsi="Arial" w:cs="Arial"/>
          <w:sz w:val="22"/>
          <w:szCs w:val="22"/>
          <w:lang w:val="es-CO" w:eastAsia="es-CO"/>
        </w:rPr>
      </w:pPr>
      <w:r w:rsidRPr="006F5CA6">
        <w:rPr>
          <w:rFonts w:ascii="Arial" w:hAnsi="Arial" w:cs="Arial"/>
          <w:noProof/>
          <w:lang w:val="en-US"/>
        </w:rPr>
        <w:lastRenderedPageBreak/>
        <mc:AlternateContent>
          <mc:Choice Requires="cx1">
            <w:drawing>
              <wp:inline distT="0" distB="0" distL="0" distR="0" wp14:anchorId="62F46044" wp14:editId="54FC63DF">
                <wp:extent cx="4572000" cy="2743200"/>
                <wp:effectExtent l="0" t="0" r="0" b="0"/>
                <wp:docPr id="7" name="Gráfico 7"/>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8"/>
                  </a:graphicData>
                </a:graphic>
              </wp:inline>
            </w:drawing>
          </mc:Choice>
          <mc:Fallback>
            <w:drawing>
              <wp:inline distT="0" distB="0" distL="0" distR="0" wp14:anchorId="62F46044" wp14:editId="54FC63DF">
                <wp:extent cx="4572000" cy="2743200"/>
                <wp:effectExtent l="0" t="0" r="0" b="0"/>
                <wp:docPr id="7" name="Gráfico 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Gráfico 7"/>
                        <pic:cNvPicPr>
                          <a:picLocks noGrp="1" noRot="1" noChangeAspect="1" noMove="1" noResize="1" noEditPoints="1" noAdjustHandles="1" noChangeArrowheads="1" noChangeShapeType="1"/>
                        </pic:cNvPicPr>
                      </pic:nvPicPr>
                      <pic:blipFill>
                        <a:blip r:embed="rId39"/>
                        <a:stretch>
                          <a:fillRect/>
                        </a:stretch>
                      </pic:blipFill>
                      <pic:spPr>
                        <a:xfrm>
                          <a:off x="0" y="0"/>
                          <a:ext cx="4572000" cy="2743200"/>
                        </a:xfrm>
                        <a:prstGeom prst="rect">
                          <a:avLst/>
                        </a:prstGeom>
                      </pic:spPr>
                    </pic:pic>
                  </a:graphicData>
                </a:graphic>
              </wp:inline>
            </w:drawing>
          </mc:Fallback>
        </mc:AlternateContent>
      </w:r>
    </w:p>
    <w:p w14:paraId="3DAE4D21" w14:textId="77777777" w:rsidR="00B56A31" w:rsidRPr="006F5CA6" w:rsidRDefault="00B56A31" w:rsidP="00B56A31">
      <w:pPr>
        <w:rPr>
          <w:rFonts w:ascii="Arial" w:hAnsi="Arial" w:cs="Arial"/>
          <w:sz w:val="22"/>
          <w:szCs w:val="22"/>
          <w:lang w:val="es-CO" w:eastAsia="es-CO"/>
        </w:rPr>
      </w:pPr>
      <w:r w:rsidRPr="006F5CA6">
        <w:rPr>
          <w:rFonts w:ascii="Arial" w:hAnsi="Arial" w:cs="Arial"/>
          <w:sz w:val="22"/>
          <w:szCs w:val="22"/>
          <w:lang w:val="es-CO" w:eastAsia="es-CO"/>
        </w:rPr>
        <w:t>Fuente: Elaboración Propia</w:t>
      </w:r>
    </w:p>
    <w:p w14:paraId="62D1CDF7" w14:textId="77777777" w:rsidR="00B56A31" w:rsidRPr="006F5CA6" w:rsidRDefault="00B56A31" w:rsidP="00B56A31">
      <w:pPr>
        <w:rPr>
          <w:rFonts w:ascii="Arial" w:hAnsi="Arial" w:cs="Arial"/>
          <w:sz w:val="22"/>
          <w:szCs w:val="22"/>
          <w:lang w:val="es-CO" w:eastAsia="es-CO"/>
        </w:rPr>
      </w:pPr>
    </w:p>
    <w:p w14:paraId="25D77AE9" w14:textId="73086749" w:rsidR="00B56A31" w:rsidRPr="006F5CA6" w:rsidRDefault="00894F74" w:rsidP="00894F74">
      <w:pPr>
        <w:jc w:val="both"/>
        <w:rPr>
          <w:rFonts w:ascii="Arial" w:hAnsi="Arial" w:cs="Arial"/>
          <w:sz w:val="22"/>
          <w:szCs w:val="22"/>
          <w:lang w:val="es-CO" w:eastAsia="es-CO"/>
        </w:rPr>
      </w:pPr>
      <w:r w:rsidRPr="006F5CA6">
        <w:rPr>
          <w:rFonts w:ascii="Arial" w:hAnsi="Arial" w:cs="Arial"/>
          <w:sz w:val="22"/>
          <w:szCs w:val="22"/>
          <w:lang w:val="es-CO" w:eastAsia="es-CO"/>
        </w:rPr>
        <w:t xml:space="preserve">Análisis del resultado: </w:t>
      </w:r>
      <w:r w:rsidR="00B56A31" w:rsidRPr="006F5CA6">
        <w:rPr>
          <w:rFonts w:ascii="Arial" w:hAnsi="Arial" w:cs="Arial"/>
          <w:sz w:val="22"/>
          <w:szCs w:val="22"/>
          <w:lang w:val="es-CO" w:eastAsia="es-CO"/>
        </w:rPr>
        <w:t>el p</w:t>
      </w:r>
      <w:r w:rsidR="00D36355" w:rsidRPr="006F5CA6">
        <w:rPr>
          <w:rFonts w:ascii="Arial" w:hAnsi="Arial" w:cs="Arial"/>
          <w:sz w:val="22"/>
          <w:szCs w:val="22"/>
          <w:lang w:val="es-CO" w:eastAsia="es-CO"/>
        </w:rPr>
        <w:t>romedio de la muestra es de 24%</w:t>
      </w:r>
      <w:r w:rsidR="00B56A31" w:rsidRPr="006F5CA6">
        <w:rPr>
          <w:rFonts w:ascii="Arial" w:hAnsi="Arial" w:cs="Arial"/>
          <w:sz w:val="22"/>
          <w:szCs w:val="22"/>
          <w:lang w:val="es-CO" w:eastAsia="es-CO"/>
        </w:rPr>
        <w:t xml:space="preserve"> una vez excluidos los datos atípicos, no obstante, se procederá a calcular la mediana de la muestra y otras variables con el fin de obtener un resultado neutro y minimizar la posibilidad de que el resultado final se vea afectado.</w:t>
      </w:r>
    </w:p>
    <w:p w14:paraId="569311FD" w14:textId="77777777" w:rsidR="00B56A31" w:rsidRPr="006F5CA6" w:rsidRDefault="00B56A31" w:rsidP="00B56A31">
      <w:pPr>
        <w:rPr>
          <w:rFonts w:ascii="Arial" w:hAnsi="Arial" w:cs="Arial"/>
          <w:sz w:val="22"/>
          <w:szCs w:val="22"/>
          <w:lang w:val="es-CO" w:eastAsia="es-CO"/>
        </w:rPr>
      </w:pPr>
    </w:p>
    <w:tbl>
      <w:tblPr>
        <w:tblW w:w="2400" w:type="dxa"/>
        <w:jc w:val="center"/>
        <w:tblLook w:val="04A0" w:firstRow="1" w:lastRow="0" w:firstColumn="1" w:lastColumn="0" w:noHBand="0" w:noVBand="1"/>
      </w:tblPr>
      <w:tblGrid>
        <w:gridCol w:w="1200"/>
        <w:gridCol w:w="1200"/>
      </w:tblGrid>
      <w:tr w:rsidR="00894F74" w:rsidRPr="006F5CA6" w14:paraId="02EEBFDC" w14:textId="77777777" w:rsidTr="00701B0D">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25EC7A" w14:textId="77777777" w:rsidR="00894F74" w:rsidRPr="006F5CA6" w:rsidRDefault="00894F74" w:rsidP="00894F74">
            <w:pPr>
              <w:jc w:val="center"/>
              <w:rPr>
                <w:rFonts w:ascii="Arial" w:hAnsi="Arial" w:cs="Arial"/>
                <w:sz w:val="14"/>
                <w:szCs w:val="14"/>
                <w:lang w:val="es-CO" w:eastAsia="es-CO"/>
              </w:rPr>
            </w:pPr>
            <w:r w:rsidRPr="006F5CA6">
              <w:rPr>
                <w:rFonts w:ascii="Arial" w:hAnsi="Arial" w:cs="Arial"/>
                <w:sz w:val="14"/>
                <w:szCs w:val="14"/>
                <w:lang w:val="es-CO" w:eastAsia="es-CO"/>
              </w:rPr>
              <w:t>Mediana</w:t>
            </w:r>
          </w:p>
        </w:tc>
        <w:tc>
          <w:tcPr>
            <w:tcW w:w="1200" w:type="dxa"/>
            <w:tcBorders>
              <w:top w:val="single" w:sz="4" w:space="0" w:color="auto"/>
              <w:left w:val="nil"/>
              <w:bottom w:val="single" w:sz="4" w:space="0" w:color="auto"/>
              <w:right w:val="single" w:sz="4" w:space="0" w:color="auto"/>
            </w:tcBorders>
            <w:shd w:val="clear" w:color="auto" w:fill="auto"/>
            <w:noWrap/>
            <w:hideMark/>
          </w:tcPr>
          <w:p w14:paraId="40EDEECB" w14:textId="5581C720" w:rsidR="00894F74" w:rsidRPr="006F5CA6" w:rsidRDefault="00D36355" w:rsidP="00894F74">
            <w:pPr>
              <w:jc w:val="center"/>
              <w:rPr>
                <w:rFonts w:ascii="Arial" w:hAnsi="Arial" w:cs="Arial"/>
                <w:sz w:val="14"/>
                <w:szCs w:val="14"/>
                <w:lang w:val="es-CO" w:eastAsia="es-CO"/>
              </w:rPr>
            </w:pPr>
            <w:r w:rsidRPr="006F5CA6">
              <w:rPr>
                <w:rFonts w:ascii="Arial" w:hAnsi="Arial" w:cs="Arial"/>
                <w:sz w:val="14"/>
                <w:szCs w:val="14"/>
                <w:lang w:val="es-CO"/>
              </w:rPr>
              <w:t>21</w:t>
            </w:r>
          </w:p>
        </w:tc>
      </w:tr>
    </w:tbl>
    <w:p w14:paraId="05E8CE1B" w14:textId="77777777" w:rsidR="00B56A31" w:rsidRPr="006F5CA6" w:rsidRDefault="00B56A31" w:rsidP="00B56A31">
      <w:pPr>
        <w:rPr>
          <w:rFonts w:ascii="Arial" w:hAnsi="Arial" w:cs="Arial"/>
          <w:sz w:val="22"/>
          <w:szCs w:val="22"/>
          <w:lang w:val="es-CO" w:eastAsia="es-CO"/>
        </w:rPr>
      </w:pPr>
    </w:p>
    <w:p w14:paraId="4F37A10C" w14:textId="0AF13AA4" w:rsidR="00B56A31" w:rsidRPr="006F5CA6" w:rsidRDefault="00B56A31" w:rsidP="00894F74">
      <w:pPr>
        <w:jc w:val="both"/>
        <w:rPr>
          <w:rFonts w:ascii="Arial" w:hAnsi="Arial" w:cs="Arial"/>
          <w:sz w:val="22"/>
          <w:szCs w:val="22"/>
          <w:lang w:val="es-CO" w:eastAsia="es-CO"/>
        </w:rPr>
      </w:pPr>
      <w:r w:rsidRPr="006F5CA6">
        <w:rPr>
          <w:rFonts w:ascii="Arial" w:hAnsi="Arial" w:cs="Arial"/>
          <w:sz w:val="22"/>
          <w:szCs w:val="22"/>
          <w:lang w:val="es-CO" w:eastAsia="es-CO"/>
        </w:rPr>
        <w:t>De acuerdo a ello y atendiendo a la naturaleza del contrato, el valor de este, la forma de pago, los riesgos previsibles analizados, la rentabilidad sobre el patrimonio a exig</w:t>
      </w:r>
      <w:r w:rsidR="00894F74" w:rsidRPr="006F5CA6">
        <w:rPr>
          <w:rFonts w:ascii="Arial" w:hAnsi="Arial" w:cs="Arial"/>
          <w:sz w:val="22"/>
          <w:szCs w:val="22"/>
          <w:lang w:val="es-CO" w:eastAsia="es-CO"/>
        </w:rPr>
        <w:t xml:space="preserve">ir debe ser mayor o igual al </w:t>
      </w:r>
      <w:r w:rsidR="001D42C9">
        <w:rPr>
          <w:rFonts w:ascii="Arial" w:hAnsi="Arial" w:cs="Arial"/>
          <w:sz w:val="22"/>
          <w:szCs w:val="22"/>
          <w:lang w:val="es-CO" w:eastAsia="es-CO"/>
        </w:rPr>
        <w:t>1</w:t>
      </w:r>
      <w:r w:rsidR="00D36355" w:rsidRPr="006F5CA6">
        <w:rPr>
          <w:rFonts w:ascii="Arial" w:hAnsi="Arial" w:cs="Arial"/>
          <w:sz w:val="22"/>
          <w:szCs w:val="22"/>
          <w:lang w:val="es-CO" w:eastAsia="es-CO"/>
        </w:rPr>
        <w:t>0%</w:t>
      </w:r>
      <w:r w:rsidRPr="006F5CA6">
        <w:rPr>
          <w:rFonts w:ascii="Arial" w:hAnsi="Arial" w:cs="Arial"/>
          <w:sz w:val="22"/>
          <w:szCs w:val="22"/>
          <w:lang w:val="es-CO" w:eastAsia="es-CO"/>
        </w:rPr>
        <w:t xml:space="preserve">, dado que, de acuerdo a las variables examinadas, se requiere una capacidad de generación de utilidad operacional por cada peso invertido en el patrimonio, </w:t>
      </w:r>
      <w:r w:rsidR="00894F74" w:rsidRPr="006F5CA6">
        <w:rPr>
          <w:rFonts w:ascii="Arial" w:hAnsi="Arial" w:cs="Arial"/>
          <w:sz w:val="22"/>
          <w:szCs w:val="22"/>
          <w:lang w:val="es-CO" w:eastAsia="es-CO"/>
        </w:rPr>
        <w:t xml:space="preserve">en relación como mínimo del </w:t>
      </w:r>
      <w:r w:rsidR="001D42C9">
        <w:rPr>
          <w:rFonts w:ascii="Arial" w:hAnsi="Arial" w:cs="Arial"/>
          <w:sz w:val="22"/>
          <w:szCs w:val="22"/>
          <w:lang w:val="es-CO" w:eastAsia="es-CO"/>
        </w:rPr>
        <w:t>1</w:t>
      </w:r>
      <w:r w:rsidR="00D36355" w:rsidRPr="006F5CA6">
        <w:rPr>
          <w:rFonts w:ascii="Arial" w:hAnsi="Arial" w:cs="Arial"/>
          <w:sz w:val="22"/>
          <w:szCs w:val="22"/>
          <w:lang w:val="es-CO" w:eastAsia="es-CO"/>
        </w:rPr>
        <w:t>0%</w:t>
      </w:r>
    </w:p>
    <w:p w14:paraId="242A2EE4" w14:textId="77777777" w:rsidR="00B56A31" w:rsidRPr="006F5CA6" w:rsidRDefault="00B56A31" w:rsidP="00B56A31">
      <w:pPr>
        <w:rPr>
          <w:rFonts w:ascii="Arial" w:hAnsi="Arial" w:cs="Arial"/>
          <w:sz w:val="22"/>
          <w:szCs w:val="22"/>
          <w:lang w:val="es-CO" w:eastAsia="es-CO"/>
        </w:rPr>
      </w:pPr>
    </w:p>
    <w:p w14:paraId="01559907" w14:textId="484FD1D9" w:rsidR="00B56A31" w:rsidRPr="006F5CA6" w:rsidRDefault="00894F74" w:rsidP="00B56A31">
      <w:pPr>
        <w:rPr>
          <w:rFonts w:ascii="Arial" w:hAnsi="Arial" w:cs="Arial"/>
          <w:b/>
          <w:sz w:val="22"/>
          <w:szCs w:val="22"/>
          <w:lang w:val="es-CO" w:eastAsia="es-CO"/>
        </w:rPr>
      </w:pPr>
      <w:r w:rsidRPr="006F5CA6">
        <w:rPr>
          <w:rFonts w:ascii="Arial" w:hAnsi="Arial" w:cs="Arial"/>
          <w:b/>
          <w:sz w:val="22"/>
          <w:szCs w:val="22"/>
          <w:lang w:val="es-CO" w:eastAsia="es-CO"/>
        </w:rPr>
        <w:t>Rentabilidad del activo</w:t>
      </w:r>
    </w:p>
    <w:p w14:paraId="4BDC5DDC" w14:textId="77777777" w:rsidR="00B56A31" w:rsidRPr="006F5CA6" w:rsidRDefault="00B56A31" w:rsidP="00B56A31">
      <w:pPr>
        <w:rPr>
          <w:rFonts w:ascii="Arial" w:hAnsi="Arial" w:cs="Arial"/>
          <w:sz w:val="22"/>
          <w:szCs w:val="22"/>
          <w:lang w:val="es-CO" w:eastAsia="es-CO"/>
        </w:rPr>
      </w:pPr>
    </w:p>
    <w:p w14:paraId="6009A33A" w14:textId="14CD655A" w:rsidR="00B56A31" w:rsidRPr="006F5CA6" w:rsidRDefault="00E17A9D" w:rsidP="00894F74">
      <w:pPr>
        <w:jc w:val="center"/>
        <w:rPr>
          <w:rFonts w:ascii="Arial" w:hAnsi="Arial" w:cs="Arial"/>
          <w:sz w:val="22"/>
          <w:szCs w:val="22"/>
          <w:lang w:val="es-CO" w:eastAsia="es-CO"/>
        </w:rPr>
      </w:pPr>
      <w:r w:rsidRPr="006F5CA6">
        <w:rPr>
          <w:rFonts w:ascii="Arial" w:hAnsi="Arial" w:cs="Arial"/>
          <w:noProof/>
          <w:lang w:val="en-US"/>
        </w:rPr>
        <w:lastRenderedPageBreak/>
        <mc:AlternateContent>
          <mc:Choice Requires="cx1">
            <w:drawing>
              <wp:inline distT="0" distB="0" distL="0" distR="0" wp14:anchorId="26B5F70D" wp14:editId="71903BA0">
                <wp:extent cx="4572000" cy="2743200"/>
                <wp:effectExtent l="0" t="0" r="0" b="0"/>
                <wp:docPr id="8" name="Gráfico 8"/>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0"/>
                  </a:graphicData>
                </a:graphic>
              </wp:inline>
            </w:drawing>
          </mc:Choice>
          <mc:Fallback>
            <w:drawing>
              <wp:inline distT="0" distB="0" distL="0" distR="0" wp14:anchorId="26B5F70D" wp14:editId="71903BA0">
                <wp:extent cx="4572000" cy="2743200"/>
                <wp:effectExtent l="0" t="0" r="0" b="0"/>
                <wp:docPr id="8" name="Gráfico 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Gráfico 8"/>
                        <pic:cNvPicPr>
                          <a:picLocks noGrp="1" noRot="1" noChangeAspect="1" noMove="1" noResize="1" noEditPoints="1" noAdjustHandles="1" noChangeArrowheads="1" noChangeShapeType="1"/>
                        </pic:cNvPicPr>
                      </pic:nvPicPr>
                      <pic:blipFill>
                        <a:blip r:embed="rId41"/>
                        <a:stretch>
                          <a:fillRect/>
                        </a:stretch>
                      </pic:blipFill>
                      <pic:spPr>
                        <a:xfrm>
                          <a:off x="0" y="0"/>
                          <a:ext cx="4572000" cy="2743200"/>
                        </a:xfrm>
                        <a:prstGeom prst="rect">
                          <a:avLst/>
                        </a:prstGeom>
                      </pic:spPr>
                    </pic:pic>
                  </a:graphicData>
                </a:graphic>
              </wp:inline>
            </w:drawing>
          </mc:Fallback>
        </mc:AlternateContent>
      </w:r>
    </w:p>
    <w:p w14:paraId="6CC7D95C" w14:textId="77777777" w:rsidR="00B56A31" w:rsidRPr="006F5CA6" w:rsidRDefault="00B56A31" w:rsidP="00B56A31">
      <w:pPr>
        <w:rPr>
          <w:rFonts w:ascii="Arial" w:hAnsi="Arial" w:cs="Arial"/>
          <w:sz w:val="22"/>
          <w:szCs w:val="22"/>
          <w:lang w:val="es-CO" w:eastAsia="es-CO"/>
        </w:rPr>
      </w:pPr>
    </w:p>
    <w:p w14:paraId="49EA90D6" w14:textId="77777777" w:rsidR="00B56A31" w:rsidRPr="006F5CA6" w:rsidRDefault="00B56A31" w:rsidP="00B56A31">
      <w:pPr>
        <w:rPr>
          <w:rFonts w:ascii="Arial" w:hAnsi="Arial" w:cs="Arial"/>
          <w:sz w:val="22"/>
          <w:szCs w:val="22"/>
          <w:lang w:val="es-CO" w:eastAsia="es-CO"/>
        </w:rPr>
      </w:pPr>
      <w:r w:rsidRPr="006F5CA6">
        <w:rPr>
          <w:rFonts w:ascii="Arial" w:hAnsi="Arial" w:cs="Arial"/>
          <w:sz w:val="22"/>
          <w:szCs w:val="22"/>
          <w:lang w:val="es-CO" w:eastAsia="es-CO"/>
        </w:rPr>
        <w:t>Fuente: Elaboración Propia</w:t>
      </w:r>
    </w:p>
    <w:p w14:paraId="46C349AB" w14:textId="77777777" w:rsidR="00B56A31" w:rsidRPr="006F5CA6" w:rsidRDefault="00B56A31" w:rsidP="00B56A31">
      <w:pPr>
        <w:rPr>
          <w:rFonts w:ascii="Arial" w:hAnsi="Arial" w:cs="Arial"/>
          <w:sz w:val="22"/>
          <w:szCs w:val="22"/>
          <w:lang w:val="es-CO" w:eastAsia="es-CO"/>
        </w:rPr>
      </w:pPr>
    </w:p>
    <w:p w14:paraId="4CEDFC7D" w14:textId="615CFAA6" w:rsidR="00B56A31" w:rsidRPr="006F5CA6" w:rsidRDefault="00894F74" w:rsidP="00894F74">
      <w:pPr>
        <w:jc w:val="both"/>
        <w:rPr>
          <w:rFonts w:ascii="Arial" w:hAnsi="Arial" w:cs="Arial"/>
          <w:sz w:val="22"/>
          <w:szCs w:val="22"/>
          <w:lang w:val="es-CO" w:eastAsia="es-CO"/>
        </w:rPr>
      </w:pPr>
      <w:r w:rsidRPr="006F5CA6">
        <w:rPr>
          <w:rFonts w:ascii="Arial" w:hAnsi="Arial" w:cs="Arial"/>
          <w:sz w:val="22"/>
          <w:szCs w:val="22"/>
          <w:lang w:val="es-CO" w:eastAsia="es-CO"/>
        </w:rPr>
        <w:t>Análisis del resultado</w:t>
      </w:r>
      <w:r w:rsidR="00B56A31" w:rsidRPr="006F5CA6">
        <w:rPr>
          <w:rFonts w:ascii="Arial" w:hAnsi="Arial" w:cs="Arial"/>
          <w:sz w:val="22"/>
          <w:szCs w:val="22"/>
          <w:lang w:val="es-CO" w:eastAsia="es-CO"/>
        </w:rPr>
        <w:t xml:space="preserve">: el promedio de la muestra es de </w:t>
      </w:r>
      <w:r w:rsidR="00044C62" w:rsidRPr="006F5CA6">
        <w:rPr>
          <w:rFonts w:ascii="Arial" w:hAnsi="Arial" w:cs="Arial"/>
          <w:sz w:val="22"/>
          <w:szCs w:val="22"/>
          <w:lang w:val="es-CO" w:eastAsia="es-CO"/>
        </w:rPr>
        <w:t>15</w:t>
      </w:r>
      <w:r w:rsidR="00B56A31" w:rsidRPr="006F5CA6">
        <w:rPr>
          <w:rFonts w:ascii="Arial" w:hAnsi="Arial" w:cs="Arial"/>
          <w:sz w:val="22"/>
          <w:szCs w:val="22"/>
          <w:lang w:val="es-CO" w:eastAsia="es-CO"/>
        </w:rPr>
        <w:t xml:space="preserve"> una vez excluidos los datos atípicos, no obstante, se procederá a calcular la mediana de la muestra y otras variables con el fin de obtener un resultado neutro y minimizar la posibilidad de que el resultado final se vea afectado.</w:t>
      </w:r>
    </w:p>
    <w:p w14:paraId="60FC194E" w14:textId="77777777" w:rsidR="00B56A31" w:rsidRPr="006F5CA6" w:rsidRDefault="00B56A31" w:rsidP="00B56A31">
      <w:pPr>
        <w:rPr>
          <w:rFonts w:ascii="Arial" w:hAnsi="Arial" w:cs="Arial"/>
          <w:sz w:val="22"/>
          <w:szCs w:val="22"/>
          <w:lang w:val="es-CO" w:eastAsia="es-CO"/>
        </w:rPr>
      </w:pPr>
    </w:p>
    <w:tbl>
      <w:tblPr>
        <w:tblW w:w="2493" w:type="dxa"/>
        <w:jc w:val="center"/>
        <w:tblLook w:val="04A0" w:firstRow="1" w:lastRow="0" w:firstColumn="1" w:lastColumn="0" w:noHBand="0" w:noVBand="1"/>
      </w:tblPr>
      <w:tblGrid>
        <w:gridCol w:w="1293"/>
        <w:gridCol w:w="1200"/>
      </w:tblGrid>
      <w:tr w:rsidR="00894F74" w:rsidRPr="006F5CA6" w14:paraId="3F3AAC5B" w14:textId="77777777" w:rsidTr="00894F74">
        <w:trPr>
          <w:trHeight w:val="300"/>
          <w:jc w:val="center"/>
        </w:trPr>
        <w:tc>
          <w:tcPr>
            <w:tcW w:w="12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63B3A1" w14:textId="77777777" w:rsidR="00894F74" w:rsidRPr="006F5CA6" w:rsidRDefault="00894F74" w:rsidP="00894F74">
            <w:pPr>
              <w:rPr>
                <w:rFonts w:ascii="Arial" w:hAnsi="Arial" w:cs="Arial"/>
                <w:sz w:val="14"/>
                <w:szCs w:val="14"/>
                <w:lang w:val="es-CO" w:eastAsia="es-CO"/>
              </w:rPr>
            </w:pPr>
            <w:r w:rsidRPr="006F5CA6">
              <w:rPr>
                <w:rFonts w:ascii="Arial" w:hAnsi="Arial" w:cs="Arial"/>
                <w:sz w:val="14"/>
                <w:szCs w:val="14"/>
                <w:lang w:val="es-CO" w:eastAsia="es-CO"/>
              </w:rPr>
              <w:t>Mediana</w:t>
            </w:r>
          </w:p>
        </w:tc>
        <w:tc>
          <w:tcPr>
            <w:tcW w:w="1200" w:type="dxa"/>
            <w:tcBorders>
              <w:top w:val="single" w:sz="4" w:space="0" w:color="auto"/>
              <w:left w:val="nil"/>
              <w:bottom w:val="single" w:sz="4" w:space="0" w:color="auto"/>
              <w:right w:val="single" w:sz="4" w:space="0" w:color="auto"/>
            </w:tcBorders>
            <w:shd w:val="clear" w:color="auto" w:fill="auto"/>
            <w:noWrap/>
            <w:hideMark/>
          </w:tcPr>
          <w:p w14:paraId="05EF0FB8" w14:textId="2DFBC179" w:rsidR="00894F74" w:rsidRPr="006F5CA6" w:rsidRDefault="00044C62" w:rsidP="00894F74">
            <w:pPr>
              <w:jc w:val="center"/>
              <w:rPr>
                <w:rFonts w:ascii="Arial" w:hAnsi="Arial" w:cs="Arial"/>
                <w:sz w:val="14"/>
                <w:szCs w:val="14"/>
                <w:lang w:val="es-CO" w:eastAsia="es-CO"/>
              </w:rPr>
            </w:pPr>
            <w:r w:rsidRPr="006F5CA6">
              <w:rPr>
                <w:rFonts w:ascii="Arial" w:hAnsi="Arial" w:cs="Arial"/>
                <w:sz w:val="14"/>
                <w:szCs w:val="14"/>
                <w:lang w:val="es-CO"/>
              </w:rPr>
              <w:t>11</w:t>
            </w:r>
          </w:p>
        </w:tc>
      </w:tr>
    </w:tbl>
    <w:p w14:paraId="361175B4" w14:textId="77777777" w:rsidR="00B56A31" w:rsidRPr="006F5CA6" w:rsidRDefault="00B56A31" w:rsidP="00B56A31">
      <w:pPr>
        <w:rPr>
          <w:rFonts w:ascii="Arial" w:hAnsi="Arial" w:cs="Arial"/>
          <w:sz w:val="22"/>
          <w:szCs w:val="22"/>
          <w:lang w:val="es-CO" w:eastAsia="es-CO"/>
        </w:rPr>
      </w:pPr>
    </w:p>
    <w:p w14:paraId="56DD5ABF" w14:textId="77777777" w:rsidR="00B56A31" w:rsidRPr="006F5CA6" w:rsidRDefault="00B56A31" w:rsidP="00B56A31">
      <w:pPr>
        <w:rPr>
          <w:rFonts w:ascii="Arial" w:hAnsi="Arial" w:cs="Arial"/>
          <w:sz w:val="22"/>
          <w:szCs w:val="22"/>
          <w:lang w:val="es-CO" w:eastAsia="es-CO"/>
        </w:rPr>
      </w:pPr>
    </w:p>
    <w:p w14:paraId="04EF41DC" w14:textId="754B0088" w:rsidR="00B56A31" w:rsidRPr="006F5CA6" w:rsidRDefault="00B56A31" w:rsidP="00894F74">
      <w:pPr>
        <w:jc w:val="both"/>
        <w:rPr>
          <w:rFonts w:ascii="Arial" w:hAnsi="Arial" w:cs="Arial"/>
          <w:sz w:val="22"/>
          <w:szCs w:val="22"/>
          <w:lang w:val="es-CO" w:eastAsia="es-CO"/>
        </w:rPr>
      </w:pPr>
      <w:r w:rsidRPr="006F5CA6">
        <w:rPr>
          <w:rFonts w:ascii="Arial" w:hAnsi="Arial" w:cs="Arial"/>
          <w:sz w:val="22"/>
          <w:szCs w:val="22"/>
          <w:lang w:val="es-CO" w:eastAsia="es-CO"/>
        </w:rPr>
        <w:t>De acuerdo a ello y atendiendo a la naturaleza del contrato, el valor de este, la forma de pago, los riesgos previsibles analizados, la rentabilidad sobre activos, que siempre debe ser menor o igual a la rentabilidad sobre patrimonio, la entidad exigirá un i</w:t>
      </w:r>
      <w:r w:rsidR="00894F74" w:rsidRPr="006F5CA6">
        <w:rPr>
          <w:rFonts w:ascii="Arial" w:hAnsi="Arial" w:cs="Arial"/>
          <w:sz w:val="22"/>
          <w:szCs w:val="22"/>
          <w:lang w:val="es-CO" w:eastAsia="es-CO"/>
        </w:rPr>
        <w:t xml:space="preserve">ndicador de </w:t>
      </w:r>
      <w:r w:rsidR="001D42C9">
        <w:rPr>
          <w:rFonts w:ascii="Arial" w:hAnsi="Arial" w:cs="Arial"/>
          <w:sz w:val="22"/>
          <w:szCs w:val="22"/>
          <w:lang w:val="es-CO" w:eastAsia="es-CO"/>
        </w:rPr>
        <w:t>5</w:t>
      </w:r>
      <w:r w:rsidR="00044C62" w:rsidRPr="006F5CA6">
        <w:rPr>
          <w:rFonts w:ascii="Arial" w:hAnsi="Arial" w:cs="Arial"/>
          <w:sz w:val="22"/>
          <w:szCs w:val="22"/>
          <w:lang w:val="es-CO" w:eastAsia="es-CO"/>
        </w:rPr>
        <w:t>%</w:t>
      </w:r>
      <w:r w:rsidRPr="006F5CA6">
        <w:rPr>
          <w:rFonts w:ascii="Arial" w:hAnsi="Arial" w:cs="Arial"/>
          <w:sz w:val="22"/>
          <w:szCs w:val="22"/>
          <w:lang w:val="es-CO" w:eastAsia="es-CO"/>
        </w:rPr>
        <w:t xml:space="preserve">, en razón a las variables de: forma de pago, valor del contrato, plazo de ejecución y riesgos asociados al mismo.  </w:t>
      </w:r>
    </w:p>
    <w:p w14:paraId="6C505890" w14:textId="61627210" w:rsidR="00985CD5" w:rsidRPr="006F5CA6" w:rsidRDefault="00985CD5" w:rsidP="00793EA5">
      <w:pPr>
        <w:rPr>
          <w:rFonts w:ascii="Arial" w:hAnsi="Arial" w:cs="Arial"/>
          <w:sz w:val="22"/>
          <w:szCs w:val="22"/>
          <w:lang w:val="es-CO" w:eastAsia="es-CO"/>
        </w:rPr>
      </w:pPr>
    </w:p>
    <w:p w14:paraId="16503A6C" w14:textId="068EB2E1" w:rsidR="002C012A" w:rsidRPr="006F5CA6" w:rsidRDefault="002C012A" w:rsidP="00F810FE">
      <w:pPr>
        <w:pStyle w:val="Prrafodelista"/>
        <w:numPr>
          <w:ilvl w:val="0"/>
          <w:numId w:val="7"/>
        </w:numPr>
        <w:rPr>
          <w:rFonts w:ascii="Arial" w:hAnsi="Arial" w:cs="Arial"/>
          <w:b/>
          <w:bCs/>
          <w:noProof/>
          <w:sz w:val="22"/>
          <w:szCs w:val="22"/>
          <w:lang w:eastAsia="es-CO"/>
        </w:rPr>
      </w:pPr>
      <w:r w:rsidRPr="006F5CA6">
        <w:rPr>
          <w:rFonts w:ascii="Arial" w:hAnsi="Arial" w:cs="Arial"/>
          <w:b/>
          <w:bCs/>
          <w:noProof/>
          <w:sz w:val="22"/>
          <w:szCs w:val="22"/>
          <w:lang w:eastAsia="es-CO"/>
        </w:rPr>
        <w:t>Requisitos habilitantes de carácter financiero y organizacional a exigir</w:t>
      </w:r>
    </w:p>
    <w:p w14:paraId="1EDE0499" w14:textId="77777777" w:rsidR="002C012A" w:rsidRPr="006F5CA6" w:rsidRDefault="002C012A" w:rsidP="002C012A">
      <w:pPr>
        <w:jc w:val="both"/>
        <w:rPr>
          <w:rFonts w:ascii="Arial" w:hAnsi="Arial" w:cs="Arial"/>
          <w:b/>
          <w:sz w:val="22"/>
          <w:szCs w:val="22"/>
          <w:lang w:val="es-CO"/>
        </w:rPr>
      </w:pPr>
    </w:p>
    <w:p w14:paraId="4663205F" w14:textId="09DF0EDB" w:rsidR="002C012A" w:rsidRPr="006F5CA6" w:rsidRDefault="002C012A" w:rsidP="00F810FE">
      <w:pPr>
        <w:pStyle w:val="Default"/>
        <w:numPr>
          <w:ilvl w:val="1"/>
          <w:numId w:val="17"/>
        </w:numPr>
        <w:jc w:val="both"/>
        <w:rPr>
          <w:b/>
          <w:bCs/>
          <w:color w:val="auto"/>
          <w:sz w:val="22"/>
          <w:szCs w:val="22"/>
          <w:lang w:val="es-CO"/>
        </w:rPr>
      </w:pPr>
      <w:r w:rsidRPr="006F5CA6">
        <w:rPr>
          <w:b/>
          <w:bCs/>
          <w:color w:val="auto"/>
          <w:sz w:val="22"/>
          <w:szCs w:val="22"/>
          <w:lang w:val="es-CO"/>
        </w:rPr>
        <w:t xml:space="preserve">Capacidad Financiera </w:t>
      </w:r>
    </w:p>
    <w:p w14:paraId="63DDBE97" w14:textId="77777777" w:rsidR="002C012A" w:rsidRPr="006F5CA6" w:rsidRDefault="002C012A" w:rsidP="002C012A">
      <w:pPr>
        <w:pStyle w:val="Default"/>
        <w:tabs>
          <w:tab w:val="left" w:pos="904"/>
        </w:tabs>
        <w:jc w:val="both"/>
        <w:rPr>
          <w:color w:val="auto"/>
          <w:sz w:val="22"/>
          <w:szCs w:val="22"/>
          <w:lang w:val="es-CO"/>
        </w:rPr>
      </w:pPr>
      <w:r w:rsidRPr="006F5CA6">
        <w:rPr>
          <w:color w:val="auto"/>
          <w:sz w:val="22"/>
          <w:szCs w:val="22"/>
          <w:lang w:val="es-CO"/>
        </w:rPr>
        <w:tab/>
      </w:r>
    </w:p>
    <w:p w14:paraId="6D41B04E" w14:textId="77777777" w:rsidR="002C012A" w:rsidRPr="006F5CA6" w:rsidRDefault="002C012A" w:rsidP="002C012A">
      <w:pPr>
        <w:jc w:val="both"/>
        <w:rPr>
          <w:rFonts w:ascii="Arial" w:eastAsia="Arial" w:hAnsi="Arial" w:cs="Arial"/>
          <w:spacing w:val="-1"/>
          <w:sz w:val="22"/>
          <w:szCs w:val="22"/>
          <w:lang w:val="es-CO"/>
        </w:rPr>
      </w:pPr>
      <w:r w:rsidRPr="006F5CA6">
        <w:rPr>
          <w:rFonts w:ascii="Arial" w:eastAsia="Arial" w:hAnsi="Arial" w:cs="Arial"/>
          <w:spacing w:val="-1"/>
          <w:sz w:val="22"/>
          <w:szCs w:val="22"/>
          <w:lang w:val="es-CO"/>
        </w:rPr>
        <w:t>De conformidad con lo establecido en el numeral 15 del artículo 25 de la Ley 80 de 1993, artículo 6 de la Ley 1150 de 2007 modificado por el artículo 221 del Decreto Ley 019 de 2012 y el Decreto 1082 de 2015, en los numerales 3 y 4 del artículo 2.2.1.1.1.5.3 de acuerdo con la actividad a contratar, la capacidad financiera y organizacional será objeto de verificación a todos los proponentes que demuestren interés en participar en el presente proceso de contratación.</w:t>
      </w:r>
    </w:p>
    <w:p w14:paraId="0C158591" w14:textId="77777777" w:rsidR="002C012A" w:rsidRPr="006F5CA6" w:rsidRDefault="002C012A" w:rsidP="002C012A">
      <w:pPr>
        <w:jc w:val="both"/>
        <w:rPr>
          <w:rFonts w:ascii="Arial" w:eastAsia="Arial" w:hAnsi="Arial" w:cs="Arial"/>
          <w:spacing w:val="-1"/>
          <w:sz w:val="22"/>
          <w:szCs w:val="22"/>
          <w:lang w:val="es-CO"/>
        </w:rPr>
      </w:pPr>
    </w:p>
    <w:p w14:paraId="687A482C" w14:textId="77777777" w:rsidR="00673602" w:rsidRPr="002579F5" w:rsidRDefault="00673602" w:rsidP="00673602">
      <w:pPr>
        <w:jc w:val="both"/>
        <w:rPr>
          <w:rFonts w:ascii="Arial" w:eastAsia="Arial" w:hAnsi="Arial" w:cs="Arial"/>
          <w:spacing w:val="-1"/>
          <w:sz w:val="22"/>
          <w:szCs w:val="22"/>
          <w:lang w:val="es-CO"/>
        </w:rPr>
      </w:pPr>
      <w:r w:rsidRPr="002579F5">
        <w:rPr>
          <w:rFonts w:ascii="Arial" w:eastAsia="Arial" w:hAnsi="Arial" w:cs="Arial"/>
          <w:spacing w:val="-1"/>
          <w:sz w:val="22"/>
          <w:szCs w:val="22"/>
          <w:lang w:val="es-CO"/>
        </w:rPr>
        <w:lastRenderedPageBreak/>
        <w:t xml:space="preserve">Los indicadores financieros evaluados serán los siguientes y se calcularán con base en la información financiera, </w:t>
      </w:r>
      <w:r>
        <w:rPr>
          <w:rFonts w:ascii="Arial" w:eastAsia="Arial" w:hAnsi="Arial" w:cs="Arial"/>
          <w:spacing w:val="-1"/>
          <w:sz w:val="22"/>
          <w:szCs w:val="22"/>
          <w:lang w:val="es-CO"/>
        </w:rPr>
        <w:t xml:space="preserve">la información financiera reportada </w:t>
      </w:r>
      <w:r w:rsidRPr="002579F5">
        <w:rPr>
          <w:rFonts w:ascii="Arial" w:eastAsia="Arial" w:hAnsi="Arial" w:cs="Arial"/>
          <w:spacing w:val="-1"/>
          <w:sz w:val="22"/>
          <w:szCs w:val="22"/>
          <w:lang w:val="es-CO"/>
        </w:rPr>
        <w:t>en el registro de cada proponente en el RUP</w:t>
      </w:r>
      <w:r>
        <w:rPr>
          <w:rFonts w:ascii="Arial" w:eastAsia="Arial" w:hAnsi="Arial" w:cs="Arial"/>
          <w:spacing w:val="-1"/>
          <w:sz w:val="22"/>
          <w:szCs w:val="22"/>
          <w:lang w:val="es-CO"/>
        </w:rPr>
        <w:t xml:space="preserve"> para el año 2022</w:t>
      </w:r>
    </w:p>
    <w:p w14:paraId="0CB8CF32" w14:textId="77777777" w:rsidR="002C012A" w:rsidRPr="006F5CA6" w:rsidRDefault="002C012A" w:rsidP="002C012A">
      <w:pPr>
        <w:jc w:val="both"/>
        <w:rPr>
          <w:rFonts w:ascii="Arial" w:hAnsi="Arial" w:cs="Arial"/>
          <w:sz w:val="22"/>
          <w:szCs w:val="22"/>
          <w:lang w:val="es-CO"/>
        </w:rPr>
      </w:pPr>
    </w:p>
    <w:p w14:paraId="1FF0AB83" w14:textId="77777777" w:rsidR="002C012A" w:rsidRPr="006F5CA6" w:rsidRDefault="002C012A" w:rsidP="002C012A">
      <w:pPr>
        <w:pStyle w:val="Default"/>
        <w:jc w:val="both"/>
        <w:rPr>
          <w:color w:val="auto"/>
          <w:sz w:val="22"/>
          <w:szCs w:val="22"/>
          <w:lang w:val="es-CO"/>
        </w:rPr>
      </w:pPr>
      <w:r w:rsidRPr="006F5CA6">
        <w:rPr>
          <w:b/>
          <w:bCs/>
          <w:color w:val="auto"/>
          <w:sz w:val="22"/>
          <w:szCs w:val="22"/>
          <w:lang w:val="es-CO"/>
        </w:rPr>
        <w:t>Tabla 1 - Indicadores de capacidad financiera</w:t>
      </w:r>
    </w:p>
    <w:p w14:paraId="6EF091A9" w14:textId="77777777" w:rsidR="002C012A" w:rsidRPr="006F5CA6" w:rsidRDefault="002C012A" w:rsidP="002C012A">
      <w:pPr>
        <w:pStyle w:val="Default"/>
        <w:jc w:val="both"/>
        <w:rPr>
          <w:color w:val="auto"/>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2"/>
        <w:gridCol w:w="2693"/>
      </w:tblGrid>
      <w:tr w:rsidR="002C012A" w:rsidRPr="006F5CA6" w14:paraId="685267E5" w14:textId="77777777" w:rsidTr="00701B0D">
        <w:trPr>
          <w:jc w:val="center"/>
        </w:trPr>
        <w:tc>
          <w:tcPr>
            <w:tcW w:w="5812" w:type="dxa"/>
          </w:tcPr>
          <w:p w14:paraId="1E10EEC4" w14:textId="77777777" w:rsidR="002C012A" w:rsidRPr="006F5CA6" w:rsidRDefault="002C012A" w:rsidP="00701B0D">
            <w:pPr>
              <w:pStyle w:val="Default"/>
              <w:jc w:val="both"/>
              <w:rPr>
                <w:color w:val="auto"/>
                <w:sz w:val="22"/>
                <w:szCs w:val="22"/>
                <w:lang w:val="es-CO"/>
              </w:rPr>
            </w:pPr>
            <w:r w:rsidRPr="006F5CA6">
              <w:rPr>
                <w:b/>
                <w:bCs/>
                <w:color w:val="auto"/>
                <w:sz w:val="22"/>
                <w:szCs w:val="22"/>
                <w:lang w:val="es-CO"/>
              </w:rPr>
              <w:t>Indicador</w:t>
            </w:r>
          </w:p>
        </w:tc>
        <w:tc>
          <w:tcPr>
            <w:tcW w:w="2693" w:type="dxa"/>
          </w:tcPr>
          <w:p w14:paraId="0AA49E1D" w14:textId="77777777" w:rsidR="002C012A" w:rsidRPr="006F5CA6" w:rsidRDefault="002C012A" w:rsidP="00701B0D">
            <w:pPr>
              <w:pStyle w:val="Default"/>
              <w:jc w:val="both"/>
              <w:rPr>
                <w:color w:val="auto"/>
                <w:sz w:val="22"/>
                <w:szCs w:val="22"/>
                <w:lang w:val="es-CO"/>
              </w:rPr>
            </w:pPr>
            <w:r w:rsidRPr="006F5CA6">
              <w:rPr>
                <w:b/>
                <w:bCs/>
                <w:color w:val="auto"/>
                <w:sz w:val="22"/>
                <w:szCs w:val="22"/>
                <w:lang w:val="es-CO"/>
              </w:rPr>
              <w:t>Índice requerido</w:t>
            </w:r>
          </w:p>
        </w:tc>
      </w:tr>
      <w:tr w:rsidR="002C012A" w:rsidRPr="006F5CA6" w14:paraId="28168249" w14:textId="77777777" w:rsidTr="00701B0D">
        <w:trPr>
          <w:jc w:val="center"/>
        </w:trPr>
        <w:tc>
          <w:tcPr>
            <w:tcW w:w="5812" w:type="dxa"/>
          </w:tcPr>
          <w:p w14:paraId="3C68A039" w14:textId="77777777" w:rsidR="002C012A" w:rsidRPr="006F5CA6" w:rsidRDefault="002C012A" w:rsidP="00701B0D">
            <w:pPr>
              <w:pStyle w:val="Default"/>
              <w:jc w:val="both"/>
              <w:rPr>
                <w:color w:val="auto"/>
                <w:sz w:val="22"/>
                <w:szCs w:val="22"/>
                <w:lang w:val="es-CO"/>
              </w:rPr>
            </w:pPr>
            <w:r w:rsidRPr="006F5CA6">
              <w:rPr>
                <w:color w:val="auto"/>
                <w:sz w:val="22"/>
                <w:szCs w:val="22"/>
                <w:lang w:val="es-CO"/>
              </w:rPr>
              <w:t>Índice de Liquidez (activo corriente/ pasivo corriente)</w:t>
            </w:r>
          </w:p>
        </w:tc>
        <w:tc>
          <w:tcPr>
            <w:tcW w:w="2693" w:type="dxa"/>
          </w:tcPr>
          <w:p w14:paraId="14D770FE" w14:textId="5F7107BB" w:rsidR="002C012A" w:rsidRPr="006F5CA6" w:rsidRDefault="002C012A" w:rsidP="001D42C9">
            <w:pPr>
              <w:pStyle w:val="Default"/>
              <w:jc w:val="center"/>
              <w:rPr>
                <w:color w:val="auto"/>
                <w:sz w:val="22"/>
                <w:szCs w:val="22"/>
                <w:lang w:val="es-CO"/>
              </w:rPr>
            </w:pPr>
            <w:r w:rsidRPr="006F5CA6">
              <w:rPr>
                <w:color w:val="auto"/>
                <w:sz w:val="22"/>
                <w:szCs w:val="22"/>
                <w:lang w:val="es-CO"/>
              </w:rPr>
              <w:t xml:space="preserve">Mayor o igual a </w:t>
            </w:r>
            <w:r w:rsidR="001D42C9">
              <w:rPr>
                <w:color w:val="auto"/>
                <w:sz w:val="22"/>
                <w:szCs w:val="22"/>
                <w:lang w:val="es-CO"/>
              </w:rPr>
              <w:t>2</w:t>
            </w:r>
          </w:p>
        </w:tc>
      </w:tr>
      <w:tr w:rsidR="002C012A" w:rsidRPr="006F5CA6" w14:paraId="102045B1" w14:textId="77777777" w:rsidTr="00701B0D">
        <w:trPr>
          <w:jc w:val="center"/>
        </w:trPr>
        <w:tc>
          <w:tcPr>
            <w:tcW w:w="5812" w:type="dxa"/>
          </w:tcPr>
          <w:p w14:paraId="02910556" w14:textId="77777777" w:rsidR="002C012A" w:rsidRPr="006F5CA6" w:rsidRDefault="002C012A" w:rsidP="00701B0D">
            <w:pPr>
              <w:pStyle w:val="Default"/>
              <w:jc w:val="both"/>
              <w:rPr>
                <w:color w:val="auto"/>
                <w:sz w:val="22"/>
                <w:szCs w:val="22"/>
                <w:lang w:val="es-CO"/>
              </w:rPr>
            </w:pPr>
            <w:r w:rsidRPr="006F5CA6">
              <w:rPr>
                <w:color w:val="auto"/>
                <w:sz w:val="22"/>
                <w:szCs w:val="22"/>
                <w:lang w:val="es-CO"/>
              </w:rPr>
              <w:t>Índice de Endeudamiento (pasivo total/ activo total) *100</w:t>
            </w:r>
          </w:p>
        </w:tc>
        <w:tc>
          <w:tcPr>
            <w:tcW w:w="2693" w:type="dxa"/>
          </w:tcPr>
          <w:p w14:paraId="10866D6A" w14:textId="5F65D4B2" w:rsidR="002C012A" w:rsidRPr="006F5CA6" w:rsidRDefault="002C012A" w:rsidP="00673602">
            <w:pPr>
              <w:pStyle w:val="Default"/>
              <w:jc w:val="center"/>
              <w:rPr>
                <w:color w:val="auto"/>
                <w:sz w:val="22"/>
                <w:szCs w:val="22"/>
                <w:lang w:val="es-CO"/>
              </w:rPr>
            </w:pPr>
            <w:r w:rsidRPr="006F5CA6">
              <w:rPr>
                <w:color w:val="auto"/>
                <w:sz w:val="22"/>
                <w:szCs w:val="22"/>
                <w:lang w:val="es-CO"/>
              </w:rPr>
              <w:t xml:space="preserve">Menor o igual a </w:t>
            </w:r>
            <w:r w:rsidR="001D42C9">
              <w:rPr>
                <w:color w:val="auto"/>
                <w:sz w:val="22"/>
                <w:szCs w:val="22"/>
                <w:lang w:val="es-CO"/>
              </w:rPr>
              <w:t>5</w:t>
            </w:r>
            <w:r w:rsidR="00673602">
              <w:rPr>
                <w:color w:val="auto"/>
                <w:sz w:val="22"/>
                <w:szCs w:val="22"/>
                <w:lang w:val="es-CO"/>
              </w:rPr>
              <w:t>5</w:t>
            </w:r>
            <w:r w:rsidR="00E015AD" w:rsidRPr="006F5CA6">
              <w:rPr>
                <w:color w:val="auto"/>
                <w:sz w:val="22"/>
                <w:szCs w:val="22"/>
                <w:lang w:val="es-CO"/>
              </w:rPr>
              <w:t>%</w:t>
            </w:r>
          </w:p>
        </w:tc>
      </w:tr>
      <w:tr w:rsidR="002C012A" w:rsidRPr="006F5CA6" w14:paraId="7AFAF064" w14:textId="77777777" w:rsidTr="00701B0D">
        <w:trPr>
          <w:jc w:val="center"/>
        </w:trPr>
        <w:tc>
          <w:tcPr>
            <w:tcW w:w="5812" w:type="dxa"/>
          </w:tcPr>
          <w:p w14:paraId="411E5B09" w14:textId="77777777" w:rsidR="002C012A" w:rsidRPr="006F5CA6" w:rsidRDefault="002C012A" w:rsidP="00701B0D">
            <w:pPr>
              <w:pStyle w:val="Default"/>
              <w:jc w:val="both"/>
              <w:rPr>
                <w:color w:val="auto"/>
                <w:sz w:val="22"/>
                <w:szCs w:val="22"/>
                <w:lang w:val="es-CO"/>
              </w:rPr>
            </w:pPr>
            <w:r w:rsidRPr="006F5CA6">
              <w:rPr>
                <w:color w:val="auto"/>
                <w:sz w:val="22"/>
                <w:szCs w:val="22"/>
                <w:lang w:val="es-CO"/>
              </w:rPr>
              <w:t xml:space="preserve">Razón de Cobertura de Intereses (Utilidad Operacional / Gastos de Intereses) </w:t>
            </w:r>
          </w:p>
        </w:tc>
        <w:tc>
          <w:tcPr>
            <w:tcW w:w="2693" w:type="dxa"/>
          </w:tcPr>
          <w:p w14:paraId="449749E7" w14:textId="32D49763" w:rsidR="002C012A" w:rsidRPr="006F5CA6" w:rsidRDefault="002C012A" w:rsidP="001D42C9">
            <w:pPr>
              <w:pStyle w:val="Default"/>
              <w:jc w:val="center"/>
              <w:rPr>
                <w:color w:val="auto"/>
                <w:sz w:val="22"/>
                <w:szCs w:val="22"/>
                <w:lang w:val="es-CO"/>
              </w:rPr>
            </w:pPr>
            <w:r w:rsidRPr="006F5CA6">
              <w:rPr>
                <w:color w:val="auto"/>
                <w:sz w:val="22"/>
                <w:szCs w:val="22"/>
                <w:lang w:val="es-CO"/>
              </w:rPr>
              <w:t xml:space="preserve">Mayor o igual a </w:t>
            </w:r>
            <w:r w:rsidR="001D42C9">
              <w:rPr>
                <w:color w:val="auto"/>
                <w:sz w:val="22"/>
                <w:szCs w:val="22"/>
                <w:lang w:val="es-CO"/>
              </w:rPr>
              <w:t>2</w:t>
            </w:r>
          </w:p>
        </w:tc>
      </w:tr>
    </w:tbl>
    <w:p w14:paraId="54CA5116" w14:textId="77777777" w:rsidR="002C012A" w:rsidRPr="006F5CA6" w:rsidRDefault="002C012A" w:rsidP="002C012A">
      <w:pPr>
        <w:jc w:val="both"/>
        <w:rPr>
          <w:rFonts w:ascii="Arial" w:hAnsi="Arial" w:cs="Arial"/>
          <w:sz w:val="22"/>
          <w:szCs w:val="22"/>
          <w:lang w:val="es-CO"/>
        </w:rPr>
      </w:pPr>
    </w:p>
    <w:p w14:paraId="70959D3E" w14:textId="58E2C4F4" w:rsidR="002C012A" w:rsidRPr="006F5CA6" w:rsidRDefault="001A5871" w:rsidP="002C012A">
      <w:pPr>
        <w:jc w:val="both"/>
        <w:rPr>
          <w:rFonts w:ascii="Arial" w:hAnsi="Arial" w:cs="Arial"/>
          <w:sz w:val="22"/>
          <w:szCs w:val="22"/>
          <w:lang w:val="es-CO"/>
        </w:rPr>
      </w:pPr>
      <w:r w:rsidRPr="006F5CA6">
        <w:rPr>
          <w:rFonts w:ascii="Arial" w:hAnsi="Arial" w:cs="Arial"/>
          <w:b/>
          <w:sz w:val="22"/>
          <w:szCs w:val="22"/>
          <w:lang w:val="es-CO"/>
        </w:rPr>
        <w:t xml:space="preserve">Nota: </w:t>
      </w:r>
      <w:r w:rsidRPr="006F5CA6">
        <w:rPr>
          <w:rFonts w:ascii="Arial" w:hAnsi="Arial" w:cs="Arial"/>
          <w:sz w:val="22"/>
          <w:szCs w:val="22"/>
          <w:lang w:val="es-CO"/>
        </w:rPr>
        <w:t>los oferentes cuyos gastos de intereses sean cero (0), no podrán calcular el indicador de razón de cobertura de intereses. En este caso el oferente cumple el indicador, salvo que su utilidad operacional sea negativa</w:t>
      </w:r>
    </w:p>
    <w:p w14:paraId="36BE5513" w14:textId="77777777" w:rsidR="002C012A" w:rsidRPr="006F5CA6" w:rsidRDefault="002C012A" w:rsidP="002C012A">
      <w:pPr>
        <w:jc w:val="both"/>
        <w:rPr>
          <w:rFonts w:ascii="Arial" w:hAnsi="Arial" w:cs="Arial"/>
          <w:b/>
          <w:sz w:val="22"/>
          <w:szCs w:val="22"/>
          <w:lang w:val="es-CO"/>
        </w:rPr>
      </w:pPr>
    </w:p>
    <w:p w14:paraId="2441F465" w14:textId="77777777" w:rsidR="002C012A" w:rsidRPr="006F5CA6" w:rsidRDefault="002C012A" w:rsidP="002C012A">
      <w:pPr>
        <w:pStyle w:val="Default"/>
        <w:jc w:val="both"/>
        <w:rPr>
          <w:color w:val="auto"/>
          <w:sz w:val="22"/>
          <w:szCs w:val="22"/>
          <w:lang w:val="es-CO"/>
        </w:rPr>
      </w:pPr>
      <w:r w:rsidRPr="006F5CA6">
        <w:rPr>
          <w:b/>
          <w:bCs/>
          <w:color w:val="auto"/>
          <w:sz w:val="22"/>
          <w:szCs w:val="22"/>
          <w:lang w:val="es-CO"/>
        </w:rPr>
        <w:t>Tabla 2 - Indicadores de capacidad organizacional</w:t>
      </w:r>
    </w:p>
    <w:p w14:paraId="11499C0A" w14:textId="77777777" w:rsidR="002C012A" w:rsidRPr="006F5CA6" w:rsidRDefault="002C012A" w:rsidP="002C012A">
      <w:pPr>
        <w:pStyle w:val="Default"/>
        <w:jc w:val="both"/>
        <w:rPr>
          <w:color w:val="auto"/>
          <w:sz w:val="22"/>
          <w:szCs w:val="22"/>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4"/>
        <w:gridCol w:w="3289"/>
      </w:tblGrid>
      <w:tr w:rsidR="002C012A" w:rsidRPr="006F5CA6" w14:paraId="1C3CD218" w14:textId="77777777" w:rsidTr="00701B0D">
        <w:trPr>
          <w:jc w:val="center"/>
        </w:trPr>
        <w:tc>
          <w:tcPr>
            <w:tcW w:w="5034" w:type="dxa"/>
          </w:tcPr>
          <w:p w14:paraId="4FF3DAD6" w14:textId="77777777" w:rsidR="002C012A" w:rsidRPr="006F5CA6" w:rsidRDefault="002C012A" w:rsidP="00701B0D">
            <w:pPr>
              <w:pStyle w:val="Default"/>
              <w:jc w:val="both"/>
              <w:rPr>
                <w:color w:val="auto"/>
                <w:sz w:val="22"/>
                <w:szCs w:val="22"/>
                <w:lang w:val="es-CO"/>
              </w:rPr>
            </w:pPr>
            <w:r w:rsidRPr="006F5CA6">
              <w:rPr>
                <w:b/>
                <w:bCs/>
                <w:color w:val="auto"/>
                <w:sz w:val="22"/>
                <w:szCs w:val="22"/>
                <w:lang w:val="es-CO"/>
              </w:rPr>
              <w:t>Indicador</w:t>
            </w:r>
          </w:p>
        </w:tc>
        <w:tc>
          <w:tcPr>
            <w:tcW w:w="3289" w:type="dxa"/>
          </w:tcPr>
          <w:p w14:paraId="591F2E37" w14:textId="77777777" w:rsidR="002C012A" w:rsidRPr="006F5CA6" w:rsidRDefault="002C012A" w:rsidP="00701B0D">
            <w:pPr>
              <w:pStyle w:val="Default"/>
              <w:jc w:val="both"/>
              <w:rPr>
                <w:color w:val="auto"/>
                <w:sz w:val="22"/>
                <w:szCs w:val="22"/>
                <w:lang w:val="es-CO"/>
              </w:rPr>
            </w:pPr>
            <w:r w:rsidRPr="006F5CA6">
              <w:rPr>
                <w:b/>
                <w:bCs/>
                <w:color w:val="auto"/>
                <w:sz w:val="22"/>
                <w:szCs w:val="22"/>
                <w:lang w:val="es-CO"/>
              </w:rPr>
              <w:t>Índice requerido</w:t>
            </w:r>
          </w:p>
        </w:tc>
      </w:tr>
      <w:tr w:rsidR="002C012A" w:rsidRPr="006F5CA6" w14:paraId="1C3D2C43" w14:textId="77777777" w:rsidTr="00701B0D">
        <w:trPr>
          <w:jc w:val="center"/>
        </w:trPr>
        <w:tc>
          <w:tcPr>
            <w:tcW w:w="5034" w:type="dxa"/>
          </w:tcPr>
          <w:p w14:paraId="64549B96" w14:textId="77777777" w:rsidR="002C012A" w:rsidRPr="006F5CA6" w:rsidRDefault="002C012A" w:rsidP="00701B0D">
            <w:pPr>
              <w:pStyle w:val="Default"/>
              <w:jc w:val="both"/>
              <w:rPr>
                <w:color w:val="auto"/>
                <w:sz w:val="22"/>
                <w:szCs w:val="22"/>
                <w:lang w:val="es-CO"/>
              </w:rPr>
            </w:pPr>
            <w:r w:rsidRPr="006F5CA6">
              <w:rPr>
                <w:color w:val="auto"/>
                <w:sz w:val="22"/>
                <w:szCs w:val="22"/>
                <w:lang w:val="es-CO"/>
              </w:rPr>
              <w:t>Rentabilidad sobre el patrimonio (Utilidad Operacional / Patrimonio) *100</w:t>
            </w:r>
          </w:p>
        </w:tc>
        <w:tc>
          <w:tcPr>
            <w:tcW w:w="3289" w:type="dxa"/>
          </w:tcPr>
          <w:p w14:paraId="1CE1C487" w14:textId="0C6724CA" w:rsidR="002C012A" w:rsidRPr="006F5CA6" w:rsidRDefault="002C012A" w:rsidP="001D42C9">
            <w:pPr>
              <w:pStyle w:val="Default"/>
              <w:jc w:val="center"/>
              <w:rPr>
                <w:color w:val="auto"/>
                <w:sz w:val="22"/>
                <w:szCs w:val="22"/>
                <w:lang w:val="es-CO"/>
              </w:rPr>
            </w:pPr>
            <w:r w:rsidRPr="006F5CA6">
              <w:rPr>
                <w:color w:val="auto"/>
                <w:sz w:val="22"/>
                <w:szCs w:val="22"/>
                <w:lang w:val="es-CO"/>
              </w:rPr>
              <w:t xml:space="preserve">Mayor o igual </w:t>
            </w:r>
            <w:r w:rsidR="00E015AD" w:rsidRPr="006F5CA6">
              <w:rPr>
                <w:color w:val="auto"/>
                <w:sz w:val="22"/>
                <w:szCs w:val="22"/>
                <w:lang w:val="es-CO"/>
              </w:rPr>
              <w:t xml:space="preserve">a </w:t>
            </w:r>
            <w:r w:rsidR="001D42C9">
              <w:rPr>
                <w:color w:val="auto"/>
                <w:sz w:val="22"/>
                <w:szCs w:val="22"/>
                <w:lang w:val="es-CO"/>
              </w:rPr>
              <w:t>10</w:t>
            </w:r>
            <w:r w:rsidR="00E015AD" w:rsidRPr="006F5CA6">
              <w:rPr>
                <w:color w:val="auto"/>
                <w:sz w:val="22"/>
                <w:szCs w:val="22"/>
                <w:lang w:val="es-CO"/>
              </w:rPr>
              <w:t>%</w:t>
            </w:r>
          </w:p>
        </w:tc>
      </w:tr>
      <w:tr w:rsidR="002C012A" w:rsidRPr="006F5CA6" w14:paraId="2FF13E32" w14:textId="77777777" w:rsidTr="00701B0D">
        <w:trPr>
          <w:jc w:val="center"/>
        </w:trPr>
        <w:tc>
          <w:tcPr>
            <w:tcW w:w="5034" w:type="dxa"/>
          </w:tcPr>
          <w:p w14:paraId="71D7C92C" w14:textId="77777777" w:rsidR="002C012A" w:rsidRPr="006F5CA6" w:rsidRDefault="002C012A" w:rsidP="00701B0D">
            <w:pPr>
              <w:pStyle w:val="Default"/>
              <w:jc w:val="both"/>
              <w:rPr>
                <w:color w:val="auto"/>
                <w:sz w:val="22"/>
                <w:szCs w:val="22"/>
                <w:lang w:val="es-CO"/>
              </w:rPr>
            </w:pPr>
            <w:r w:rsidRPr="006F5CA6">
              <w:rPr>
                <w:color w:val="auto"/>
                <w:sz w:val="22"/>
                <w:szCs w:val="22"/>
                <w:lang w:val="es-CO"/>
              </w:rPr>
              <w:t>Rentabilidad sobre activos</w:t>
            </w:r>
          </w:p>
          <w:p w14:paraId="7E4D9E15" w14:textId="77777777" w:rsidR="002C012A" w:rsidRPr="006F5CA6" w:rsidRDefault="002C012A" w:rsidP="00701B0D">
            <w:pPr>
              <w:pStyle w:val="Default"/>
              <w:jc w:val="both"/>
              <w:rPr>
                <w:color w:val="auto"/>
                <w:sz w:val="22"/>
                <w:szCs w:val="22"/>
                <w:lang w:val="es-CO"/>
              </w:rPr>
            </w:pPr>
            <w:r w:rsidRPr="006F5CA6">
              <w:rPr>
                <w:color w:val="auto"/>
                <w:sz w:val="22"/>
                <w:szCs w:val="22"/>
                <w:lang w:val="es-CO"/>
              </w:rPr>
              <w:t>(Utilidad Operacional / Activo Total)*100</w:t>
            </w:r>
          </w:p>
        </w:tc>
        <w:tc>
          <w:tcPr>
            <w:tcW w:w="3289" w:type="dxa"/>
          </w:tcPr>
          <w:p w14:paraId="02B68AA3" w14:textId="020CD5D3" w:rsidR="002C012A" w:rsidRPr="006F5CA6" w:rsidRDefault="002C012A" w:rsidP="001D42C9">
            <w:pPr>
              <w:pStyle w:val="Default"/>
              <w:jc w:val="center"/>
              <w:rPr>
                <w:color w:val="auto"/>
                <w:sz w:val="22"/>
                <w:szCs w:val="22"/>
                <w:lang w:val="es-CO"/>
              </w:rPr>
            </w:pPr>
            <w:r w:rsidRPr="006F5CA6">
              <w:rPr>
                <w:color w:val="auto"/>
                <w:sz w:val="22"/>
                <w:szCs w:val="22"/>
                <w:lang w:val="es-CO"/>
              </w:rPr>
              <w:t xml:space="preserve">Mayor o igual a </w:t>
            </w:r>
            <w:r w:rsidR="001D42C9">
              <w:rPr>
                <w:color w:val="auto"/>
                <w:sz w:val="22"/>
                <w:szCs w:val="22"/>
                <w:lang w:val="es-CO"/>
              </w:rPr>
              <w:t>5</w:t>
            </w:r>
            <w:r w:rsidR="00E015AD" w:rsidRPr="006F5CA6">
              <w:rPr>
                <w:color w:val="auto"/>
                <w:sz w:val="22"/>
                <w:szCs w:val="22"/>
                <w:lang w:val="es-CO"/>
              </w:rPr>
              <w:t>%</w:t>
            </w:r>
          </w:p>
        </w:tc>
      </w:tr>
    </w:tbl>
    <w:p w14:paraId="54EBD9BC" w14:textId="77777777" w:rsidR="002C012A" w:rsidRPr="006F5CA6" w:rsidRDefault="002C012A" w:rsidP="002C012A">
      <w:pPr>
        <w:pStyle w:val="Default"/>
        <w:jc w:val="both"/>
        <w:rPr>
          <w:color w:val="auto"/>
          <w:sz w:val="22"/>
          <w:szCs w:val="22"/>
          <w:lang w:val="es-CO"/>
        </w:rPr>
      </w:pPr>
    </w:p>
    <w:p w14:paraId="770CDC68" w14:textId="77777777" w:rsidR="002C012A" w:rsidRPr="006F5CA6" w:rsidRDefault="002C012A" w:rsidP="002C012A">
      <w:pPr>
        <w:pStyle w:val="Encabezado"/>
        <w:jc w:val="both"/>
        <w:rPr>
          <w:rFonts w:ascii="Arial" w:hAnsi="Arial" w:cs="Arial"/>
          <w:sz w:val="22"/>
          <w:szCs w:val="22"/>
          <w:lang w:val="es-CO"/>
        </w:rPr>
      </w:pPr>
      <w:r w:rsidRPr="006F5CA6">
        <w:rPr>
          <w:rFonts w:ascii="Arial" w:hAnsi="Arial" w:cs="Arial"/>
          <w:sz w:val="22"/>
          <w:szCs w:val="22"/>
          <w:lang w:val="es-CO"/>
        </w:rPr>
        <w:t>Si el Proponente es un consorcio, unión temporal o promesa de sociedad futura su capacidad financiera se calculará afectada por el porcentaje de participación de cada uno de los miembros, factores que una vez ponderados, se sumarán para obtener el indicador del consorcio, unión temporal o promesa de sociedad futura, de acuerdo a las formulas establecidas en el pliego de condiciones.</w:t>
      </w:r>
    </w:p>
    <w:p w14:paraId="48058A71" w14:textId="10A0035B" w:rsidR="00A21E78" w:rsidRPr="006F5CA6" w:rsidRDefault="00A21E78" w:rsidP="002B4D08">
      <w:pPr>
        <w:jc w:val="both"/>
        <w:rPr>
          <w:rFonts w:ascii="Arial" w:eastAsia="Times New Roman" w:hAnsi="Arial" w:cs="Arial"/>
          <w:sz w:val="22"/>
          <w:szCs w:val="22"/>
          <w:lang w:val="es-CO" w:eastAsia="es-CO"/>
        </w:rPr>
      </w:pPr>
    </w:p>
    <w:p w14:paraId="0B2FA4A2" w14:textId="1E0D57AA" w:rsidR="00000240" w:rsidRPr="006F5CA6" w:rsidRDefault="00EC7B34" w:rsidP="00EC7B34">
      <w:pPr>
        <w:pStyle w:val="Ttulo1"/>
        <w:spacing w:before="0"/>
        <w:ind w:left="360" w:hanging="270"/>
        <w:rPr>
          <w:rFonts w:cs="Arial"/>
          <w:sz w:val="22"/>
          <w:szCs w:val="22"/>
        </w:rPr>
      </w:pPr>
      <w:r w:rsidRPr="006F5CA6">
        <w:rPr>
          <w:rFonts w:cs="Arial"/>
          <w:sz w:val="22"/>
          <w:szCs w:val="22"/>
        </w:rPr>
        <w:t>CRITERIOS DIFERENCIALES PARA MIPYME Y EMPRENDIMIENTOS Y EMPRESAS DE MUJERES</w:t>
      </w:r>
    </w:p>
    <w:p w14:paraId="3DCB960C" w14:textId="77777777" w:rsidR="00000240" w:rsidRPr="006F5CA6" w:rsidRDefault="00000240" w:rsidP="00000240">
      <w:pPr>
        <w:ind w:right="-93"/>
        <w:jc w:val="both"/>
        <w:rPr>
          <w:rFonts w:ascii="Arial" w:hAnsi="Arial" w:cs="Arial"/>
          <w:b/>
          <w:sz w:val="22"/>
          <w:szCs w:val="22"/>
          <w:lang w:val="es-CO"/>
        </w:rPr>
      </w:pPr>
    </w:p>
    <w:p w14:paraId="464810DE"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De conformidad con el artículo 2.2.1.2.4.2.15 del decreto 1082 de 2015, modificado por el artículo 3 de decreto 1860 de 2021, el cual señala que las Entidades incluirán condiciones habilitantes para incentivar los emprendimientos y empresas de mujeres con domicilio en el territorio nacional. Para el efecto, en función de los criterios de clasificación empresarial, los Documentos del Proceso deberán incorporar requisitos habilitantes diferenciales relacionados con alguno o algunos de los siguientes aspectos:</w:t>
      </w:r>
    </w:p>
    <w:p w14:paraId="55BBEB90" w14:textId="77777777" w:rsidR="00000240" w:rsidRPr="006F5CA6" w:rsidRDefault="00000240" w:rsidP="00000240">
      <w:pPr>
        <w:ind w:right="-93"/>
        <w:jc w:val="both"/>
        <w:rPr>
          <w:rFonts w:ascii="Arial" w:hAnsi="Arial" w:cs="Arial"/>
          <w:sz w:val="22"/>
          <w:szCs w:val="22"/>
          <w:lang w:val="es-CO"/>
        </w:rPr>
      </w:pPr>
    </w:p>
    <w:p w14:paraId="2548E821" w14:textId="77777777" w:rsidR="00000240" w:rsidRPr="006F5CA6" w:rsidRDefault="00000240" w:rsidP="00F810FE">
      <w:pPr>
        <w:widowControl w:val="0"/>
        <w:numPr>
          <w:ilvl w:val="0"/>
          <w:numId w:val="18"/>
        </w:numPr>
        <w:autoSpaceDE w:val="0"/>
        <w:autoSpaceDN w:val="0"/>
        <w:ind w:right="-93"/>
        <w:jc w:val="both"/>
        <w:rPr>
          <w:rFonts w:ascii="Arial" w:hAnsi="Arial" w:cs="Arial"/>
          <w:sz w:val="22"/>
          <w:szCs w:val="22"/>
          <w:lang w:val="es-CO"/>
        </w:rPr>
      </w:pPr>
      <w:r w:rsidRPr="006F5CA6">
        <w:rPr>
          <w:rFonts w:ascii="Arial" w:hAnsi="Arial" w:cs="Arial"/>
          <w:sz w:val="22"/>
          <w:szCs w:val="22"/>
          <w:lang w:val="es-CO"/>
        </w:rPr>
        <w:t>Tiempo de experiencia.</w:t>
      </w:r>
    </w:p>
    <w:p w14:paraId="78FDF448" w14:textId="77777777" w:rsidR="00000240" w:rsidRPr="006F5CA6" w:rsidRDefault="00000240" w:rsidP="00F810FE">
      <w:pPr>
        <w:widowControl w:val="0"/>
        <w:numPr>
          <w:ilvl w:val="0"/>
          <w:numId w:val="18"/>
        </w:numPr>
        <w:autoSpaceDE w:val="0"/>
        <w:autoSpaceDN w:val="0"/>
        <w:ind w:right="-93"/>
        <w:jc w:val="both"/>
        <w:rPr>
          <w:rFonts w:ascii="Arial" w:hAnsi="Arial" w:cs="Arial"/>
          <w:sz w:val="22"/>
          <w:szCs w:val="22"/>
          <w:lang w:val="es-CO"/>
        </w:rPr>
      </w:pPr>
      <w:r w:rsidRPr="006F5CA6">
        <w:rPr>
          <w:rFonts w:ascii="Arial" w:hAnsi="Arial" w:cs="Arial"/>
          <w:sz w:val="22"/>
          <w:szCs w:val="22"/>
          <w:lang w:val="es-CO"/>
        </w:rPr>
        <w:t>Número de contratos para la acreditación de la experiencia.</w:t>
      </w:r>
    </w:p>
    <w:p w14:paraId="41915422" w14:textId="77777777" w:rsidR="00000240" w:rsidRPr="006F5CA6" w:rsidRDefault="00000240" w:rsidP="00F810FE">
      <w:pPr>
        <w:widowControl w:val="0"/>
        <w:numPr>
          <w:ilvl w:val="0"/>
          <w:numId w:val="18"/>
        </w:numPr>
        <w:autoSpaceDE w:val="0"/>
        <w:autoSpaceDN w:val="0"/>
        <w:ind w:right="-93"/>
        <w:jc w:val="both"/>
        <w:rPr>
          <w:rFonts w:ascii="Arial" w:hAnsi="Arial" w:cs="Arial"/>
          <w:sz w:val="22"/>
          <w:szCs w:val="22"/>
          <w:lang w:val="es-CO"/>
        </w:rPr>
      </w:pPr>
      <w:r w:rsidRPr="006F5CA6">
        <w:rPr>
          <w:rFonts w:ascii="Arial" w:hAnsi="Arial" w:cs="Arial"/>
          <w:sz w:val="22"/>
          <w:szCs w:val="22"/>
          <w:lang w:val="es-CO"/>
        </w:rPr>
        <w:t>Índices de capacidad financiera.</w:t>
      </w:r>
    </w:p>
    <w:p w14:paraId="7F557E6E" w14:textId="77777777" w:rsidR="00000240" w:rsidRPr="006F5CA6" w:rsidRDefault="00000240" w:rsidP="00F810FE">
      <w:pPr>
        <w:widowControl w:val="0"/>
        <w:numPr>
          <w:ilvl w:val="0"/>
          <w:numId w:val="18"/>
        </w:numPr>
        <w:autoSpaceDE w:val="0"/>
        <w:autoSpaceDN w:val="0"/>
        <w:ind w:right="-93"/>
        <w:jc w:val="both"/>
        <w:rPr>
          <w:rFonts w:ascii="Arial" w:hAnsi="Arial" w:cs="Arial"/>
          <w:sz w:val="22"/>
          <w:szCs w:val="22"/>
          <w:lang w:val="es-CO"/>
        </w:rPr>
      </w:pPr>
      <w:r w:rsidRPr="006F5CA6">
        <w:rPr>
          <w:rFonts w:ascii="Arial" w:hAnsi="Arial" w:cs="Arial"/>
          <w:sz w:val="22"/>
          <w:szCs w:val="22"/>
          <w:lang w:val="es-CO"/>
        </w:rPr>
        <w:t>Índices de capacidad organizacional.</w:t>
      </w:r>
    </w:p>
    <w:p w14:paraId="0DE03940" w14:textId="77777777" w:rsidR="00000240" w:rsidRPr="006F5CA6" w:rsidRDefault="00000240" w:rsidP="00F810FE">
      <w:pPr>
        <w:widowControl w:val="0"/>
        <w:numPr>
          <w:ilvl w:val="0"/>
          <w:numId w:val="18"/>
        </w:numPr>
        <w:autoSpaceDE w:val="0"/>
        <w:autoSpaceDN w:val="0"/>
        <w:ind w:right="-93"/>
        <w:jc w:val="both"/>
        <w:rPr>
          <w:rFonts w:ascii="Arial" w:hAnsi="Arial" w:cs="Arial"/>
          <w:sz w:val="22"/>
          <w:szCs w:val="22"/>
          <w:lang w:val="es-CO"/>
        </w:rPr>
      </w:pPr>
      <w:r w:rsidRPr="006F5CA6">
        <w:rPr>
          <w:rFonts w:ascii="Arial" w:hAnsi="Arial" w:cs="Arial"/>
          <w:sz w:val="22"/>
          <w:szCs w:val="22"/>
          <w:lang w:val="es-CO"/>
        </w:rPr>
        <w:t>Valor de la garantía de seriedad de la oferta.</w:t>
      </w:r>
    </w:p>
    <w:p w14:paraId="6E010651" w14:textId="77777777" w:rsidR="00000240" w:rsidRPr="006F5CA6" w:rsidRDefault="00000240" w:rsidP="00000240">
      <w:pPr>
        <w:ind w:right="-93"/>
        <w:jc w:val="both"/>
        <w:rPr>
          <w:rFonts w:ascii="Arial" w:hAnsi="Arial" w:cs="Arial"/>
          <w:sz w:val="22"/>
          <w:szCs w:val="22"/>
          <w:lang w:val="es-CO"/>
        </w:rPr>
      </w:pPr>
    </w:p>
    <w:p w14:paraId="385C48DD" w14:textId="26244293"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lastRenderedPageBreak/>
        <w:t>Con el objetivo de dar cumplimiento a lo dispuesto en el citado decreto, la entidad efectuó el análisis de la información disponible en el RUES, por medio del estudio del sector del servicio a contratar, con el objetivo de identificar posibles proponentes para el presente proceso, que se encuentren en la clasificación de empresas objeto de aplicación del decreto 1860 de 2021.</w:t>
      </w:r>
    </w:p>
    <w:p w14:paraId="47640E71" w14:textId="77777777" w:rsidR="00000240" w:rsidRPr="006F5CA6" w:rsidRDefault="00000240" w:rsidP="00000240">
      <w:pPr>
        <w:ind w:right="-93"/>
        <w:jc w:val="both"/>
        <w:rPr>
          <w:rFonts w:ascii="Arial" w:hAnsi="Arial" w:cs="Arial"/>
          <w:sz w:val="22"/>
          <w:szCs w:val="22"/>
          <w:lang w:val="es-CO"/>
        </w:rPr>
      </w:pPr>
    </w:p>
    <w:p w14:paraId="648ADBD1"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En este ejercicio se identificó lo siguiente:</w:t>
      </w:r>
    </w:p>
    <w:p w14:paraId="3E1FC7CE" w14:textId="77777777" w:rsidR="00000240" w:rsidRPr="006F5CA6" w:rsidRDefault="00000240" w:rsidP="00000240">
      <w:pPr>
        <w:ind w:right="-93"/>
        <w:jc w:val="both"/>
        <w:rPr>
          <w:rFonts w:ascii="Arial" w:hAnsi="Arial" w:cs="Arial"/>
          <w:sz w:val="22"/>
          <w:szCs w:val="22"/>
          <w:lang w:val="es-CO"/>
        </w:rPr>
      </w:pPr>
    </w:p>
    <w:p w14:paraId="6440EC5F" w14:textId="05EFB351" w:rsidR="00000240" w:rsidRPr="006F5CA6" w:rsidRDefault="00000240" w:rsidP="00000240">
      <w:pPr>
        <w:ind w:right="-93"/>
        <w:jc w:val="both"/>
        <w:rPr>
          <w:rFonts w:ascii="Arial" w:hAnsi="Arial" w:cs="Arial"/>
          <w:bCs/>
          <w:iCs/>
          <w:sz w:val="22"/>
          <w:szCs w:val="22"/>
          <w:lang w:val="es-CO"/>
        </w:rPr>
      </w:pPr>
      <w:r w:rsidRPr="006F5CA6">
        <w:rPr>
          <w:rFonts w:ascii="Arial" w:hAnsi="Arial" w:cs="Arial"/>
          <w:bCs/>
          <w:iCs/>
          <w:sz w:val="22"/>
          <w:szCs w:val="22"/>
          <w:lang w:val="es-CO"/>
        </w:rPr>
        <w:t>Clasificación del tamaño de las empresas</w:t>
      </w:r>
    </w:p>
    <w:p w14:paraId="57BEE192" w14:textId="77777777" w:rsidR="00000240" w:rsidRPr="006F5CA6" w:rsidRDefault="00000240" w:rsidP="00000240">
      <w:pPr>
        <w:ind w:right="-93"/>
        <w:jc w:val="both"/>
        <w:rPr>
          <w:rFonts w:ascii="Arial" w:hAnsi="Arial" w:cs="Arial"/>
          <w:bCs/>
          <w:i/>
          <w:iCs/>
          <w:sz w:val="22"/>
          <w:szCs w:val="22"/>
          <w:lang w:val="es-CO"/>
        </w:rPr>
      </w:pPr>
    </w:p>
    <w:p w14:paraId="29B8DDBE"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Dando cumplimiento al numeral 1º del artículo 33 de la Ley 2069 de 2020, así como lo dispuesto en el artículo 2.2.1.13.2.1. del Decreto 1074 de 2015 y la Resolución 2225 de 2019 del DANE, y el Decreto 957 de 2019 del Gobierno Nacional establece una nueva clasificación del tamaño de las empresas a partir del criterio de ingresos por actividades ordinarias y según la clasificación en tres macro sectores económicos: manufacturas, servicios y comercio.</w:t>
      </w:r>
    </w:p>
    <w:p w14:paraId="341F84B6" w14:textId="77777777" w:rsidR="00000240" w:rsidRPr="006F5CA6" w:rsidRDefault="00000240" w:rsidP="00000240">
      <w:pPr>
        <w:ind w:right="-93"/>
        <w:jc w:val="both"/>
        <w:rPr>
          <w:rFonts w:ascii="Arial" w:hAnsi="Arial" w:cs="Arial"/>
          <w:sz w:val="22"/>
          <w:szCs w:val="22"/>
          <w:lang w:val="es-CO"/>
        </w:rPr>
      </w:pPr>
    </w:p>
    <w:p w14:paraId="383306EB"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 señala que, la clasificación del tamaño de las empresas en micro, pequeñas y medianas, se hace por sectores económicos como son el manufacturero, servicios y comercio como se relaciona en el siguiente aparte.</w:t>
      </w:r>
    </w:p>
    <w:p w14:paraId="189D462E" w14:textId="77777777" w:rsidR="00000240" w:rsidRPr="006F5CA6" w:rsidRDefault="00000240" w:rsidP="00000240">
      <w:pPr>
        <w:ind w:right="-93"/>
        <w:jc w:val="both"/>
        <w:rPr>
          <w:rFonts w:ascii="Arial" w:hAnsi="Arial" w:cs="Arial"/>
          <w:sz w:val="22"/>
          <w:szCs w:val="22"/>
          <w:lang w:val="es-CO"/>
        </w:rPr>
      </w:pPr>
    </w:p>
    <w:p w14:paraId="649A2043" w14:textId="026A670F" w:rsidR="00000240" w:rsidRPr="006F5CA6" w:rsidRDefault="00000240" w:rsidP="00F810FE">
      <w:pPr>
        <w:pStyle w:val="Prrafodelista"/>
        <w:widowControl w:val="0"/>
        <w:numPr>
          <w:ilvl w:val="0"/>
          <w:numId w:val="19"/>
        </w:numPr>
        <w:autoSpaceDE w:val="0"/>
        <w:autoSpaceDN w:val="0"/>
        <w:ind w:right="-93"/>
        <w:rPr>
          <w:rFonts w:ascii="Arial" w:hAnsi="Arial" w:cs="Arial"/>
          <w:sz w:val="22"/>
          <w:szCs w:val="22"/>
        </w:rPr>
      </w:pPr>
      <w:r w:rsidRPr="006F5CA6">
        <w:rPr>
          <w:rFonts w:ascii="Arial" w:hAnsi="Arial" w:cs="Arial"/>
          <w:sz w:val="22"/>
          <w:szCs w:val="22"/>
        </w:rPr>
        <w:t>Microempresa.</w:t>
      </w:r>
    </w:p>
    <w:p w14:paraId="470049C5" w14:textId="77777777" w:rsidR="00000240" w:rsidRPr="006F5CA6" w:rsidRDefault="00000240" w:rsidP="00000240">
      <w:pPr>
        <w:pStyle w:val="Prrafodelista"/>
        <w:widowControl w:val="0"/>
        <w:autoSpaceDE w:val="0"/>
        <w:autoSpaceDN w:val="0"/>
        <w:ind w:left="1011" w:right="-93"/>
        <w:rPr>
          <w:rFonts w:ascii="Arial" w:hAnsi="Arial" w:cs="Arial"/>
          <w:sz w:val="22"/>
          <w:szCs w:val="22"/>
        </w:rPr>
      </w:pPr>
    </w:p>
    <w:p w14:paraId="07D4841C"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Sector manufacturero. Ingresos inferiores o iguales a 23.563 Uvt. Sector servicios. Ingresos inferiores o iguales a 32.988 Uvt.</w:t>
      </w:r>
    </w:p>
    <w:p w14:paraId="7EDCCA82" w14:textId="711AE18F"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Sector comercio. Ingresos inferiores o iguales a 44.769 Uvt.</w:t>
      </w:r>
    </w:p>
    <w:p w14:paraId="2F4C175F" w14:textId="77777777" w:rsidR="00000240" w:rsidRPr="006F5CA6" w:rsidRDefault="00000240" w:rsidP="00000240">
      <w:pPr>
        <w:ind w:right="-93"/>
        <w:jc w:val="both"/>
        <w:rPr>
          <w:rFonts w:ascii="Arial" w:hAnsi="Arial" w:cs="Arial"/>
          <w:sz w:val="22"/>
          <w:szCs w:val="22"/>
          <w:lang w:val="es-CO"/>
        </w:rPr>
      </w:pPr>
    </w:p>
    <w:p w14:paraId="7751E119" w14:textId="15296B0F" w:rsidR="00000240" w:rsidRPr="006F5CA6" w:rsidRDefault="00000240" w:rsidP="00F810FE">
      <w:pPr>
        <w:pStyle w:val="Prrafodelista"/>
        <w:widowControl w:val="0"/>
        <w:numPr>
          <w:ilvl w:val="0"/>
          <w:numId w:val="19"/>
        </w:numPr>
        <w:autoSpaceDE w:val="0"/>
        <w:autoSpaceDN w:val="0"/>
        <w:ind w:right="-93"/>
        <w:rPr>
          <w:rFonts w:ascii="Arial" w:hAnsi="Arial" w:cs="Arial"/>
          <w:sz w:val="22"/>
          <w:szCs w:val="22"/>
        </w:rPr>
      </w:pPr>
      <w:r w:rsidRPr="006F5CA6">
        <w:rPr>
          <w:rFonts w:ascii="Arial" w:hAnsi="Arial" w:cs="Arial"/>
          <w:sz w:val="22"/>
          <w:szCs w:val="22"/>
        </w:rPr>
        <w:t>Pequeña empresa.</w:t>
      </w:r>
    </w:p>
    <w:p w14:paraId="70FCE63A" w14:textId="77777777" w:rsidR="00000240" w:rsidRPr="006F5CA6" w:rsidRDefault="00000240" w:rsidP="00000240">
      <w:pPr>
        <w:pStyle w:val="Prrafodelista"/>
        <w:widowControl w:val="0"/>
        <w:autoSpaceDE w:val="0"/>
        <w:autoSpaceDN w:val="0"/>
        <w:ind w:left="1011" w:right="-93"/>
        <w:rPr>
          <w:rFonts w:ascii="Arial" w:hAnsi="Arial" w:cs="Arial"/>
          <w:sz w:val="22"/>
          <w:szCs w:val="22"/>
        </w:rPr>
      </w:pPr>
    </w:p>
    <w:p w14:paraId="1B35704C"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Sector manufacturero. Ingresos superiores a 23.563 Uvt e inferiores o iguales a 204.995 Uvt. Sector servicios. Ingresos superiores a 32.988 Uvt e inferiores o iguales a 131.951 Uvt.</w:t>
      </w:r>
    </w:p>
    <w:p w14:paraId="6C21E2F5" w14:textId="31193FB9"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Sector comercio. Ingresos superiores a 44.769 Uvt e inferiores o iguales a 431.196 Uvt.</w:t>
      </w:r>
    </w:p>
    <w:p w14:paraId="30AE7167" w14:textId="77777777" w:rsidR="00000240" w:rsidRPr="006F5CA6" w:rsidRDefault="00000240" w:rsidP="00000240">
      <w:pPr>
        <w:ind w:right="-93"/>
        <w:jc w:val="both"/>
        <w:rPr>
          <w:rFonts w:ascii="Arial" w:hAnsi="Arial" w:cs="Arial"/>
          <w:sz w:val="22"/>
          <w:szCs w:val="22"/>
          <w:lang w:val="es-CO"/>
        </w:rPr>
      </w:pPr>
    </w:p>
    <w:p w14:paraId="6B0CB88D" w14:textId="25377D44" w:rsidR="00000240" w:rsidRPr="006F5CA6" w:rsidRDefault="00000240" w:rsidP="00F810FE">
      <w:pPr>
        <w:pStyle w:val="Prrafodelista"/>
        <w:widowControl w:val="0"/>
        <w:numPr>
          <w:ilvl w:val="0"/>
          <w:numId w:val="19"/>
        </w:numPr>
        <w:autoSpaceDE w:val="0"/>
        <w:autoSpaceDN w:val="0"/>
        <w:ind w:right="-93"/>
        <w:rPr>
          <w:rFonts w:ascii="Arial" w:hAnsi="Arial" w:cs="Arial"/>
          <w:sz w:val="22"/>
          <w:szCs w:val="22"/>
        </w:rPr>
      </w:pPr>
      <w:r w:rsidRPr="006F5CA6">
        <w:rPr>
          <w:rFonts w:ascii="Arial" w:hAnsi="Arial" w:cs="Arial"/>
          <w:sz w:val="22"/>
          <w:szCs w:val="22"/>
        </w:rPr>
        <w:t>Mediana empres</w:t>
      </w:r>
    </w:p>
    <w:p w14:paraId="5CCD59C4" w14:textId="77777777" w:rsidR="00000240" w:rsidRPr="006F5CA6" w:rsidRDefault="00000240" w:rsidP="00000240">
      <w:pPr>
        <w:pStyle w:val="Prrafodelista"/>
        <w:widowControl w:val="0"/>
        <w:autoSpaceDE w:val="0"/>
        <w:autoSpaceDN w:val="0"/>
        <w:ind w:left="1011" w:right="-93"/>
        <w:rPr>
          <w:rFonts w:ascii="Arial" w:hAnsi="Arial" w:cs="Arial"/>
          <w:sz w:val="22"/>
          <w:szCs w:val="22"/>
        </w:rPr>
      </w:pPr>
    </w:p>
    <w:p w14:paraId="6210FA9F"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Sector manufacturero. Ingresos superiores a 204.995 Uvt e inferiores o iguales a 1.736.565 Uvt. Sector servicios. Ingresos superiores a 131.951 Uvt e inferiores o iguales a 483.034 Uvt.</w:t>
      </w:r>
    </w:p>
    <w:p w14:paraId="406B9A47"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Sector comercio. Ingresos superiores a 431.196 Uvt e inferiores o iguales a 2.160.692 Uvt Sector al que pertenece el servicio a contratar: sector servicios.</w:t>
      </w:r>
    </w:p>
    <w:p w14:paraId="7B0A5A93" w14:textId="77777777" w:rsidR="00000240" w:rsidRPr="006F5CA6" w:rsidRDefault="00000240" w:rsidP="00000240">
      <w:pPr>
        <w:ind w:right="-93"/>
        <w:jc w:val="both"/>
        <w:rPr>
          <w:rFonts w:ascii="Arial" w:hAnsi="Arial" w:cs="Arial"/>
          <w:sz w:val="22"/>
          <w:szCs w:val="22"/>
          <w:lang w:val="es-CO"/>
        </w:rPr>
      </w:pPr>
    </w:p>
    <w:p w14:paraId="5741AFDD" w14:textId="27A8B335"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 xml:space="preserve">De acuerdo a lo anterior y verificando la cámara de comercio de las posibles empresas se relaciona a continuación el </w:t>
      </w:r>
      <w:r w:rsidR="00087D94" w:rsidRPr="006F5CA6">
        <w:rPr>
          <w:rFonts w:ascii="Arial" w:hAnsi="Arial" w:cs="Arial"/>
          <w:sz w:val="22"/>
          <w:szCs w:val="22"/>
          <w:lang w:val="es-CO"/>
        </w:rPr>
        <w:t>número de</w:t>
      </w:r>
      <w:r w:rsidRPr="006F5CA6">
        <w:rPr>
          <w:rFonts w:ascii="Arial" w:hAnsi="Arial" w:cs="Arial"/>
          <w:sz w:val="22"/>
          <w:szCs w:val="22"/>
          <w:lang w:val="es-CO"/>
        </w:rPr>
        <w:t xml:space="preserve"> empresa</w:t>
      </w:r>
      <w:r w:rsidR="00087D94" w:rsidRPr="006F5CA6">
        <w:rPr>
          <w:rFonts w:ascii="Arial" w:hAnsi="Arial" w:cs="Arial"/>
          <w:sz w:val="22"/>
          <w:szCs w:val="22"/>
          <w:lang w:val="es-CO"/>
        </w:rPr>
        <w:t>s activas</w:t>
      </w:r>
      <w:r w:rsidRPr="006F5CA6">
        <w:rPr>
          <w:rFonts w:ascii="Arial" w:hAnsi="Arial" w:cs="Arial"/>
          <w:sz w:val="22"/>
          <w:szCs w:val="22"/>
          <w:lang w:val="es-CO"/>
        </w:rPr>
        <w:t>:</w:t>
      </w:r>
    </w:p>
    <w:p w14:paraId="0E0491DF" w14:textId="77777777" w:rsidR="00000240" w:rsidRPr="006F5CA6" w:rsidRDefault="00000240" w:rsidP="00000240">
      <w:pPr>
        <w:ind w:right="-93"/>
        <w:jc w:val="both"/>
        <w:rPr>
          <w:rFonts w:ascii="Arial" w:hAnsi="Arial" w:cs="Arial"/>
          <w:sz w:val="22"/>
          <w:szCs w:val="22"/>
          <w:lang w:val="es-CO"/>
        </w:rPr>
      </w:pPr>
    </w:p>
    <w:p w14:paraId="7D292579" w14:textId="4CF999A8" w:rsidR="00000240" w:rsidRPr="006F5CA6" w:rsidRDefault="00000240" w:rsidP="00000240">
      <w:pPr>
        <w:ind w:right="-93"/>
        <w:jc w:val="both"/>
        <w:rPr>
          <w:rFonts w:ascii="Arial" w:hAnsi="Arial" w:cs="Arial"/>
          <w:b/>
          <w:sz w:val="22"/>
          <w:szCs w:val="22"/>
          <w:lang w:val="es-CO"/>
        </w:rPr>
      </w:pPr>
      <w:r w:rsidRPr="006F5CA6">
        <w:rPr>
          <w:rFonts w:ascii="Arial" w:hAnsi="Arial" w:cs="Arial"/>
          <w:b/>
          <w:sz w:val="22"/>
          <w:szCs w:val="22"/>
          <w:lang w:val="es-CO"/>
        </w:rPr>
        <w:t>Empresas Activas</w:t>
      </w:r>
    </w:p>
    <w:p w14:paraId="1E8899A0" w14:textId="77777777" w:rsidR="00000240" w:rsidRPr="006F5CA6" w:rsidRDefault="00000240" w:rsidP="00000240">
      <w:pPr>
        <w:ind w:right="-93"/>
        <w:jc w:val="both"/>
        <w:rPr>
          <w:rFonts w:ascii="Arial" w:hAnsi="Arial" w:cs="Arial"/>
          <w:i/>
          <w:sz w:val="22"/>
          <w:szCs w:val="22"/>
          <w:lang w:val="es-CO"/>
        </w:rPr>
      </w:pPr>
    </w:p>
    <w:p w14:paraId="0495CD0C" w14:textId="74590DDC" w:rsidR="000B3DCC" w:rsidRPr="006F5CA6" w:rsidRDefault="000B3DCC" w:rsidP="00000240">
      <w:pPr>
        <w:ind w:right="-93"/>
        <w:jc w:val="both"/>
        <w:rPr>
          <w:rFonts w:ascii="Arial" w:hAnsi="Arial" w:cs="Arial"/>
          <w:sz w:val="22"/>
          <w:szCs w:val="22"/>
          <w:lang w:val="es-CO"/>
        </w:rPr>
      </w:pPr>
      <w:r w:rsidRPr="006F5CA6">
        <w:rPr>
          <w:rFonts w:ascii="Arial" w:hAnsi="Arial" w:cs="Arial"/>
          <w:sz w:val="22"/>
          <w:szCs w:val="22"/>
          <w:lang w:val="es-CO"/>
        </w:rPr>
        <w:t xml:space="preserve">El número de empresas activas en una región es un indicador de su fortaleza económica y un factor determinante para ampliar la capacidad de crecer, generar empleo e ingresos. En esta sección se analizan las características de la dinámica empresarial de la región Bogotá </w:t>
      </w:r>
      <w:r w:rsidRPr="006F5CA6">
        <w:rPr>
          <w:rFonts w:ascii="Arial" w:hAnsi="Arial" w:cs="Arial"/>
          <w:sz w:val="22"/>
          <w:szCs w:val="22"/>
          <w:lang w:val="es-CO"/>
        </w:rPr>
        <w:lastRenderedPageBreak/>
        <w:t>– Cundinamarca en los temas de: localización, tamaño, sector económico, localidad y organización jurídica.</w:t>
      </w:r>
    </w:p>
    <w:p w14:paraId="1775A3F1" w14:textId="77777777" w:rsidR="000B3DCC" w:rsidRPr="006F5CA6" w:rsidRDefault="000B3DCC" w:rsidP="00000240">
      <w:pPr>
        <w:ind w:right="-93"/>
        <w:jc w:val="both"/>
        <w:rPr>
          <w:rFonts w:ascii="Arial" w:hAnsi="Arial" w:cs="Arial"/>
          <w:sz w:val="22"/>
          <w:szCs w:val="22"/>
          <w:lang w:val="es-CO"/>
        </w:rPr>
      </w:pPr>
    </w:p>
    <w:p w14:paraId="516FC749" w14:textId="6E98EC6E" w:rsidR="00000240" w:rsidRPr="006F5CA6" w:rsidRDefault="000B3DCC" w:rsidP="000B3DCC">
      <w:pPr>
        <w:ind w:right="-93"/>
        <w:jc w:val="center"/>
        <w:rPr>
          <w:rFonts w:ascii="Arial" w:hAnsi="Arial" w:cs="Arial"/>
          <w:sz w:val="22"/>
          <w:szCs w:val="22"/>
          <w:lang w:val="es-CO"/>
        </w:rPr>
      </w:pPr>
      <w:r w:rsidRPr="006F5CA6">
        <w:rPr>
          <w:rFonts w:ascii="Arial" w:hAnsi="Arial" w:cs="Arial"/>
          <w:noProof/>
          <w:lang w:val="en-US"/>
        </w:rPr>
        <w:drawing>
          <wp:inline distT="0" distB="0" distL="0" distR="0" wp14:anchorId="7BB31E03" wp14:editId="020A2D9E">
            <wp:extent cx="3914775" cy="1837348"/>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942037" cy="1850143"/>
                    </a:xfrm>
                    <a:prstGeom prst="rect">
                      <a:avLst/>
                    </a:prstGeom>
                  </pic:spPr>
                </pic:pic>
              </a:graphicData>
            </a:graphic>
          </wp:inline>
        </w:drawing>
      </w:r>
    </w:p>
    <w:p w14:paraId="483D0C24" w14:textId="77777777" w:rsidR="00000240" w:rsidRPr="006F5CA6" w:rsidRDefault="00000240" w:rsidP="00000240">
      <w:pPr>
        <w:ind w:right="-93"/>
        <w:jc w:val="both"/>
        <w:rPr>
          <w:rFonts w:ascii="Arial" w:hAnsi="Arial" w:cs="Arial"/>
          <w:sz w:val="22"/>
          <w:szCs w:val="22"/>
          <w:lang w:val="es-CO"/>
        </w:rPr>
      </w:pPr>
    </w:p>
    <w:p w14:paraId="54FCA1A8" w14:textId="77777777" w:rsidR="000B3DCC" w:rsidRPr="006F5CA6" w:rsidRDefault="000B3DCC" w:rsidP="000B3DCC">
      <w:pPr>
        <w:ind w:right="-93"/>
        <w:jc w:val="both"/>
        <w:rPr>
          <w:rFonts w:ascii="Arial" w:hAnsi="Arial" w:cs="Arial"/>
          <w:sz w:val="22"/>
          <w:szCs w:val="22"/>
          <w:lang w:val="es-CO"/>
        </w:rPr>
      </w:pPr>
      <w:r w:rsidRPr="006F5CA6">
        <w:rPr>
          <w:rFonts w:ascii="Arial" w:hAnsi="Arial" w:cs="Arial"/>
          <w:sz w:val="22"/>
          <w:szCs w:val="22"/>
          <w:lang w:val="es-CO"/>
        </w:rPr>
        <w:t>Entre enero y diciembre de 2023, en Bogotá hay 423.056 empresas activas y en los 59 municipios hay 72.925, para un total de 495.981.</w:t>
      </w:r>
    </w:p>
    <w:p w14:paraId="7AD29AA5" w14:textId="77777777" w:rsidR="000B3DCC" w:rsidRPr="006F5CA6" w:rsidRDefault="000B3DCC" w:rsidP="000B3DCC">
      <w:pPr>
        <w:ind w:right="-93"/>
        <w:jc w:val="both"/>
        <w:rPr>
          <w:rFonts w:ascii="Arial" w:hAnsi="Arial" w:cs="Arial"/>
          <w:sz w:val="22"/>
          <w:szCs w:val="22"/>
          <w:lang w:val="es-CO"/>
        </w:rPr>
      </w:pPr>
    </w:p>
    <w:p w14:paraId="665E5D8E" w14:textId="28302496" w:rsidR="00000240" w:rsidRPr="006F5CA6" w:rsidRDefault="000B3DCC" w:rsidP="000B3DCC">
      <w:pPr>
        <w:ind w:right="-93"/>
        <w:jc w:val="both"/>
        <w:rPr>
          <w:rFonts w:ascii="Arial" w:hAnsi="Arial" w:cs="Arial"/>
          <w:sz w:val="22"/>
          <w:szCs w:val="22"/>
          <w:lang w:val="es-CO"/>
        </w:rPr>
      </w:pPr>
      <w:r w:rsidRPr="006F5CA6">
        <w:rPr>
          <w:rFonts w:ascii="Arial" w:hAnsi="Arial" w:cs="Arial"/>
          <w:sz w:val="22"/>
          <w:szCs w:val="22"/>
          <w:lang w:val="es-CO"/>
        </w:rPr>
        <w:t>Jurisdicción: corresponde a la totalidad de empresas en Bogotá y en los 59 municipios en el área de influencia de la CCB.</w:t>
      </w:r>
    </w:p>
    <w:p w14:paraId="42C2046A" w14:textId="59F84C4F" w:rsidR="000B3DCC" w:rsidRPr="006F5CA6" w:rsidRDefault="000B3DCC" w:rsidP="000B3DCC">
      <w:pPr>
        <w:ind w:right="-93"/>
        <w:jc w:val="both"/>
        <w:rPr>
          <w:rFonts w:ascii="Arial" w:hAnsi="Arial" w:cs="Arial"/>
          <w:sz w:val="22"/>
          <w:szCs w:val="22"/>
          <w:lang w:val="es-CO"/>
        </w:rPr>
      </w:pPr>
    </w:p>
    <w:p w14:paraId="259446EC" w14:textId="71C92526" w:rsidR="000B3DCC" w:rsidRPr="006F5CA6" w:rsidRDefault="000B3DCC" w:rsidP="000B3DCC">
      <w:pPr>
        <w:ind w:right="-93"/>
        <w:jc w:val="both"/>
        <w:rPr>
          <w:rFonts w:ascii="Arial" w:hAnsi="Arial" w:cs="Arial"/>
          <w:b/>
          <w:sz w:val="22"/>
          <w:szCs w:val="22"/>
          <w:lang w:val="es-CO"/>
        </w:rPr>
      </w:pPr>
      <w:r w:rsidRPr="006F5CA6">
        <w:rPr>
          <w:rFonts w:ascii="Arial" w:hAnsi="Arial" w:cs="Arial"/>
          <w:b/>
          <w:sz w:val="22"/>
          <w:szCs w:val="22"/>
          <w:lang w:val="es-CO"/>
        </w:rPr>
        <w:t>Distribución de las empresas activas por tamaño para el periodo de enero a diciembre de 2023</w:t>
      </w:r>
    </w:p>
    <w:p w14:paraId="4CA31692" w14:textId="27A5AAF1" w:rsidR="000B3DCC" w:rsidRPr="006F5CA6" w:rsidRDefault="000B3DCC" w:rsidP="000B3DCC">
      <w:pPr>
        <w:ind w:right="-93"/>
        <w:jc w:val="both"/>
        <w:rPr>
          <w:rFonts w:ascii="Arial" w:hAnsi="Arial" w:cs="Arial"/>
          <w:sz w:val="22"/>
          <w:szCs w:val="22"/>
          <w:lang w:val="es-CO"/>
        </w:rPr>
      </w:pPr>
    </w:p>
    <w:p w14:paraId="7A051C47" w14:textId="6E66BB59" w:rsidR="00000240" w:rsidRPr="006F5CA6" w:rsidRDefault="000B3DCC" w:rsidP="000B3DCC">
      <w:pPr>
        <w:ind w:right="-93"/>
        <w:jc w:val="center"/>
        <w:rPr>
          <w:rFonts w:ascii="Arial" w:hAnsi="Arial" w:cs="Arial"/>
          <w:sz w:val="22"/>
          <w:szCs w:val="22"/>
          <w:lang w:val="es-CO"/>
        </w:rPr>
      </w:pPr>
      <w:r w:rsidRPr="006F5CA6">
        <w:rPr>
          <w:rFonts w:ascii="Arial" w:hAnsi="Arial" w:cs="Arial"/>
          <w:noProof/>
          <w:lang w:val="en-US"/>
        </w:rPr>
        <w:drawing>
          <wp:inline distT="0" distB="0" distL="0" distR="0" wp14:anchorId="12AF5730" wp14:editId="6D5F63A8">
            <wp:extent cx="1838235" cy="1562100"/>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852576" cy="1574287"/>
                    </a:xfrm>
                    <a:prstGeom prst="rect">
                      <a:avLst/>
                    </a:prstGeom>
                  </pic:spPr>
                </pic:pic>
              </a:graphicData>
            </a:graphic>
          </wp:inline>
        </w:drawing>
      </w:r>
    </w:p>
    <w:p w14:paraId="41AFBFC5" w14:textId="77777777" w:rsidR="00087D94" w:rsidRPr="006F5CA6" w:rsidRDefault="00087D94" w:rsidP="000B3DCC">
      <w:pPr>
        <w:ind w:right="-93"/>
        <w:rPr>
          <w:rFonts w:ascii="Arial" w:hAnsi="Arial" w:cs="Arial"/>
          <w:b/>
          <w:sz w:val="22"/>
          <w:szCs w:val="22"/>
          <w:lang w:val="es-CO"/>
        </w:rPr>
      </w:pPr>
    </w:p>
    <w:p w14:paraId="762E363F" w14:textId="4DD363FD" w:rsidR="000B3DCC" w:rsidRPr="006F5CA6" w:rsidRDefault="000B3DCC" w:rsidP="000B3DCC">
      <w:pPr>
        <w:ind w:right="-93"/>
        <w:rPr>
          <w:rFonts w:ascii="Arial" w:hAnsi="Arial" w:cs="Arial"/>
          <w:b/>
          <w:sz w:val="22"/>
          <w:szCs w:val="22"/>
          <w:lang w:val="es-CO"/>
        </w:rPr>
      </w:pPr>
      <w:r w:rsidRPr="006F5CA6">
        <w:rPr>
          <w:rFonts w:ascii="Arial" w:hAnsi="Arial" w:cs="Arial"/>
          <w:b/>
          <w:sz w:val="22"/>
          <w:szCs w:val="22"/>
          <w:lang w:val="es-CO"/>
        </w:rPr>
        <w:t>Evolución de las empresas activas entre 2019 y 2023 por tamaño</w:t>
      </w:r>
    </w:p>
    <w:p w14:paraId="08FAA6AF" w14:textId="12D9482A" w:rsidR="000B3DCC" w:rsidRPr="006F5CA6" w:rsidRDefault="000B3DCC" w:rsidP="000B3DCC">
      <w:pPr>
        <w:ind w:right="-93"/>
        <w:rPr>
          <w:rFonts w:ascii="Arial" w:hAnsi="Arial" w:cs="Arial"/>
          <w:sz w:val="22"/>
          <w:szCs w:val="22"/>
          <w:lang w:val="es-CO"/>
        </w:rPr>
      </w:pPr>
    </w:p>
    <w:p w14:paraId="34B23CC3" w14:textId="412CB19B" w:rsidR="000B3DCC" w:rsidRPr="006F5CA6" w:rsidRDefault="000B3DCC" w:rsidP="00ED1049">
      <w:pPr>
        <w:ind w:right="-93"/>
        <w:jc w:val="both"/>
        <w:rPr>
          <w:rFonts w:ascii="Arial" w:hAnsi="Arial" w:cs="Arial"/>
          <w:sz w:val="22"/>
          <w:szCs w:val="22"/>
          <w:lang w:val="es-CO"/>
        </w:rPr>
      </w:pPr>
      <w:r w:rsidRPr="006F5CA6">
        <w:rPr>
          <w:rFonts w:ascii="Arial" w:hAnsi="Arial" w:cs="Arial"/>
          <w:sz w:val="22"/>
          <w:szCs w:val="22"/>
          <w:lang w:val="es-CO"/>
        </w:rPr>
        <w:t>Las MiPymes representan el 99,3% de las empresas activas en 2023; las micro y pequeñas son el 97,8%.</w:t>
      </w:r>
    </w:p>
    <w:p w14:paraId="6AA64F76" w14:textId="09435F00" w:rsidR="000B3DCC" w:rsidRPr="006F5CA6" w:rsidRDefault="000B3DCC" w:rsidP="000B3DCC">
      <w:pPr>
        <w:ind w:right="-93"/>
        <w:rPr>
          <w:rFonts w:ascii="Arial" w:hAnsi="Arial" w:cs="Arial"/>
          <w:sz w:val="22"/>
          <w:szCs w:val="22"/>
          <w:lang w:val="es-CO"/>
        </w:rPr>
      </w:pPr>
    </w:p>
    <w:p w14:paraId="78A04383" w14:textId="20698443" w:rsidR="000B3DCC" w:rsidRPr="006F5CA6" w:rsidRDefault="000B3DCC" w:rsidP="00EC7B34">
      <w:pPr>
        <w:ind w:right="-93"/>
        <w:jc w:val="center"/>
        <w:rPr>
          <w:rFonts w:ascii="Arial" w:hAnsi="Arial" w:cs="Arial"/>
          <w:sz w:val="22"/>
          <w:szCs w:val="22"/>
          <w:lang w:val="es-CO"/>
        </w:rPr>
      </w:pPr>
      <w:r w:rsidRPr="006F5CA6">
        <w:rPr>
          <w:rFonts w:ascii="Arial" w:hAnsi="Arial" w:cs="Arial"/>
          <w:noProof/>
          <w:lang w:val="en-US"/>
        </w:rPr>
        <w:lastRenderedPageBreak/>
        <w:drawing>
          <wp:inline distT="0" distB="0" distL="0" distR="0" wp14:anchorId="1D68CFD1" wp14:editId="0ACFDA4D">
            <wp:extent cx="4638675" cy="1250206"/>
            <wp:effectExtent l="0" t="0" r="0" b="762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667695" cy="1258027"/>
                    </a:xfrm>
                    <a:prstGeom prst="rect">
                      <a:avLst/>
                    </a:prstGeom>
                  </pic:spPr>
                </pic:pic>
              </a:graphicData>
            </a:graphic>
          </wp:inline>
        </w:drawing>
      </w:r>
    </w:p>
    <w:p w14:paraId="0B03D0B1" w14:textId="005E2D5B" w:rsidR="000B3DCC" w:rsidRPr="006F5CA6" w:rsidRDefault="000B3DCC" w:rsidP="000B3DCC">
      <w:pPr>
        <w:ind w:right="-93"/>
        <w:rPr>
          <w:rFonts w:ascii="Arial" w:hAnsi="Arial" w:cs="Arial"/>
          <w:sz w:val="22"/>
          <w:szCs w:val="22"/>
          <w:lang w:val="es-CO"/>
        </w:rPr>
      </w:pPr>
    </w:p>
    <w:p w14:paraId="37FEBCF3" w14:textId="529DE99C" w:rsidR="000B3DCC" w:rsidRPr="006F5CA6" w:rsidRDefault="000B3DCC" w:rsidP="000B3DCC">
      <w:pPr>
        <w:ind w:right="-93"/>
        <w:jc w:val="both"/>
        <w:rPr>
          <w:rFonts w:ascii="Arial" w:hAnsi="Arial" w:cs="Arial"/>
          <w:sz w:val="22"/>
          <w:szCs w:val="22"/>
          <w:lang w:val="es-CO"/>
        </w:rPr>
      </w:pPr>
      <w:r w:rsidRPr="006F5CA6">
        <w:rPr>
          <w:rFonts w:ascii="Arial" w:hAnsi="Arial" w:cs="Arial"/>
          <w:sz w:val="22"/>
          <w:szCs w:val="22"/>
          <w:lang w:val="es-CO"/>
        </w:rPr>
        <w:t>Al terminar diciembre de 2023 se registró una disminución del número total de microempresas activas en Bogotá y en los 59 municipios de la jurisdicción en 1,5 %, con respecto al mismo período de 2022. Por su parte, las pequeñas empresas aumentaron 11,7 %, las pequeñas 17,7 % y las grandes 16,2 %.</w:t>
      </w:r>
    </w:p>
    <w:p w14:paraId="0F17F1CC" w14:textId="24A3D6B5" w:rsidR="000B3DCC" w:rsidRPr="006F5CA6" w:rsidRDefault="000B3DCC" w:rsidP="000B3DCC">
      <w:pPr>
        <w:ind w:right="-93"/>
        <w:rPr>
          <w:rFonts w:ascii="Arial" w:hAnsi="Arial" w:cs="Arial"/>
          <w:sz w:val="22"/>
          <w:szCs w:val="22"/>
          <w:lang w:val="es-CO"/>
        </w:rPr>
      </w:pPr>
    </w:p>
    <w:p w14:paraId="3C70AF0D" w14:textId="6ECDBDD7" w:rsidR="000B3DCC" w:rsidRPr="006F5CA6" w:rsidRDefault="00087D94" w:rsidP="000B3DCC">
      <w:pPr>
        <w:ind w:right="-93"/>
        <w:rPr>
          <w:rFonts w:ascii="Arial" w:hAnsi="Arial" w:cs="Arial"/>
          <w:b/>
          <w:sz w:val="22"/>
          <w:szCs w:val="22"/>
          <w:lang w:val="es-CO"/>
        </w:rPr>
      </w:pPr>
      <w:r w:rsidRPr="006F5CA6">
        <w:rPr>
          <w:rFonts w:ascii="Arial" w:hAnsi="Arial" w:cs="Arial"/>
          <w:b/>
          <w:sz w:val="22"/>
          <w:szCs w:val="22"/>
          <w:lang w:val="es-CO"/>
        </w:rPr>
        <w:t>Empresas activas por sector económico</w:t>
      </w:r>
    </w:p>
    <w:p w14:paraId="65F8DCA9" w14:textId="17362D78" w:rsidR="00087D94" w:rsidRPr="006F5CA6" w:rsidRDefault="00087D94" w:rsidP="000B3DCC">
      <w:pPr>
        <w:ind w:right="-93"/>
        <w:rPr>
          <w:rFonts w:ascii="Arial" w:hAnsi="Arial" w:cs="Arial"/>
          <w:sz w:val="22"/>
          <w:szCs w:val="22"/>
          <w:lang w:val="es-CO"/>
        </w:rPr>
      </w:pPr>
    </w:p>
    <w:p w14:paraId="147B018E" w14:textId="4EC60390" w:rsidR="00087D94" w:rsidRPr="006F5CA6" w:rsidRDefault="00087D94" w:rsidP="000B3DCC">
      <w:pPr>
        <w:ind w:right="-93"/>
        <w:rPr>
          <w:rFonts w:ascii="Arial" w:hAnsi="Arial" w:cs="Arial"/>
          <w:sz w:val="22"/>
          <w:szCs w:val="22"/>
          <w:lang w:val="es-CO"/>
        </w:rPr>
      </w:pPr>
      <w:r w:rsidRPr="006F5CA6">
        <w:rPr>
          <w:rFonts w:ascii="Arial" w:hAnsi="Arial" w:cs="Arial"/>
          <w:sz w:val="22"/>
          <w:szCs w:val="22"/>
          <w:lang w:val="es-CO"/>
        </w:rPr>
        <w:t>En los servicios y el comercio está el mayor número de empresas activas en Bogotá y los 59 municipios de la jurisdicción de la CCB.</w:t>
      </w:r>
    </w:p>
    <w:p w14:paraId="1D838468" w14:textId="597B3C22" w:rsidR="00087D94" w:rsidRPr="006F5CA6" w:rsidRDefault="00087D94" w:rsidP="000B3DCC">
      <w:pPr>
        <w:ind w:right="-93"/>
        <w:rPr>
          <w:rFonts w:ascii="Arial" w:hAnsi="Arial" w:cs="Arial"/>
          <w:sz w:val="22"/>
          <w:szCs w:val="22"/>
          <w:lang w:val="es-CO"/>
        </w:rPr>
      </w:pPr>
    </w:p>
    <w:p w14:paraId="67BEC096" w14:textId="3605953B" w:rsidR="00087D94" w:rsidRPr="006F5CA6" w:rsidRDefault="00087D94" w:rsidP="00EC7B34">
      <w:pPr>
        <w:ind w:right="-93"/>
        <w:jc w:val="center"/>
        <w:rPr>
          <w:rFonts w:ascii="Arial" w:hAnsi="Arial" w:cs="Arial"/>
          <w:sz w:val="22"/>
          <w:szCs w:val="22"/>
          <w:lang w:val="es-CO"/>
        </w:rPr>
      </w:pPr>
      <w:r w:rsidRPr="006F5CA6">
        <w:rPr>
          <w:rFonts w:ascii="Arial" w:hAnsi="Arial" w:cs="Arial"/>
          <w:noProof/>
          <w:lang w:val="en-US"/>
        </w:rPr>
        <w:drawing>
          <wp:inline distT="0" distB="0" distL="0" distR="0" wp14:anchorId="52EAF021" wp14:editId="24207D74">
            <wp:extent cx="5162550" cy="1154243"/>
            <wp:effectExtent l="0" t="0" r="0"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185593" cy="1159395"/>
                    </a:xfrm>
                    <a:prstGeom prst="rect">
                      <a:avLst/>
                    </a:prstGeom>
                  </pic:spPr>
                </pic:pic>
              </a:graphicData>
            </a:graphic>
          </wp:inline>
        </w:drawing>
      </w:r>
    </w:p>
    <w:p w14:paraId="0F3AD02E" w14:textId="7C1C9583" w:rsidR="00087D94" w:rsidRPr="006F5CA6" w:rsidRDefault="00087D94" w:rsidP="000B3DCC">
      <w:pPr>
        <w:ind w:right="-93"/>
        <w:rPr>
          <w:rFonts w:ascii="Arial" w:hAnsi="Arial" w:cs="Arial"/>
          <w:sz w:val="22"/>
          <w:szCs w:val="22"/>
          <w:lang w:val="es-CO"/>
        </w:rPr>
      </w:pPr>
    </w:p>
    <w:p w14:paraId="41BED86C" w14:textId="77777777" w:rsidR="00000240" w:rsidRPr="006F5CA6" w:rsidRDefault="00000240" w:rsidP="00000240">
      <w:pPr>
        <w:ind w:right="-93"/>
        <w:jc w:val="both"/>
        <w:rPr>
          <w:rFonts w:ascii="Arial" w:hAnsi="Arial" w:cs="Arial"/>
          <w:sz w:val="22"/>
          <w:szCs w:val="22"/>
          <w:lang w:val="es-CO"/>
        </w:rPr>
      </w:pPr>
    </w:p>
    <w:p w14:paraId="51817502" w14:textId="0E5CC0C3"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Por otra parte, las Mujeres han creado 70.318 empresas durante el 2022. Del total de las compañías de personas naturales que han surgido en los primeros cinco meses del año, el 62,4 % corresponde a liderazgo femenino. La creación de empresas de liderazgo femenino ha tenido un crecimiento de 82% en los cinco primeros meses del 2022. En ese tiempo nacieron 70.318 empresas de personas naturales constituidas por mujeres, frente a 38.558 correspondientes al periodo de enero - mayo de 2020, según datos de la Confederación Colombiana de Cámaras de Comercio (Confecámaras).</w:t>
      </w:r>
    </w:p>
    <w:p w14:paraId="6E72BC65" w14:textId="77777777" w:rsidR="00000240" w:rsidRPr="006F5CA6" w:rsidRDefault="00000240" w:rsidP="00000240">
      <w:pPr>
        <w:ind w:right="-93"/>
        <w:jc w:val="both"/>
        <w:rPr>
          <w:rFonts w:ascii="Arial" w:hAnsi="Arial" w:cs="Arial"/>
          <w:sz w:val="22"/>
          <w:szCs w:val="22"/>
          <w:lang w:val="es-CO"/>
        </w:rPr>
      </w:pPr>
    </w:p>
    <w:p w14:paraId="42B25365" w14:textId="175BA44D"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Las Mujeres lideran creación de empresas en Colombia, en 2022 el 62,5% del total de empresas fueron creadas por mujeres 143.466 empresas de personas naturales son iniciativas lideradas por mujeres. Estas empresas generaron en 2022 más de 92 mil puestos de trabajo. Los sectores donde las mujeres crean empresas son comercio al por mayor y al por menor, alojamiento y servicios de comida e industria manufacturera.</w:t>
      </w:r>
    </w:p>
    <w:p w14:paraId="4E362853" w14:textId="77777777" w:rsidR="00000240" w:rsidRPr="006F5CA6" w:rsidRDefault="00000240" w:rsidP="00000240">
      <w:pPr>
        <w:ind w:right="-93"/>
        <w:jc w:val="both"/>
        <w:rPr>
          <w:rFonts w:ascii="Arial" w:hAnsi="Arial" w:cs="Arial"/>
          <w:sz w:val="22"/>
          <w:szCs w:val="22"/>
          <w:lang w:val="es-CO"/>
        </w:rPr>
      </w:pPr>
    </w:p>
    <w:p w14:paraId="0EB5E1CE"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Colombia es un país de mujeres empresarias. Según cifras del Registro Único Empresarial y Social (RUES), que consolida información de las 57 Cámaras de Comercio del país, el 62,5% de las empresas de personas naturales creadas durante 2022, que ascienden a 143.466 unidades productivas, son iniciativas lideradas por mujeres.</w:t>
      </w:r>
    </w:p>
    <w:p w14:paraId="72A453A8" w14:textId="77777777" w:rsidR="00000240" w:rsidRPr="006F5CA6" w:rsidRDefault="00000240" w:rsidP="00000240">
      <w:pPr>
        <w:ind w:right="-93"/>
        <w:jc w:val="both"/>
        <w:rPr>
          <w:rFonts w:ascii="Arial" w:hAnsi="Arial" w:cs="Arial"/>
          <w:sz w:val="22"/>
          <w:szCs w:val="22"/>
          <w:lang w:val="es-CO"/>
        </w:rPr>
      </w:pPr>
    </w:p>
    <w:p w14:paraId="252A3A3C"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lastRenderedPageBreak/>
        <w:t>Es importante destacar que las empresas creadas por mujeres son empleadoras. Las cifras revelan que durante su primer año de constitución generaron más de 92 mil puestos de trabajo en sectores que son jalonan el desarrollo económico del país y sus regiones.</w:t>
      </w:r>
    </w:p>
    <w:p w14:paraId="6008E058" w14:textId="77777777" w:rsidR="00000240" w:rsidRPr="006F5CA6" w:rsidRDefault="00000240" w:rsidP="00000240">
      <w:pPr>
        <w:ind w:right="-93"/>
        <w:jc w:val="both"/>
        <w:rPr>
          <w:rFonts w:ascii="Arial" w:hAnsi="Arial" w:cs="Arial"/>
          <w:sz w:val="22"/>
          <w:szCs w:val="22"/>
          <w:lang w:val="es-CO"/>
        </w:rPr>
      </w:pPr>
    </w:p>
    <w:p w14:paraId="4F9373EC"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El mayor número de estas empresas está en los sectores de comercio al por mayor y al por menor (45%), alojamiento y servicios de comida (20,5%) e industrias manufactureras (9,1%).</w:t>
      </w:r>
    </w:p>
    <w:p w14:paraId="66D30A69" w14:textId="77777777" w:rsidR="00000240" w:rsidRPr="006F5CA6" w:rsidRDefault="00000240" w:rsidP="00000240">
      <w:pPr>
        <w:ind w:right="-93"/>
        <w:jc w:val="both"/>
        <w:rPr>
          <w:rFonts w:ascii="Arial" w:hAnsi="Arial" w:cs="Arial"/>
          <w:sz w:val="22"/>
          <w:szCs w:val="22"/>
          <w:lang w:val="es-CO"/>
        </w:rPr>
      </w:pPr>
    </w:p>
    <w:p w14:paraId="49434AA4"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Estas cifras son sin lugar a duda una gran noticia para el país. Los esfuerzos que ha hecho Colombia en los últimos años en materia de política pública y en articulación público-privada para apoyar a las mujeres empresarias han dado resultados. Es de destacar los programas de apoyo de las Cámaras de Comercio dirigidos a fortalecer la actividad empresarial de las mujeres, los cuales llegan a todos los rincones del país y han permitido que estas empresas amplíen sus mercados, mejores sus habilidades gerenciales y mueven sus cajas registradoras.</w:t>
      </w:r>
    </w:p>
    <w:p w14:paraId="35935004" w14:textId="77777777" w:rsidR="00000240" w:rsidRPr="006F5CA6" w:rsidRDefault="00000240" w:rsidP="00000240">
      <w:pPr>
        <w:ind w:right="-93"/>
        <w:jc w:val="both"/>
        <w:rPr>
          <w:rFonts w:ascii="Arial" w:hAnsi="Arial" w:cs="Arial"/>
          <w:sz w:val="22"/>
          <w:szCs w:val="22"/>
          <w:lang w:val="es-CO"/>
        </w:rPr>
      </w:pPr>
    </w:p>
    <w:p w14:paraId="6F718C81"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Las ciudades con una mayor dinámica en la creación de empresas de mujeres son Bogotá, Medellín, Cali, Barranquilla, Cúcuta, Cartagena, Soacha, Ibagué y Bucaramanga.</w:t>
      </w:r>
    </w:p>
    <w:p w14:paraId="72283602" w14:textId="77777777" w:rsidR="00000240" w:rsidRPr="006F5CA6" w:rsidRDefault="00000240" w:rsidP="00000240">
      <w:pPr>
        <w:ind w:right="-93"/>
        <w:jc w:val="both"/>
        <w:rPr>
          <w:rFonts w:ascii="Arial" w:hAnsi="Arial" w:cs="Arial"/>
          <w:sz w:val="22"/>
          <w:szCs w:val="22"/>
          <w:lang w:val="es-CO"/>
        </w:rPr>
      </w:pPr>
    </w:p>
    <w:p w14:paraId="0BACE264"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Del total de las 310.731 empresas creadas el 2022, el 20% tienen al menos una mujer dentro de su planta de personal, y 6,3% tiene al menos una mujer en cargos directivos.</w:t>
      </w:r>
    </w:p>
    <w:p w14:paraId="0275CCF4" w14:textId="77777777" w:rsidR="00000240" w:rsidRPr="006F5CA6" w:rsidRDefault="00000240" w:rsidP="00000240">
      <w:pPr>
        <w:ind w:right="-93"/>
        <w:jc w:val="both"/>
        <w:rPr>
          <w:rFonts w:ascii="Arial" w:hAnsi="Arial" w:cs="Arial"/>
          <w:sz w:val="22"/>
          <w:szCs w:val="22"/>
          <w:lang w:val="es-CO"/>
        </w:rPr>
      </w:pPr>
    </w:p>
    <w:p w14:paraId="7C447013" w14:textId="77777777" w:rsidR="00000240" w:rsidRPr="006F5CA6" w:rsidRDefault="00000240" w:rsidP="00000240">
      <w:pPr>
        <w:ind w:right="-93"/>
        <w:jc w:val="both"/>
        <w:rPr>
          <w:rFonts w:ascii="Arial" w:hAnsi="Arial" w:cs="Arial"/>
          <w:sz w:val="22"/>
          <w:szCs w:val="22"/>
          <w:lang w:val="es-CO"/>
        </w:rPr>
      </w:pPr>
      <w:r w:rsidRPr="006F5CA6">
        <w:rPr>
          <w:rFonts w:ascii="Arial" w:hAnsi="Arial" w:cs="Arial"/>
          <w:sz w:val="22"/>
          <w:szCs w:val="22"/>
          <w:lang w:val="es-CO"/>
        </w:rPr>
        <w:t>En la creación de empresas de acuerdo con su tamaño, el 29,6% de empresas grandes emplean al menos una mujer. Para el caso de las micro, pequeñas y medianas empresas la proporción es del 20%, 19,9% y 18,8% respectivamente.</w:t>
      </w:r>
    </w:p>
    <w:p w14:paraId="688C7506" w14:textId="77777777" w:rsidR="00000240" w:rsidRPr="006F5CA6" w:rsidRDefault="00000240" w:rsidP="00000240">
      <w:pPr>
        <w:ind w:right="-93"/>
        <w:jc w:val="both"/>
        <w:rPr>
          <w:rFonts w:ascii="Arial" w:hAnsi="Arial" w:cs="Arial"/>
          <w:sz w:val="22"/>
          <w:szCs w:val="22"/>
          <w:lang w:val="es-CO"/>
        </w:rPr>
      </w:pPr>
    </w:p>
    <w:p w14:paraId="77544E55" w14:textId="5B0FA259" w:rsidR="00087D94" w:rsidRPr="006F5CA6" w:rsidRDefault="00000240" w:rsidP="00E015AD">
      <w:pPr>
        <w:ind w:right="-93"/>
        <w:jc w:val="both"/>
        <w:rPr>
          <w:rFonts w:ascii="Arial" w:eastAsia="Times New Roman" w:hAnsi="Arial" w:cs="Arial"/>
          <w:szCs w:val="20"/>
          <w:lang w:eastAsia="es-CO"/>
        </w:rPr>
      </w:pPr>
      <w:r w:rsidRPr="006F5CA6">
        <w:rPr>
          <w:rFonts w:ascii="Arial" w:hAnsi="Arial" w:cs="Arial"/>
          <w:sz w:val="22"/>
          <w:szCs w:val="22"/>
          <w:lang w:val="es-CO"/>
        </w:rPr>
        <w:t>Teniendo en cuenta la información anterior, se cuenta con un amplio mercado de posibles oferentes tanto mipymes como emprendimientos de mujeres (empresas conformadas o creadas por mujeres), por lo cual se consid</w:t>
      </w:r>
      <w:r w:rsidR="00E015AD" w:rsidRPr="006F5CA6">
        <w:rPr>
          <w:rFonts w:ascii="Arial" w:hAnsi="Arial" w:cs="Arial"/>
          <w:sz w:val="22"/>
          <w:szCs w:val="22"/>
          <w:lang w:val="es-CO"/>
        </w:rPr>
        <w:t>era viable establecer</w:t>
      </w:r>
      <w:r w:rsidRPr="006F5CA6">
        <w:rPr>
          <w:rFonts w:ascii="Arial" w:hAnsi="Arial" w:cs="Arial"/>
          <w:sz w:val="22"/>
          <w:szCs w:val="22"/>
          <w:lang w:val="es-CO"/>
        </w:rPr>
        <w:t xml:space="preserve"> criterios diferenciales:</w:t>
      </w:r>
      <w:r w:rsidR="00E015AD" w:rsidRPr="006F5CA6">
        <w:rPr>
          <w:rFonts w:ascii="Arial" w:hAnsi="Arial" w:cs="Arial"/>
          <w:sz w:val="22"/>
          <w:szCs w:val="22"/>
          <w:lang w:val="es-CO"/>
        </w:rPr>
        <w:t xml:space="preserve"> Ver pliego de condiciones</w:t>
      </w:r>
    </w:p>
    <w:p w14:paraId="1E4CF525" w14:textId="09653E92" w:rsidR="00E015AD" w:rsidRPr="006F5CA6" w:rsidRDefault="00E015AD" w:rsidP="002B4D08">
      <w:pPr>
        <w:jc w:val="both"/>
        <w:rPr>
          <w:rFonts w:ascii="Arial" w:eastAsia="Times New Roman" w:hAnsi="Arial" w:cs="Arial"/>
          <w:sz w:val="22"/>
          <w:szCs w:val="22"/>
          <w:lang w:val="es-CO" w:eastAsia="es-CO"/>
        </w:rPr>
      </w:pPr>
    </w:p>
    <w:p w14:paraId="46FD90D2" w14:textId="77777777" w:rsidR="00E015AD" w:rsidRPr="006F5CA6" w:rsidRDefault="00E015AD" w:rsidP="00E015AD">
      <w:pPr>
        <w:pStyle w:val="Ttulo1"/>
        <w:spacing w:before="0"/>
        <w:ind w:left="360" w:hanging="270"/>
        <w:rPr>
          <w:rFonts w:cs="Arial"/>
          <w:sz w:val="22"/>
          <w:szCs w:val="22"/>
        </w:rPr>
      </w:pPr>
      <w:r w:rsidRPr="006F5CA6">
        <w:rPr>
          <w:rFonts w:cs="Arial"/>
          <w:sz w:val="22"/>
          <w:szCs w:val="22"/>
        </w:rPr>
        <w:t>ANÁLISIS DE RIESGOS Y LA FORMA DE MITIGARLOS</w:t>
      </w:r>
    </w:p>
    <w:p w14:paraId="08A99458" w14:textId="77777777" w:rsidR="00E015AD" w:rsidRPr="006F5CA6" w:rsidRDefault="00E015AD" w:rsidP="00E015AD">
      <w:pPr>
        <w:autoSpaceDE w:val="0"/>
        <w:autoSpaceDN w:val="0"/>
        <w:adjustRightInd w:val="0"/>
        <w:jc w:val="both"/>
        <w:rPr>
          <w:rFonts w:ascii="Arial" w:hAnsi="Arial" w:cs="Arial"/>
          <w:sz w:val="22"/>
          <w:szCs w:val="22"/>
        </w:rPr>
      </w:pPr>
    </w:p>
    <w:p w14:paraId="6CACB574" w14:textId="77777777" w:rsidR="00E015AD" w:rsidRPr="006F5CA6" w:rsidRDefault="00E015AD" w:rsidP="00E015AD">
      <w:pPr>
        <w:pStyle w:val="Encabezado"/>
        <w:tabs>
          <w:tab w:val="left" w:pos="708"/>
        </w:tabs>
        <w:jc w:val="both"/>
        <w:rPr>
          <w:rFonts w:ascii="Arial" w:hAnsi="Arial" w:cs="Arial"/>
          <w:sz w:val="22"/>
          <w:szCs w:val="22"/>
        </w:rPr>
      </w:pPr>
      <w:r w:rsidRPr="006F5CA6">
        <w:rPr>
          <w:rFonts w:ascii="Arial" w:hAnsi="Arial" w:cs="Arial"/>
          <w:sz w:val="22"/>
          <w:szCs w:val="22"/>
        </w:rPr>
        <w:t>De conformidad con el artículo 2.2.1.1.1.6.1 del Decreto 1082 de 2015, la entidad estatal debe evaluar el riesgo que el proceso de contratación representa para el cumplimiento de sus metas y objetivos.</w:t>
      </w:r>
    </w:p>
    <w:p w14:paraId="38BA19E7" w14:textId="77777777" w:rsidR="00E015AD" w:rsidRPr="006F5CA6" w:rsidRDefault="00E015AD" w:rsidP="00E015AD">
      <w:pPr>
        <w:pStyle w:val="Encabezado"/>
        <w:tabs>
          <w:tab w:val="left" w:pos="708"/>
        </w:tabs>
        <w:jc w:val="both"/>
        <w:rPr>
          <w:rFonts w:ascii="Arial" w:hAnsi="Arial" w:cs="Arial"/>
          <w:sz w:val="22"/>
          <w:szCs w:val="22"/>
        </w:rPr>
      </w:pPr>
    </w:p>
    <w:p w14:paraId="56808902" w14:textId="77777777" w:rsidR="00E015AD" w:rsidRPr="006F5CA6" w:rsidRDefault="00E015AD" w:rsidP="00E015AD">
      <w:pPr>
        <w:pStyle w:val="Encabezado"/>
        <w:tabs>
          <w:tab w:val="left" w:pos="708"/>
        </w:tabs>
        <w:jc w:val="both"/>
        <w:rPr>
          <w:rFonts w:ascii="Arial" w:hAnsi="Arial" w:cs="Arial"/>
          <w:sz w:val="22"/>
          <w:szCs w:val="22"/>
        </w:rPr>
      </w:pPr>
      <w:r w:rsidRPr="006F5CA6">
        <w:rPr>
          <w:rFonts w:ascii="Arial" w:hAnsi="Arial" w:cs="Arial"/>
          <w:sz w:val="22"/>
          <w:szCs w:val="22"/>
        </w:rPr>
        <w:t>El riesgo contractual en general es entendido como todas aquellas circunstancias que pueden presentarse durante el desarrollo o ejecución de un contrato y que pueden alterar el equilibrio financiero del mismo y ha tenido una regulación desde cinco ópticas, asociadas con el proceso de gestión que se requiere en cada caso.</w:t>
      </w:r>
    </w:p>
    <w:p w14:paraId="1C15069E" w14:textId="77777777" w:rsidR="00E015AD" w:rsidRPr="006F5CA6" w:rsidRDefault="00E015AD" w:rsidP="00E015AD">
      <w:pPr>
        <w:pStyle w:val="Encabezado"/>
        <w:tabs>
          <w:tab w:val="left" w:pos="708"/>
        </w:tabs>
        <w:jc w:val="both"/>
        <w:rPr>
          <w:rFonts w:ascii="Arial" w:hAnsi="Arial" w:cs="Arial"/>
          <w:sz w:val="22"/>
          <w:szCs w:val="22"/>
        </w:rPr>
      </w:pPr>
    </w:p>
    <w:p w14:paraId="6DAB9CA9" w14:textId="77777777" w:rsidR="00E015AD" w:rsidRPr="006F5CA6" w:rsidRDefault="00E015AD" w:rsidP="00E015AD">
      <w:pPr>
        <w:pStyle w:val="Encabezado"/>
        <w:tabs>
          <w:tab w:val="left" w:pos="708"/>
        </w:tabs>
        <w:jc w:val="both"/>
        <w:rPr>
          <w:rFonts w:ascii="Arial" w:hAnsi="Arial" w:cs="Arial"/>
          <w:sz w:val="22"/>
          <w:szCs w:val="22"/>
        </w:rPr>
      </w:pPr>
      <w:r w:rsidRPr="006F5CA6">
        <w:rPr>
          <w:rFonts w:ascii="Arial" w:hAnsi="Arial" w:cs="Arial"/>
          <w:sz w:val="22"/>
          <w:szCs w:val="22"/>
        </w:rPr>
        <w:t xml:space="preserve">De acuerdo con la metodología de Colombia Compra Eficiente, en concordancia con el documento Conpes 3714, a continuación, se identifican los Riesgos del Proceso de Contratación desde su planeación hasta su liquidación: </w:t>
      </w:r>
    </w:p>
    <w:p w14:paraId="55BF36C8" w14:textId="77777777" w:rsidR="00E015AD" w:rsidRPr="006F5CA6" w:rsidRDefault="00E015AD" w:rsidP="00E015AD">
      <w:pPr>
        <w:pStyle w:val="Encabezado"/>
        <w:tabs>
          <w:tab w:val="left" w:pos="708"/>
        </w:tabs>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0"/>
        <w:gridCol w:w="210"/>
        <w:gridCol w:w="210"/>
        <w:gridCol w:w="210"/>
        <w:gridCol w:w="620"/>
        <w:gridCol w:w="569"/>
        <w:gridCol w:w="522"/>
        <w:gridCol w:w="209"/>
        <w:gridCol w:w="209"/>
        <w:gridCol w:w="209"/>
        <w:gridCol w:w="209"/>
        <w:gridCol w:w="434"/>
        <w:gridCol w:w="766"/>
        <w:gridCol w:w="553"/>
        <w:gridCol w:w="209"/>
        <w:gridCol w:w="209"/>
        <w:gridCol w:w="209"/>
        <w:gridCol w:w="209"/>
        <w:gridCol w:w="209"/>
        <w:gridCol w:w="490"/>
        <w:gridCol w:w="512"/>
        <w:gridCol w:w="503"/>
        <w:gridCol w:w="510"/>
        <w:gridCol w:w="628"/>
      </w:tblGrid>
      <w:tr w:rsidR="00E015AD" w:rsidRPr="006F5CA6" w14:paraId="5FA64B03" w14:textId="77777777" w:rsidTr="00745FC3">
        <w:trPr>
          <w:trHeight w:val="597"/>
        </w:trPr>
        <w:tc>
          <w:tcPr>
            <w:tcW w:w="68" w:type="pct"/>
            <w:vMerge w:val="restart"/>
            <w:shd w:val="clear" w:color="000000" w:fill="BDD6EE"/>
            <w:textDirection w:val="btLr"/>
            <w:vAlign w:val="center"/>
            <w:hideMark/>
          </w:tcPr>
          <w:p w14:paraId="23A56B1A"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Clase</w:t>
            </w:r>
          </w:p>
        </w:tc>
        <w:tc>
          <w:tcPr>
            <w:tcW w:w="44" w:type="pct"/>
            <w:vMerge w:val="restart"/>
            <w:shd w:val="clear" w:color="000000" w:fill="BDD6EE"/>
            <w:textDirection w:val="btLr"/>
            <w:vAlign w:val="center"/>
            <w:hideMark/>
          </w:tcPr>
          <w:p w14:paraId="1C0A931F"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Fuente</w:t>
            </w:r>
          </w:p>
        </w:tc>
        <w:tc>
          <w:tcPr>
            <w:tcW w:w="44" w:type="pct"/>
            <w:vMerge w:val="restart"/>
            <w:shd w:val="clear" w:color="000000" w:fill="BDD6EE"/>
            <w:textDirection w:val="btLr"/>
            <w:vAlign w:val="center"/>
            <w:hideMark/>
          </w:tcPr>
          <w:p w14:paraId="5CBADB76"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Etapa</w:t>
            </w:r>
          </w:p>
        </w:tc>
        <w:tc>
          <w:tcPr>
            <w:tcW w:w="44" w:type="pct"/>
            <w:vMerge w:val="restart"/>
            <w:shd w:val="clear" w:color="000000" w:fill="BDD6EE"/>
            <w:textDirection w:val="btLr"/>
            <w:vAlign w:val="center"/>
            <w:hideMark/>
          </w:tcPr>
          <w:p w14:paraId="0782177C"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Tipo</w:t>
            </w:r>
          </w:p>
        </w:tc>
        <w:tc>
          <w:tcPr>
            <w:tcW w:w="565" w:type="pct"/>
            <w:vMerge w:val="restart"/>
            <w:shd w:val="clear" w:color="000000" w:fill="BDD6EE"/>
            <w:vAlign w:val="center"/>
            <w:hideMark/>
          </w:tcPr>
          <w:p w14:paraId="24CBACD1"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Riesgo</w:t>
            </w:r>
          </w:p>
        </w:tc>
        <w:tc>
          <w:tcPr>
            <w:tcW w:w="586" w:type="pct"/>
            <w:vMerge w:val="restart"/>
            <w:shd w:val="clear" w:color="000000" w:fill="BDD6EE"/>
            <w:vAlign w:val="center"/>
            <w:hideMark/>
          </w:tcPr>
          <w:p w14:paraId="34B18D51"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Descripción</w:t>
            </w:r>
          </w:p>
        </w:tc>
        <w:tc>
          <w:tcPr>
            <w:tcW w:w="396" w:type="pct"/>
            <w:vMerge w:val="restart"/>
            <w:shd w:val="clear" w:color="000000" w:fill="BDD6EE"/>
            <w:vAlign w:val="center"/>
            <w:hideMark/>
          </w:tcPr>
          <w:p w14:paraId="1A872988"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Consecuencia de la ocurre</w:t>
            </w:r>
            <w:r w:rsidRPr="006F5CA6">
              <w:rPr>
                <w:rFonts w:ascii="Arial" w:hAnsi="Arial" w:cs="Arial"/>
                <w:b/>
                <w:bCs/>
                <w:sz w:val="12"/>
                <w:szCs w:val="12"/>
                <w:lang w:val="es-CO" w:eastAsia="es-CO"/>
              </w:rPr>
              <w:lastRenderedPageBreak/>
              <w:t>ncia del evento</w:t>
            </w:r>
          </w:p>
        </w:tc>
        <w:tc>
          <w:tcPr>
            <w:tcW w:w="78" w:type="pct"/>
            <w:vMerge w:val="restart"/>
            <w:shd w:val="clear" w:color="000000" w:fill="BDD6EE"/>
            <w:textDirection w:val="btLr"/>
            <w:vAlign w:val="center"/>
            <w:hideMark/>
          </w:tcPr>
          <w:p w14:paraId="4E50F65C"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lastRenderedPageBreak/>
              <w:t>Probabilidad</w:t>
            </w:r>
          </w:p>
        </w:tc>
        <w:tc>
          <w:tcPr>
            <w:tcW w:w="53" w:type="pct"/>
            <w:vMerge w:val="restart"/>
            <w:shd w:val="clear" w:color="000000" w:fill="BDD6EE"/>
            <w:textDirection w:val="btLr"/>
            <w:vAlign w:val="center"/>
            <w:hideMark/>
          </w:tcPr>
          <w:p w14:paraId="13080ADB"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Impacto</w:t>
            </w:r>
          </w:p>
        </w:tc>
        <w:tc>
          <w:tcPr>
            <w:tcW w:w="67" w:type="pct"/>
            <w:vMerge w:val="restart"/>
            <w:shd w:val="clear" w:color="000000" w:fill="BDD6EE"/>
            <w:textDirection w:val="btLr"/>
            <w:vAlign w:val="center"/>
            <w:hideMark/>
          </w:tcPr>
          <w:p w14:paraId="36952875"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Valoración</w:t>
            </w:r>
          </w:p>
        </w:tc>
        <w:tc>
          <w:tcPr>
            <w:tcW w:w="114" w:type="pct"/>
            <w:vMerge w:val="restart"/>
            <w:shd w:val="clear" w:color="000000" w:fill="BDD6EE"/>
            <w:textDirection w:val="btLr"/>
            <w:vAlign w:val="center"/>
            <w:hideMark/>
          </w:tcPr>
          <w:p w14:paraId="133DF37D"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Categoría</w:t>
            </w:r>
          </w:p>
        </w:tc>
        <w:tc>
          <w:tcPr>
            <w:tcW w:w="430" w:type="pct"/>
            <w:gridSpan w:val="2"/>
            <w:shd w:val="clear" w:color="000000" w:fill="BDD6EE"/>
            <w:vAlign w:val="center"/>
            <w:hideMark/>
          </w:tcPr>
          <w:p w14:paraId="4AB2B3DD"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Asignación</w:t>
            </w:r>
          </w:p>
        </w:tc>
        <w:tc>
          <w:tcPr>
            <w:tcW w:w="518" w:type="pct"/>
            <w:vMerge w:val="restart"/>
            <w:shd w:val="clear" w:color="000000" w:fill="BDD6EE"/>
            <w:vAlign w:val="center"/>
            <w:hideMark/>
          </w:tcPr>
          <w:p w14:paraId="44AAFAA1"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Tratamientos y Contro</w:t>
            </w:r>
            <w:r w:rsidRPr="006F5CA6">
              <w:rPr>
                <w:rFonts w:ascii="Arial" w:hAnsi="Arial" w:cs="Arial"/>
                <w:b/>
                <w:bCs/>
                <w:sz w:val="12"/>
                <w:szCs w:val="12"/>
                <w:lang w:val="es-CO" w:eastAsia="es-CO"/>
              </w:rPr>
              <w:lastRenderedPageBreak/>
              <w:t>les a ser implementados</w:t>
            </w:r>
          </w:p>
        </w:tc>
        <w:tc>
          <w:tcPr>
            <w:tcW w:w="433" w:type="pct"/>
            <w:gridSpan w:val="4"/>
            <w:shd w:val="clear" w:color="000000" w:fill="BDD6EE"/>
            <w:vAlign w:val="center"/>
            <w:hideMark/>
          </w:tcPr>
          <w:p w14:paraId="6E5DC80E"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lastRenderedPageBreak/>
              <w:t>Después del Tratamiento</w:t>
            </w:r>
          </w:p>
        </w:tc>
        <w:tc>
          <w:tcPr>
            <w:tcW w:w="114" w:type="pct"/>
            <w:vMerge w:val="restart"/>
            <w:shd w:val="clear" w:color="000000" w:fill="BDD6EE"/>
            <w:textDirection w:val="btLr"/>
            <w:vAlign w:val="center"/>
            <w:hideMark/>
          </w:tcPr>
          <w:p w14:paraId="1ED0AB90"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Afecta Ejecución</w:t>
            </w:r>
          </w:p>
        </w:tc>
        <w:tc>
          <w:tcPr>
            <w:tcW w:w="195" w:type="pct"/>
            <w:vMerge w:val="restart"/>
            <w:shd w:val="clear" w:color="000000" w:fill="BDD6EE"/>
            <w:vAlign w:val="center"/>
            <w:hideMark/>
          </w:tcPr>
          <w:p w14:paraId="46526B22"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 xml:space="preserve">Responsable del </w:t>
            </w:r>
            <w:r w:rsidRPr="006F5CA6">
              <w:rPr>
                <w:rFonts w:ascii="Arial" w:hAnsi="Arial" w:cs="Arial"/>
                <w:b/>
                <w:bCs/>
                <w:sz w:val="12"/>
                <w:szCs w:val="12"/>
                <w:lang w:val="es-CO" w:eastAsia="es-CO"/>
              </w:rPr>
              <w:lastRenderedPageBreak/>
              <w:t>Tratamiento</w:t>
            </w:r>
          </w:p>
        </w:tc>
        <w:tc>
          <w:tcPr>
            <w:tcW w:w="313" w:type="pct"/>
            <w:vMerge w:val="restart"/>
            <w:shd w:val="clear" w:color="000000" w:fill="BDD6EE"/>
            <w:vAlign w:val="center"/>
            <w:hideMark/>
          </w:tcPr>
          <w:p w14:paraId="62E4DD8D"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lastRenderedPageBreak/>
              <w:t>Fecha de Inicio del</w:t>
            </w:r>
            <w:r w:rsidRPr="006F5CA6">
              <w:rPr>
                <w:rFonts w:ascii="Arial" w:hAnsi="Arial" w:cs="Arial"/>
                <w:b/>
                <w:bCs/>
                <w:sz w:val="12"/>
                <w:szCs w:val="12"/>
                <w:lang w:val="es-CO" w:eastAsia="es-CO"/>
              </w:rPr>
              <w:br/>
            </w:r>
            <w:r w:rsidRPr="006F5CA6">
              <w:rPr>
                <w:rFonts w:ascii="Arial" w:hAnsi="Arial" w:cs="Arial"/>
                <w:b/>
                <w:bCs/>
                <w:sz w:val="12"/>
                <w:szCs w:val="12"/>
                <w:lang w:val="es-CO" w:eastAsia="es-CO"/>
              </w:rPr>
              <w:lastRenderedPageBreak/>
              <w:t>Tratamiento</w:t>
            </w:r>
          </w:p>
        </w:tc>
        <w:tc>
          <w:tcPr>
            <w:tcW w:w="273" w:type="pct"/>
            <w:vMerge w:val="restart"/>
            <w:shd w:val="clear" w:color="000000" w:fill="BDD6EE"/>
            <w:vAlign w:val="center"/>
            <w:hideMark/>
          </w:tcPr>
          <w:p w14:paraId="01146123"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lastRenderedPageBreak/>
              <w:t>Fecha de Finalizació</w:t>
            </w:r>
            <w:r w:rsidRPr="006F5CA6">
              <w:rPr>
                <w:rFonts w:ascii="Arial" w:hAnsi="Arial" w:cs="Arial"/>
                <w:b/>
                <w:bCs/>
                <w:sz w:val="12"/>
                <w:szCs w:val="12"/>
                <w:lang w:val="es-CO" w:eastAsia="es-CO"/>
              </w:rPr>
              <w:lastRenderedPageBreak/>
              <w:t>n del Tratamiento</w:t>
            </w:r>
          </w:p>
        </w:tc>
        <w:tc>
          <w:tcPr>
            <w:tcW w:w="664" w:type="pct"/>
            <w:gridSpan w:val="2"/>
            <w:shd w:val="clear" w:color="000000" w:fill="BDD6EE"/>
            <w:vAlign w:val="center"/>
            <w:hideMark/>
          </w:tcPr>
          <w:p w14:paraId="05DF394F"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lastRenderedPageBreak/>
              <w:t>Monitoreo y Revisión</w:t>
            </w:r>
          </w:p>
        </w:tc>
      </w:tr>
      <w:tr w:rsidR="00E015AD" w:rsidRPr="006F5CA6" w14:paraId="216D45D4" w14:textId="77777777" w:rsidTr="00745FC3">
        <w:trPr>
          <w:trHeight w:val="1078"/>
        </w:trPr>
        <w:tc>
          <w:tcPr>
            <w:tcW w:w="68" w:type="pct"/>
            <w:vMerge/>
            <w:vAlign w:val="center"/>
            <w:hideMark/>
          </w:tcPr>
          <w:p w14:paraId="0998AA16" w14:textId="77777777" w:rsidR="00E015AD" w:rsidRPr="006F5CA6" w:rsidRDefault="00E015AD" w:rsidP="00745FC3">
            <w:pPr>
              <w:jc w:val="center"/>
              <w:rPr>
                <w:rFonts w:ascii="Arial" w:hAnsi="Arial" w:cs="Arial"/>
                <w:b/>
                <w:bCs/>
                <w:sz w:val="12"/>
                <w:szCs w:val="12"/>
                <w:lang w:val="es-CO" w:eastAsia="es-CO"/>
              </w:rPr>
            </w:pPr>
          </w:p>
        </w:tc>
        <w:tc>
          <w:tcPr>
            <w:tcW w:w="44" w:type="pct"/>
            <w:vMerge/>
            <w:vAlign w:val="center"/>
            <w:hideMark/>
          </w:tcPr>
          <w:p w14:paraId="40C1C91C" w14:textId="77777777" w:rsidR="00E015AD" w:rsidRPr="006F5CA6" w:rsidRDefault="00E015AD" w:rsidP="00745FC3">
            <w:pPr>
              <w:jc w:val="center"/>
              <w:rPr>
                <w:rFonts w:ascii="Arial" w:hAnsi="Arial" w:cs="Arial"/>
                <w:b/>
                <w:bCs/>
                <w:sz w:val="12"/>
                <w:szCs w:val="12"/>
                <w:lang w:val="es-CO" w:eastAsia="es-CO"/>
              </w:rPr>
            </w:pPr>
          </w:p>
        </w:tc>
        <w:tc>
          <w:tcPr>
            <w:tcW w:w="44" w:type="pct"/>
            <w:vMerge/>
            <w:vAlign w:val="center"/>
            <w:hideMark/>
          </w:tcPr>
          <w:p w14:paraId="654D1D13" w14:textId="77777777" w:rsidR="00E015AD" w:rsidRPr="006F5CA6" w:rsidRDefault="00E015AD" w:rsidP="00745FC3">
            <w:pPr>
              <w:jc w:val="center"/>
              <w:rPr>
                <w:rFonts w:ascii="Arial" w:hAnsi="Arial" w:cs="Arial"/>
                <w:b/>
                <w:bCs/>
                <w:sz w:val="12"/>
                <w:szCs w:val="12"/>
                <w:lang w:val="es-CO" w:eastAsia="es-CO"/>
              </w:rPr>
            </w:pPr>
          </w:p>
        </w:tc>
        <w:tc>
          <w:tcPr>
            <w:tcW w:w="44" w:type="pct"/>
            <w:vMerge/>
            <w:vAlign w:val="center"/>
            <w:hideMark/>
          </w:tcPr>
          <w:p w14:paraId="5A613CF0" w14:textId="77777777" w:rsidR="00E015AD" w:rsidRPr="006F5CA6" w:rsidRDefault="00E015AD" w:rsidP="00745FC3">
            <w:pPr>
              <w:jc w:val="center"/>
              <w:rPr>
                <w:rFonts w:ascii="Arial" w:hAnsi="Arial" w:cs="Arial"/>
                <w:b/>
                <w:bCs/>
                <w:sz w:val="12"/>
                <w:szCs w:val="12"/>
                <w:lang w:val="es-CO" w:eastAsia="es-CO"/>
              </w:rPr>
            </w:pPr>
          </w:p>
        </w:tc>
        <w:tc>
          <w:tcPr>
            <w:tcW w:w="565" w:type="pct"/>
            <w:vMerge/>
            <w:vAlign w:val="center"/>
            <w:hideMark/>
          </w:tcPr>
          <w:p w14:paraId="5F6BB7A0" w14:textId="77777777" w:rsidR="00E015AD" w:rsidRPr="006F5CA6" w:rsidRDefault="00E015AD" w:rsidP="00745FC3">
            <w:pPr>
              <w:jc w:val="center"/>
              <w:rPr>
                <w:rFonts w:ascii="Arial" w:hAnsi="Arial" w:cs="Arial"/>
                <w:b/>
                <w:bCs/>
                <w:sz w:val="12"/>
                <w:szCs w:val="12"/>
                <w:lang w:val="es-CO" w:eastAsia="es-CO"/>
              </w:rPr>
            </w:pPr>
          </w:p>
        </w:tc>
        <w:tc>
          <w:tcPr>
            <w:tcW w:w="586" w:type="pct"/>
            <w:vMerge/>
            <w:vAlign w:val="center"/>
            <w:hideMark/>
          </w:tcPr>
          <w:p w14:paraId="4270594E" w14:textId="77777777" w:rsidR="00E015AD" w:rsidRPr="006F5CA6" w:rsidRDefault="00E015AD" w:rsidP="00745FC3">
            <w:pPr>
              <w:jc w:val="center"/>
              <w:rPr>
                <w:rFonts w:ascii="Arial" w:hAnsi="Arial" w:cs="Arial"/>
                <w:b/>
                <w:bCs/>
                <w:sz w:val="12"/>
                <w:szCs w:val="12"/>
                <w:lang w:val="es-CO" w:eastAsia="es-CO"/>
              </w:rPr>
            </w:pPr>
          </w:p>
        </w:tc>
        <w:tc>
          <w:tcPr>
            <w:tcW w:w="396" w:type="pct"/>
            <w:vMerge/>
            <w:vAlign w:val="center"/>
            <w:hideMark/>
          </w:tcPr>
          <w:p w14:paraId="6B1ED98E" w14:textId="77777777" w:rsidR="00E015AD" w:rsidRPr="006F5CA6" w:rsidRDefault="00E015AD" w:rsidP="00745FC3">
            <w:pPr>
              <w:jc w:val="center"/>
              <w:rPr>
                <w:rFonts w:ascii="Arial" w:hAnsi="Arial" w:cs="Arial"/>
                <w:b/>
                <w:bCs/>
                <w:sz w:val="12"/>
                <w:szCs w:val="12"/>
                <w:lang w:val="es-CO" w:eastAsia="es-CO"/>
              </w:rPr>
            </w:pPr>
          </w:p>
        </w:tc>
        <w:tc>
          <w:tcPr>
            <w:tcW w:w="78" w:type="pct"/>
            <w:vMerge/>
            <w:vAlign w:val="center"/>
            <w:hideMark/>
          </w:tcPr>
          <w:p w14:paraId="198CFCB9" w14:textId="77777777" w:rsidR="00E015AD" w:rsidRPr="006F5CA6" w:rsidRDefault="00E015AD" w:rsidP="00745FC3">
            <w:pPr>
              <w:jc w:val="center"/>
              <w:rPr>
                <w:rFonts w:ascii="Arial" w:hAnsi="Arial" w:cs="Arial"/>
                <w:b/>
                <w:bCs/>
                <w:sz w:val="12"/>
                <w:szCs w:val="12"/>
                <w:lang w:val="es-CO" w:eastAsia="es-CO"/>
              </w:rPr>
            </w:pPr>
          </w:p>
        </w:tc>
        <w:tc>
          <w:tcPr>
            <w:tcW w:w="53" w:type="pct"/>
            <w:vMerge/>
            <w:vAlign w:val="center"/>
            <w:hideMark/>
          </w:tcPr>
          <w:p w14:paraId="50C7FA7B" w14:textId="77777777" w:rsidR="00E015AD" w:rsidRPr="006F5CA6" w:rsidRDefault="00E015AD" w:rsidP="00745FC3">
            <w:pPr>
              <w:jc w:val="center"/>
              <w:rPr>
                <w:rFonts w:ascii="Arial" w:hAnsi="Arial" w:cs="Arial"/>
                <w:b/>
                <w:bCs/>
                <w:sz w:val="12"/>
                <w:szCs w:val="12"/>
                <w:lang w:val="es-CO" w:eastAsia="es-CO"/>
              </w:rPr>
            </w:pPr>
          </w:p>
        </w:tc>
        <w:tc>
          <w:tcPr>
            <w:tcW w:w="67" w:type="pct"/>
            <w:vMerge/>
            <w:vAlign w:val="center"/>
            <w:hideMark/>
          </w:tcPr>
          <w:p w14:paraId="22E12025" w14:textId="77777777" w:rsidR="00E015AD" w:rsidRPr="006F5CA6" w:rsidRDefault="00E015AD" w:rsidP="00745FC3">
            <w:pPr>
              <w:jc w:val="center"/>
              <w:rPr>
                <w:rFonts w:ascii="Arial" w:hAnsi="Arial" w:cs="Arial"/>
                <w:b/>
                <w:bCs/>
                <w:sz w:val="12"/>
                <w:szCs w:val="12"/>
                <w:lang w:val="es-CO" w:eastAsia="es-CO"/>
              </w:rPr>
            </w:pPr>
          </w:p>
        </w:tc>
        <w:tc>
          <w:tcPr>
            <w:tcW w:w="114" w:type="pct"/>
            <w:vMerge/>
            <w:vAlign w:val="center"/>
            <w:hideMark/>
          </w:tcPr>
          <w:p w14:paraId="319AEEA7" w14:textId="77777777" w:rsidR="00E015AD" w:rsidRPr="006F5CA6" w:rsidRDefault="00E015AD" w:rsidP="00745FC3">
            <w:pPr>
              <w:jc w:val="center"/>
              <w:rPr>
                <w:rFonts w:ascii="Arial" w:hAnsi="Arial" w:cs="Arial"/>
                <w:b/>
                <w:bCs/>
                <w:sz w:val="12"/>
                <w:szCs w:val="12"/>
                <w:lang w:val="es-CO" w:eastAsia="es-CO"/>
              </w:rPr>
            </w:pPr>
          </w:p>
        </w:tc>
        <w:tc>
          <w:tcPr>
            <w:tcW w:w="196" w:type="pct"/>
            <w:shd w:val="clear" w:color="000000" w:fill="BDD6EE"/>
            <w:vAlign w:val="center"/>
            <w:hideMark/>
          </w:tcPr>
          <w:p w14:paraId="1FC253E3"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Entidad</w:t>
            </w:r>
          </w:p>
        </w:tc>
        <w:tc>
          <w:tcPr>
            <w:tcW w:w="234" w:type="pct"/>
            <w:shd w:val="clear" w:color="000000" w:fill="BDD6EE"/>
            <w:vAlign w:val="center"/>
            <w:hideMark/>
          </w:tcPr>
          <w:p w14:paraId="7D18EF6C"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Proponente/Contratista</w:t>
            </w:r>
          </w:p>
        </w:tc>
        <w:tc>
          <w:tcPr>
            <w:tcW w:w="518" w:type="pct"/>
            <w:vMerge/>
            <w:vAlign w:val="center"/>
            <w:hideMark/>
          </w:tcPr>
          <w:p w14:paraId="40A5F8C5" w14:textId="77777777" w:rsidR="00E015AD" w:rsidRPr="006F5CA6" w:rsidRDefault="00E015AD" w:rsidP="00745FC3">
            <w:pPr>
              <w:jc w:val="center"/>
              <w:rPr>
                <w:rFonts w:ascii="Arial" w:hAnsi="Arial" w:cs="Arial"/>
                <w:b/>
                <w:bCs/>
                <w:sz w:val="12"/>
                <w:szCs w:val="12"/>
                <w:lang w:val="es-CO" w:eastAsia="es-CO"/>
              </w:rPr>
            </w:pPr>
          </w:p>
        </w:tc>
        <w:tc>
          <w:tcPr>
            <w:tcW w:w="94" w:type="pct"/>
            <w:shd w:val="clear" w:color="000000" w:fill="BDD6EE"/>
            <w:textDirection w:val="btLr"/>
            <w:vAlign w:val="center"/>
            <w:hideMark/>
          </w:tcPr>
          <w:p w14:paraId="3A458531"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Probabilidad</w:t>
            </w:r>
          </w:p>
        </w:tc>
        <w:tc>
          <w:tcPr>
            <w:tcW w:w="94" w:type="pct"/>
            <w:shd w:val="clear" w:color="000000" w:fill="BDD6EE"/>
            <w:textDirection w:val="btLr"/>
            <w:vAlign w:val="center"/>
            <w:hideMark/>
          </w:tcPr>
          <w:p w14:paraId="18138AA9"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Impacto</w:t>
            </w:r>
          </w:p>
        </w:tc>
        <w:tc>
          <w:tcPr>
            <w:tcW w:w="94" w:type="pct"/>
            <w:shd w:val="clear" w:color="000000" w:fill="BDD6EE"/>
            <w:textDirection w:val="btLr"/>
            <w:vAlign w:val="center"/>
            <w:hideMark/>
          </w:tcPr>
          <w:p w14:paraId="40BB316A"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Valoración</w:t>
            </w:r>
          </w:p>
        </w:tc>
        <w:tc>
          <w:tcPr>
            <w:tcW w:w="152" w:type="pct"/>
            <w:shd w:val="clear" w:color="000000" w:fill="BDD6EE"/>
            <w:textDirection w:val="btLr"/>
            <w:vAlign w:val="center"/>
            <w:hideMark/>
          </w:tcPr>
          <w:p w14:paraId="686375F0"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Categoría</w:t>
            </w:r>
          </w:p>
        </w:tc>
        <w:tc>
          <w:tcPr>
            <w:tcW w:w="114" w:type="pct"/>
            <w:vMerge/>
            <w:vAlign w:val="center"/>
            <w:hideMark/>
          </w:tcPr>
          <w:p w14:paraId="4AB06E80" w14:textId="77777777" w:rsidR="00E015AD" w:rsidRPr="006F5CA6" w:rsidRDefault="00E015AD" w:rsidP="00745FC3">
            <w:pPr>
              <w:jc w:val="center"/>
              <w:rPr>
                <w:rFonts w:ascii="Arial" w:hAnsi="Arial" w:cs="Arial"/>
                <w:b/>
                <w:bCs/>
                <w:sz w:val="12"/>
                <w:szCs w:val="12"/>
                <w:lang w:val="es-CO" w:eastAsia="es-CO"/>
              </w:rPr>
            </w:pPr>
          </w:p>
        </w:tc>
        <w:tc>
          <w:tcPr>
            <w:tcW w:w="195" w:type="pct"/>
            <w:vMerge/>
            <w:vAlign w:val="center"/>
            <w:hideMark/>
          </w:tcPr>
          <w:p w14:paraId="6D8BF712" w14:textId="77777777" w:rsidR="00E015AD" w:rsidRPr="006F5CA6" w:rsidRDefault="00E015AD" w:rsidP="00745FC3">
            <w:pPr>
              <w:jc w:val="center"/>
              <w:rPr>
                <w:rFonts w:ascii="Arial" w:hAnsi="Arial" w:cs="Arial"/>
                <w:b/>
                <w:bCs/>
                <w:sz w:val="12"/>
                <w:szCs w:val="12"/>
                <w:lang w:val="es-CO" w:eastAsia="es-CO"/>
              </w:rPr>
            </w:pPr>
          </w:p>
        </w:tc>
        <w:tc>
          <w:tcPr>
            <w:tcW w:w="313" w:type="pct"/>
            <w:vMerge/>
            <w:vAlign w:val="center"/>
            <w:hideMark/>
          </w:tcPr>
          <w:p w14:paraId="2D924DD3" w14:textId="77777777" w:rsidR="00E015AD" w:rsidRPr="006F5CA6" w:rsidRDefault="00E015AD" w:rsidP="00745FC3">
            <w:pPr>
              <w:jc w:val="center"/>
              <w:rPr>
                <w:rFonts w:ascii="Arial" w:hAnsi="Arial" w:cs="Arial"/>
                <w:b/>
                <w:bCs/>
                <w:sz w:val="12"/>
                <w:szCs w:val="12"/>
                <w:lang w:val="es-CO" w:eastAsia="es-CO"/>
              </w:rPr>
            </w:pPr>
          </w:p>
        </w:tc>
        <w:tc>
          <w:tcPr>
            <w:tcW w:w="273" w:type="pct"/>
            <w:vMerge/>
            <w:vAlign w:val="center"/>
            <w:hideMark/>
          </w:tcPr>
          <w:p w14:paraId="60C05ADD" w14:textId="77777777" w:rsidR="00E015AD" w:rsidRPr="006F5CA6" w:rsidRDefault="00E015AD" w:rsidP="00745FC3">
            <w:pPr>
              <w:jc w:val="center"/>
              <w:rPr>
                <w:rFonts w:ascii="Arial" w:hAnsi="Arial" w:cs="Arial"/>
                <w:b/>
                <w:bCs/>
                <w:sz w:val="12"/>
                <w:szCs w:val="12"/>
                <w:lang w:val="es-CO" w:eastAsia="es-CO"/>
              </w:rPr>
            </w:pPr>
          </w:p>
        </w:tc>
        <w:tc>
          <w:tcPr>
            <w:tcW w:w="312" w:type="pct"/>
            <w:shd w:val="clear" w:color="000000" w:fill="BDD6EE"/>
            <w:vAlign w:val="center"/>
            <w:hideMark/>
          </w:tcPr>
          <w:p w14:paraId="4E6AA780"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Cómo</w:t>
            </w:r>
          </w:p>
        </w:tc>
        <w:tc>
          <w:tcPr>
            <w:tcW w:w="352" w:type="pct"/>
            <w:shd w:val="clear" w:color="000000" w:fill="BDD6EE"/>
            <w:vAlign w:val="center"/>
            <w:hideMark/>
          </w:tcPr>
          <w:p w14:paraId="6CA8C3D2" w14:textId="77777777" w:rsidR="00E015AD" w:rsidRPr="006F5CA6" w:rsidRDefault="00E015AD" w:rsidP="00745FC3">
            <w:pPr>
              <w:jc w:val="center"/>
              <w:rPr>
                <w:rFonts w:ascii="Arial" w:hAnsi="Arial" w:cs="Arial"/>
                <w:b/>
                <w:bCs/>
                <w:sz w:val="12"/>
                <w:szCs w:val="12"/>
                <w:lang w:val="es-CO" w:eastAsia="es-CO"/>
              </w:rPr>
            </w:pPr>
            <w:r w:rsidRPr="006F5CA6">
              <w:rPr>
                <w:rFonts w:ascii="Arial" w:hAnsi="Arial" w:cs="Arial"/>
                <w:b/>
                <w:bCs/>
                <w:sz w:val="12"/>
                <w:szCs w:val="12"/>
                <w:lang w:val="es-CO" w:eastAsia="es-CO"/>
              </w:rPr>
              <w:t>Cuando</w:t>
            </w:r>
          </w:p>
        </w:tc>
      </w:tr>
      <w:tr w:rsidR="00E015AD" w:rsidRPr="006F5CA6" w14:paraId="1998EFC6" w14:textId="77777777" w:rsidTr="00745FC3">
        <w:trPr>
          <w:trHeight w:val="1612"/>
        </w:trPr>
        <w:tc>
          <w:tcPr>
            <w:tcW w:w="68" w:type="pct"/>
            <w:shd w:val="clear" w:color="auto" w:fill="auto"/>
            <w:textDirection w:val="btLr"/>
            <w:vAlign w:val="center"/>
            <w:hideMark/>
          </w:tcPr>
          <w:p w14:paraId="781C9746"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Especifico</w:t>
            </w:r>
          </w:p>
        </w:tc>
        <w:tc>
          <w:tcPr>
            <w:tcW w:w="44" w:type="pct"/>
            <w:shd w:val="clear" w:color="auto" w:fill="auto"/>
            <w:textDirection w:val="btLr"/>
            <w:vAlign w:val="center"/>
            <w:hideMark/>
          </w:tcPr>
          <w:p w14:paraId="7BE460A5"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035CA2D7"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13DFC030"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Económico</w:t>
            </w:r>
          </w:p>
        </w:tc>
        <w:tc>
          <w:tcPr>
            <w:tcW w:w="565" w:type="pct"/>
            <w:shd w:val="clear" w:color="auto" w:fill="auto"/>
            <w:vAlign w:val="center"/>
            <w:hideMark/>
          </w:tcPr>
          <w:p w14:paraId="09DCC01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Cambios y/ o variaciones  en el comportamiento del mercado: fluctuaciones de precios, desabastecimiento y especulación de insumos</w:t>
            </w:r>
            <w:r w:rsidRPr="006F5CA6">
              <w:rPr>
                <w:rFonts w:ascii="Arial" w:hAnsi="Arial" w:cs="Arial"/>
                <w:sz w:val="12"/>
                <w:szCs w:val="12"/>
                <w:lang w:val="es-CO" w:eastAsia="es-CO"/>
              </w:rPr>
              <w:br/>
              <w:t>Desabastecimiento de insumos.</w:t>
            </w:r>
          </w:p>
        </w:tc>
        <w:tc>
          <w:tcPr>
            <w:tcW w:w="586" w:type="pct"/>
            <w:shd w:val="clear" w:color="auto" w:fill="auto"/>
            <w:vAlign w:val="center"/>
            <w:hideMark/>
          </w:tcPr>
          <w:p w14:paraId="74C2E7B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Variaciones súbitas en los precios de los servicios a prestar</w:t>
            </w:r>
          </w:p>
        </w:tc>
        <w:tc>
          <w:tcPr>
            <w:tcW w:w="396" w:type="pct"/>
            <w:shd w:val="clear" w:color="auto" w:fill="auto"/>
            <w:vAlign w:val="center"/>
            <w:hideMark/>
          </w:tcPr>
          <w:p w14:paraId="7440F0E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Incremento en los servicios a prestar por el Contratista</w:t>
            </w:r>
          </w:p>
        </w:tc>
        <w:tc>
          <w:tcPr>
            <w:tcW w:w="78" w:type="pct"/>
            <w:shd w:val="clear" w:color="auto" w:fill="auto"/>
            <w:vAlign w:val="center"/>
            <w:hideMark/>
          </w:tcPr>
          <w:p w14:paraId="7A66FDC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53" w:type="pct"/>
            <w:shd w:val="clear" w:color="auto" w:fill="auto"/>
            <w:vAlign w:val="center"/>
            <w:hideMark/>
          </w:tcPr>
          <w:p w14:paraId="5C227AC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67" w:type="pct"/>
            <w:shd w:val="clear" w:color="auto" w:fill="auto"/>
            <w:vAlign w:val="center"/>
            <w:hideMark/>
          </w:tcPr>
          <w:p w14:paraId="31CC389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5</w:t>
            </w:r>
          </w:p>
        </w:tc>
        <w:tc>
          <w:tcPr>
            <w:tcW w:w="114" w:type="pct"/>
            <w:shd w:val="clear" w:color="auto" w:fill="auto"/>
            <w:textDirection w:val="btLr"/>
            <w:vAlign w:val="center"/>
            <w:hideMark/>
          </w:tcPr>
          <w:p w14:paraId="02A504E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Medio</w:t>
            </w:r>
          </w:p>
        </w:tc>
        <w:tc>
          <w:tcPr>
            <w:tcW w:w="196" w:type="pct"/>
            <w:shd w:val="clear" w:color="auto" w:fill="auto"/>
            <w:vAlign w:val="center"/>
            <w:hideMark/>
          </w:tcPr>
          <w:p w14:paraId="0FBAD7C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40% (etapa pre contractual)</w:t>
            </w:r>
          </w:p>
        </w:tc>
        <w:tc>
          <w:tcPr>
            <w:tcW w:w="234" w:type="pct"/>
            <w:shd w:val="clear" w:color="auto" w:fill="auto"/>
            <w:vAlign w:val="center"/>
            <w:hideMark/>
          </w:tcPr>
          <w:p w14:paraId="0DF4EBC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60%  (etapa pre contractual)         100%(etapa contractual)</w:t>
            </w:r>
          </w:p>
        </w:tc>
        <w:tc>
          <w:tcPr>
            <w:tcW w:w="518" w:type="pct"/>
            <w:shd w:val="clear" w:color="auto" w:fill="auto"/>
            <w:vAlign w:val="center"/>
            <w:hideMark/>
          </w:tcPr>
          <w:p w14:paraId="0805ECC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Prever con antelación a los cambios en los precios de los servicios, las medidas a tomar, en especial los ajustes en los presupuesto</w:t>
            </w:r>
          </w:p>
        </w:tc>
        <w:tc>
          <w:tcPr>
            <w:tcW w:w="94" w:type="pct"/>
            <w:shd w:val="clear" w:color="auto" w:fill="auto"/>
            <w:vAlign w:val="center"/>
            <w:hideMark/>
          </w:tcPr>
          <w:p w14:paraId="6659BD66"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94" w:type="pct"/>
            <w:shd w:val="clear" w:color="auto" w:fill="auto"/>
            <w:vAlign w:val="center"/>
            <w:hideMark/>
          </w:tcPr>
          <w:p w14:paraId="1BC3DED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44492125"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152" w:type="pct"/>
            <w:shd w:val="clear" w:color="auto" w:fill="auto"/>
            <w:textDirection w:val="btLr"/>
            <w:vAlign w:val="center"/>
            <w:hideMark/>
          </w:tcPr>
          <w:p w14:paraId="44895B03"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6475625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064BC00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Entidad contratante y Contratista</w:t>
            </w:r>
          </w:p>
        </w:tc>
        <w:tc>
          <w:tcPr>
            <w:tcW w:w="313" w:type="pct"/>
            <w:shd w:val="clear" w:color="auto" w:fill="auto"/>
            <w:vAlign w:val="center"/>
            <w:hideMark/>
          </w:tcPr>
          <w:p w14:paraId="2312035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Planeación y Ejecución Contractual</w:t>
            </w:r>
          </w:p>
        </w:tc>
        <w:tc>
          <w:tcPr>
            <w:tcW w:w="273" w:type="pct"/>
            <w:shd w:val="clear" w:color="auto" w:fill="auto"/>
            <w:vAlign w:val="center"/>
            <w:hideMark/>
          </w:tcPr>
          <w:p w14:paraId="0516E8B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No se tiene</w:t>
            </w:r>
          </w:p>
        </w:tc>
        <w:tc>
          <w:tcPr>
            <w:tcW w:w="312" w:type="pct"/>
            <w:shd w:val="clear" w:color="auto" w:fill="auto"/>
            <w:vAlign w:val="center"/>
            <w:hideMark/>
          </w:tcPr>
          <w:p w14:paraId="5AE977B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supervisión de la entidad  e informes y reuniones periódicas entre el supervisor y contratista</w:t>
            </w:r>
          </w:p>
        </w:tc>
        <w:tc>
          <w:tcPr>
            <w:tcW w:w="352" w:type="pct"/>
            <w:shd w:val="clear" w:color="auto" w:fill="auto"/>
            <w:vAlign w:val="center"/>
            <w:hideMark/>
          </w:tcPr>
          <w:p w14:paraId="49A3524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 Etapa de planeación y 2. Ejecución del contrato (una vez advertidos los indicios de desabastecimiento)</w:t>
            </w:r>
          </w:p>
        </w:tc>
      </w:tr>
      <w:tr w:rsidR="00E015AD" w:rsidRPr="006F5CA6" w14:paraId="34B733B8" w14:textId="77777777" w:rsidTr="00745FC3">
        <w:trPr>
          <w:trHeight w:val="1692"/>
        </w:trPr>
        <w:tc>
          <w:tcPr>
            <w:tcW w:w="68" w:type="pct"/>
            <w:shd w:val="clear" w:color="auto" w:fill="auto"/>
            <w:textDirection w:val="btLr"/>
            <w:vAlign w:val="center"/>
            <w:hideMark/>
          </w:tcPr>
          <w:p w14:paraId="1B33415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Especifico</w:t>
            </w:r>
          </w:p>
        </w:tc>
        <w:tc>
          <w:tcPr>
            <w:tcW w:w="44" w:type="pct"/>
            <w:shd w:val="clear" w:color="auto" w:fill="auto"/>
            <w:textDirection w:val="btLr"/>
            <w:vAlign w:val="center"/>
            <w:hideMark/>
          </w:tcPr>
          <w:p w14:paraId="185D97B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599238C5"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Ejecución</w:t>
            </w:r>
          </w:p>
        </w:tc>
        <w:tc>
          <w:tcPr>
            <w:tcW w:w="44" w:type="pct"/>
            <w:shd w:val="clear" w:color="auto" w:fill="auto"/>
            <w:textDirection w:val="btLr"/>
            <w:vAlign w:val="center"/>
            <w:hideMark/>
          </w:tcPr>
          <w:p w14:paraId="5998CFF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Económico</w:t>
            </w:r>
          </w:p>
        </w:tc>
        <w:tc>
          <w:tcPr>
            <w:tcW w:w="565" w:type="pct"/>
            <w:shd w:val="clear" w:color="auto" w:fill="auto"/>
            <w:vAlign w:val="center"/>
            <w:hideMark/>
          </w:tcPr>
          <w:p w14:paraId="566FB80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Variación de precios (no regulados)</w:t>
            </w:r>
          </w:p>
        </w:tc>
        <w:tc>
          <w:tcPr>
            <w:tcW w:w="586" w:type="pct"/>
            <w:shd w:val="clear" w:color="auto" w:fill="auto"/>
            <w:vAlign w:val="center"/>
            <w:hideMark/>
          </w:tcPr>
          <w:p w14:paraId="16F401A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Fluctuación de precios y/o reajustes ocasionados durante la ejecución del contrato en el costo de insumos, tarifas, jornales, materiales, asesorías, honorarios, etc., no regulados por el Gobierno</w:t>
            </w:r>
          </w:p>
        </w:tc>
        <w:tc>
          <w:tcPr>
            <w:tcW w:w="396" w:type="pct"/>
            <w:shd w:val="clear" w:color="auto" w:fill="auto"/>
            <w:vAlign w:val="center"/>
            <w:hideMark/>
          </w:tcPr>
          <w:p w14:paraId="29F0D32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Incremento en los servicios a prestar por el Contratista</w:t>
            </w:r>
          </w:p>
        </w:tc>
        <w:tc>
          <w:tcPr>
            <w:tcW w:w="78" w:type="pct"/>
            <w:shd w:val="clear" w:color="auto" w:fill="auto"/>
            <w:vAlign w:val="center"/>
            <w:hideMark/>
          </w:tcPr>
          <w:p w14:paraId="16E0D3A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53" w:type="pct"/>
            <w:shd w:val="clear" w:color="auto" w:fill="auto"/>
            <w:vAlign w:val="center"/>
            <w:hideMark/>
          </w:tcPr>
          <w:p w14:paraId="4A23D99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67" w:type="pct"/>
            <w:shd w:val="clear" w:color="auto" w:fill="auto"/>
            <w:vAlign w:val="center"/>
            <w:hideMark/>
          </w:tcPr>
          <w:p w14:paraId="5C5FA41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114" w:type="pct"/>
            <w:shd w:val="clear" w:color="auto" w:fill="auto"/>
            <w:textDirection w:val="btLr"/>
            <w:vAlign w:val="center"/>
            <w:hideMark/>
          </w:tcPr>
          <w:p w14:paraId="5C25DFB7"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96" w:type="pct"/>
            <w:shd w:val="clear" w:color="auto" w:fill="auto"/>
            <w:vAlign w:val="center"/>
            <w:hideMark/>
          </w:tcPr>
          <w:p w14:paraId="34044A85"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23AB9E6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09E8468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Prever con antelación a los cambios en los precios de los servicios, las medidas a tomar, en especial los ajustes en los presupuesto</w:t>
            </w:r>
          </w:p>
        </w:tc>
        <w:tc>
          <w:tcPr>
            <w:tcW w:w="94" w:type="pct"/>
            <w:shd w:val="clear" w:color="auto" w:fill="auto"/>
            <w:vAlign w:val="center"/>
            <w:hideMark/>
          </w:tcPr>
          <w:p w14:paraId="2EE5BD73"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3EA19E8C"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594C3C6C"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152" w:type="pct"/>
            <w:shd w:val="clear" w:color="auto" w:fill="auto"/>
            <w:textDirection w:val="btLr"/>
            <w:vAlign w:val="center"/>
            <w:hideMark/>
          </w:tcPr>
          <w:p w14:paraId="5CB6D3B9"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6CE54DE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33EA6DC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Contratista</w:t>
            </w:r>
          </w:p>
        </w:tc>
        <w:tc>
          <w:tcPr>
            <w:tcW w:w="313" w:type="pct"/>
            <w:shd w:val="clear" w:color="auto" w:fill="auto"/>
            <w:vAlign w:val="center"/>
            <w:hideMark/>
          </w:tcPr>
          <w:p w14:paraId="4381996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Ejecución Contractual</w:t>
            </w:r>
          </w:p>
        </w:tc>
        <w:tc>
          <w:tcPr>
            <w:tcW w:w="273" w:type="pct"/>
            <w:shd w:val="clear" w:color="auto" w:fill="auto"/>
            <w:vAlign w:val="center"/>
            <w:hideMark/>
          </w:tcPr>
          <w:p w14:paraId="5DE6A37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No se tiene</w:t>
            </w:r>
          </w:p>
        </w:tc>
        <w:tc>
          <w:tcPr>
            <w:tcW w:w="312" w:type="pct"/>
            <w:shd w:val="clear" w:color="auto" w:fill="auto"/>
            <w:vAlign w:val="center"/>
            <w:hideMark/>
          </w:tcPr>
          <w:p w14:paraId="7418E12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supervisión de la entidad  e informes y reuniones periódicas entre el supervisor y contratista</w:t>
            </w:r>
          </w:p>
        </w:tc>
        <w:tc>
          <w:tcPr>
            <w:tcW w:w="352" w:type="pct"/>
            <w:shd w:val="clear" w:color="auto" w:fill="auto"/>
            <w:vAlign w:val="center"/>
            <w:hideMark/>
          </w:tcPr>
          <w:p w14:paraId="7983148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Durante la  Ejecución del contrato</w:t>
            </w:r>
          </w:p>
        </w:tc>
      </w:tr>
      <w:tr w:rsidR="00E015AD" w:rsidRPr="006F5CA6" w14:paraId="32606348" w14:textId="77777777" w:rsidTr="00745FC3">
        <w:trPr>
          <w:trHeight w:val="2298"/>
        </w:trPr>
        <w:tc>
          <w:tcPr>
            <w:tcW w:w="68" w:type="pct"/>
            <w:shd w:val="clear" w:color="auto" w:fill="auto"/>
            <w:textDirection w:val="btLr"/>
            <w:vAlign w:val="center"/>
            <w:hideMark/>
          </w:tcPr>
          <w:p w14:paraId="7347E7F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Especifico</w:t>
            </w:r>
          </w:p>
        </w:tc>
        <w:tc>
          <w:tcPr>
            <w:tcW w:w="44" w:type="pct"/>
            <w:shd w:val="clear" w:color="auto" w:fill="auto"/>
            <w:textDirection w:val="btLr"/>
            <w:vAlign w:val="center"/>
            <w:hideMark/>
          </w:tcPr>
          <w:p w14:paraId="289BE66C"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7FE38D7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57B79620"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Económico</w:t>
            </w:r>
          </w:p>
        </w:tc>
        <w:tc>
          <w:tcPr>
            <w:tcW w:w="565" w:type="pct"/>
            <w:shd w:val="clear" w:color="auto" w:fill="auto"/>
            <w:vAlign w:val="center"/>
            <w:hideMark/>
          </w:tcPr>
          <w:p w14:paraId="39073FF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Variación de precios regulados</w:t>
            </w:r>
          </w:p>
        </w:tc>
        <w:tc>
          <w:tcPr>
            <w:tcW w:w="586" w:type="pct"/>
            <w:shd w:val="clear" w:color="auto" w:fill="auto"/>
            <w:vAlign w:val="center"/>
            <w:hideMark/>
          </w:tcPr>
          <w:p w14:paraId="662CACC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Fluctuación de precios y/o reajustes ocasionados durante la ejecución del contrato en el costo de insumos, tarifas, impuestos jornales</w:t>
            </w:r>
            <w:r w:rsidRPr="006F5CA6">
              <w:rPr>
                <w:rFonts w:ascii="Arial" w:hAnsi="Arial" w:cs="Arial"/>
                <w:sz w:val="12"/>
                <w:szCs w:val="12"/>
                <w:lang w:val="es-CO" w:eastAsia="es-CO"/>
              </w:rPr>
              <w:lastRenderedPageBreak/>
              <w:t>, salarios, materiales, asesorías, honorarios, etc., regulados por el gobierno, cuando estos hagan parte de la política Macroeconómica del Estado</w:t>
            </w:r>
          </w:p>
        </w:tc>
        <w:tc>
          <w:tcPr>
            <w:tcW w:w="396" w:type="pct"/>
            <w:shd w:val="clear" w:color="auto" w:fill="auto"/>
            <w:vAlign w:val="center"/>
            <w:hideMark/>
          </w:tcPr>
          <w:p w14:paraId="5AEC6EC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Incremento en los servicios a prestar por el Contratista</w:t>
            </w:r>
          </w:p>
        </w:tc>
        <w:tc>
          <w:tcPr>
            <w:tcW w:w="78" w:type="pct"/>
            <w:shd w:val="clear" w:color="auto" w:fill="auto"/>
            <w:vAlign w:val="center"/>
            <w:hideMark/>
          </w:tcPr>
          <w:p w14:paraId="3B61F1F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53" w:type="pct"/>
            <w:shd w:val="clear" w:color="auto" w:fill="auto"/>
            <w:vAlign w:val="center"/>
            <w:hideMark/>
          </w:tcPr>
          <w:p w14:paraId="378CD41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67" w:type="pct"/>
            <w:shd w:val="clear" w:color="auto" w:fill="auto"/>
            <w:vAlign w:val="center"/>
            <w:hideMark/>
          </w:tcPr>
          <w:p w14:paraId="30B07E9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114" w:type="pct"/>
            <w:shd w:val="clear" w:color="auto" w:fill="auto"/>
            <w:textDirection w:val="btLr"/>
            <w:vAlign w:val="center"/>
            <w:hideMark/>
          </w:tcPr>
          <w:p w14:paraId="7DF6698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96" w:type="pct"/>
            <w:shd w:val="clear" w:color="auto" w:fill="auto"/>
            <w:vAlign w:val="center"/>
            <w:hideMark/>
          </w:tcPr>
          <w:p w14:paraId="713C7DF2"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38B8957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1C49D28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Prever con antelación a los cambios en los precios de los servicios, las medidas a tomar, en especial los ajustes en los presupuesto</w:t>
            </w:r>
          </w:p>
        </w:tc>
        <w:tc>
          <w:tcPr>
            <w:tcW w:w="94" w:type="pct"/>
            <w:shd w:val="clear" w:color="auto" w:fill="auto"/>
            <w:vAlign w:val="center"/>
            <w:hideMark/>
          </w:tcPr>
          <w:p w14:paraId="571DC9D9"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2CD5770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14432DC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152" w:type="pct"/>
            <w:shd w:val="clear" w:color="auto" w:fill="auto"/>
            <w:textDirection w:val="btLr"/>
            <w:vAlign w:val="center"/>
            <w:hideMark/>
          </w:tcPr>
          <w:p w14:paraId="704082B6"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75E3624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2F3DEF7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Contratista</w:t>
            </w:r>
          </w:p>
        </w:tc>
        <w:tc>
          <w:tcPr>
            <w:tcW w:w="313" w:type="pct"/>
            <w:shd w:val="clear" w:color="auto" w:fill="auto"/>
            <w:vAlign w:val="center"/>
            <w:hideMark/>
          </w:tcPr>
          <w:p w14:paraId="7618B8E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Ejecución Contractual</w:t>
            </w:r>
          </w:p>
        </w:tc>
        <w:tc>
          <w:tcPr>
            <w:tcW w:w="273" w:type="pct"/>
            <w:shd w:val="clear" w:color="auto" w:fill="auto"/>
            <w:vAlign w:val="center"/>
            <w:hideMark/>
          </w:tcPr>
          <w:p w14:paraId="2D7ADF8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No se tiene</w:t>
            </w:r>
          </w:p>
        </w:tc>
        <w:tc>
          <w:tcPr>
            <w:tcW w:w="312" w:type="pct"/>
            <w:shd w:val="clear" w:color="auto" w:fill="auto"/>
            <w:vAlign w:val="center"/>
            <w:hideMark/>
          </w:tcPr>
          <w:p w14:paraId="5DDEBF1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supervisión de la entidad  e informes y reuniones periódicas entre el supervisor y contratista</w:t>
            </w:r>
          </w:p>
        </w:tc>
        <w:tc>
          <w:tcPr>
            <w:tcW w:w="352" w:type="pct"/>
            <w:shd w:val="clear" w:color="auto" w:fill="auto"/>
            <w:vAlign w:val="center"/>
            <w:hideMark/>
          </w:tcPr>
          <w:p w14:paraId="4556EA1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Durante la  Ejecución del contrato</w:t>
            </w:r>
          </w:p>
        </w:tc>
      </w:tr>
      <w:tr w:rsidR="00E015AD" w:rsidRPr="006F5CA6" w14:paraId="13415E72" w14:textId="77777777" w:rsidTr="00745FC3">
        <w:trPr>
          <w:trHeight w:val="2139"/>
        </w:trPr>
        <w:tc>
          <w:tcPr>
            <w:tcW w:w="68" w:type="pct"/>
            <w:shd w:val="clear" w:color="auto" w:fill="auto"/>
            <w:textDirection w:val="btLr"/>
            <w:vAlign w:val="center"/>
            <w:hideMark/>
          </w:tcPr>
          <w:p w14:paraId="36CD8797"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05D77BC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36B5606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67405610"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Regulatorio</w:t>
            </w:r>
          </w:p>
        </w:tc>
        <w:tc>
          <w:tcPr>
            <w:tcW w:w="565" w:type="pct"/>
            <w:shd w:val="clear" w:color="auto" w:fill="auto"/>
            <w:vAlign w:val="center"/>
            <w:hideMark/>
          </w:tcPr>
          <w:p w14:paraId="2A328D5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Cambio o variación de políticas Gubernamentales probable y previsibles, y expedición de normas jurídicas</w:t>
            </w:r>
          </w:p>
        </w:tc>
        <w:tc>
          <w:tcPr>
            <w:tcW w:w="586" w:type="pct"/>
            <w:shd w:val="clear" w:color="auto" w:fill="auto"/>
            <w:vAlign w:val="center"/>
            <w:hideMark/>
          </w:tcPr>
          <w:p w14:paraId="7064064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Que el Estado Colombiano expida normas que impacten la ecuación económica del contrato</w:t>
            </w:r>
          </w:p>
        </w:tc>
        <w:tc>
          <w:tcPr>
            <w:tcW w:w="396" w:type="pct"/>
            <w:shd w:val="clear" w:color="auto" w:fill="auto"/>
            <w:vAlign w:val="center"/>
            <w:hideMark/>
          </w:tcPr>
          <w:p w14:paraId="4852F32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Que se pueda romper la correlación de obligaciones entre las partes y se desate un desequilibrio económico del contrato</w:t>
            </w:r>
          </w:p>
        </w:tc>
        <w:tc>
          <w:tcPr>
            <w:tcW w:w="78" w:type="pct"/>
            <w:shd w:val="clear" w:color="auto" w:fill="auto"/>
            <w:vAlign w:val="center"/>
            <w:hideMark/>
          </w:tcPr>
          <w:p w14:paraId="3146A26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53" w:type="pct"/>
            <w:shd w:val="clear" w:color="auto" w:fill="auto"/>
            <w:vAlign w:val="center"/>
            <w:hideMark/>
          </w:tcPr>
          <w:p w14:paraId="7DD0A8E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67" w:type="pct"/>
            <w:shd w:val="clear" w:color="auto" w:fill="auto"/>
            <w:vAlign w:val="center"/>
            <w:hideMark/>
          </w:tcPr>
          <w:p w14:paraId="48EC5FD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6</w:t>
            </w:r>
          </w:p>
        </w:tc>
        <w:tc>
          <w:tcPr>
            <w:tcW w:w="114" w:type="pct"/>
            <w:shd w:val="clear" w:color="auto" w:fill="auto"/>
            <w:textDirection w:val="btLr"/>
            <w:vAlign w:val="center"/>
            <w:hideMark/>
          </w:tcPr>
          <w:p w14:paraId="2F257E5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Alto</w:t>
            </w:r>
          </w:p>
        </w:tc>
        <w:tc>
          <w:tcPr>
            <w:tcW w:w="196" w:type="pct"/>
            <w:shd w:val="clear" w:color="auto" w:fill="auto"/>
            <w:vAlign w:val="center"/>
            <w:hideMark/>
          </w:tcPr>
          <w:p w14:paraId="4C6BC0A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234" w:type="pct"/>
            <w:shd w:val="clear" w:color="auto" w:fill="auto"/>
            <w:vAlign w:val="center"/>
            <w:hideMark/>
          </w:tcPr>
          <w:p w14:paraId="5CCA3DE6" w14:textId="77777777" w:rsidR="00E015AD" w:rsidRPr="006F5CA6" w:rsidRDefault="00E015AD" w:rsidP="00745FC3">
            <w:pPr>
              <w:jc w:val="both"/>
              <w:rPr>
                <w:rFonts w:ascii="Arial" w:hAnsi="Arial" w:cs="Arial"/>
                <w:sz w:val="12"/>
                <w:szCs w:val="12"/>
                <w:lang w:val="es-CO" w:eastAsia="es-CO"/>
              </w:rPr>
            </w:pPr>
          </w:p>
        </w:tc>
        <w:tc>
          <w:tcPr>
            <w:tcW w:w="518" w:type="pct"/>
            <w:shd w:val="clear" w:color="auto" w:fill="auto"/>
            <w:vAlign w:val="center"/>
            <w:hideMark/>
          </w:tcPr>
          <w:p w14:paraId="55B5971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Dimensionar, tan pronto se produzcan los cambios regulatorios, cual es el impacto en la ejecución y/o ecuación económica del contrato, y decidir si es pertinente o no un restablecimiento del equilibrio económico del contrato.</w:t>
            </w:r>
          </w:p>
        </w:tc>
        <w:tc>
          <w:tcPr>
            <w:tcW w:w="94" w:type="pct"/>
            <w:shd w:val="clear" w:color="auto" w:fill="auto"/>
            <w:vAlign w:val="center"/>
            <w:hideMark/>
          </w:tcPr>
          <w:p w14:paraId="327234D5"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94" w:type="pct"/>
            <w:shd w:val="clear" w:color="auto" w:fill="auto"/>
            <w:vAlign w:val="center"/>
            <w:hideMark/>
          </w:tcPr>
          <w:p w14:paraId="6261A34C"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56C2853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4</w:t>
            </w:r>
          </w:p>
        </w:tc>
        <w:tc>
          <w:tcPr>
            <w:tcW w:w="152" w:type="pct"/>
            <w:shd w:val="clear" w:color="auto" w:fill="auto"/>
            <w:textDirection w:val="btLr"/>
            <w:vAlign w:val="center"/>
            <w:hideMark/>
          </w:tcPr>
          <w:p w14:paraId="7F7E147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22E489A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3482875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Entidad Contratante</w:t>
            </w:r>
          </w:p>
        </w:tc>
        <w:tc>
          <w:tcPr>
            <w:tcW w:w="313" w:type="pct"/>
            <w:shd w:val="clear" w:color="auto" w:fill="auto"/>
            <w:vAlign w:val="center"/>
            <w:hideMark/>
          </w:tcPr>
          <w:p w14:paraId="0E8EF81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Planeación y Ejecución Contractual</w:t>
            </w:r>
          </w:p>
        </w:tc>
        <w:tc>
          <w:tcPr>
            <w:tcW w:w="273" w:type="pct"/>
            <w:shd w:val="clear" w:color="auto" w:fill="auto"/>
            <w:vAlign w:val="center"/>
            <w:hideMark/>
          </w:tcPr>
          <w:p w14:paraId="1DD12C6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No se tiene</w:t>
            </w:r>
          </w:p>
        </w:tc>
        <w:tc>
          <w:tcPr>
            <w:tcW w:w="312" w:type="pct"/>
            <w:shd w:val="clear" w:color="auto" w:fill="auto"/>
            <w:vAlign w:val="center"/>
            <w:hideMark/>
          </w:tcPr>
          <w:p w14:paraId="7CA14A4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Revisando la expedición de normas y regulaciones que puedan alterar la ecuación económica del contrato</w:t>
            </w:r>
          </w:p>
        </w:tc>
        <w:tc>
          <w:tcPr>
            <w:tcW w:w="352" w:type="pct"/>
            <w:shd w:val="clear" w:color="auto" w:fill="auto"/>
            <w:vAlign w:val="center"/>
            <w:hideMark/>
          </w:tcPr>
          <w:p w14:paraId="52AB5DF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 Etapa de planeación y 2. Ejecución del contrato  ( Una vez advertida la regulación que incide en la ecuación del contrato)</w:t>
            </w:r>
          </w:p>
        </w:tc>
      </w:tr>
      <w:tr w:rsidR="00E015AD" w:rsidRPr="006F5CA6" w14:paraId="58C29FB3" w14:textId="77777777" w:rsidTr="00745FC3">
        <w:trPr>
          <w:trHeight w:val="455"/>
        </w:trPr>
        <w:tc>
          <w:tcPr>
            <w:tcW w:w="68" w:type="pct"/>
            <w:shd w:val="clear" w:color="auto" w:fill="auto"/>
            <w:textDirection w:val="btLr"/>
            <w:vAlign w:val="center"/>
            <w:hideMark/>
          </w:tcPr>
          <w:p w14:paraId="4DD1035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667A2F3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78715E0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30318D69"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Regulatorio</w:t>
            </w:r>
          </w:p>
        </w:tc>
        <w:tc>
          <w:tcPr>
            <w:tcW w:w="565" w:type="pct"/>
            <w:shd w:val="clear" w:color="auto" w:fill="auto"/>
            <w:vAlign w:val="center"/>
            <w:hideMark/>
          </w:tcPr>
          <w:p w14:paraId="780ABEA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Cambios regulatorios o reglamentarios; tarifas, mercados regulados, regímenes especiales (regalías, pensiones), designación de zonas francas, planes </w:t>
            </w:r>
            <w:r w:rsidRPr="006F5CA6">
              <w:rPr>
                <w:rFonts w:ascii="Arial" w:hAnsi="Arial" w:cs="Arial"/>
                <w:sz w:val="12"/>
                <w:szCs w:val="12"/>
                <w:lang w:val="es-CO" w:eastAsia="es-CO"/>
              </w:rPr>
              <w:lastRenderedPageBreak/>
              <w:t>de ordenamiento territorial, expedición de normas de carácter o de calidad.</w:t>
            </w:r>
          </w:p>
        </w:tc>
        <w:tc>
          <w:tcPr>
            <w:tcW w:w="586" w:type="pct"/>
            <w:shd w:val="clear" w:color="auto" w:fill="auto"/>
            <w:vAlign w:val="center"/>
            <w:hideMark/>
          </w:tcPr>
          <w:p w14:paraId="4F40C76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Que existan cambios, diferentes a temas tributarios, en regímenes que puedan incidir en la ejecución del contrato</w:t>
            </w:r>
          </w:p>
        </w:tc>
        <w:tc>
          <w:tcPr>
            <w:tcW w:w="396" w:type="pct"/>
            <w:shd w:val="clear" w:color="auto" w:fill="auto"/>
            <w:vAlign w:val="center"/>
            <w:hideMark/>
          </w:tcPr>
          <w:p w14:paraId="032EF09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Dificultades en la ejecución</w:t>
            </w:r>
          </w:p>
        </w:tc>
        <w:tc>
          <w:tcPr>
            <w:tcW w:w="78" w:type="pct"/>
            <w:shd w:val="clear" w:color="auto" w:fill="auto"/>
            <w:vAlign w:val="center"/>
            <w:hideMark/>
          </w:tcPr>
          <w:p w14:paraId="3ACFDA5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53" w:type="pct"/>
            <w:shd w:val="clear" w:color="auto" w:fill="auto"/>
            <w:vAlign w:val="center"/>
            <w:hideMark/>
          </w:tcPr>
          <w:p w14:paraId="52F747F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67" w:type="pct"/>
            <w:shd w:val="clear" w:color="auto" w:fill="auto"/>
            <w:vAlign w:val="center"/>
            <w:hideMark/>
          </w:tcPr>
          <w:p w14:paraId="7391C1B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6</w:t>
            </w:r>
          </w:p>
        </w:tc>
        <w:tc>
          <w:tcPr>
            <w:tcW w:w="114" w:type="pct"/>
            <w:shd w:val="clear" w:color="auto" w:fill="auto"/>
            <w:textDirection w:val="btLr"/>
            <w:vAlign w:val="center"/>
            <w:hideMark/>
          </w:tcPr>
          <w:p w14:paraId="39C0D57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Alto</w:t>
            </w:r>
          </w:p>
        </w:tc>
        <w:tc>
          <w:tcPr>
            <w:tcW w:w="196" w:type="pct"/>
            <w:shd w:val="clear" w:color="auto" w:fill="auto"/>
            <w:vAlign w:val="center"/>
            <w:hideMark/>
          </w:tcPr>
          <w:p w14:paraId="35CAA76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234" w:type="pct"/>
            <w:shd w:val="clear" w:color="auto" w:fill="auto"/>
            <w:vAlign w:val="center"/>
            <w:hideMark/>
          </w:tcPr>
          <w:p w14:paraId="3A85CEF9" w14:textId="77777777" w:rsidR="00E015AD" w:rsidRPr="006F5CA6" w:rsidRDefault="00E015AD" w:rsidP="00745FC3">
            <w:pPr>
              <w:jc w:val="both"/>
              <w:rPr>
                <w:rFonts w:ascii="Arial" w:hAnsi="Arial" w:cs="Arial"/>
                <w:sz w:val="12"/>
                <w:szCs w:val="12"/>
                <w:lang w:val="es-CO" w:eastAsia="es-CO"/>
              </w:rPr>
            </w:pPr>
          </w:p>
        </w:tc>
        <w:tc>
          <w:tcPr>
            <w:tcW w:w="518" w:type="pct"/>
            <w:shd w:val="clear" w:color="auto" w:fill="auto"/>
            <w:vAlign w:val="center"/>
            <w:hideMark/>
          </w:tcPr>
          <w:p w14:paraId="3A62002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Verificar una vez acaecía una regulación que incida en el contrato, cuál es su impacto, y qué medidas se deben tomar</w:t>
            </w:r>
          </w:p>
        </w:tc>
        <w:tc>
          <w:tcPr>
            <w:tcW w:w="94" w:type="pct"/>
            <w:shd w:val="clear" w:color="auto" w:fill="auto"/>
            <w:vAlign w:val="center"/>
            <w:hideMark/>
          </w:tcPr>
          <w:p w14:paraId="5CAC758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94" w:type="pct"/>
            <w:shd w:val="clear" w:color="auto" w:fill="auto"/>
            <w:vAlign w:val="center"/>
            <w:hideMark/>
          </w:tcPr>
          <w:p w14:paraId="5F2610C3"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525DFCA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4</w:t>
            </w:r>
          </w:p>
        </w:tc>
        <w:tc>
          <w:tcPr>
            <w:tcW w:w="152" w:type="pct"/>
            <w:shd w:val="clear" w:color="auto" w:fill="auto"/>
            <w:textDirection w:val="btLr"/>
            <w:vAlign w:val="center"/>
            <w:hideMark/>
          </w:tcPr>
          <w:p w14:paraId="7AB3720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5129858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40F54F5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Entidad Contratante</w:t>
            </w:r>
          </w:p>
        </w:tc>
        <w:tc>
          <w:tcPr>
            <w:tcW w:w="313" w:type="pct"/>
            <w:shd w:val="clear" w:color="auto" w:fill="auto"/>
            <w:vAlign w:val="center"/>
            <w:hideMark/>
          </w:tcPr>
          <w:p w14:paraId="1DF24DC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Fase de Planeación y Ejecución Contractual ( tan pronto se advierta el cambio regulatorio)</w:t>
            </w:r>
          </w:p>
        </w:tc>
        <w:tc>
          <w:tcPr>
            <w:tcW w:w="273" w:type="pct"/>
            <w:shd w:val="clear" w:color="auto" w:fill="auto"/>
            <w:vAlign w:val="center"/>
            <w:hideMark/>
          </w:tcPr>
          <w:p w14:paraId="739F489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No se tiene</w:t>
            </w:r>
          </w:p>
        </w:tc>
        <w:tc>
          <w:tcPr>
            <w:tcW w:w="312" w:type="pct"/>
            <w:shd w:val="clear" w:color="auto" w:fill="auto"/>
            <w:vAlign w:val="center"/>
            <w:hideMark/>
          </w:tcPr>
          <w:p w14:paraId="40B200D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Supervisión de la entidad  y el Contratista,  A través de revisiones periódicas a la normatividad que regula la ejecución</w:t>
            </w:r>
          </w:p>
        </w:tc>
        <w:tc>
          <w:tcPr>
            <w:tcW w:w="352" w:type="pct"/>
            <w:shd w:val="clear" w:color="auto" w:fill="auto"/>
            <w:vAlign w:val="center"/>
            <w:hideMark/>
          </w:tcPr>
          <w:p w14:paraId="07D6DC0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Durante el plazo de ejecución del contrato,  Tan pronto sea advertido en cambio regulatorio, de inmediato habrá que hacer seguimientos semanales.</w:t>
            </w:r>
          </w:p>
        </w:tc>
      </w:tr>
      <w:tr w:rsidR="00E015AD" w:rsidRPr="006F5CA6" w14:paraId="071E49C9" w14:textId="77777777" w:rsidTr="00745FC3">
        <w:trPr>
          <w:trHeight w:val="1144"/>
        </w:trPr>
        <w:tc>
          <w:tcPr>
            <w:tcW w:w="68" w:type="pct"/>
            <w:shd w:val="clear" w:color="auto" w:fill="auto"/>
            <w:textDirection w:val="btLr"/>
            <w:vAlign w:val="center"/>
            <w:hideMark/>
          </w:tcPr>
          <w:p w14:paraId="3D757C9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Especifico</w:t>
            </w:r>
          </w:p>
        </w:tc>
        <w:tc>
          <w:tcPr>
            <w:tcW w:w="44" w:type="pct"/>
            <w:shd w:val="clear" w:color="auto" w:fill="auto"/>
            <w:textDirection w:val="btLr"/>
            <w:vAlign w:val="center"/>
            <w:hideMark/>
          </w:tcPr>
          <w:p w14:paraId="5F3A1355"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52049997"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15851D69"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Operacional</w:t>
            </w:r>
          </w:p>
        </w:tc>
        <w:tc>
          <w:tcPr>
            <w:tcW w:w="565" w:type="pct"/>
            <w:shd w:val="clear" w:color="auto" w:fill="auto"/>
            <w:vAlign w:val="center"/>
            <w:hideMark/>
          </w:tcPr>
          <w:p w14:paraId="2EC5F9A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Falla en la red Logística</w:t>
            </w:r>
          </w:p>
        </w:tc>
        <w:tc>
          <w:tcPr>
            <w:tcW w:w="586" w:type="pct"/>
            <w:shd w:val="clear" w:color="auto" w:fill="auto"/>
            <w:vAlign w:val="center"/>
            <w:hideMark/>
          </w:tcPr>
          <w:p w14:paraId="7C07FB9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Falla en la disposición de insumos, herramientas, logística</w:t>
            </w:r>
          </w:p>
        </w:tc>
        <w:tc>
          <w:tcPr>
            <w:tcW w:w="396" w:type="pct"/>
            <w:shd w:val="clear" w:color="auto" w:fill="auto"/>
            <w:vAlign w:val="center"/>
            <w:hideMark/>
          </w:tcPr>
          <w:p w14:paraId="594CEF2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Entorpece el cumplimiento del objeto contractual</w:t>
            </w:r>
          </w:p>
        </w:tc>
        <w:tc>
          <w:tcPr>
            <w:tcW w:w="78" w:type="pct"/>
            <w:shd w:val="clear" w:color="auto" w:fill="auto"/>
            <w:vAlign w:val="center"/>
            <w:hideMark/>
          </w:tcPr>
          <w:p w14:paraId="7780B19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53" w:type="pct"/>
            <w:shd w:val="clear" w:color="auto" w:fill="auto"/>
            <w:vAlign w:val="center"/>
            <w:hideMark/>
          </w:tcPr>
          <w:p w14:paraId="1F2AE88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67" w:type="pct"/>
            <w:shd w:val="clear" w:color="auto" w:fill="auto"/>
            <w:vAlign w:val="center"/>
            <w:hideMark/>
          </w:tcPr>
          <w:p w14:paraId="4C27F6E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8</w:t>
            </w:r>
          </w:p>
        </w:tc>
        <w:tc>
          <w:tcPr>
            <w:tcW w:w="114" w:type="pct"/>
            <w:shd w:val="clear" w:color="auto" w:fill="auto"/>
            <w:textDirection w:val="btLr"/>
            <w:vAlign w:val="center"/>
            <w:hideMark/>
          </w:tcPr>
          <w:p w14:paraId="343911E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Extremo</w:t>
            </w:r>
          </w:p>
        </w:tc>
        <w:tc>
          <w:tcPr>
            <w:tcW w:w="196" w:type="pct"/>
            <w:shd w:val="clear" w:color="auto" w:fill="auto"/>
            <w:vAlign w:val="center"/>
            <w:hideMark/>
          </w:tcPr>
          <w:p w14:paraId="0C6FC387"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36ACBCE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1BD7BFD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Reducir las consecuencias o el impacto del riesgo a través de planes de contingencia</w:t>
            </w:r>
          </w:p>
        </w:tc>
        <w:tc>
          <w:tcPr>
            <w:tcW w:w="94" w:type="pct"/>
            <w:shd w:val="clear" w:color="auto" w:fill="auto"/>
            <w:vAlign w:val="center"/>
            <w:hideMark/>
          </w:tcPr>
          <w:p w14:paraId="3EE841E0"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94" w:type="pct"/>
            <w:shd w:val="clear" w:color="auto" w:fill="auto"/>
            <w:vAlign w:val="center"/>
            <w:hideMark/>
          </w:tcPr>
          <w:p w14:paraId="6F33F7E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4</w:t>
            </w:r>
          </w:p>
        </w:tc>
        <w:tc>
          <w:tcPr>
            <w:tcW w:w="94" w:type="pct"/>
            <w:shd w:val="clear" w:color="auto" w:fill="auto"/>
            <w:vAlign w:val="center"/>
            <w:hideMark/>
          </w:tcPr>
          <w:p w14:paraId="37B953D9"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6</w:t>
            </w:r>
          </w:p>
        </w:tc>
        <w:tc>
          <w:tcPr>
            <w:tcW w:w="152" w:type="pct"/>
            <w:shd w:val="clear" w:color="auto" w:fill="auto"/>
            <w:textDirection w:val="btLr"/>
            <w:vAlign w:val="center"/>
            <w:hideMark/>
          </w:tcPr>
          <w:p w14:paraId="5BD26EE4"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Alto</w:t>
            </w:r>
          </w:p>
        </w:tc>
        <w:tc>
          <w:tcPr>
            <w:tcW w:w="114" w:type="pct"/>
            <w:shd w:val="clear" w:color="auto" w:fill="auto"/>
            <w:vAlign w:val="center"/>
            <w:hideMark/>
          </w:tcPr>
          <w:p w14:paraId="32F5107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7E85BE2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Entidad contratante y Contratista</w:t>
            </w:r>
          </w:p>
        </w:tc>
        <w:tc>
          <w:tcPr>
            <w:tcW w:w="313" w:type="pct"/>
            <w:shd w:val="clear" w:color="auto" w:fill="auto"/>
            <w:vAlign w:val="center"/>
            <w:hideMark/>
          </w:tcPr>
          <w:p w14:paraId="6BDCFA5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Fase de  Ejecución</w:t>
            </w:r>
          </w:p>
        </w:tc>
        <w:tc>
          <w:tcPr>
            <w:tcW w:w="273" w:type="pct"/>
            <w:shd w:val="clear" w:color="auto" w:fill="auto"/>
            <w:vAlign w:val="center"/>
            <w:hideMark/>
          </w:tcPr>
          <w:p w14:paraId="177BE3F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hasta la terminación del contrato</w:t>
            </w:r>
          </w:p>
        </w:tc>
        <w:tc>
          <w:tcPr>
            <w:tcW w:w="312" w:type="pct"/>
            <w:shd w:val="clear" w:color="auto" w:fill="auto"/>
            <w:vAlign w:val="center"/>
            <w:hideMark/>
          </w:tcPr>
          <w:p w14:paraId="06E491C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A través de notificaciones oficiales</w:t>
            </w:r>
          </w:p>
        </w:tc>
        <w:tc>
          <w:tcPr>
            <w:tcW w:w="352" w:type="pct"/>
            <w:shd w:val="clear" w:color="auto" w:fill="auto"/>
            <w:vAlign w:val="center"/>
            <w:hideMark/>
          </w:tcPr>
          <w:p w14:paraId="09B886F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Cuando se presente la situación</w:t>
            </w:r>
          </w:p>
        </w:tc>
      </w:tr>
      <w:tr w:rsidR="00E015AD" w:rsidRPr="006F5CA6" w14:paraId="7AFAAE84" w14:textId="77777777" w:rsidTr="00745FC3">
        <w:trPr>
          <w:trHeight w:val="880"/>
        </w:trPr>
        <w:tc>
          <w:tcPr>
            <w:tcW w:w="68" w:type="pct"/>
            <w:shd w:val="clear" w:color="auto" w:fill="auto"/>
            <w:textDirection w:val="btLr"/>
            <w:vAlign w:val="center"/>
            <w:hideMark/>
          </w:tcPr>
          <w:p w14:paraId="30016343"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4049C08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686AF36C"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6A0958E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Operacional</w:t>
            </w:r>
          </w:p>
        </w:tc>
        <w:tc>
          <w:tcPr>
            <w:tcW w:w="565" w:type="pct"/>
            <w:shd w:val="clear" w:color="auto" w:fill="auto"/>
            <w:vAlign w:val="center"/>
            <w:hideMark/>
          </w:tcPr>
          <w:p w14:paraId="03A4EB5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La red logística (transporte, personal calificado, insumos) sea ineficiente o insuficiente, y dificulte la ejecución de los suministros de los materiales</w:t>
            </w:r>
          </w:p>
        </w:tc>
        <w:tc>
          <w:tcPr>
            <w:tcW w:w="586" w:type="pct"/>
            <w:shd w:val="clear" w:color="auto" w:fill="auto"/>
            <w:vAlign w:val="center"/>
            <w:hideMark/>
          </w:tcPr>
          <w:p w14:paraId="68E441E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Que el personal, insumos, y/o vehículos contratado para la ejecución del contrato no sea suficiente para la ejecución del contrato</w:t>
            </w:r>
          </w:p>
        </w:tc>
        <w:tc>
          <w:tcPr>
            <w:tcW w:w="396" w:type="pct"/>
            <w:shd w:val="clear" w:color="auto" w:fill="auto"/>
            <w:vAlign w:val="center"/>
            <w:hideMark/>
          </w:tcPr>
          <w:p w14:paraId="17C09BE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Insatisfacción en la ejecución del contrato, ejecución de las prestaciones de forma ineficiente o de baja calidad, o lo que es peor, paralización del mismo.</w:t>
            </w:r>
          </w:p>
        </w:tc>
        <w:tc>
          <w:tcPr>
            <w:tcW w:w="78" w:type="pct"/>
            <w:shd w:val="clear" w:color="auto" w:fill="auto"/>
            <w:vAlign w:val="center"/>
            <w:hideMark/>
          </w:tcPr>
          <w:p w14:paraId="532998C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53" w:type="pct"/>
            <w:shd w:val="clear" w:color="auto" w:fill="auto"/>
            <w:vAlign w:val="center"/>
            <w:hideMark/>
          </w:tcPr>
          <w:p w14:paraId="7DD5E18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67" w:type="pct"/>
            <w:shd w:val="clear" w:color="auto" w:fill="auto"/>
            <w:vAlign w:val="center"/>
            <w:hideMark/>
          </w:tcPr>
          <w:p w14:paraId="113ADC5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7</w:t>
            </w:r>
          </w:p>
        </w:tc>
        <w:tc>
          <w:tcPr>
            <w:tcW w:w="114" w:type="pct"/>
            <w:shd w:val="clear" w:color="auto" w:fill="auto"/>
            <w:textDirection w:val="btLr"/>
            <w:vAlign w:val="center"/>
            <w:hideMark/>
          </w:tcPr>
          <w:p w14:paraId="1A2350F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Alto</w:t>
            </w:r>
          </w:p>
        </w:tc>
        <w:tc>
          <w:tcPr>
            <w:tcW w:w="196" w:type="pct"/>
            <w:shd w:val="clear" w:color="auto" w:fill="auto"/>
            <w:vAlign w:val="center"/>
            <w:hideMark/>
          </w:tcPr>
          <w:p w14:paraId="57E5F463"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2BDD5FF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66B6828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Verificar que la red logística de ejecución del contrato, entre ellos: insumos, preparación, distribución y transporte; se ejecute de acuerdo a los precisos parámetros contratados, y previamente definidos en un plan de trabajo definido por la entidad antes del inicio de la ejecución del contrato.</w:t>
            </w:r>
          </w:p>
        </w:tc>
        <w:tc>
          <w:tcPr>
            <w:tcW w:w="94" w:type="pct"/>
            <w:shd w:val="clear" w:color="auto" w:fill="auto"/>
            <w:vAlign w:val="center"/>
            <w:hideMark/>
          </w:tcPr>
          <w:p w14:paraId="02BB71E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94" w:type="pct"/>
            <w:shd w:val="clear" w:color="auto" w:fill="auto"/>
            <w:vAlign w:val="center"/>
            <w:hideMark/>
          </w:tcPr>
          <w:p w14:paraId="6C0D8F7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94" w:type="pct"/>
            <w:shd w:val="clear" w:color="auto" w:fill="auto"/>
            <w:vAlign w:val="center"/>
            <w:hideMark/>
          </w:tcPr>
          <w:p w14:paraId="5F45E5A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5</w:t>
            </w:r>
          </w:p>
        </w:tc>
        <w:tc>
          <w:tcPr>
            <w:tcW w:w="152" w:type="pct"/>
            <w:shd w:val="clear" w:color="auto" w:fill="auto"/>
            <w:textDirection w:val="btLr"/>
            <w:vAlign w:val="center"/>
            <w:hideMark/>
          </w:tcPr>
          <w:p w14:paraId="1788409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medio</w:t>
            </w:r>
          </w:p>
        </w:tc>
        <w:tc>
          <w:tcPr>
            <w:tcW w:w="114" w:type="pct"/>
            <w:shd w:val="clear" w:color="auto" w:fill="auto"/>
            <w:vAlign w:val="center"/>
            <w:hideMark/>
          </w:tcPr>
          <w:p w14:paraId="6121A8A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6351094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Entidad contratante y Contratista</w:t>
            </w:r>
          </w:p>
        </w:tc>
        <w:tc>
          <w:tcPr>
            <w:tcW w:w="313" w:type="pct"/>
            <w:shd w:val="clear" w:color="auto" w:fill="auto"/>
            <w:vAlign w:val="center"/>
            <w:hideMark/>
          </w:tcPr>
          <w:p w14:paraId="36DDE27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Desde el inicio del contrato, para verificar que se cumpla el plan de trabajo y/o cronograma definido por la entidad</w:t>
            </w:r>
          </w:p>
        </w:tc>
        <w:tc>
          <w:tcPr>
            <w:tcW w:w="273" w:type="pct"/>
            <w:shd w:val="clear" w:color="auto" w:fill="auto"/>
            <w:vAlign w:val="center"/>
            <w:hideMark/>
          </w:tcPr>
          <w:p w14:paraId="79463B8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Hasta culminar la ejecución del contrato</w:t>
            </w:r>
          </w:p>
        </w:tc>
        <w:tc>
          <w:tcPr>
            <w:tcW w:w="312" w:type="pct"/>
            <w:shd w:val="clear" w:color="auto" w:fill="auto"/>
            <w:vAlign w:val="center"/>
            <w:hideMark/>
          </w:tcPr>
          <w:p w14:paraId="1667C39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Supervisión de la entidad  y el Contratista,  Verificando que la ejecución del contrato vaya acorde a lo planificado, tanto en tiempo, como en ejecución técnica, en valor y calidad de las prestaciones</w:t>
            </w:r>
          </w:p>
        </w:tc>
        <w:tc>
          <w:tcPr>
            <w:tcW w:w="352" w:type="pct"/>
            <w:shd w:val="clear" w:color="auto" w:fill="auto"/>
            <w:vAlign w:val="center"/>
            <w:hideMark/>
          </w:tcPr>
          <w:p w14:paraId="25C7BF1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Plazo de Ejecución -  Tan pronto se detecte la probable incongruencia, tratamientos quincenales.</w:t>
            </w:r>
          </w:p>
        </w:tc>
      </w:tr>
      <w:tr w:rsidR="00E015AD" w:rsidRPr="006F5CA6" w14:paraId="1280B72A" w14:textId="77777777" w:rsidTr="00745FC3">
        <w:trPr>
          <w:trHeight w:val="732"/>
        </w:trPr>
        <w:tc>
          <w:tcPr>
            <w:tcW w:w="68" w:type="pct"/>
            <w:shd w:val="clear" w:color="auto" w:fill="auto"/>
            <w:textDirection w:val="btLr"/>
            <w:vAlign w:val="center"/>
            <w:hideMark/>
          </w:tcPr>
          <w:p w14:paraId="7E0603F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47D44C3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367BC5B3"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455C2BF5"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Financiero</w:t>
            </w:r>
          </w:p>
        </w:tc>
        <w:tc>
          <w:tcPr>
            <w:tcW w:w="565" w:type="pct"/>
            <w:shd w:val="clear" w:color="auto" w:fill="auto"/>
            <w:vAlign w:val="center"/>
            <w:hideMark/>
          </w:tcPr>
          <w:p w14:paraId="7C0F3E3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Dificultad para conseguir recursos financieros para el logro del objetivo del contrato. Términos </w:t>
            </w:r>
            <w:r w:rsidRPr="006F5CA6">
              <w:rPr>
                <w:rFonts w:ascii="Arial" w:hAnsi="Arial" w:cs="Arial"/>
                <w:sz w:val="12"/>
                <w:szCs w:val="12"/>
                <w:lang w:val="es-CO" w:eastAsia="es-CO"/>
              </w:rPr>
              <w:lastRenderedPageBreak/>
              <w:t>financieros para la consecución de los recursos (plazos, tasas, garantías, contragarantías)</w:t>
            </w:r>
            <w:r w:rsidRPr="006F5CA6">
              <w:rPr>
                <w:rFonts w:ascii="Arial" w:hAnsi="Arial" w:cs="Arial"/>
                <w:sz w:val="12"/>
                <w:szCs w:val="12"/>
                <w:lang w:val="es-CO" w:eastAsia="es-CO"/>
              </w:rPr>
              <w:br/>
              <w:t>Riesgo de condiciones financieras para la obtención de recursos</w:t>
            </w:r>
          </w:p>
        </w:tc>
        <w:tc>
          <w:tcPr>
            <w:tcW w:w="586" w:type="pct"/>
            <w:shd w:val="clear" w:color="auto" w:fill="auto"/>
            <w:vAlign w:val="center"/>
            <w:hideMark/>
          </w:tcPr>
          <w:p w14:paraId="6FD32A4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 xml:space="preserve">Que el proponente se quede sin liquidez para ejecutar el contrato, pagar insumos, </w:t>
            </w:r>
            <w:r w:rsidRPr="006F5CA6">
              <w:rPr>
                <w:rFonts w:ascii="Arial" w:hAnsi="Arial" w:cs="Arial"/>
                <w:sz w:val="12"/>
                <w:szCs w:val="12"/>
                <w:lang w:val="es-CO" w:eastAsia="es-CO"/>
              </w:rPr>
              <w:lastRenderedPageBreak/>
              <w:t xml:space="preserve">salarios y demás gastos ordinarios de la ejecución </w:t>
            </w:r>
            <w:r w:rsidRPr="006F5CA6">
              <w:rPr>
                <w:rFonts w:ascii="Arial" w:hAnsi="Arial" w:cs="Arial"/>
                <w:sz w:val="12"/>
                <w:szCs w:val="12"/>
                <w:lang w:val="es-CO" w:eastAsia="es-CO"/>
              </w:rPr>
              <w:br/>
              <w:t>Variación de los términos de financiación, asociados a las fluctuaciones como: plazos, tasa de interés, garantías, contragarantías, refinanciación, tasas de cambio, ajustes por inflación y a las variaciones cambiarias y financieras.</w:t>
            </w:r>
          </w:p>
        </w:tc>
        <w:tc>
          <w:tcPr>
            <w:tcW w:w="396" w:type="pct"/>
            <w:shd w:val="clear" w:color="auto" w:fill="auto"/>
            <w:vAlign w:val="center"/>
            <w:hideMark/>
          </w:tcPr>
          <w:p w14:paraId="130B00A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Grave afectación a la ejecución que puede incluso conducir a la paralización</w:t>
            </w:r>
            <w:r w:rsidRPr="006F5CA6">
              <w:rPr>
                <w:rFonts w:ascii="Arial" w:hAnsi="Arial" w:cs="Arial"/>
                <w:sz w:val="12"/>
                <w:szCs w:val="12"/>
                <w:lang w:val="es-CO" w:eastAsia="es-CO"/>
              </w:rPr>
              <w:br/>
              <w:t xml:space="preserve">Iliquidez del </w:t>
            </w:r>
            <w:r w:rsidRPr="006F5CA6">
              <w:rPr>
                <w:rFonts w:ascii="Arial" w:hAnsi="Arial" w:cs="Arial"/>
                <w:sz w:val="12"/>
                <w:szCs w:val="12"/>
                <w:lang w:val="es-CO" w:eastAsia="es-CO"/>
              </w:rPr>
              <w:lastRenderedPageBreak/>
              <w:t>contratista e incremento de los costos de adquisición</w:t>
            </w:r>
          </w:p>
        </w:tc>
        <w:tc>
          <w:tcPr>
            <w:tcW w:w="78" w:type="pct"/>
            <w:shd w:val="clear" w:color="auto" w:fill="auto"/>
            <w:vAlign w:val="center"/>
            <w:hideMark/>
          </w:tcPr>
          <w:p w14:paraId="2823D19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1</w:t>
            </w:r>
          </w:p>
        </w:tc>
        <w:tc>
          <w:tcPr>
            <w:tcW w:w="53" w:type="pct"/>
            <w:shd w:val="clear" w:color="auto" w:fill="auto"/>
            <w:vAlign w:val="center"/>
            <w:hideMark/>
          </w:tcPr>
          <w:p w14:paraId="012B808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5</w:t>
            </w:r>
          </w:p>
        </w:tc>
        <w:tc>
          <w:tcPr>
            <w:tcW w:w="67" w:type="pct"/>
            <w:shd w:val="clear" w:color="auto" w:fill="auto"/>
            <w:vAlign w:val="center"/>
            <w:hideMark/>
          </w:tcPr>
          <w:p w14:paraId="7CEF184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6</w:t>
            </w:r>
          </w:p>
        </w:tc>
        <w:tc>
          <w:tcPr>
            <w:tcW w:w="114" w:type="pct"/>
            <w:shd w:val="clear" w:color="auto" w:fill="auto"/>
            <w:textDirection w:val="btLr"/>
            <w:vAlign w:val="center"/>
            <w:hideMark/>
          </w:tcPr>
          <w:p w14:paraId="7B8450E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Alto</w:t>
            </w:r>
          </w:p>
        </w:tc>
        <w:tc>
          <w:tcPr>
            <w:tcW w:w="196" w:type="pct"/>
            <w:shd w:val="clear" w:color="auto" w:fill="auto"/>
            <w:vAlign w:val="center"/>
            <w:hideMark/>
          </w:tcPr>
          <w:p w14:paraId="1E21DC15"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1404E3D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1AA4F97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En el proceso de selección se establecerán unos estrictos indicadores financieros </w:t>
            </w:r>
            <w:r w:rsidRPr="006F5CA6">
              <w:rPr>
                <w:rFonts w:ascii="Arial" w:hAnsi="Arial" w:cs="Arial"/>
                <w:sz w:val="12"/>
                <w:szCs w:val="12"/>
                <w:lang w:val="es-CO" w:eastAsia="es-CO"/>
              </w:rPr>
              <w:lastRenderedPageBreak/>
              <w:t>que garantice que este riesgo sea improbable en su máxima expresión</w:t>
            </w:r>
          </w:p>
        </w:tc>
        <w:tc>
          <w:tcPr>
            <w:tcW w:w="94" w:type="pct"/>
            <w:shd w:val="clear" w:color="auto" w:fill="auto"/>
            <w:vAlign w:val="center"/>
            <w:hideMark/>
          </w:tcPr>
          <w:p w14:paraId="4602D53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lastRenderedPageBreak/>
              <w:t>1</w:t>
            </w:r>
          </w:p>
        </w:tc>
        <w:tc>
          <w:tcPr>
            <w:tcW w:w="94" w:type="pct"/>
            <w:shd w:val="clear" w:color="auto" w:fill="auto"/>
            <w:vAlign w:val="center"/>
            <w:hideMark/>
          </w:tcPr>
          <w:p w14:paraId="75BBA04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4</w:t>
            </w:r>
          </w:p>
        </w:tc>
        <w:tc>
          <w:tcPr>
            <w:tcW w:w="94" w:type="pct"/>
            <w:shd w:val="clear" w:color="auto" w:fill="auto"/>
            <w:vAlign w:val="center"/>
            <w:hideMark/>
          </w:tcPr>
          <w:p w14:paraId="3A00040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5</w:t>
            </w:r>
          </w:p>
        </w:tc>
        <w:tc>
          <w:tcPr>
            <w:tcW w:w="152" w:type="pct"/>
            <w:shd w:val="clear" w:color="auto" w:fill="auto"/>
            <w:textDirection w:val="btLr"/>
            <w:vAlign w:val="center"/>
            <w:hideMark/>
          </w:tcPr>
          <w:p w14:paraId="2DA76AB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medio</w:t>
            </w:r>
          </w:p>
        </w:tc>
        <w:tc>
          <w:tcPr>
            <w:tcW w:w="114" w:type="pct"/>
            <w:shd w:val="clear" w:color="auto" w:fill="auto"/>
            <w:vAlign w:val="center"/>
            <w:hideMark/>
          </w:tcPr>
          <w:p w14:paraId="0AB5D71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7D0909F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El secretario responsable del proceso, en apoyo de su equipo estruc</w:t>
            </w:r>
            <w:r w:rsidRPr="006F5CA6">
              <w:rPr>
                <w:rFonts w:ascii="Arial" w:hAnsi="Arial" w:cs="Arial"/>
                <w:sz w:val="12"/>
                <w:szCs w:val="12"/>
                <w:lang w:val="es-CO" w:eastAsia="es-CO"/>
              </w:rPr>
              <w:lastRenderedPageBreak/>
              <w:t>turador</w:t>
            </w:r>
          </w:p>
        </w:tc>
        <w:tc>
          <w:tcPr>
            <w:tcW w:w="313" w:type="pct"/>
            <w:shd w:val="clear" w:color="auto" w:fill="auto"/>
            <w:vAlign w:val="center"/>
            <w:hideMark/>
          </w:tcPr>
          <w:p w14:paraId="5ED0DBB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Desde que se elaboran los estudios previos</w:t>
            </w:r>
          </w:p>
        </w:tc>
        <w:tc>
          <w:tcPr>
            <w:tcW w:w="273" w:type="pct"/>
            <w:shd w:val="clear" w:color="auto" w:fill="auto"/>
            <w:vAlign w:val="center"/>
            <w:hideMark/>
          </w:tcPr>
          <w:p w14:paraId="0D89ED4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Cuando se adjudica el contrato, incluso en la ejecución es necesario hacerle </w:t>
            </w:r>
            <w:r w:rsidRPr="006F5CA6">
              <w:rPr>
                <w:rFonts w:ascii="Arial" w:hAnsi="Arial" w:cs="Arial"/>
                <w:sz w:val="12"/>
                <w:szCs w:val="12"/>
                <w:lang w:val="es-CO" w:eastAsia="es-CO"/>
              </w:rPr>
              <w:lastRenderedPageBreak/>
              <w:t>seguimiento, no obstante haberse seleccionado un proponente con gran capacidad financiera y organizacional</w:t>
            </w:r>
          </w:p>
        </w:tc>
        <w:tc>
          <w:tcPr>
            <w:tcW w:w="312" w:type="pct"/>
            <w:shd w:val="clear" w:color="auto" w:fill="auto"/>
            <w:vAlign w:val="center"/>
            <w:hideMark/>
          </w:tcPr>
          <w:p w14:paraId="7F61531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Desde el momento en que es elaboran los estudios y documentos previos</w:t>
            </w:r>
          </w:p>
        </w:tc>
        <w:tc>
          <w:tcPr>
            <w:tcW w:w="352" w:type="pct"/>
            <w:shd w:val="clear" w:color="auto" w:fill="auto"/>
            <w:vAlign w:val="center"/>
            <w:hideMark/>
          </w:tcPr>
          <w:p w14:paraId="53BCF14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Durante todo el proceso de selección, e incluso en la propia ejecución del contrato.</w:t>
            </w:r>
          </w:p>
        </w:tc>
      </w:tr>
      <w:tr w:rsidR="00E015AD" w:rsidRPr="006F5CA6" w14:paraId="1701C0EA" w14:textId="77777777" w:rsidTr="00745FC3">
        <w:trPr>
          <w:trHeight w:val="596"/>
        </w:trPr>
        <w:tc>
          <w:tcPr>
            <w:tcW w:w="68" w:type="pct"/>
            <w:shd w:val="clear" w:color="auto" w:fill="auto"/>
            <w:textDirection w:val="btLr"/>
            <w:vAlign w:val="center"/>
            <w:hideMark/>
          </w:tcPr>
          <w:p w14:paraId="6EFF8A97"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5C74B5D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0471FEF6"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244ED9C4"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de Naturaleza</w:t>
            </w:r>
          </w:p>
        </w:tc>
        <w:tc>
          <w:tcPr>
            <w:tcW w:w="565" w:type="pct"/>
            <w:shd w:val="clear" w:color="auto" w:fill="auto"/>
            <w:vAlign w:val="center"/>
            <w:hideMark/>
          </w:tcPr>
          <w:p w14:paraId="0005091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Eventos causados por la naturaleza sin la intervención o voluntad del hombre, que tienen impacto sobre la ejecución  del contrato (temblores, inundaciones, lluvias, sequias) siempre y cuando los mismos se puedan preverse.</w:t>
            </w:r>
          </w:p>
        </w:tc>
        <w:tc>
          <w:tcPr>
            <w:tcW w:w="586" w:type="pct"/>
            <w:shd w:val="clear" w:color="auto" w:fill="auto"/>
            <w:vAlign w:val="center"/>
            <w:hideMark/>
          </w:tcPr>
          <w:p w14:paraId="5C3AD63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Circunstancias naturales tales como  temblores, inundaciones, fuertes lluvias, sequias</w:t>
            </w:r>
          </w:p>
        </w:tc>
        <w:tc>
          <w:tcPr>
            <w:tcW w:w="396" w:type="pct"/>
            <w:shd w:val="clear" w:color="auto" w:fill="auto"/>
            <w:vAlign w:val="center"/>
            <w:hideMark/>
          </w:tcPr>
          <w:p w14:paraId="583865B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Retrasos o dificultades en la ejecución</w:t>
            </w:r>
          </w:p>
        </w:tc>
        <w:tc>
          <w:tcPr>
            <w:tcW w:w="78" w:type="pct"/>
            <w:shd w:val="clear" w:color="auto" w:fill="auto"/>
            <w:vAlign w:val="center"/>
            <w:hideMark/>
          </w:tcPr>
          <w:p w14:paraId="06A37A4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w:t>
            </w:r>
          </w:p>
        </w:tc>
        <w:tc>
          <w:tcPr>
            <w:tcW w:w="53" w:type="pct"/>
            <w:shd w:val="clear" w:color="auto" w:fill="auto"/>
            <w:vAlign w:val="center"/>
            <w:hideMark/>
          </w:tcPr>
          <w:p w14:paraId="4897746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67" w:type="pct"/>
            <w:shd w:val="clear" w:color="auto" w:fill="auto"/>
            <w:vAlign w:val="center"/>
            <w:hideMark/>
          </w:tcPr>
          <w:p w14:paraId="75594F22"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114" w:type="pct"/>
            <w:shd w:val="clear" w:color="auto" w:fill="auto"/>
            <w:textDirection w:val="btLr"/>
            <w:vAlign w:val="center"/>
            <w:hideMark/>
          </w:tcPr>
          <w:p w14:paraId="7E3DC2A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96" w:type="pct"/>
            <w:shd w:val="clear" w:color="auto" w:fill="auto"/>
            <w:vAlign w:val="center"/>
            <w:hideMark/>
          </w:tcPr>
          <w:p w14:paraId="2260C7A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234" w:type="pct"/>
            <w:shd w:val="clear" w:color="auto" w:fill="auto"/>
            <w:vAlign w:val="center"/>
            <w:hideMark/>
          </w:tcPr>
          <w:p w14:paraId="75D7FC73" w14:textId="77777777" w:rsidR="00E015AD" w:rsidRPr="006F5CA6" w:rsidRDefault="00E015AD" w:rsidP="00745FC3">
            <w:pPr>
              <w:jc w:val="both"/>
              <w:rPr>
                <w:rFonts w:ascii="Arial" w:hAnsi="Arial" w:cs="Arial"/>
                <w:sz w:val="12"/>
                <w:szCs w:val="12"/>
                <w:lang w:val="es-CO" w:eastAsia="es-CO"/>
              </w:rPr>
            </w:pPr>
          </w:p>
        </w:tc>
        <w:tc>
          <w:tcPr>
            <w:tcW w:w="518" w:type="pct"/>
            <w:shd w:val="clear" w:color="auto" w:fill="auto"/>
            <w:vAlign w:val="center"/>
            <w:hideMark/>
          </w:tcPr>
          <w:p w14:paraId="79FCBD1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Una vez advertidos por cualquier fuente informativa que es posible y probable la consumación en el futuro inmediato del riesgo, tomar medidas técnicas para mitigar su impacto.</w:t>
            </w:r>
          </w:p>
        </w:tc>
        <w:tc>
          <w:tcPr>
            <w:tcW w:w="94" w:type="pct"/>
            <w:shd w:val="clear" w:color="auto" w:fill="auto"/>
            <w:vAlign w:val="center"/>
            <w:hideMark/>
          </w:tcPr>
          <w:p w14:paraId="6FEFECC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625AA59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94" w:type="pct"/>
            <w:shd w:val="clear" w:color="auto" w:fill="auto"/>
            <w:vAlign w:val="center"/>
            <w:hideMark/>
          </w:tcPr>
          <w:p w14:paraId="4A9081D4"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152" w:type="pct"/>
            <w:shd w:val="clear" w:color="auto" w:fill="auto"/>
            <w:textDirection w:val="btLr"/>
            <w:vAlign w:val="center"/>
            <w:hideMark/>
          </w:tcPr>
          <w:p w14:paraId="24D17D4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13BFEFC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455E56B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Supervisor y contratista</w:t>
            </w:r>
          </w:p>
        </w:tc>
        <w:tc>
          <w:tcPr>
            <w:tcW w:w="313" w:type="pct"/>
            <w:shd w:val="clear" w:color="auto" w:fill="auto"/>
            <w:vAlign w:val="center"/>
            <w:hideMark/>
          </w:tcPr>
          <w:p w14:paraId="4F32B2B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Desde que se advierta por cualquier fuente de información que el riesgo puede concretarse, análisis de pluviometría, informes del IDEAM, históricos por periodos del año, etc.</w:t>
            </w:r>
          </w:p>
        </w:tc>
        <w:tc>
          <w:tcPr>
            <w:tcW w:w="273" w:type="pct"/>
            <w:shd w:val="clear" w:color="auto" w:fill="auto"/>
            <w:vAlign w:val="center"/>
            <w:hideMark/>
          </w:tcPr>
          <w:p w14:paraId="66FF858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Terminación del contrato</w:t>
            </w:r>
          </w:p>
        </w:tc>
        <w:tc>
          <w:tcPr>
            <w:tcW w:w="312" w:type="pct"/>
            <w:shd w:val="clear" w:color="auto" w:fill="auto"/>
            <w:vAlign w:val="center"/>
            <w:hideMark/>
          </w:tcPr>
          <w:p w14:paraId="73B169F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Verificando que el contratista tome las medidas que se le recomiendan</w:t>
            </w:r>
          </w:p>
        </w:tc>
        <w:tc>
          <w:tcPr>
            <w:tcW w:w="352" w:type="pct"/>
            <w:shd w:val="clear" w:color="auto" w:fill="auto"/>
            <w:vAlign w:val="center"/>
            <w:hideMark/>
          </w:tcPr>
          <w:p w14:paraId="783B539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Durante la  Ejecución del contrato</w:t>
            </w:r>
          </w:p>
        </w:tc>
      </w:tr>
      <w:tr w:rsidR="00E015AD" w:rsidRPr="006F5CA6" w14:paraId="23E0CAB7" w14:textId="77777777" w:rsidTr="00745FC3">
        <w:trPr>
          <w:trHeight w:val="1793"/>
        </w:trPr>
        <w:tc>
          <w:tcPr>
            <w:tcW w:w="68" w:type="pct"/>
            <w:shd w:val="clear" w:color="auto" w:fill="auto"/>
            <w:textDirection w:val="btLr"/>
            <w:vAlign w:val="center"/>
            <w:hideMark/>
          </w:tcPr>
          <w:p w14:paraId="39527F64"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2CEDE384"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3D3DFDA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0E39643D"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Ambiental</w:t>
            </w:r>
          </w:p>
        </w:tc>
        <w:tc>
          <w:tcPr>
            <w:tcW w:w="565" w:type="pct"/>
            <w:shd w:val="clear" w:color="auto" w:fill="auto"/>
            <w:vAlign w:val="center"/>
            <w:hideMark/>
          </w:tcPr>
          <w:p w14:paraId="4AC726D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Obligaciones emanadas de licencias ambientales, planes de manejo ambiental condicio</w:t>
            </w:r>
            <w:r w:rsidRPr="006F5CA6">
              <w:rPr>
                <w:rFonts w:ascii="Arial" w:hAnsi="Arial" w:cs="Arial"/>
                <w:sz w:val="12"/>
                <w:szCs w:val="12"/>
                <w:lang w:val="es-CO" w:eastAsia="es-CO"/>
              </w:rPr>
              <w:lastRenderedPageBreak/>
              <w:t>nes ambientales o ecológicas, evolución de tasas retributivas, uso del agua</w:t>
            </w:r>
          </w:p>
        </w:tc>
        <w:tc>
          <w:tcPr>
            <w:tcW w:w="586" w:type="pct"/>
            <w:shd w:val="clear" w:color="auto" w:fill="auto"/>
            <w:vAlign w:val="center"/>
            <w:hideMark/>
          </w:tcPr>
          <w:p w14:paraId="5529E62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 xml:space="preserve">Que en razón a decisiones de autoridades ambientales no se puedan iniciar o continuar con </w:t>
            </w:r>
            <w:r w:rsidRPr="006F5CA6">
              <w:rPr>
                <w:rFonts w:ascii="Arial" w:hAnsi="Arial" w:cs="Arial"/>
                <w:sz w:val="12"/>
                <w:szCs w:val="12"/>
                <w:lang w:val="es-CO" w:eastAsia="es-CO"/>
              </w:rPr>
              <w:lastRenderedPageBreak/>
              <w:t>la ejecución del contrato</w:t>
            </w:r>
          </w:p>
        </w:tc>
        <w:tc>
          <w:tcPr>
            <w:tcW w:w="396" w:type="pct"/>
            <w:shd w:val="clear" w:color="auto" w:fill="auto"/>
            <w:vAlign w:val="center"/>
            <w:hideMark/>
          </w:tcPr>
          <w:p w14:paraId="436FADD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Retrasos o dificultades en la ejecución</w:t>
            </w:r>
          </w:p>
        </w:tc>
        <w:tc>
          <w:tcPr>
            <w:tcW w:w="78" w:type="pct"/>
            <w:shd w:val="clear" w:color="auto" w:fill="auto"/>
            <w:vAlign w:val="center"/>
            <w:hideMark/>
          </w:tcPr>
          <w:p w14:paraId="2E6D60C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53" w:type="pct"/>
            <w:shd w:val="clear" w:color="auto" w:fill="auto"/>
            <w:vAlign w:val="center"/>
            <w:hideMark/>
          </w:tcPr>
          <w:p w14:paraId="3527AC2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67" w:type="pct"/>
            <w:shd w:val="clear" w:color="auto" w:fill="auto"/>
            <w:vAlign w:val="center"/>
            <w:hideMark/>
          </w:tcPr>
          <w:p w14:paraId="4E0454E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5</w:t>
            </w:r>
          </w:p>
        </w:tc>
        <w:tc>
          <w:tcPr>
            <w:tcW w:w="114" w:type="pct"/>
            <w:shd w:val="clear" w:color="auto" w:fill="auto"/>
            <w:textDirection w:val="btLr"/>
            <w:vAlign w:val="center"/>
            <w:hideMark/>
          </w:tcPr>
          <w:p w14:paraId="1739B14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Medio</w:t>
            </w:r>
          </w:p>
        </w:tc>
        <w:tc>
          <w:tcPr>
            <w:tcW w:w="196" w:type="pct"/>
            <w:shd w:val="clear" w:color="auto" w:fill="auto"/>
            <w:vAlign w:val="center"/>
            <w:hideMark/>
          </w:tcPr>
          <w:p w14:paraId="1B52D3B3"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53904AE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61954CD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Verificar que se cumplan con todas las licencias y obligaciones antes las </w:t>
            </w:r>
            <w:r w:rsidRPr="006F5CA6">
              <w:rPr>
                <w:rFonts w:ascii="Arial" w:hAnsi="Arial" w:cs="Arial"/>
                <w:sz w:val="12"/>
                <w:szCs w:val="12"/>
                <w:lang w:val="es-CO" w:eastAsia="es-CO"/>
              </w:rPr>
              <w:lastRenderedPageBreak/>
              <w:t>autoridades ambientales, en caso de que nazcan nuevas obligaciones, una vez se tenga conocimiento de ellas tomar las medidas para su cumplimiento. Verificar que se cumplan las normas sanitarias que puedan tener un impacto ambiental.</w:t>
            </w:r>
          </w:p>
        </w:tc>
        <w:tc>
          <w:tcPr>
            <w:tcW w:w="94" w:type="pct"/>
            <w:shd w:val="clear" w:color="auto" w:fill="auto"/>
            <w:vAlign w:val="center"/>
            <w:hideMark/>
          </w:tcPr>
          <w:p w14:paraId="37B1A94D"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lastRenderedPageBreak/>
              <w:t>1</w:t>
            </w:r>
          </w:p>
        </w:tc>
        <w:tc>
          <w:tcPr>
            <w:tcW w:w="94" w:type="pct"/>
            <w:shd w:val="clear" w:color="auto" w:fill="auto"/>
            <w:vAlign w:val="center"/>
            <w:hideMark/>
          </w:tcPr>
          <w:p w14:paraId="35B8B69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94" w:type="pct"/>
            <w:shd w:val="clear" w:color="auto" w:fill="auto"/>
            <w:vAlign w:val="center"/>
            <w:hideMark/>
          </w:tcPr>
          <w:p w14:paraId="0A4224A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4</w:t>
            </w:r>
          </w:p>
        </w:tc>
        <w:tc>
          <w:tcPr>
            <w:tcW w:w="152" w:type="pct"/>
            <w:shd w:val="clear" w:color="auto" w:fill="auto"/>
            <w:textDirection w:val="btLr"/>
            <w:vAlign w:val="center"/>
            <w:hideMark/>
          </w:tcPr>
          <w:p w14:paraId="268544C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61AB866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0C4F81D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Supervisor y contratista</w:t>
            </w:r>
          </w:p>
        </w:tc>
        <w:tc>
          <w:tcPr>
            <w:tcW w:w="313" w:type="pct"/>
            <w:shd w:val="clear" w:color="auto" w:fill="auto"/>
            <w:vAlign w:val="center"/>
            <w:hideMark/>
          </w:tcPr>
          <w:p w14:paraId="61351B4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Desde el inicio de la ejecución</w:t>
            </w:r>
          </w:p>
        </w:tc>
        <w:tc>
          <w:tcPr>
            <w:tcW w:w="273" w:type="pct"/>
            <w:shd w:val="clear" w:color="auto" w:fill="auto"/>
            <w:vAlign w:val="center"/>
            <w:hideMark/>
          </w:tcPr>
          <w:p w14:paraId="4D653F0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Terminación del contrato</w:t>
            </w:r>
          </w:p>
        </w:tc>
        <w:tc>
          <w:tcPr>
            <w:tcW w:w="312" w:type="pct"/>
            <w:shd w:val="clear" w:color="auto" w:fill="auto"/>
            <w:vAlign w:val="center"/>
            <w:hideMark/>
          </w:tcPr>
          <w:p w14:paraId="402FB228"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Revisión permanente, y mensual al cumplimiento de estas obligaciones </w:t>
            </w:r>
            <w:r w:rsidRPr="006F5CA6">
              <w:rPr>
                <w:rFonts w:ascii="Arial" w:hAnsi="Arial" w:cs="Arial"/>
                <w:sz w:val="12"/>
                <w:szCs w:val="12"/>
                <w:lang w:val="es-CO" w:eastAsia="es-CO"/>
              </w:rPr>
              <w:lastRenderedPageBreak/>
              <w:t>por parte del supervisor.</w:t>
            </w:r>
          </w:p>
        </w:tc>
        <w:tc>
          <w:tcPr>
            <w:tcW w:w="352" w:type="pct"/>
            <w:shd w:val="clear" w:color="auto" w:fill="auto"/>
            <w:vAlign w:val="center"/>
            <w:hideMark/>
          </w:tcPr>
          <w:p w14:paraId="00D26E5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Durante la  Ejecución del contrato</w:t>
            </w:r>
          </w:p>
        </w:tc>
      </w:tr>
      <w:tr w:rsidR="00E015AD" w:rsidRPr="006F5CA6" w14:paraId="4C727CD8" w14:textId="77777777" w:rsidTr="00745FC3">
        <w:trPr>
          <w:trHeight w:val="2089"/>
        </w:trPr>
        <w:tc>
          <w:tcPr>
            <w:tcW w:w="68" w:type="pct"/>
            <w:shd w:val="clear" w:color="auto" w:fill="auto"/>
            <w:textDirection w:val="btLr"/>
            <w:vAlign w:val="center"/>
            <w:hideMark/>
          </w:tcPr>
          <w:p w14:paraId="01CD9BA9"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Especifico</w:t>
            </w:r>
          </w:p>
        </w:tc>
        <w:tc>
          <w:tcPr>
            <w:tcW w:w="44" w:type="pct"/>
            <w:shd w:val="clear" w:color="auto" w:fill="auto"/>
            <w:textDirection w:val="btLr"/>
            <w:vAlign w:val="center"/>
            <w:hideMark/>
          </w:tcPr>
          <w:p w14:paraId="47D964D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79FD93E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Planeación  y Ejecución</w:t>
            </w:r>
          </w:p>
        </w:tc>
        <w:tc>
          <w:tcPr>
            <w:tcW w:w="44" w:type="pct"/>
            <w:shd w:val="clear" w:color="auto" w:fill="auto"/>
            <w:textDirection w:val="btLr"/>
            <w:vAlign w:val="center"/>
            <w:hideMark/>
          </w:tcPr>
          <w:p w14:paraId="101F381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Tecnológico</w:t>
            </w:r>
          </w:p>
        </w:tc>
        <w:tc>
          <w:tcPr>
            <w:tcW w:w="565" w:type="pct"/>
            <w:shd w:val="clear" w:color="auto" w:fill="auto"/>
            <w:vAlign w:val="center"/>
            <w:hideMark/>
          </w:tcPr>
          <w:p w14:paraId="18B8A9D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Advenimiento de nuevos desarrollos tecnológicos o estándares para la ejecución del contrato así como la obsolescencia tecnológica.</w:t>
            </w:r>
          </w:p>
        </w:tc>
        <w:tc>
          <w:tcPr>
            <w:tcW w:w="586" w:type="pct"/>
            <w:shd w:val="clear" w:color="auto" w:fill="auto"/>
            <w:vAlign w:val="center"/>
            <w:hideMark/>
          </w:tcPr>
          <w:p w14:paraId="7F58A03A"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Que los equipos que puedan usarse para la ejecución del contrato, puedan llegar a la obsolescencia durante la ejecución del contrato, en los casos en que aplique. (maquinaria)</w:t>
            </w:r>
          </w:p>
        </w:tc>
        <w:tc>
          <w:tcPr>
            <w:tcW w:w="396" w:type="pct"/>
            <w:shd w:val="clear" w:color="auto" w:fill="auto"/>
            <w:vAlign w:val="center"/>
            <w:hideMark/>
          </w:tcPr>
          <w:p w14:paraId="0607CC5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Dificultades en la ejecución y en la supervisión</w:t>
            </w:r>
          </w:p>
        </w:tc>
        <w:tc>
          <w:tcPr>
            <w:tcW w:w="78" w:type="pct"/>
            <w:shd w:val="clear" w:color="auto" w:fill="auto"/>
            <w:vAlign w:val="center"/>
            <w:hideMark/>
          </w:tcPr>
          <w:p w14:paraId="743684B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w:t>
            </w:r>
          </w:p>
        </w:tc>
        <w:tc>
          <w:tcPr>
            <w:tcW w:w="53" w:type="pct"/>
            <w:shd w:val="clear" w:color="auto" w:fill="auto"/>
            <w:vAlign w:val="center"/>
            <w:hideMark/>
          </w:tcPr>
          <w:p w14:paraId="6A8E1DE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3</w:t>
            </w:r>
          </w:p>
        </w:tc>
        <w:tc>
          <w:tcPr>
            <w:tcW w:w="67" w:type="pct"/>
            <w:shd w:val="clear" w:color="auto" w:fill="auto"/>
            <w:vAlign w:val="center"/>
            <w:hideMark/>
          </w:tcPr>
          <w:p w14:paraId="691EBE79"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114" w:type="pct"/>
            <w:shd w:val="clear" w:color="auto" w:fill="auto"/>
            <w:textDirection w:val="btLr"/>
            <w:vAlign w:val="center"/>
            <w:hideMark/>
          </w:tcPr>
          <w:p w14:paraId="5B7E1CB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96" w:type="pct"/>
            <w:shd w:val="clear" w:color="auto" w:fill="auto"/>
            <w:vAlign w:val="center"/>
            <w:hideMark/>
          </w:tcPr>
          <w:p w14:paraId="101FB25B"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2B0A10C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w:t>
            </w:r>
          </w:p>
        </w:tc>
        <w:tc>
          <w:tcPr>
            <w:tcW w:w="518" w:type="pct"/>
            <w:shd w:val="clear" w:color="auto" w:fill="auto"/>
            <w:vAlign w:val="center"/>
            <w:hideMark/>
          </w:tcPr>
          <w:p w14:paraId="3C331D6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Verificar que los equipos no sean obsoletos y en caso de obsolescencia verificar su cambio rápidamente. Verificar que el contratista tome las medidas para evitar interrupciones en la ejecución del contrato.</w:t>
            </w:r>
          </w:p>
        </w:tc>
        <w:tc>
          <w:tcPr>
            <w:tcW w:w="94" w:type="pct"/>
            <w:shd w:val="clear" w:color="auto" w:fill="auto"/>
            <w:vAlign w:val="center"/>
            <w:hideMark/>
          </w:tcPr>
          <w:p w14:paraId="0FFADFB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26654247"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94" w:type="pct"/>
            <w:shd w:val="clear" w:color="auto" w:fill="auto"/>
            <w:vAlign w:val="center"/>
            <w:hideMark/>
          </w:tcPr>
          <w:p w14:paraId="15AC6C9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3</w:t>
            </w:r>
          </w:p>
        </w:tc>
        <w:tc>
          <w:tcPr>
            <w:tcW w:w="152" w:type="pct"/>
            <w:shd w:val="clear" w:color="auto" w:fill="auto"/>
            <w:textDirection w:val="btLr"/>
            <w:vAlign w:val="center"/>
            <w:hideMark/>
          </w:tcPr>
          <w:p w14:paraId="12CFC68A"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4800472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si</w:t>
            </w:r>
          </w:p>
        </w:tc>
        <w:tc>
          <w:tcPr>
            <w:tcW w:w="195" w:type="pct"/>
            <w:shd w:val="clear" w:color="auto" w:fill="auto"/>
            <w:vAlign w:val="center"/>
            <w:hideMark/>
          </w:tcPr>
          <w:p w14:paraId="4DB613F5"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Contratista</w:t>
            </w:r>
          </w:p>
        </w:tc>
        <w:tc>
          <w:tcPr>
            <w:tcW w:w="313" w:type="pct"/>
            <w:shd w:val="clear" w:color="auto" w:fill="auto"/>
            <w:vAlign w:val="center"/>
            <w:hideMark/>
          </w:tcPr>
          <w:p w14:paraId="5D287CB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Tan pronto se advierta la obsolescencia.</w:t>
            </w:r>
          </w:p>
        </w:tc>
        <w:tc>
          <w:tcPr>
            <w:tcW w:w="273" w:type="pct"/>
            <w:shd w:val="clear" w:color="auto" w:fill="auto"/>
            <w:vAlign w:val="center"/>
            <w:hideMark/>
          </w:tcPr>
          <w:p w14:paraId="754542B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Terminación del contrato</w:t>
            </w:r>
          </w:p>
        </w:tc>
        <w:tc>
          <w:tcPr>
            <w:tcW w:w="312" w:type="pct"/>
            <w:shd w:val="clear" w:color="auto" w:fill="auto"/>
            <w:vAlign w:val="center"/>
            <w:hideMark/>
          </w:tcPr>
          <w:p w14:paraId="7D1E005B"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Seguimiento a que se haga el cambio rápido de los equipos, y que se tomen las medidas para evitar las interrupciones.</w:t>
            </w:r>
          </w:p>
        </w:tc>
        <w:tc>
          <w:tcPr>
            <w:tcW w:w="352" w:type="pct"/>
            <w:shd w:val="clear" w:color="auto" w:fill="auto"/>
            <w:vAlign w:val="center"/>
            <w:hideMark/>
          </w:tcPr>
          <w:p w14:paraId="0300B02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Durante la  Ejecución del contrato</w:t>
            </w:r>
          </w:p>
        </w:tc>
      </w:tr>
      <w:tr w:rsidR="00E015AD" w:rsidRPr="006F5CA6" w14:paraId="6F09999A" w14:textId="77777777" w:rsidTr="00745FC3">
        <w:trPr>
          <w:trHeight w:val="78"/>
        </w:trPr>
        <w:tc>
          <w:tcPr>
            <w:tcW w:w="68" w:type="pct"/>
            <w:shd w:val="clear" w:color="auto" w:fill="auto"/>
            <w:textDirection w:val="btLr"/>
            <w:vAlign w:val="center"/>
            <w:hideMark/>
          </w:tcPr>
          <w:p w14:paraId="5F2C388B"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General</w:t>
            </w:r>
          </w:p>
        </w:tc>
        <w:tc>
          <w:tcPr>
            <w:tcW w:w="44" w:type="pct"/>
            <w:shd w:val="clear" w:color="auto" w:fill="auto"/>
            <w:textDirection w:val="btLr"/>
            <w:vAlign w:val="center"/>
            <w:hideMark/>
          </w:tcPr>
          <w:p w14:paraId="3E8227A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Externo</w:t>
            </w:r>
          </w:p>
        </w:tc>
        <w:tc>
          <w:tcPr>
            <w:tcW w:w="44" w:type="pct"/>
            <w:shd w:val="clear" w:color="auto" w:fill="auto"/>
            <w:textDirection w:val="btLr"/>
            <w:vAlign w:val="center"/>
            <w:hideMark/>
          </w:tcPr>
          <w:p w14:paraId="2239095E"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Ejecución</w:t>
            </w:r>
          </w:p>
        </w:tc>
        <w:tc>
          <w:tcPr>
            <w:tcW w:w="44" w:type="pct"/>
            <w:shd w:val="clear" w:color="auto" w:fill="auto"/>
            <w:textDirection w:val="btLr"/>
            <w:vAlign w:val="center"/>
            <w:hideMark/>
          </w:tcPr>
          <w:p w14:paraId="012915B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Social</w:t>
            </w:r>
          </w:p>
        </w:tc>
        <w:tc>
          <w:tcPr>
            <w:tcW w:w="565" w:type="pct"/>
            <w:shd w:val="clear" w:color="auto" w:fill="auto"/>
            <w:vAlign w:val="center"/>
            <w:hideMark/>
          </w:tcPr>
          <w:p w14:paraId="2033F583"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Orden Público</w:t>
            </w:r>
          </w:p>
        </w:tc>
        <w:tc>
          <w:tcPr>
            <w:tcW w:w="586" w:type="pct"/>
            <w:shd w:val="clear" w:color="auto" w:fill="auto"/>
            <w:vAlign w:val="center"/>
            <w:hideMark/>
          </w:tcPr>
          <w:p w14:paraId="045E741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 xml:space="preserve">Paros, manifestaciones, protestas de la comunidad y/o gremios que impidan la correcta ejecución de las </w:t>
            </w:r>
            <w:r w:rsidRPr="006F5CA6">
              <w:rPr>
                <w:rFonts w:ascii="Arial" w:hAnsi="Arial" w:cs="Arial"/>
                <w:sz w:val="12"/>
                <w:szCs w:val="12"/>
                <w:lang w:val="es-CO" w:eastAsia="es-CO"/>
              </w:rPr>
              <w:lastRenderedPageBreak/>
              <w:t>actividades del contrato</w:t>
            </w:r>
          </w:p>
        </w:tc>
        <w:tc>
          <w:tcPr>
            <w:tcW w:w="396" w:type="pct"/>
            <w:shd w:val="clear" w:color="auto" w:fill="auto"/>
            <w:vAlign w:val="center"/>
            <w:hideMark/>
          </w:tcPr>
          <w:p w14:paraId="3699537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 xml:space="preserve">No poder ejecutar correctamente sus actividades, y por ende afectar el normal desarrollo de las </w:t>
            </w:r>
            <w:r w:rsidRPr="006F5CA6">
              <w:rPr>
                <w:rFonts w:ascii="Arial" w:hAnsi="Arial" w:cs="Arial"/>
                <w:sz w:val="12"/>
                <w:szCs w:val="12"/>
                <w:lang w:val="es-CO" w:eastAsia="es-CO"/>
              </w:rPr>
              <w:lastRenderedPageBreak/>
              <w:t>funciones de la entidad.</w:t>
            </w:r>
          </w:p>
        </w:tc>
        <w:tc>
          <w:tcPr>
            <w:tcW w:w="78" w:type="pct"/>
            <w:shd w:val="clear" w:color="auto" w:fill="auto"/>
            <w:vAlign w:val="center"/>
            <w:hideMark/>
          </w:tcPr>
          <w:p w14:paraId="3324C787"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lastRenderedPageBreak/>
              <w:t>2</w:t>
            </w:r>
          </w:p>
        </w:tc>
        <w:tc>
          <w:tcPr>
            <w:tcW w:w="53" w:type="pct"/>
            <w:shd w:val="clear" w:color="auto" w:fill="auto"/>
            <w:vAlign w:val="center"/>
            <w:hideMark/>
          </w:tcPr>
          <w:p w14:paraId="2507516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2</w:t>
            </w:r>
          </w:p>
        </w:tc>
        <w:tc>
          <w:tcPr>
            <w:tcW w:w="67" w:type="pct"/>
            <w:shd w:val="clear" w:color="auto" w:fill="auto"/>
            <w:vAlign w:val="center"/>
            <w:hideMark/>
          </w:tcPr>
          <w:p w14:paraId="24CB6BBC"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4</w:t>
            </w:r>
          </w:p>
        </w:tc>
        <w:tc>
          <w:tcPr>
            <w:tcW w:w="114" w:type="pct"/>
            <w:shd w:val="clear" w:color="auto" w:fill="auto"/>
            <w:textDirection w:val="btLr"/>
            <w:vAlign w:val="center"/>
            <w:hideMark/>
          </w:tcPr>
          <w:p w14:paraId="2AF0DA6C"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96" w:type="pct"/>
            <w:shd w:val="clear" w:color="auto" w:fill="auto"/>
            <w:vAlign w:val="center"/>
            <w:hideMark/>
          </w:tcPr>
          <w:p w14:paraId="74F833E1" w14:textId="77777777" w:rsidR="00E015AD" w:rsidRPr="006F5CA6" w:rsidRDefault="00E015AD" w:rsidP="00745FC3">
            <w:pPr>
              <w:jc w:val="both"/>
              <w:rPr>
                <w:rFonts w:ascii="Arial" w:hAnsi="Arial" w:cs="Arial"/>
                <w:sz w:val="12"/>
                <w:szCs w:val="12"/>
                <w:lang w:val="es-CO" w:eastAsia="es-CO"/>
              </w:rPr>
            </w:pPr>
          </w:p>
        </w:tc>
        <w:tc>
          <w:tcPr>
            <w:tcW w:w="234" w:type="pct"/>
            <w:shd w:val="clear" w:color="auto" w:fill="auto"/>
            <w:vAlign w:val="center"/>
            <w:hideMark/>
          </w:tcPr>
          <w:p w14:paraId="70EB25FD"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100% contratista si no realiza socialización del proyecto</w:t>
            </w:r>
          </w:p>
        </w:tc>
        <w:tc>
          <w:tcPr>
            <w:tcW w:w="518" w:type="pct"/>
            <w:shd w:val="clear" w:color="auto" w:fill="auto"/>
            <w:vAlign w:val="center"/>
            <w:hideMark/>
          </w:tcPr>
          <w:p w14:paraId="081D4071"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Reducir las consecuencias o el impacto del riesgo a través de planes de contingencia</w:t>
            </w:r>
          </w:p>
        </w:tc>
        <w:tc>
          <w:tcPr>
            <w:tcW w:w="94" w:type="pct"/>
            <w:shd w:val="clear" w:color="auto" w:fill="auto"/>
            <w:vAlign w:val="center"/>
            <w:hideMark/>
          </w:tcPr>
          <w:p w14:paraId="653DE752"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12E01E71"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1</w:t>
            </w:r>
          </w:p>
        </w:tc>
        <w:tc>
          <w:tcPr>
            <w:tcW w:w="94" w:type="pct"/>
            <w:shd w:val="clear" w:color="auto" w:fill="auto"/>
            <w:vAlign w:val="center"/>
            <w:hideMark/>
          </w:tcPr>
          <w:p w14:paraId="3AFC8CDF"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2</w:t>
            </w:r>
          </w:p>
        </w:tc>
        <w:tc>
          <w:tcPr>
            <w:tcW w:w="152" w:type="pct"/>
            <w:shd w:val="clear" w:color="auto" w:fill="auto"/>
            <w:textDirection w:val="btLr"/>
            <w:vAlign w:val="center"/>
            <w:hideMark/>
          </w:tcPr>
          <w:p w14:paraId="05B52D38" w14:textId="77777777" w:rsidR="00E015AD" w:rsidRPr="006F5CA6" w:rsidRDefault="00E015AD" w:rsidP="00745FC3">
            <w:pPr>
              <w:jc w:val="center"/>
              <w:rPr>
                <w:rFonts w:ascii="Arial" w:hAnsi="Arial" w:cs="Arial"/>
                <w:sz w:val="12"/>
                <w:szCs w:val="12"/>
                <w:lang w:val="es-CO" w:eastAsia="es-CO"/>
              </w:rPr>
            </w:pPr>
            <w:r w:rsidRPr="006F5CA6">
              <w:rPr>
                <w:rFonts w:ascii="Arial" w:hAnsi="Arial" w:cs="Arial"/>
                <w:sz w:val="12"/>
                <w:szCs w:val="12"/>
                <w:lang w:val="es-CO" w:eastAsia="es-CO"/>
              </w:rPr>
              <w:t>Riesgo Bajo</w:t>
            </w:r>
          </w:p>
        </w:tc>
        <w:tc>
          <w:tcPr>
            <w:tcW w:w="114" w:type="pct"/>
            <w:shd w:val="clear" w:color="auto" w:fill="auto"/>
            <w:vAlign w:val="center"/>
            <w:hideMark/>
          </w:tcPr>
          <w:p w14:paraId="12946788" w14:textId="77777777" w:rsidR="00E015AD" w:rsidRPr="006F5CA6" w:rsidRDefault="00E015AD" w:rsidP="00745FC3">
            <w:pPr>
              <w:jc w:val="both"/>
              <w:rPr>
                <w:rFonts w:ascii="Arial" w:hAnsi="Arial" w:cs="Arial"/>
                <w:sz w:val="12"/>
                <w:szCs w:val="12"/>
                <w:lang w:val="es-CO" w:eastAsia="es-CO"/>
              </w:rPr>
            </w:pPr>
          </w:p>
        </w:tc>
        <w:tc>
          <w:tcPr>
            <w:tcW w:w="195" w:type="pct"/>
            <w:shd w:val="clear" w:color="auto" w:fill="auto"/>
            <w:vAlign w:val="center"/>
            <w:hideMark/>
          </w:tcPr>
          <w:p w14:paraId="625489FF"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Contratista</w:t>
            </w:r>
          </w:p>
        </w:tc>
        <w:tc>
          <w:tcPr>
            <w:tcW w:w="313" w:type="pct"/>
            <w:shd w:val="clear" w:color="auto" w:fill="auto"/>
            <w:vAlign w:val="center"/>
            <w:hideMark/>
          </w:tcPr>
          <w:p w14:paraId="603EE150"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Desde el inicio de la ejecución</w:t>
            </w:r>
          </w:p>
        </w:tc>
        <w:tc>
          <w:tcPr>
            <w:tcW w:w="273" w:type="pct"/>
            <w:shd w:val="clear" w:color="auto" w:fill="auto"/>
            <w:vAlign w:val="center"/>
            <w:hideMark/>
          </w:tcPr>
          <w:p w14:paraId="6756A68E"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Terminación del contrato</w:t>
            </w:r>
          </w:p>
        </w:tc>
        <w:tc>
          <w:tcPr>
            <w:tcW w:w="312" w:type="pct"/>
            <w:shd w:val="clear" w:color="auto" w:fill="auto"/>
            <w:vAlign w:val="center"/>
            <w:hideMark/>
          </w:tcPr>
          <w:p w14:paraId="02409664"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A través de notificaciones oficiales</w:t>
            </w:r>
          </w:p>
        </w:tc>
        <w:tc>
          <w:tcPr>
            <w:tcW w:w="352" w:type="pct"/>
            <w:shd w:val="clear" w:color="auto" w:fill="auto"/>
            <w:vAlign w:val="center"/>
            <w:hideMark/>
          </w:tcPr>
          <w:p w14:paraId="02D63706" w14:textId="77777777" w:rsidR="00E015AD" w:rsidRPr="006F5CA6" w:rsidRDefault="00E015AD" w:rsidP="00745FC3">
            <w:pPr>
              <w:jc w:val="both"/>
              <w:rPr>
                <w:rFonts w:ascii="Arial" w:hAnsi="Arial" w:cs="Arial"/>
                <w:sz w:val="12"/>
                <w:szCs w:val="12"/>
                <w:lang w:val="es-CO" w:eastAsia="es-CO"/>
              </w:rPr>
            </w:pPr>
            <w:r w:rsidRPr="006F5CA6">
              <w:rPr>
                <w:rFonts w:ascii="Arial" w:hAnsi="Arial" w:cs="Arial"/>
                <w:sz w:val="12"/>
                <w:szCs w:val="12"/>
                <w:lang w:val="es-CO" w:eastAsia="es-CO"/>
              </w:rPr>
              <w:t>Conforme a la periodicidad descrita en el contrato</w:t>
            </w:r>
          </w:p>
        </w:tc>
      </w:tr>
    </w:tbl>
    <w:p w14:paraId="5E56912A" w14:textId="77777777" w:rsidR="00E015AD" w:rsidRPr="006F5CA6" w:rsidRDefault="00E015AD" w:rsidP="00E015AD">
      <w:pPr>
        <w:jc w:val="both"/>
        <w:rPr>
          <w:rFonts w:ascii="Arial" w:hAnsi="Arial" w:cs="Arial"/>
          <w:sz w:val="22"/>
          <w:szCs w:val="22"/>
        </w:rPr>
      </w:pPr>
    </w:p>
    <w:p w14:paraId="0C1E2E60" w14:textId="77777777" w:rsidR="00E015AD" w:rsidRPr="006F5CA6" w:rsidRDefault="00E015AD" w:rsidP="002B4D08">
      <w:pPr>
        <w:jc w:val="both"/>
        <w:rPr>
          <w:rFonts w:ascii="Arial" w:eastAsia="Times New Roman" w:hAnsi="Arial" w:cs="Arial"/>
          <w:sz w:val="22"/>
          <w:szCs w:val="22"/>
          <w:lang w:eastAsia="es-CO"/>
        </w:rPr>
      </w:pPr>
    </w:p>
    <w:sectPr w:rsidR="00E015AD" w:rsidRPr="006F5CA6" w:rsidSect="0019430D">
      <w:type w:val="continuous"/>
      <w:pgSz w:w="12240" w:h="15840"/>
      <w:pgMar w:top="2307" w:right="1701" w:bottom="1418" w:left="1701" w:header="568" w:footer="3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F9773" w14:textId="77777777" w:rsidR="0019430D" w:rsidRDefault="0019430D" w:rsidP="00343BA3">
      <w:r>
        <w:separator/>
      </w:r>
    </w:p>
  </w:endnote>
  <w:endnote w:type="continuationSeparator" w:id="0">
    <w:p w14:paraId="588E74F6" w14:textId="77777777" w:rsidR="0019430D" w:rsidRDefault="0019430D" w:rsidP="00343BA3">
      <w:r>
        <w:continuationSeparator/>
      </w:r>
    </w:p>
  </w:endnote>
  <w:endnote w:type="continuationNotice" w:id="1">
    <w:p w14:paraId="1F749347" w14:textId="77777777" w:rsidR="0019430D" w:rsidRDefault="001943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KaiTi">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A345C" w14:textId="505CC144" w:rsidR="00745FC3" w:rsidRDefault="00745FC3" w:rsidP="006F5CA6">
    <w:pPr>
      <w:pStyle w:val="Piedepgina"/>
      <w:tabs>
        <w:tab w:val="clear" w:pos="4320"/>
        <w:tab w:val="clear" w:pos="8640"/>
        <w:tab w:val="left" w:pos="2105"/>
      </w:tabs>
    </w:pPr>
    <w:r>
      <w:tab/>
    </w:r>
  </w:p>
  <w:p w14:paraId="4CC788FC" w14:textId="77777777" w:rsidR="00745FC3" w:rsidRPr="00561E54" w:rsidRDefault="00745FC3" w:rsidP="00561E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2718E" w14:textId="77777777" w:rsidR="0019430D" w:rsidRDefault="0019430D" w:rsidP="00343BA3">
      <w:r>
        <w:separator/>
      </w:r>
    </w:p>
  </w:footnote>
  <w:footnote w:type="continuationSeparator" w:id="0">
    <w:p w14:paraId="227AB7DB" w14:textId="77777777" w:rsidR="0019430D" w:rsidRDefault="0019430D" w:rsidP="00343BA3">
      <w:r>
        <w:continuationSeparator/>
      </w:r>
    </w:p>
  </w:footnote>
  <w:footnote w:type="continuationNotice" w:id="1">
    <w:p w14:paraId="74875FDF" w14:textId="77777777" w:rsidR="0019430D" w:rsidRDefault="001943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DDAF9" w14:textId="77777777" w:rsidR="00745FC3" w:rsidRDefault="00745FC3" w:rsidP="006F5CA6">
    <w:pPr>
      <w:pStyle w:val="Textoindependiente"/>
      <w:spacing w:line="14" w:lineRule="auto"/>
    </w:pPr>
  </w:p>
  <w:p w14:paraId="0CCBFDAD" w14:textId="77777777" w:rsidR="00745FC3" w:rsidRDefault="00745FC3" w:rsidP="006F5CA6">
    <w:pPr>
      <w:pStyle w:val="Textoindependiente"/>
      <w:spacing w:line="14" w:lineRule="auto"/>
    </w:pPr>
  </w:p>
  <w:p w14:paraId="08CF9F6E" w14:textId="77777777" w:rsidR="00745FC3" w:rsidRDefault="00745FC3" w:rsidP="006F5CA6">
    <w:pPr>
      <w:pStyle w:val="Textoindependiente"/>
      <w:spacing w:line="14" w:lineRule="auto"/>
    </w:pPr>
  </w:p>
  <w:p w14:paraId="42E7395F" w14:textId="73482C52" w:rsidR="00745FC3" w:rsidRDefault="00745FC3" w:rsidP="006F5CA6">
    <w:pPr>
      <w:tabs>
        <w:tab w:val="center" w:pos="4419"/>
        <w:tab w:val="right" w:pos="7088"/>
      </w:tabs>
      <w:ind w:right="709"/>
      <w:jc w:val="right"/>
      <w:rPr>
        <w:rFonts w:ascii="Arial" w:eastAsia="Arial" w:hAnsi="Arial" w:cs="Arial"/>
        <w:i/>
        <w:sz w:val="18"/>
        <w:szCs w:val="18"/>
        <w:lang w:eastAsia="es-CO"/>
      </w:rPr>
    </w:pPr>
    <w:r w:rsidRPr="00726A0A">
      <w:rPr>
        <w:rFonts w:ascii="Arial" w:eastAsia="Arial" w:hAnsi="Arial" w:cs="Arial"/>
        <w:i/>
        <w:sz w:val="18"/>
        <w:szCs w:val="18"/>
        <w:lang w:eastAsia="es-CO"/>
      </w:rPr>
      <w:t xml:space="preserve">                                                                                                 </w:t>
    </w:r>
  </w:p>
  <w:p w14:paraId="73C222BB" w14:textId="32D92B3E" w:rsidR="00745FC3" w:rsidRDefault="00745FC3" w:rsidP="00745FC3">
    <w:pPr>
      <w:tabs>
        <w:tab w:val="center" w:pos="4419"/>
        <w:tab w:val="right" w:pos="7088"/>
      </w:tabs>
      <w:ind w:right="49"/>
      <w:jc w:val="right"/>
      <w:rPr>
        <w:rFonts w:ascii="Verdana" w:eastAsia="Arial" w:hAnsi="Verdana" w:cs="Arial"/>
        <w:sz w:val="18"/>
        <w:szCs w:val="18"/>
        <w:lang w:eastAsia="es-CO"/>
      </w:rPr>
    </w:pPr>
    <w:r w:rsidRPr="00726A0A">
      <w:rPr>
        <w:rFonts w:ascii="Arial" w:eastAsia="Arial" w:hAnsi="Arial" w:cs="Arial"/>
        <w:i/>
        <w:sz w:val="18"/>
        <w:szCs w:val="18"/>
        <w:lang w:eastAsia="es-CO"/>
      </w:rPr>
      <w:t xml:space="preserve">        </w:t>
    </w:r>
    <w:r w:rsidRPr="00946298">
      <w:rPr>
        <w:rFonts w:ascii="Verdana" w:eastAsia="Arial" w:hAnsi="Verdana" w:cs="Arial"/>
        <w:sz w:val="18"/>
        <w:szCs w:val="18"/>
        <w:lang w:eastAsia="es-CO"/>
      </w:rPr>
      <w:t xml:space="preserve">  </w:t>
    </w:r>
  </w:p>
  <w:p w14:paraId="22056BAD" w14:textId="77777777" w:rsidR="00745FC3" w:rsidRDefault="00745FC3" w:rsidP="006F5CA6">
    <w:pPr>
      <w:keepNext/>
      <w:ind w:right="709"/>
      <w:jc w:val="right"/>
      <w:outlineLvl w:val="0"/>
      <w:rPr>
        <w:rFonts w:ascii="Verdana" w:eastAsia="Arial" w:hAnsi="Verdana" w:cs="Arial"/>
        <w:sz w:val="18"/>
        <w:szCs w:val="18"/>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380DCA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2933459"/>
    <w:multiLevelType w:val="hybridMultilevel"/>
    <w:tmpl w:val="EC005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CA75BE"/>
    <w:multiLevelType w:val="hybridMultilevel"/>
    <w:tmpl w:val="493AB82C"/>
    <w:lvl w:ilvl="0" w:tplc="3B1E609A">
      <w:start w:val="1"/>
      <w:numFmt w:val="lowerLetter"/>
      <w:pStyle w:val="Ttulo4"/>
      <w:lvlText w:val="(%1)"/>
      <w:lvlJc w:val="left"/>
      <w:pPr>
        <w:ind w:left="107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36437"/>
    <w:multiLevelType w:val="hybridMultilevel"/>
    <w:tmpl w:val="D026F786"/>
    <w:lvl w:ilvl="0" w:tplc="366A0E1C">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34723C5D"/>
    <w:multiLevelType w:val="hybridMultilevel"/>
    <w:tmpl w:val="008C78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37951028"/>
    <w:multiLevelType w:val="hybridMultilevel"/>
    <w:tmpl w:val="F89863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BB26DC4"/>
    <w:multiLevelType w:val="hybridMultilevel"/>
    <w:tmpl w:val="96B8815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0EA0901"/>
    <w:multiLevelType w:val="hybridMultilevel"/>
    <w:tmpl w:val="265CF6CE"/>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051F87"/>
    <w:multiLevelType w:val="hybridMultilevel"/>
    <w:tmpl w:val="72F0E5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50034F68"/>
    <w:multiLevelType w:val="multilevel"/>
    <w:tmpl w:val="FE28F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2017D8"/>
    <w:multiLevelType w:val="hybridMultilevel"/>
    <w:tmpl w:val="F4EA49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CA7929"/>
    <w:multiLevelType w:val="hybridMultilevel"/>
    <w:tmpl w:val="F558E8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B731E6"/>
    <w:multiLevelType w:val="hybridMultilevel"/>
    <w:tmpl w:val="FBF6C9A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EE411AB"/>
    <w:multiLevelType w:val="hybridMultilevel"/>
    <w:tmpl w:val="9A923B48"/>
    <w:lvl w:ilvl="0" w:tplc="240A000F">
      <w:start w:val="1"/>
      <w:numFmt w:val="decimal"/>
      <w:lvlText w:val="%1."/>
      <w:lvlJc w:val="left"/>
      <w:pPr>
        <w:ind w:left="720" w:hanging="360"/>
      </w:pPr>
      <w:rPr>
        <w:rFonts w:hint="default"/>
      </w:rPr>
    </w:lvl>
    <w:lvl w:ilvl="1" w:tplc="B3CE5614">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FA62F15"/>
    <w:multiLevelType w:val="hybridMultilevel"/>
    <w:tmpl w:val="5948B782"/>
    <w:lvl w:ilvl="0" w:tplc="240A0001">
      <w:start w:val="1"/>
      <w:numFmt w:val="bullet"/>
      <w:lvlText w:val=""/>
      <w:lvlJc w:val="left"/>
      <w:pPr>
        <w:ind w:left="720" w:hanging="360"/>
      </w:pPr>
      <w:rPr>
        <w:rFonts w:ascii="Symbol" w:hAnsi="Symbol" w:hint="default"/>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32C5ED4"/>
    <w:multiLevelType w:val="hybridMultilevel"/>
    <w:tmpl w:val="70B08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1550F1"/>
    <w:multiLevelType w:val="hybridMultilevel"/>
    <w:tmpl w:val="95043750"/>
    <w:lvl w:ilvl="0" w:tplc="366A0E1C">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4D51BA1"/>
    <w:multiLevelType w:val="hybridMultilevel"/>
    <w:tmpl w:val="616E4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B97F86"/>
    <w:multiLevelType w:val="hybridMultilevel"/>
    <w:tmpl w:val="0FE0624C"/>
    <w:lvl w:ilvl="0" w:tplc="5518D364">
      <w:start w:val="1"/>
      <w:numFmt w:val="decimal"/>
      <w:lvlText w:val="%1."/>
      <w:lvlJc w:val="left"/>
      <w:pPr>
        <w:ind w:left="340" w:hanging="202"/>
      </w:pPr>
      <w:rPr>
        <w:rFonts w:ascii="Arial MT" w:eastAsia="Arial MT" w:hAnsi="Arial MT" w:cs="Arial MT" w:hint="default"/>
        <w:spacing w:val="-1"/>
        <w:w w:val="82"/>
        <w:sz w:val="22"/>
        <w:szCs w:val="22"/>
        <w:lang w:val="es-ES" w:eastAsia="en-US" w:bidi="ar-SA"/>
      </w:rPr>
    </w:lvl>
    <w:lvl w:ilvl="1" w:tplc="3A10E616">
      <w:numFmt w:val="bullet"/>
      <w:lvlText w:val="•"/>
      <w:lvlJc w:val="left"/>
      <w:pPr>
        <w:ind w:left="1306" w:hanging="202"/>
      </w:pPr>
      <w:rPr>
        <w:rFonts w:hint="default"/>
        <w:lang w:val="es-ES" w:eastAsia="en-US" w:bidi="ar-SA"/>
      </w:rPr>
    </w:lvl>
    <w:lvl w:ilvl="2" w:tplc="A0F09606">
      <w:numFmt w:val="bullet"/>
      <w:lvlText w:val="•"/>
      <w:lvlJc w:val="left"/>
      <w:pPr>
        <w:ind w:left="2272" w:hanging="202"/>
      </w:pPr>
      <w:rPr>
        <w:rFonts w:hint="default"/>
        <w:lang w:val="es-ES" w:eastAsia="en-US" w:bidi="ar-SA"/>
      </w:rPr>
    </w:lvl>
    <w:lvl w:ilvl="3" w:tplc="F26CCB1E">
      <w:numFmt w:val="bullet"/>
      <w:lvlText w:val="•"/>
      <w:lvlJc w:val="left"/>
      <w:pPr>
        <w:ind w:left="3238" w:hanging="202"/>
      </w:pPr>
      <w:rPr>
        <w:rFonts w:hint="default"/>
        <w:lang w:val="es-ES" w:eastAsia="en-US" w:bidi="ar-SA"/>
      </w:rPr>
    </w:lvl>
    <w:lvl w:ilvl="4" w:tplc="FC18D800">
      <w:numFmt w:val="bullet"/>
      <w:lvlText w:val="•"/>
      <w:lvlJc w:val="left"/>
      <w:pPr>
        <w:ind w:left="4204" w:hanging="202"/>
      </w:pPr>
      <w:rPr>
        <w:rFonts w:hint="default"/>
        <w:lang w:val="es-ES" w:eastAsia="en-US" w:bidi="ar-SA"/>
      </w:rPr>
    </w:lvl>
    <w:lvl w:ilvl="5" w:tplc="0ACEF2BA">
      <w:numFmt w:val="bullet"/>
      <w:lvlText w:val="•"/>
      <w:lvlJc w:val="left"/>
      <w:pPr>
        <w:ind w:left="5170" w:hanging="202"/>
      </w:pPr>
      <w:rPr>
        <w:rFonts w:hint="default"/>
        <w:lang w:val="es-ES" w:eastAsia="en-US" w:bidi="ar-SA"/>
      </w:rPr>
    </w:lvl>
    <w:lvl w:ilvl="6" w:tplc="7B00488C">
      <w:numFmt w:val="bullet"/>
      <w:lvlText w:val="•"/>
      <w:lvlJc w:val="left"/>
      <w:pPr>
        <w:ind w:left="6136" w:hanging="202"/>
      </w:pPr>
      <w:rPr>
        <w:rFonts w:hint="default"/>
        <w:lang w:val="es-ES" w:eastAsia="en-US" w:bidi="ar-SA"/>
      </w:rPr>
    </w:lvl>
    <w:lvl w:ilvl="7" w:tplc="A10489BC">
      <w:numFmt w:val="bullet"/>
      <w:lvlText w:val="•"/>
      <w:lvlJc w:val="left"/>
      <w:pPr>
        <w:ind w:left="7102" w:hanging="202"/>
      </w:pPr>
      <w:rPr>
        <w:rFonts w:hint="default"/>
        <w:lang w:val="es-ES" w:eastAsia="en-US" w:bidi="ar-SA"/>
      </w:rPr>
    </w:lvl>
    <w:lvl w:ilvl="8" w:tplc="74A0BC44">
      <w:numFmt w:val="bullet"/>
      <w:lvlText w:val="•"/>
      <w:lvlJc w:val="left"/>
      <w:pPr>
        <w:ind w:left="8068" w:hanging="202"/>
      </w:pPr>
      <w:rPr>
        <w:rFonts w:hint="default"/>
        <w:lang w:val="es-ES" w:eastAsia="en-US" w:bidi="ar-SA"/>
      </w:rPr>
    </w:lvl>
  </w:abstractNum>
  <w:abstractNum w:abstractNumId="22" w15:restartNumberingAfterBreak="0">
    <w:nsid w:val="6D674652"/>
    <w:multiLevelType w:val="hybridMultilevel"/>
    <w:tmpl w:val="8E8048DA"/>
    <w:lvl w:ilvl="0" w:tplc="8D1AAC4C">
      <w:start w:val="1"/>
      <w:numFmt w:val="upperRoman"/>
      <w:pStyle w:val="Ttulo1"/>
      <w:lvlText w:val="%1."/>
      <w:lvlJc w:val="right"/>
      <w:pPr>
        <w:ind w:left="502" w:hanging="360"/>
      </w:pPr>
    </w:lvl>
    <w:lvl w:ilvl="1" w:tplc="2940DD30">
      <w:start w:val="1"/>
      <w:numFmt w:val="decimal"/>
      <w:lvlText w:val="%2."/>
      <w:lvlJc w:val="left"/>
      <w:pPr>
        <w:ind w:left="1440" w:hanging="360"/>
      </w:pPr>
      <w:rPr>
        <w:rFonts w:hint="default"/>
        <w:b w:val="0"/>
      </w:rPr>
    </w:lvl>
    <w:lvl w:ilvl="2" w:tplc="240A001B">
      <w:start w:val="1"/>
      <w:numFmt w:val="lowerRoman"/>
      <w:lvlText w:val="%3."/>
      <w:lvlJc w:val="right"/>
      <w:pPr>
        <w:ind w:left="2160" w:hanging="180"/>
      </w:pPr>
    </w:lvl>
    <w:lvl w:ilvl="3" w:tplc="7428BFB0">
      <w:start w:val="1"/>
      <w:numFmt w:val="decimal"/>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800917"/>
    <w:multiLevelType w:val="hybridMultilevel"/>
    <w:tmpl w:val="C0760A5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9895B37"/>
    <w:multiLevelType w:val="hybridMultilevel"/>
    <w:tmpl w:val="15108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78147F"/>
    <w:multiLevelType w:val="hybridMultilevel"/>
    <w:tmpl w:val="14F8C69A"/>
    <w:lvl w:ilvl="0" w:tplc="B0B479E8">
      <w:numFmt w:val="bullet"/>
      <w:lvlText w:val="•"/>
      <w:lvlJc w:val="left"/>
      <w:pPr>
        <w:ind w:left="72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3205F5"/>
    <w:multiLevelType w:val="hybridMultilevel"/>
    <w:tmpl w:val="A3546BEA"/>
    <w:lvl w:ilvl="0" w:tplc="04090001">
      <w:start w:val="1"/>
      <w:numFmt w:val="bullet"/>
      <w:lvlText w:val=""/>
      <w:lvlJc w:val="left"/>
      <w:pPr>
        <w:ind w:left="1011" w:hanging="360"/>
      </w:pPr>
      <w:rPr>
        <w:rFonts w:ascii="Symbol" w:hAnsi="Symbol" w:hint="default"/>
      </w:rPr>
    </w:lvl>
    <w:lvl w:ilvl="1" w:tplc="04090003" w:tentative="1">
      <w:start w:val="1"/>
      <w:numFmt w:val="bullet"/>
      <w:lvlText w:val="o"/>
      <w:lvlJc w:val="left"/>
      <w:pPr>
        <w:ind w:left="1731" w:hanging="360"/>
      </w:pPr>
      <w:rPr>
        <w:rFonts w:ascii="Courier New" w:hAnsi="Courier New" w:cs="Courier New" w:hint="default"/>
      </w:rPr>
    </w:lvl>
    <w:lvl w:ilvl="2" w:tplc="04090005" w:tentative="1">
      <w:start w:val="1"/>
      <w:numFmt w:val="bullet"/>
      <w:lvlText w:val=""/>
      <w:lvlJc w:val="left"/>
      <w:pPr>
        <w:ind w:left="2451" w:hanging="360"/>
      </w:pPr>
      <w:rPr>
        <w:rFonts w:ascii="Wingdings" w:hAnsi="Wingdings" w:hint="default"/>
      </w:rPr>
    </w:lvl>
    <w:lvl w:ilvl="3" w:tplc="04090001" w:tentative="1">
      <w:start w:val="1"/>
      <w:numFmt w:val="bullet"/>
      <w:lvlText w:val=""/>
      <w:lvlJc w:val="left"/>
      <w:pPr>
        <w:ind w:left="3171" w:hanging="360"/>
      </w:pPr>
      <w:rPr>
        <w:rFonts w:ascii="Symbol" w:hAnsi="Symbol" w:hint="default"/>
      </w:rPr>
    </w:lvl>
    <w:lvl w:ilvl="4" w:tplc="04090003" w:tentative="1">
      <w:start w:val="1"/>
      <w:numFmt w:val="bullet"/>
      <w:lvlText w:val="o"/>
      <w:lvlJc w:val="left"/>
      <w:pPr>
        <w:ind w:left="3891" w:hanging="360"/>
      </w:pPr>
      <w:rPr>
        <w:rFonts w:ascii="Courier New" w:hAnsi="Courier New" w:cs="Courier New" w:hint="default"/>
      </w:rPr>
    </w:lvl>
    <w:lvl w:ilvl="5" w:tplc="04090005" w:tentative="1">
      <w:start w:val="1"/>
      <w:numFmt w:val="bullet"/>
      <w:lvlText w:val=""/>
      <w:lvlJc w:val="left"/>
      <w:pPr>
        <w:ind w:left="4611" w:hanging="360"/>
      </w:pPr>
      <w:rPr>
        <w:rFonts w:ascii="Wingdings" w:hAnsi="Wingdings" w:hint="default"/>
      </w:rPr>
    </w:lvl>
    <w:lvl w:ilvl="6" w:tplc="04090001" w:tentative="1">
      <w:start w:val="1"/>
      <w:numFmt w:val="bullet"/>
      <w:lvlText w:val=""/>
      <w:lvlJc w:val="left"/>
      <w:pPr>
        <w:ind w:left="5331" w:hanging="360"/>
      </w:pPr>
      <w:rPr>
        <w:rFonts w:ascii="Symbol" w:hAnsi="Symbol" w:hint="default"/>
      </w:rPr>
    </w:lvl>
    <w:lvl w:ilvl="7" w:tplc="04090003" w:tentative="1">
      <w:start w:val="1"/>
      <w:numFmt w:val="bullet"/>
      <w:lvlText w:val="o"/>
      <w:lvlJc w:val="left"/>
      <w:pPr>
        <w:ind w:left="6051" w:hanging="360"/>
      </w:pPr>
      <w:rPr>
        <w:rFonts w:ascii="Courier New" w:hAnsi="Courier New" w:cs="Courier New" w:hint="default"/>
      </w:rPr>
    </w:lvl>
    <w:lvl w:ilvl="8" w:tplc="04090005" w:tentative="1">
      <w:start w:val="1"/>
      <w:numFmt w:val="bullet"/>
      <w:lvlText w:val=""/>
      <w:lvlJc w:val="left"/>
      <w:pPr>
        <w:ind w:left="6771" w:hanging="360"/>
      </w:pPr>
      <w:rPr>
        <w:rFonts w:ascii="Wingdings" w:hAnsi="Wingdings" w:hint="default"/>
      </w:rPr>
    </w:lvl>
  </w:abstractNum>
  <w:num w:numId="1" w16cid:durableId="108933947">
    <w:abstractNumId w:val="22"/>
  </w:num>
  <w:num w:numId="2" w16cid:durableId="1367563048">
    <w:abstractNumId w:val="0"/>
  </w:num>
  <w:num w:numId="3" w16cid:durableId="665282182">
    <w:abstractNumId w:val="2"/>
  </w:num>
  <w:num w:numId="4" w16cid:durableId="1462842497">
    <w:abstractNumId w:val="9"/>
  </w:num>
  <w:num w:numId="5" w16cid:durableId="1766609896">
    <w:abstractNumId w:val="19"/>
  </w:num>
  <w:num w:numId="6" w16cid:durableId="1214733352">
    <w:abstractNumId w:val="4"/>
  </w:num>
  <w:num w:numId="7" w16cid:durableId="772283618">
    <w:abstractNumId w:val="16"/>
  </w:num>
  <w:num w:numId="8" w16cid:durableId="1872961603">
    <w:abstractNumId w:val="7"/>
  </w:num>
  <w:num w:numId="9" w16cid:durableId="1341740009">
    <w:abstractNumId w:val="6"/>
  </w:num>
  <w:num w:numId="10" w16cid:durableId="1646005786">
    <w:abstractNumId w:val="15"/>
  </w:num>
  <w:num w:numId="11" w16cid:durableId="938487829">
    <w:abstractNumId w:val="12"/>
  </w:num>
  <w:num w:numId="12" w16cid:durableId="603610802">
    <w:abstractNumId w:val="18"/>
  </w:num>
  <w:num w:numId="13" w16cid:durableId="848956489">
    <w:abstractNumId w:val="25"/>
  </w:num>
  <w:num w:numId="14" w16cid:durableId="604774989">
    <w:abstractNumId w:val="8"/>
  </w:num>
  <w:num w:numId="15" w16cid:durableId="1690638211">
    <w:abstractNumId w:val="3"/>
  </w:num>
  <w:num w:numId="16" w16cid:durableId="372194496">
    <w:abstractNumId w:val="10"/>
  </w:num>
  <w:num w:numId="17" w16cid:durableId="1595091445">
    <w:abstractNumId w:val="13"/>
  </w:num>
  <w:num w:numId="18" w16cid:durableId="787696802">
    <w:abstractNumId w:val="21"/>
  </w:num>
  <w:num w:numId="19" w16cid:durableId="1567379348">
    <w:abstractNumId w:val="26"/>
  </w:num>
  <w:num w:numId="20" w16cid:durableId="1762409019">
    <w:abstractNumId w:val="20"/>
  </w:num>
  <w:num w:numId="21" w16cid:durableId="1224096944">
    <w:abstractNumId w:val="14"/>
  </w:num>
  <w:num w:numId="22" w16cid:durableId="724137785">
    <w:abstractNumId w:val="23"/>
  </w:num>
  <w:num w:numId="23" w16cid:durableId="958268912">
    <w:abstractNumId w:val="11"/>
  </w:num>
  <w:num w:numId="24" w16cid:durableId="2131001259">
    <w:abstractNumId w:val="24"/>
  </w:num>
  <w:num w:numId="25" w16cid:durableId="1058670040">
    <w:abstractNumId w:val="1"/>
  </w:num>
  <w:num w:numId="26" w16cid:durableId="968894501">
    <w:abstractNumId w:val="17"/>
  </w:num>
  <w:num w:numId="27" w16cid:durableId="1078478476">
    <w:abstractNumId w:val="5"/>
  </w:num>
  <w:num w:numId="28" w16cid:durableId="251427192">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BA3"/>
    <w:rsid w:val="00000240"/>
    <w:rsid w:val="00000413"/>
    <w:rsid w:val="00000685"/>
    <w:rsid w:val="000017D3"/>
    <w:rsid w:val="00002BF0"/>
    <w:rsid w:val="000043CB"/>
    <w:rsid w:val="000131CC"/>
    <w:rsid w:val="00016068"/>
    <w:rsid w:val="00022541"/>
    <w:rsid w:val="0002484E"/>
    <w:rsid w:val="00026075"/>
    <w:rsid w:val="00027F5F"/>
    <w:rsid w:val="0003340E"/>
    <w:rsid w:val="000338D2"/>
    <w:rsid w:val="00035C79"/>
    <w:rsid w:val="000409A9"/>
    <w:rsid w:val="00044C62"/>
    <w:rsid w:val="00053885"/>
    <w:rsid w:val="00057503"/>
    <w:rsid w:val="00057D70"/>
    <w:rsid w:val="000621E6"/>
    <w:rsid w:val="00062599"/>
    <w:rsid w:val="0006434B"/>
    <w:rsid w:val="00064895"/>
    <w:rsid w:val="0006659B"/>
    <w:rsid w:val="00066B56"/>
    <w:rsid w:val="00070AB7"/>
    <w:rsid w:val="00073704"/>
    <w:rsid w:val="00073D9F"/>
    <w:rsid w:val="00075AEA"/>
    <w:rsid w:val="00076EF5"/>
    <w:rsid w:val="00076F0C"/>
    <w:rsid w:val="00080B24"/>
    <w:rsid w:val="00084383"/>
    <w:rsid w:val="00086C8D"/>
    <w:rsid w:val="00087D94"/>
    <w:rsid w:val="00090B9C"/>
    <w:rsid w:val="000910A9"/>
    <w:rsid w:val="00092100"/>
    <w:rsid w:val="00093185"/>
    <w:rsid w:val="000934F2"/>
    <w:rsid w:val="000938FC"/>
    <w:rsid w:val="000957B9"/>
    <w:rsid w:val="00096526"/>
    <w:rsid w:val="000A360C"/>
    <w:rsid w:val="000B0806"/>
    <w:rsid w:val="000B0F97"/>
    <w:rsid w:val="000B152A"/>
    <w:rsid w:val="000B2BC7"/>
    <w:rsid w:val="000B3DCC"/>
    <w:rsid w:val="000B5FF0"/>
    <w:rsid w:val="000B6C69"/>
    <w:rsid w:val="000B7779"/>
    <w:rsid w:val="000C0929"/>
    <w:rsid w:val="000C11E5"/>
    <w:rsid w:val="000C2BC1"/>
    <w:rsid w:val="000D2B62"/>
    <w:rsid w:val="000D319C"/>
    <w:rsid w:val="000D3D75"/>
    <w:rsid w:val="000D45F4"/>
    <w:rsid w:val="000D6AAE"/>
    <w:rsid w:val="000D6CDC"/>
    <w:rsid w:val="000D7E84"/>
    <w:rsid w:val="000E2F56"/>
    <w:rsid w:val="000E2FCB"/>
    <w:rsid w:val="000E4EF9"/>
    <w:rsid w:val="000E5090"/>
    <w:rsid w:val="000F0559"/>
    <w:rsid w:val="000F0CC4"/>
    <w:rsid w:val="000F5DFF"/>
    <w:rsid w:val="0010347E"/>
    <w:rsid w:val="00104C8F"/>
    <w:rsid w:val="00105D94"/>
    <w:rsid w:val="00107F58"/>
    <w:rsid w:val="00110A1D"/>
    <w:rsid w:val="00110C5D"/>
    <w:rsid w:val="00111075"/>
    <w:rsid w:val="0011222B"/>
    <w:rsid w:val="001145D3"/>
    <w:rsid w:val="00114A05"/>
    <w:rsid w:val="00117B3B"/>
    <w:rsid w:val="00120875"/>
    <w:rsid w:val="001215AE"/>
    <w:rsid w:val="00123C63"/>
    <w:rsid w:val="00124735"/>
    <w:rsid w:val="00125043"/>
    <w:rsid w:val="00126632"/>
    <w:rsid w:val="001273D5"/>
    <w:rsid w:val="001310D7"/>
    <w:rsid w:val="00132214"/>
    <w:rsid w:val="00137127"/>
    <w:rsid w:val="001375F6"/>
    <w:rsid w:val="00141795"/>
    <w:rsid w:val="00142770"/>
    <w:rsid w:val="00143362"/>
    <w:rsid w:val="00147362"/>
    <w:rsid w:val="001607A4"/>
    <w:rsid w:val="001650DB"/>
    <w:rsid w:val="001653D1"/>
    <w:rsid w:val="00167A62"/>
    <w:rsid w:val="00170D8F"/>
    <w:rsid w:val="00171B76"/>
    <w:rsid w:val="0017288C"/>
    <w:rsid w:val="00177D39"/>
    <w:rsid w:val="00181300"/>
    <w:rsid w:val="00181E52"/>
    <w:rsid w:val="00181EFC"/>
    <w:rsid w:val="0018247C"/>
    <w:rsid w:val="00182DBC"/>
    <w:rsid w:val="001831C6"/>
    <w:rsid w:val="00183FB9"/>
    <w:rsid w:val="00184071"/>
    <w:rsid w:val="001854E2"/>
    <w:rsid w:val="00185C0B"/>
    <w:rsid w:val="00185D84"/>
    <w:rsid w:val="00186FF4"/>
    <w:rsid w:val="00187283"/>
    <w:rsid w:val="00187917"/>
    <w:rsid w:val="001914DA"/>
    <w:rsid w:val="0019430D"/>
    <w:rsid w:val="0019542E"/>
    <w:rsid w:val="00195E43"/>
    <w:rsid w:val="0019765F"/>
    <w:rsid w:val="001A0F38"/>
    <w:rsid w:val="001A350D"/>
    <w:rsid w:val="001A3945"/>
    <w:rsid w:val="001A5871"/>
    <w:rsid w:val="001A5A8A"/>
    <w:rsid w:val="001B1D57"/>
    <w:rsid w:val="001B257D"/>
    <w:rsid w:val="001B3C94"/>
    <w:rsid w:val="001B5342"/>
    <w:rsid w:val="001B788B"/>
    <w:rsid w:val="001C2BA4"/>
    <w:rsid w:val="001C4EEF"/>
    <w:rsid w:val="001C58F3"/>
    <w:rsid w:val="001C668F"/>
    <w:rsid w:val="001C7261"/>
    <w:rsid w:val="001C72E4"/>
    <w:rsid w:val="001C7E7D"/>
    <w:rsid w:val="001D30D7"/>
    <w:rsid w:val="001D4092"/>
    <w:rsid w:val="001D42C9"/>
    <w:rsid w:val="001D7D42"/>
    <w:rsid w:val="001E031E"/>
    <w:rsid w:val="001E1710"/>
    <w:rsid w:val="001E2C87"/>
    <w:rsid w:val="001E50C7"/>
    <w:rsid w:val="001E590C"/>
    <w:rsid w:val="001E75DC"/>
    <w:rsid w:val="001F1099"/>
    <w:rsid w:val="001F3B80"/>
    <w:rsid w:val="001F3F8A"/>
    <w:rsid w:val="001F5959"/>
    <w:rsid w:val="001F5BE2"/>
    <w:rsid w:val="001F71A8"/>
    <w:rsid w:val="00201693"/>
    <w:rsid w:val="00204532"/>
    <w:rsid w:val="00204896"/>
    <w:rsid w:val="00205D1D"/>
    <w:rsid w:val="00206BF5"/>
    <w:rsid w:val="00206C50"/>
    <w:rsid w:val="002073C0"/>
    <w:rsid w:val="00211532"/>
    <w:rsid w:val="00213AB5"/>
    <w:rsid w:val="002147A7"/>
    <w:rsid w:val="00222E1B"/>
    <w:rsid w:val="00223DBD"/>
    <w:rsid w:val="00241362"/>
    <w:rsid w:val="00241397"/>
    <w:rsid w:val="002418B3"/>
    <w:rsid w:val="0024417E"/>
    <w:rsid w:val="00244B9C"/>
    <w:rsid w:val="00246838"/>
    <w:rsid w:val="0024766D"/>
    <w:rsid w:val="00252364"/>
    <w:rsid w:val="002548BB"/>
    <w:rsid w:val="002555C3"/>
    <w:rsid w:val="002579F5"/>
    <w:rsid w:val="00263D8E"/>
    <w:rsid w:val="002670C8"/>
    <w:rsid w:val="002679A7"/>
    <w:rsid w:val="00270A58"/>
    <w:rsid w:val="00271819"/>
    <w:rsid w:val="00271CAE"/>
    <w:rsid w:val="002749DF"/>
    <w:rsid w:val="00275B26"/>
    <w:rsid w:val="00281A1E"/>
    <w:rsid w:val="00281CBB"/>
    <w:rsid w:val="0028204D"/>
    <w:rsid w:val="002820FA"/>
    <w:rsid w:val="002876BC"/>
    <w:rsid w:val="002910F9"/>
    <w:rsid w:val="00291635"/>
    <w:rsid w:val="00292039"/>
    <w:rsid w:val="0029295D"/>
    <w:rsid w:val="00292DB9"/>
    <w:rsid w:val="002959F1"/>
    <w:rsid w:val="00296CE8"/>
    <w:rsid w:val="002978E9"/>
    <w:rsid w:val="002A092C"/>
    <w:rsid w:val="002A343C"/>
    <w:rsid w:val="002A3942"/>
    <w:rsid w:val="002A4C18"/>
    <w:rsid w:val="002A6E69"/>
    <w:rsid w:val="002B20CF"/>
    <w:rsid w:val="002B4A6C"/>
    <w:rsid w:val="002B4D08"/>
    <w:rsid w:val="002B6648"/>
    <w:rsid w:val="002B749D"/>
    <w:rsid w:val="002C012A"/>
    <w:rsid w:val="002C1AF3"/>
    <w:rsid w:val="002C3037"/>
    <w:rsid w:val="002C38B1"/>
    <w:rsid w:val="002C6E61"/>
    <w:rsid w:val="002C770F"/>
    <w:rsid w:val="002C7AB2"/>
    <w:rsid w:val="002C7D9F"/>
    <w:rsid w:val="002D15D3"/>
    <w:rsid w:val="002D16D4"/>
    <w:rsid w:val="002D2339"/>
    <w:rsid w:val="002D2EDD"/>
    <w:rsid w:val="002D3133"/>
    <w:rsid w:val="002D414E"/>
    <w:rsid w:val="002E1F61"/>
    <w:rsid w:val="002E35E9"/>
    <w:rsid w:val="002E39BD"/>
    <w:rsid w:val="002E57F8"/>
    <w:rsid w:val="002F0B67"/>
    <w:rsid w:val="002F0E12"/>
    <w:rsid w:val="002F1E9E"/>
    <w:rsid w:val="002F434D"/>
    <w:rsid w:val="002F6F98"/>
    <w:rsid w:val="00301237"/>
    <w:rsid w:val="0030445A"/>
    <w:rsid w:val="00314DAB"/>
    <w:rsid w:val="0031604D"/>
    <w:rsid w:val="00321E50"/>
    <w:rsid w:val="00322D0A"/>
    <w:rsid w:val="00324480"/>
    <w:rsid w:val="003249D1"/>
    <w:rsid w:val="0033098B"/>
    <w:rsid w:val="00331B2E"/>
    <w:rsid w:val="00331CDC"/>
    <w:rsid w:val="003327B3"/>
    <w:rsid w:val="00335685"/>
    <w:rsid w:val="003363EC"/>
    <w:rsid w:val="00340C6D"/>
    <w:rsid w:val="00343BA3"/>
    <w:rsid w:val="00344D46"/>
    <w:rsid w:val="003455CB"/>
    <w:rsid w:val="0034561E"/>
    <w:rsid w:val="003471E2"/>
    <w:rsid w:val="003512AB"/>
    <w:rsid w:val="00351DF1"/>
    <w:rsid w:val="0035298D"/>
    <w:rsid w:val="00353D78"/>
    <w:rsid w:val="0036114C"/>
    <w:rsid w:val="00363F4A"/>
    <w:rsid w:val="003646EF"/>
    <w:rsid w:val="003703E2"/>
    <w:rsid w:val="00371046"/>
    <w:rsid w:val="003731F2"/>
    <w:rsid w:val="0037646F"/>
    <w:rsid w:val="00376DEC"/>
    <w:rsid w:val="00380182"/>
    <w:rsid w:val="00380FE2"/>
    <w:rsid w:val="00381B33"/>
    <w:rsid w:val="0038342B"/>
    <w:rsid w:val="0038426B"/>
    <w:rsid w:val="00385AF3"/>
    <w:rsid w:val="00386BDF"/>
    <w:rsid w:val="003877C2"/>
    <w:rsid w:val="00397728"/>
    <w:rsid w:val="003A07EB"/>
    <w:rsid w:val="003A130B"/>
    <w:rsid w:val="003A2A7F"/>
    <w:rsid w:val="003A3FDA"/>
    <w:rsid w:val="003A4492"/>
    <w:rsid w:val="003B2EE4"/>
    <w:rsid w:val="003B3753"/>
    <w:rsid w:val="003B37D4"/>
    <w:rsid w:val="003B530C"/>
    <w:rsid w:val="003B626E"/>
    <w:rsid w:val="003B7515"/>
    <w:rsid w:val="003C03F5"/>
    <w:rsid w:val="003C1644"/>
    <w:rsid w:val="003C25ED"/>
    <w:rsid w:val="003C2A55"/>
    <w:rsid w:val="003D1C77"/>
    <w:rsid w:val="003E00CC"/>
    <w:rsid w:val="003E08C9"/>
    <w:rsid w:val="003E1796"/>
    <w:rsid w:val="003E2A14"/>
    <w:rsid w:val="003E3859"/>
    <w:rsid w:val="003F125A"/>
    <w:rsid w:val="003F1A69"/>
    <w:rsid w:val="003F24B0"/>
    <w:rsid w:val="003F2DD0"/>
    <w:rsid w:val="003F364C"/>
    <w:rsid w:val="003F3A6C"/>
    <w:rsid w:val="003F4038"/>
    <w:rsid w:val="003F4E16"/>
    <w:rsid w:val="00402257"/>
    <w:rsid w:val="0040348D"/>
    <w:rsid w:val="004038E3"/>
    <w:rsid w:val="004073DE"/>
    <w:rsid w:val="004179F9"/>
    <w:rsid w:val="00420DA4"/>
    <w:rsid w:val="00421B21"/>
    <w:rsid w:val="0042463C"/>
    <w:rsid w:val="00424C10"/>
    <w:rsid w:val="00427139"/>
    <w:rsid w:val="00430483"/>
    <w:rsid w:val="00436FA2"/>
    <w:rsid w:val="00437AC9"/>
    <w:rsid w:val="00442566"/>
    <w:rsid w:val="00447617"/>
    <w:rsid w:val="004479FF"/>
    <w:rsid w:val="0045262D"/>
    <w:rsid w:val="00455202"/>
    <w:rsid w:val="004561F7"/>
    <w:rsid w:val="00456A72"/>
    <w:rsid w:val="00461DEA"/>
    <w:rsid w:val="00462F67"/>
    <w:rsid w:val="00463262"/>
    <w:rsid w:val="00463F54"/>
    <w:rsid w:val="00464CB7"/>
    <w:rsid w:val="00465387"/>
    <w:rsid w:val="00467EE9"/>
    <w:rsid w:val="00470994"/>
    <w:rsid w:val="00472216"/>
    <w:rsid w:val="00473000"/>
    <w:rsid w:val="00473130"/>
    <w:rsid w:val="004746A8"/>
    <w:rsid w:val="00475799"/>
    <w:rsid w:val="00475CB8"/>
    <w:rsid w:val="004767E7"/>
    <w:rsid w:val="004768B2"/>
    <w:rsid w:val="00476B58"/>
    <w:rsid w:val="0047700B"/>
    <w:rsid w:val="00480601"/>
    <w:rsid w:val="00480E42"/>
    <w:rsid w:val="00481698"/>
    <w:rsid w:val="004824C7"/>
    <w:rsid w:val="00486EB9"/>
    <w:rsid w:val="00487C6B"/>
    <w:rsid w:val="00491CBE"/>
    <w:rsid w:val="00493D22"/>
    <w:rsid w:val="00493E4D"/>
    <w:rsid w:val="004A0B03"/>
    <w:rsid w:val="004A1868"/>
    <w:rsid w:val="004A6109"/>
    <w:rsid w:val="004B251B"/>
    <w:rsid w:val="004B4F57"/>
    <w:rsid w:val="004B54CB"/>
    <w:rsid w:val="004B6A16"/>
    <w:rsid w:val="004B7725"/>
    <w:rsid w:val="004C0950"/>
    <w:rsid w:val="004C2025"/>
    <w:rsid w:val="004C20A4"/>
    <w:rsid w:val="004C5273"/>
    <w:rsid w:val="004C6375"/>
    <w:rsid w:val="004C67EE"/>
    <w:rsid w:val="004C71E3"/>
    <w:rsid w:val="004C739A"/>
    <w:rsid w:val="004D02FF"/>
    <w:rsid w:val="004D14CD"/>
    <w:rsid w:val="004D204F"/>
    <w:rsid w:val="004D31A8"/>
    <w:rsid w:val="004D3355"/>
    <w:rsid w:val="004D3F11"/>
    <w:rsid w:val="004D5C1A"/>
    <w:rsid w:val="004D7309"/>
    <w:rsid w:val="004E2415"/>
    <w:rsid w:val="004E2FD6"/>
    <w:rsid w:val="004E53E2"/>
    <w:rsid w:val="004E750B"/>
    <w:rsid w:val="004F065A"/>
    <w:rsid w:val="004F0820"/>
    <w:rsid w:val="004F128B"/>
    <w:rsid w:val="004F1E1A"/>
    <w:rsid w:val="004F3E49"/>
    <w:rsid w:val="004F4634"/>
    <w:rsid w:val="004F60EE"/>
    <w:rsid w:val="004F66B0"/>
    <w:rsid w:val="004F74A6"/>
    <w:rsid w:val="004F798B"/>
    <w:rsid w:val="00500132"/>
    <w:rsid w:val="00502B29"/>
    <w:rsid w:val="0050337C"/>
    <w:rsid w:val="005047B8"/>
    <w:rsid w:val="00505EEC"/>
    <w:rsid w:val="00506680"/>
    <w:rsid w:val="00507F7C"/>
    <w:rsid w:val="00512994"/>
    <w:rsid w:val="005136CE"/>
    <w:rsid w:val="00514255"/>
    <w:rsid w:val="005149AE"/>
    <w:rsid w:val="00514E20"/>
    <w:rsid w:val="005156B3"/>
    <w:rsid w:val="00516DD9"/>
    <w:rsid w:val="00520CA2"/>
    <w:rsid w:val="00522655"/>
    <w:rsid w:val="00522D68"/>
    <w:rsid w:val="00526DCF"/>
    <w:rsid w:val="0053323E"/>
    <w:rsid w:val="00533CC6"/>
    <w:rsid w:val="005357B8"/>
    <w:rsid w:val="005357D1"/>
    <w:rsid w:val="00536340"/>
    <w:rsid w:val="00536546"/>
    <w:rsid w:val="0054166B"/>
    <w:rsid w:val="00543A3F"/>
    <w:rsid w:val="00545E90"/>
    <w:rsid w:val="0054652F"/>
    <w:rsid w:val="0055027C"/>
    <w:rsid w:val="00550893"/>
    <w:rsid w:val="0055177F"/>
    <w:rsid w:val="00551C70"/>
    <w:rsid w:val="0055429C"/>
    <w:rsid w:val="00555C19"/>
    <w:rsid w:val="00561E54"/>
    <w:rsid w:val="0056398B"/>
    <w:rsid w:val="00563AD2"/>
    <w:rsid w:val="00563CCE"/>
    <w:rsid w:val="00567393"/>
    <w:rsid w:val="005679F6"/>
    <w:rsid w:val="005731F4"/>
    <w:rsid w:val="00573567"/>
    <w:rsid w:val="00575746"/>
    <w:rsid w:val="00576AA4"/>
    <w:rsid w:val="0058041B"/>
    <w:rsid w:val="00580DAA"/>
    <w:rsid w:val="005813AA"/>
    <w:rsid w:val="005822B4"/>
    <w:rsid w:val="005847D3"/>
    <w:rsid w:val="00584DF6"/>
    <w:rsid w:val="00585978"/>
    <w:rsid w:val="005872CF"/>
    <w:rsid w:val="005915AA"/>
    <w:rsid w:val="005929F8"/>
    <w:rsid w:val="005A0591"/>
    <w:rsid w:val="005A08C2"/>
    <w:rsid w:val="005A12B7"/>
    <w:rsid w:val="005A22BE"/>
    <w:rsid w:val="005A2EC2"/>
    <w:rsid w:val="005A334B"/>
    <w:rsid w:val="005A3452"/>
    <w:rsid w:val="005A4A7B"/>
    <w:rsid w:val="005A5FDD"/>
    <w:rsid w:val="005B0562"/>
    <w:rsid w:val="005B3CA2"/>
    <w:rsid w:val="005B3CB3"/>
    <w:rsid w:val="005B4534"/>
    <w:rsid w:val="005B4D0E"/>
    <w:rsid w:val="005B56BB"/>
    <w:rsid w:val="005C13FD"/>
    <w:rsid w:val="005C68BA"/>
    <w:rsid w:val="005C6C52"/>
    <w:rsid w:val="005D0973"/>
    <w:rsid w:val="005D1146"/>
    <w:rsid w:val="005D14E1"/>
    <w:rsid w:val="005D255B"/>
    <w:rsid w:val="005D2DF6"/>
    <w:rsid w:val="005D390E"/>
    <w:rsid w:val="005E0187"/>
    <w:rsid w:val="005E24EA"/>
    <w:rsid w:val="005E2880"/>
    <w:rsid w:val="005F0051"/>
    <w:rsid w:val="005F20CC"/>
    <w:rsid w:val="005F4121"/>
    <w:rsid w:val="005F60C6"/>
    <w:rsid w:val="00600165"/>
    <w:rsid w:val="006010CA"/>
    <w:rsid w:val="00601508"/>
    <w:rsid w:val="00602C76"/>
    <w:rsid w:val="006034C8"/>
    <w:rsid w:val="00610362"/>
    <w:rsid w:val="00614751"/>
    <w:rsid w:val="00616A85"/>
    <w:rsid w:val="006171EA"/>
    <w:rsid w:val="00620886"/>
    <w:rsid w:val="0062123E"/>
    <w:rsid w:val="006220E2"/>
    <w:rsid w:val="006242F0"/>
    <w:rsid w:val="0062542D"/>
    <w:rsid w:val="00625ABD"/>
    <w:rsid w:val="00632084"/>
    <w:rsid w:val="006326B2"/>
    <w:rsid w:val="00632929"/>
    <w:rsid w:val="006357A1"/>
    <w:rsid w:val="0064186D"/>
    <w:rsid w:val="00645317"/>
    <w:rsid w:val="00645AB6"/>
    <w:rsid w:val="00645B45"/>
    <w:rsid w:val="0064790C"/>
    <w:rsid w:val="006508D3"/>
    <w:rsid w:val="00654916"/>
    <w:rsid w:val="00654C50"/>
    <w:rsid w:val="00663824"/>
    <w:rsid w:val="006655C7"/>
    <w:rsid w:val="00665CBF"/>
    <w:rsid w:val="00665F01"/>
    <w:rsid w:val="00667F7C"/>
    <w:rsid w:val="00673602"/>
    <w:rsid w:val="006745F5"/>
    <w:rsid w:val="00675DCA"/>
    <w:rsid w:val="00675E36"/>
    <w:rsid w:val="006764CC"/>
    <w:rsid w:val="00680FA3"/>
    <w:rsid w:val="00681F7F"/>
    <w:rsid w:val="006846EC"/>
    <w:rsid w:val="006865CD"/>
    <w:rsid w:val="006872DB"/>
    <w:rsid w:val="0068781F"/>
    <w:rsid w:val="00687B14"/>
    <w:rsid w:val="00692177"/>
    <w:rsid w:val="006926AE"/>
    <w:rsid w:val="00695B00"/>
    <w:rsid w:val="00696254"/>
    <w:rsid w:val="00697BEC"/>
    <w:rsid w:val="006A12A8"/>
    <w:rsid w:val="006A1A7E"/>
    <w:rsid w:val="006A1FBA"/>
    <w:rsid w:val="006A2ABA"/>
    <w:rsid w:val="006A683D"/>
    <w:rsid w:val="006A6AAB"/>
    <w:rsid w:val="006A7A62"/>
    <w:rsid w:val="006B0982"/>
    <w:rsid w:val="006B137F"/>
    <w:rsid w:val="006B1B04"/>
    <w:rsid w:val="006B42F5"/>
    <w:rsid w:val="006B5512"/>
    <w:rsid w:val="006C0304"/>
    <w:rsid w:val="006C2DD9"/>
    <w:rsid w:val="006C4887"/>
    <w:rsid w:val="006D084A"/>
    <w:rsid w:val="006D188D"/>
    <w:rsid w:val="006D2C92"/>
    <w:rsid w:val="006D4C79"/>
    <w:rsid w:val="006D4CD2"/>
    <w:rsid w:val="006D5F01"/>
    <w:rsid w:val="006D60DD"/>
    <w:rsid w:val="006D6C8D"/>
    <w:rsid w:val="006E0154"/>
    <w:rsid w:val="006E3E0D"/>
    <w:rsid w:val="006E46C1"/>
    <w:rsid w:val="006E5A3D"/>
    <w:rsid w:val="006F09A0"/>
    <w:rsid w:val="006F13EF"/>
    <w:rsid w:val="006F3183"/>
    <w:rsid w:val="006F3244"/>
    <w:rsid w:val="006F32EB"/>
    <w:rsid w:val="006F35FC"/>
    <w:rsid w:val="006F3852"/>
    <w:rsid w:val="006F50F9"/>
    <w:rsid w:val="006F5CA6"/>
    <w:rsid w:val="006F7AD4"/>
    <w:rsid w:val="006F7C01"/>
    <w:rsid w:val="00701B0D"/>
    <w:rsid w:val="00702C24"/>
    <w:rsid w:val="00702FBD"/>
    <w:rsid w:val="00703178"/>
    <w:rsid w:val="00705247"/>
    <w:rsid w:val="007057D4"/>
    <w:rsid w:val="00706988"/>
    <w:rsid w:val="00710491"/>
    <w:rsid w:val="00711C50"/>
    <w:rsid w:val="00713377"/>
    <w:rsid w:val="0071511B"/>
    <w:rsid w:val="007202B1"/>
    <w:rsid w:val="007218CD"/>
    <w:rsid w:val="00722A52"/>
    <w:rsid w:val="00723468"/>
    <w:rsid w:val="0072487E"/>
    <w:rsid w:val="00726004"/>
    <w:rsid w:val="0073103F"/>
    <w:rsid w:val="00731EC1"/>
    <w:rsid w:val="00735F34"/>
    <w:rsid w:val="00736213"/>
    <w:rsid w:val="00740404"/>
    <w:rsid w:val="007409E8"/>
    <w:rsid w:val="00742A01"/>
    <w:rsid w:val="00744D00"/>
    <w:rsid w:val="00745522"/>
    <w:rsid w:val="0074568A"/>
    <w:rsid w:val="00745FC3"/>
    <w:rsid w:val="00752F14"/>
    <w:rsid w:val="00754AD9"/>
    <w:rsid w:val="007552ED"/>
    <w:rsid w:val="0075544F"/>
    <w:rsid w:val="00757C86"/>
    <w:rsid w:val="00757D8A"/>
    <w:rsid w:val="0076095B"/>
    <w:rsid w:val="00760D14"/>
    <w:rsid w:val="00760E31"/>
    <w:rsid w:val="00761164"/>
    <w:rsid w:val="00763263"/>
    <w:rsid w:val="00766B8D"/>
    <w:rsid w:val="00770715"/>
    <w:rsid w:val="00772454"/>
    <w:rsid w:val="00777CD1"/>
    <w:rsid w:val="00781944"/>
    <w:rsid w:val="00786453"/>
    <w:rsid w:val="00786739"/>
    <w:rsid w:val="007901FA"/>
    <w:rsid w:val="00793A37"/>
    <w:rsid w:val="00793E8C"/>
    <w:rsid w:val="00793EA5"/>
    <w:rsid w:val="007941E7"/>
    <w:rsid w:val="00795A1D"/>
    <w:rsid w:val="007A0E71"/>
    <w:rsid w:val="007A4979"/>
    <w:rsid w:val="007A4E68"/>
    <w:rsid w:val="007A57E3"/>
    <w:rsid w:val="007A6DE2"/>
    <w:rsid w:val="007A6FCC"/>
    <w:rsid w:val="007B0F44"/>
    <w:rsid w:val="007B4375"/>
    <w:rsid w:val="007B4A75"/>
    <w:rsid w:val="007B67A5"/>
    <w:rsid w:val="007B6B15"/>
    <w:rsid w:val="007C1C0C"/>
    <w:rsid w:val="007C25A1"/>
    <w:rsid w:val="007C32F2"/>
    <w:rsid w:val="007C38B0"/>
    <w:rsid w:val="007C3DE5"/>
    <w:rsid w:val="007C49AC"/>
    <w:rsid w:val="007C4C0B"/>
    <w:rsid w:val="007C5BD1"/>
    <w:rsid w:val="007C67E6"/>
    <w:rsid w:val="007C7164"/>
    <w:rsid w:val="007D54CC"/>
    <w:rsid w:val="007E1933"/>
    <w:rsid w:val="007E3007"/>
    <w:rsid w:val="007E324A"/>
    <w:rsid w:val="007F0118"/>
    <w:rsid w:val="007F13AB"/>
    <w:rsid w:val="007F53A2"/>
    <w:rsid w:val="00806E50"/>
    <w:rsid w:val="008070C4"/>
    <w:rsid w:val="008073E6"/>
    <w:rsid w:val="008102F5"/>
    <w:rsid w:val="008114B0"/>
    <w:rsid w:val="008115A9"/>
    <w:rsid w:val="008119A1"/>
    <w:rsid w:val="008157E9"/>
    <w:rsid w:val="00815A8B"/>
    <w:rsid w:val="0081614F"/>
    <w:rsid w:val="008175DA"/>
    <w:rsid w:val="00817F08"/>
    <w:rsid w:val="008202BC"/>
    <w:rsid w:val="00822D9F"/>
    <w:rsid w:val="00825324"/>
    <w:rsid w:val="00825923"/>
    <w:rsid w:val="00827EA9"/>
    <w:rsid w:val="0083227B"/>
    <w:rsid w:val="008326D8"/>
    <w:rsid w:val="00832B50"/>
    <w:rsid w:val="0083623C"/>
    <w:rsid w:val="008364D9"/>
    <w:rsid w:val="00836993"/>
    <w:rsid w:val="00837B0F"/>
    <w:rsid w:val="00842AE2"/>
    <w:rsid w:val="00843BC4"/>
    <w:rsid w:val="008456B0"/>
    <w:rsid w:val="008458D9"/>
    <w:rsid w:val="008471A6"/>
    <w:rsid w:val="0085170B"/>
    <w:rsid w:val="00852A44"/>
    <w:rsid w:val="00853D96"/>
    <w:rsid w:val="00855DC3"/>
    <w:rsid w:val="00856D5E"/>
    <w:rsid w:val="00860C87"/>
    <w:rsid w:val="00860E48"/>
    <w:rsid w:val="008616A8"/>
    <w:rsid w:val="00864515"/>
    <w:rsid w:val="00864C78"/>
    <w:rsid w:val="008652DF"/>
    <w:rsid w:val="00867DE8"/>
    <w:rsid w:val="00874871"/>
    <w:rsid w:val="008807CB"/>
    <w:rsid w:val="00880BAA"/>
    <w:rsid w:val="00883176"/>
    <w:rsid w:val="00883CC0"/>
    <w:rsid w:val="00883EAC"/>
    <w:rsid w:val="0088467F"/>
    <w:rsid w:val="00884BAC"/>
    <w:rsid w:val="00885641"/>
    <w:rsid w:val="0088752F"/>
    <w:rsid w:val="00892705"/>
    <w:rsid w:val="008928C1"/>
    <w:rsid w:val="00894F74"/>
    <w:rsid w:val="008A3C49"/>
    <w:rsid w:val="008A7C21"/>
    <w:rsid w:val="008B0A02"/>
    <w:rsid w:val="008B557F"/>
    <w:rsid w:val="008B7AE2"/>
    <w:rsid w:val="008C1B54"/>
    <w:rsid w:val="008C1D22"/>
    <w:rsid w:val="008C2A77"/>
    <w:rsid w:val="008C5915"/>
    <w:rsid w:val="008C65E5"/>
    <w:rsid w:val="008C6FD5"/>
    <w:rsid w:val="008C74A7"/>
    <w:rsid w:val="008D00A6"/>
    <w:rsid w:val="008D355A"/>
    <w:rsid w:val="008D4846"/>
    <w:rsid w:val="008D4A93"/>
    <w:rsid w:val="008D5159"/>
    <w:rsid w:val="008D6523"/>
    <w:rsid w:val="008D6A16"/>
    <w:rsid w:val="008E0508"/>
    <w:rsid w:val="008E1F51"/>
    <w:rsid w:val="008E3C50"/>
    <w:rsid w:val="008E59D8"/>
    <w:rsid w:val="008E61F2"/>
    <w:rsid w:val="008E642F"/>
    <w:rsid w:val="008E73B5"/>
    <w:rsid w:val="008F07E4"/>
    <w:rsid w:val="008F1357"/>
    <w:rsid w:val="008F3086"/>
    <w:rsid w:val="008F4DD6"/>
    <w:rsid w:val="008F4F4A"/>
    <w:rsid w:val="008F5A1C"/>
    <w:rsid w:val="00900AEF"/>
    <w:rsid w:val="00900B62"/>
    <w:rsid w:val="00902F08"/>
    <w:rsid w:val="009041EC"/>
    <w:rsid w:val="00904F51"/>
    <w:rsid w:val="009076C4"/>
    <w:rsid w:val="00910D84"/>
    <w:rsid w:val="009113ED"/>
    <w:rsid w:val="009134DB"/>
    <w:rsid w:val="00917291"/>
    <w:rsid w:val="00923342"/>
    <w:rsid w:val="0092463B"/>
    <w:rsid w:val="0092696C"/>
    <w:rsid w:val="0093003D"/>
    <w:rsid w:val="00930D8A"/>
    <w:rsid w:val="0093305B"/>
    <w:rsid w:val="00937EB7"/>
    <w:rsid w:val="00941EFA"/>
    <w:rsid w:val="009423EC"/>
    <w:rsid w:val="00944607"/>
    <w:rsid w:val="00944BC9"/>
    <w:rsid w:val="00945F7F"/>
    <w:rsid w:val="00947111"/>
    <w:rsid w:val="00951E3E"/>
    <w:rsid w:val="0095204A"/>
    <w:rsid w:val="00952853"/>
    <w:rsid w:val="00952C68"/>
    <w:rsid w:val="00965EE3"/>
    <w:rsid w:val="00966827"/>
    <w:rsid w:val="0097121F"/>
    <w:rsid w:val="009757BD"/>
    <w:rsid w:val="00976CA9"/>
    <w:rsid w:val="00982388"/>
    <w:rsid w:val="00985B10"/>
    <w:rsid w:val="00985CD5"/>
    <w:rsid w:val="00985D06"/>
    <w:rsid w:val="009911E1"/>
    <w:rsid w:val="00993BE5"/>
    <w:rsid w:val="00993C52"/>
    <w:rsid w:val="009955F0"/>
    <w:rsid w:val="00996675"/>
    <w:rsid w:val="00996BB0"/>
    <w:rsid w:val="00997C66"/>
    <w:rsid w:val="009A1007"/>
    <w:rsid w:val="009A1212"/>
    <w:rsid w:val="009A13A6"/>
    <w:rsid w:val="009A2589"/>
    <w:rsid w:val="009A5FCC"/>
    <w:rsid w:val="009B4800"/>
    <w:rsid w:val="009B6537"/>
    <w:rsid w:val="009C1079"/>
    <w:rsid w:val="009C3722"/>
    <w:rsid w:val="009C3C31"/>
    <w:rsid w:val="009C731E"/>
    <w:rsid w:val="009D3404"/>
    <w:rsid w:val="009D3452"/>
    <w:rsid w:val="009D38EF"/>
    <w:rsid w:val="009D555A"/>
    <w:rsid w:val="009E0AD9"/>
    <w:rsid w:val="009E499F"/>
    <w:rsid w:val="009E4E01"/>
    <w:rsid w:val="009E5209"/>
    <w:rsid w:val="009E67B0"/>
    <w:rsid w:val="009F230A"/>
    <w:rsid w:val="009F5553"/>
    <w:rsid w:val="009F7D33"/>
    <w:rsid w:val="00A05713"/>
    <w:rsid w:val="00A073EC"/>
    <w:rsid w:val="00A0771D"/>
    <w:rsid w:val="00A11278"/>
    <w:rsid w:val="00A13755"/>
    <w:rsid w:val="00A14318"/>
    <w:rsid w:val="00A14441"/>
    <w:rsid w:val="00A156F1"/>
    <w:rsid w:val="00A17C93"/>
    <w:rsid w:val="00A21E78"/>
    <w:rsid w:val="00A2202B"/>
    <w:rsid w:val="00A234BF"/>
    <w:rsid w:val="00A23732"/>
    <w:rsid w:val="00A23AEB"/>
    <w:rsid w:val="00A24368"/>
    <w:rsid w:val="00A26C10"/>
    <w:rsid w:val="00A27167"/>
    <w:rsid w:val="00A3090C"/>
    <w:rsid w:val="00A30972"/>
    <w:rsid w:val="00A32043"/>
    <w:rsid w:val="00A32923"/>
    <w:rsid w:val="00A33007"/>
    <w:rsid w:val="00A33ECB"/>
    <w:rsid w:val="00A34EA2"/>
    <w:rsid w:val="00A377D2"/>
    <w:rsid w:val="00A419BF"/>
    <w:rsid w:val="00A46BB3"/>
    <w:rsid w:val="00A46D30"/>
    <w:rsid w:val="00A5168E"/>
    <w:rsid w:val="00A5662F"/>
    <w:rsid w:val="00A6186A"/>
    <w:rsid w:val="00A637FD"/>
    <w:rsid w:val="00A64813"/>
    <w:rsid w:val="00A652B7"/>
    <w:rsid w:val="00A66217"/>
    <w:rsid w:val="00A67D5C"/>
    <w:rsid w:val="00A723E2"/>
    <w:rsid w:val="00A72489"/>
    <w:rsid w:val="00A73181"/>
    <w:rsid w:val="00A74B24"/>
    <w:rsid w:val="00A75ED8"/>
    <w:rsid w:val="00A76FE4"/>
    <w:rsid w:val="00A779AE"/>
    <w:rsid w:val="00A77A12"/>
    <w:rsid w:val="00A81219"/>
    <w:rsid w:val="00A81DF9"/>
    <w:rsid w:val="00A82825"/>
    <w:rsid w:val="00A82D37"/>
    <w:rsid w:val="00A82E84"/>
    <w:rsid w:val="00A84CCF"/>
    <w:rsid w:val="00A861F9"/>
    <w:rsid w:val="00A86A26"/>
    <w:rsid w:val="00A86D23"/>
    <w:rsid w:val="00A8748C"/>
    <w:rsid w:val="00A876D0"/>
    <w:rsid w:val="00A87E9A"/>
    <w:rsid w:val="00A92656"/>
    <w:rsid w:val="00A93AE6"/>
    <w:rsid w:val="00A955F5"/>
    <w:rsid w:val="00A9713F"/>
    <w:rsid w:val="00A97640"/>
    <w:rsid w:val="00AA1C74"/>
    <w:rsid w:val="00AA370B"/>
    <w:rsid w:val="00AA53F2"/>
    <w:rsid w:val="00AA68E4"/>
    <w:rsid w:val="00AB4CFB"/>
    <w:rsid w:val="00AB4F8E"/>
    <w:rsid w:val="00AC0D0D"/>
    <w:rsid w:val="00AC45AF"/>
    <w:rsid w:val="00AC4661"/>
    <w:rsid w:val="00AC5444"/>
    <w:rsid w:val="00AC7E6B"/>
    <w:rsid w:val="00AD08A5"/>
    <w:rsid w:val="00AD25AF"/>
    <w:rsid w:val="00AD7720"/>
    <w:rsid w:val="00AE0B10"/>
    <w:rsid w:val="00AE39DC"/>
    <w:rsid w:val="00AE59AC"/>
    <w:rsid w:val="00AE729A"/>
    <w:rsid w:val="00AE743E"/>
    <w:rsid w:val="00AE7FAB"/>
    <w:rsid w:val="00AF066F"/>
    <w:rsid w:val="00AF161C"/>
    <w:rsid w:val="00AF1BD6"/>
    <w:rsid w:val="00AF1D24"/>
    <w:rsid w:val="00AF6DAE"/>
    <w:rsid w:val="00AF734D"/>
    <w:rsid w:val="00B03BF8"/>
    <w:rsid w:val="00B040BC"/>
    <w:rsid w:val="00B04ED2"/>
    <w:rsid w:val="00B075A4"/>
    <w:rsid w:val="00B07904"/>
    <w:rsid w:val="00B079E4"/>
    <w:rsid w:val="00B122C0"/>
    <w:rsid w:val="00B155CB"/>
    <w:rsid w:val="00B15CEB"/>
    <w:rsid w:val="00B15F06"/>
    <w:rsid w:val="00B17574"/>
    <w:rsid w:val="00B24ECF"/>
    <w:rsid w:val="00B2682E"/>
    <w:rsid w:val="00B2706D"/>
    <w:rsid w:val="00B31C44"/>
    <w:rsid w:val="00B342C6"/>
    <w:rsid w:val="00B42BD0"/>
    <w:rsid w:val="00B4445A"/>
    <w:rsid w:val="00B4534F"/>
    <w:rsid w:val="00B50161"/>
    <w:rsid w:val="00B512EC"/>
    <w:rsid w:val="00B516B4"/>
    <w:rsid w:val="00B518CD"/>
    <w:rsid w:val="00B51C39"/>
    <w:rsid w:val="00B5411B"/>
    <w:rsid w:val="00B55B40"/>
    <w:rsid w:val="00B55BC4"/>
    <w:rsid w:val="00B56216"/>
    <w:rsid w:val="00B56A31"/>
    <w:rsid w:val="00B572B1"/>
    <w:rsid w:val="00B60E30"/>
    <w:rsid w:val="00B63B69"/>
    <w:rsid w:val="00B669E7"/>
    <w:rsid w:val="00B6775C"/>
    <w:rsid w:val="00B708E7"/>
    <w:rsid w:val="00B70E47"/>
    <w:rsid w:val="00B74AC8"/>
    <w:rsid w:val="00B75753"/>
    <w:rsid w:val="00B7723C"/>
    <w:rsid w:val="00B77F52"/>
    <w:rsid w:val="00B83C5E"/>
    <w:rsid w:val="00B83E1A"/>
    <w:rsid w:val="00B9060C"/>
    <w:rsid w:val="00B9151F"/>
    <w:rsid w:val="00B92925"/>
    <w:rsid w:val="00B9293E"/>
    <w:rsid w:val="00B9634B"/>
    <w:rsid w:val="00B96991"/>
    <w:rsid w:val="00BA005F"/>
    <w:rsid w:val="00BA0D6D"/>
    <w:rsid w:val="00BA1D45"/>
    <w:rsid w:val="00BB1C8A"/>
    <w:rsid w:val="00BB38A1"/>
    <w:rsid w:val="00BB5C5B"/>
    <w:rsid w:val="00BB7549"/>
    <w:rsid w:val="00BC0A18"/>
    <w:rsid w:val="00BC403C"/>
    <w:rsid w:val="00BC489F"/>
    <w:rsid w:val="00BC61F1"/>
    <w:rsid w:val="00BD001E"/>
    <w:rsid w:val="00BD1C47"/>
    <w:rsid w:val="00BD2332"/>
    <w:rsid w:val="00BE053E"/>
    <w:rsid w:val="00BE1016"/>
    <w:rsid w:val="00BE129A"/>
    <w:rsid w:val="00BE1E10"/>
    <w:rsid w:val="00BE24A5"/>
    <w:rsid w:val="00BE4921"/>
    <w:rsid w:val="00BE7A4B"/>
    <w:rsid w:val="00BE7AA2"/>
    <w:rsid w:val="00BF1905"/>
    <w:rsid w:val="00BF273D"/>
    <w:rsid w:val="00BF3D2F"/>
    <w:rsid w:val="00BF44D4"/>
    <w:rsid w:val="00BF6E67"/>
    <w:rsid w:val="00C02C4C"/>
    <w:rsid w:val="00C03B92"/>
    <w:rsid w:val="00C04234"/>
    <w:rsid w:val="00C0469C"/>
    <w:rsid w:val="00C050D9"/>
    <w:rsid w:val="00C05F32"/>
    <w:rsid w:val="00C06E65"/>
    <w:rsid w:val="00C1307D"/>
    <w:rsid w:val="00C146DE"/>
    <w:rsid w:val="00C14A1E"/>
    <w:rsid w:val="00C16CD2"/>
    <w:rsid w:val="00C209B7"/>
    <w:rsid w:val="00C21293"/>
    <w:rsid w:val="00C236AE"/>
    <w:rsid w:val="00C2407A"/>
    <w:rsid w:val="00C26292"/>
    <w:rsid w:val="00C2681F"/>
    <w:rsid w:val="00C33D69"/>
    <w:rsid w:val="00C349A1"/>
    <w:rsid w:val="00C37C39"/>
    <w:rsid w:val="00C4064C"/>
    <w:rsid w:val="00C4297C"/>
    <w:rsid w:val="00C42AD3"/>
    <w:rsid w:val="00C4449A"/>
    <w:rsid w:val="00C4581A"/>
    <w:rsid w:val="00C470F9"/>
    <w:rsid w:val="00C4792F"/>
    <w:rsid w:val="00C47E18"/>
    <w:rsid w:val="00C548E8"/>
    <w:rsid w:val="00C54D93"/>
    <w:rsid w:val="00C56289"/>
    <w:rsid w:val="00C56974"/>
    <w:rsid w:val="00C5769B"/>
    <w:rsid w:val="00C62D5D"/>
    <w:rsid w:val="00C648EC"/>
    <w:rsid w:val="00C64FE4"/>
    <w:rsid w:val="00C65282"/>
    <w:rsid w:val="00C6561B"/>
    <w:rsid w:val="00C65D3E"/>
    <w:rsid w:val="00C67865"/>
    <w:rsid w:val="00C77EED"/>
    <w:rsid w:val="00C77FCC"/>
    <w:rsid w:val="00C835EE"/>
    <w:rsid w:val="00C8556F"/>
    <w:rsid w:val="00C85C91"/>
    <w:rsid w:val="00C92AB1"/>
    <w:rsid w:val="00C92B48"/>
    <w:rsid w:val="00C933CF"/>
    <w:rsid w:val="00C95076"/>
    <w:rsid w:val="00C952FC"/>
    <w:rsid w:val="00C97C54"/>
    <w:rsid w:val="00C97CF1"/>
    <w:rsid w:val="00C97D90"/>
    <w:rsid w:val="00CA24C3"/>
    <w:rsid w:val="00CA2B68"/>
    <w:rsid w:val="00CA376D"/>
    <w:rsid w:val="00CA57EC"/>
    <w:rsid w:val="00CA654F"/>
    <w:rsid w:val="00CA6A2D"/>
    <w:rsid w:val="00CB1032"/>
    <w:rsid w:val="00CB185A"/>
    <w:rsid w:val="00CB24C3"/>
    <w:rsid w:val="00CB2F2A"/>
    <w:rsid w:val="00CB329E"/>
    <w:rsid w:val="00CB6359"/>
    <w:rsid w:val="00CC0A0A"/>
    <w:rsid w:val="00CC2486"/>
    <w:rsid w:val="00CC32B8"/>
    <w:rsid w:val="00CC37F2"/>
    <w:rsid w:val="00CC3EA8"/>
    <w:rsid w:val="00CC3FDB"/>
    <w:rsid w:val="00CC53D3"/>
    <w:rsid w:val="00CC7205"/>
    <w:rsid w:val="00CC74BD"/>
    <w:rsid w:val="00CD04ED"/>
    <w:rsid w:val="00CD335B"/>
    <w:rsid w:val="00CD3A59"/>
    <w:rsid w:val="00CD6161"/>
    <w:rsid w:val="00CD6617"/>
    <w:rsid w:val="00CD6869"/>
    <w:rsid w:val="00CE2F70"/>
    <w:rsid w:val="00CE7EB0"/>
    <w:rsid w:val="00CF0061"/>
    <w:rsid w:val="00CF0D71"/>
    <w:rsid w:val="00CF0FD0"/>
    <w:rsid w:val="00CF1E5F"/>
    <w:rsid w:val="00CF30F5"/>
    <w:rsid w:val="00CF31B1"/>
    <w:rsid w:val="00CF7812"/>
    <w:rsid w:val="00D073FA"/>
    <w:rsid w:val="00D110CF"/>
    <w:rsid w:val="00D13416"/>
    <w:rsid w:val="00D17EF4"/>
    <w:rsid w:val="00D2177E"/>
    <w:rsid w:val="00D21A65"/>
    <w:rsid w:val="00D2362F"/>
    <w:rsid w:val="00D23823"/>
    <w:rsid w:val="00D23B03"/>
    <w:rsid w:val="00D25E98"/>
    <w:rsid w:val="00D2696D"/>
    <w:rsid w:val="00D26C77"/>
    <w:rsid w:val="00D278AE"/>
    <w:rsid w:val="00D31D43"/>
    <w:rsid w:val="00D334B2"/>
    <w:rsid w:val="00D337C7"/>
    <w:rsid w:val="00D34BB1"/>
    <w:rsid w:val="00D360BF"/>
    <w:rsid w:val="00D36355"/>
    <w:rsid w:val="00D36D71"/>
    <w:rsid w:val="00D370A3"/>
    <w:rsid w:val="00D377E0"/>
    <w:rsid w:val="00D4057B"/>
    <w:rsid w:val="00D42238"/>
    <w:rsid w:val="00D45169"/>
    <w:rsid w:val="00D4659B"/>
    <w:rsid w:val="00D46BDA"/>
    <w:rsid w:val="00D46E81"/>
    <w:rsid w:val="00D47759"/>
    <w:rsid w:val="00D555AD"/>
    <w:rsid w:val="00D556B0"/>
    <w:rsid w:val="00D556F6"/>
    <w:rsid w:val="00D60F2C"/>
    <w:rsid w:val="00D617F1"/>
    <w:rsid w:val="00D62865"/>
    <w:rsid w:val="00D62941"/>
    <w:rsid w:val="00D62FB5"/>
    <w:rsid w:val="00D701E3"/>
    <w:rsid w:val="00D71B1A"/>
    <w:rsid w:val="00D72341"/>
    <w:rsid w:val="00D72AA7"/>
    <w:rsid w:val="00D74B61"/>
    <w:rsid w:val="00D77C6E"/>
    <w:rsid w:val="00D811AC"/>
    <w:rsid w:val="00D8126D"/>
    <w:rsid w:val="00D81316"/>
    <w:rsid w:val="00D813FE"/>
    <w:rsid w:val="00D8471A"/>
    <w:rsid w:val="00D872CB"/>
    <w:rsid w:val="00D8763B"/>
    <w:rsid w:val="00D91C7F"/>
    <w:rsid w:val="00D96C16"/>
    <w:rsid w:val="00DA0472"/>
    <w:rsid w:val="00DA4FA2"/>
    <w:rsid w:val="00DB13E7"/>
    <w:rsid w:val="00DB2CED"/>
    <w:rsid w:val="00DB4696"/>
    <w:rsid w:val="00DC622E"/>
    <w:rsid w:val="00DD0F60"/>
    <w:rsid w:val="00DD2D6E"/>
    <w:rsid w:val="00DD377E"/>
    <w:rsid w:val="00DD67B4"/>
    <w:rsid w:val="00DD6D89"/>
    <w:rsid w:val="00DD6FCD"/>
    <w:rsid w:val="00DD7950"/>
    <w:rsid w:val="00DE0D7D"/>
    <w:rsid w:val="00DE27BF"/>
    <w:rsid w:val="00DE33ED"/>
    <w:rsid w:val="00DF3D58"/>
    <w:rsid w:val="00DF3F75"/>
    <w:rsid w:val="00DF6926"/>
    <w:rsid w:val="00DF73C4"/>
    <w:rsid w:val="00E015AD"/>
    <w:rsid w:val="00E02EBC"/>
    <w:rsid w:val="00E1000D"/>
    <w:rsid w:val="00E111FC"/>
    <w:rsid w:val="00E11D6B"/>
    <w:rsid w:val="00E1392E"/>
    <w:rsid w:val="00E168E6"/>
    <w:rsid w:val="00E16F74"/>
    <w:rsid w:val="00E1755F"/>
    <w:rsid w:val="00E1770C"/>
    <w:rsid w:val="00E17A9D"/>
    <w:rsid w:val="00E22200"/>
    <w:rsid w:val="00E23278"/>
    <w:rsid w:val="00E246CE"/>
    <w:rsid w:val="00E24E59"/>
    <w:rsid w:val="00E317FB"/>
    <w:rsid w:val="00E320E6"/>
    <w:rsid w:val="00E32230"/>
    <w:rsid w:val="00E32BB4"/>
    <w:rsid w:val="00E33622"/>
    <w:rsid w:val="00E36FC0"/>
    <w:rsid w:val="00E42EE4"/>
    <w:rsid w:val="00E43383"/>
    <w:rsid w:val="00E473EE"/>
    <w:rsid w:val="00E50C2A"/>
    <w:rsid w:val="00E51663"/>
    <w:rsid w:val="00E52074"/>
    <w:rsid w:val="00E57A6D"/>
    <w:rsid w:val="00E609C9"/>
    <w:rsid w:val="00E62851"/>
    <w:rsid w:val="00E63F05"/>
    <w:rsid w:val="00E671DF"/>
    <w:rsid w:val="00E700BD"/>
    <w:rsid w:val="00E71D5E"/>
    <w:rsid w:val="00E72698"/>
    <w:rsid w:val="00E729B3"/>
    <w:rsid w:val="00E759D0"/>
    <w:rsid w:val="00E76B66"/>
    <w:rsid w:val="00E76C24"/>
    <w:rsid w:val="00E80AD1"/>
    <w:rsid w:val="00E8145F"/>
    <w:rsid w:val="00E827C0"/>
    <w:rsid w:val="00E83BCF"/>
    <w:rsid w:val="00E85BF7"/>
    <w:rsid w:val="00E85F5F"/>
    <w:rsid w:val="00E862B4"/>
    <w:rsid w:val="00E87D1B"/>
    <w:rsid w:val="00E90271"/>
    <w:rsid w:val="00E916CC"/>
    <w:rsid w:val="00E95934"/>
    <w:rsid w:val="00E96635"/>
    <w:rsid w:val="00E9757B"/>
    <w:rsid w:val="00E97820"/>
    <w:rsid w:val="00EA01B8"/>
    <w:rsid w:val="00EA0F86"/>
    <w:rsid w:val="00EA49FA"/>
    <w:rsid w:val="00EB03AC"/>
    <w:rsid w:val="00EB07CD"/>
    <w:rsid w:val="00EB4520"/>
    <w:rsid w:val="00EB52EC"/>
    <w:rsid w:val="00EC0B4C"/>
    <w:rsid w:val="00EC1E5F"/>
    <w:rsid w:val="00EC2B2D"/>
    <w:rsid w:val="00EC32F5"/>
    <w:rsid w:val="00EC7B34"/>
    <w:rsid w:val="00ED0BD1"/>
    <w:rsid w:val="00ED1049"/>
    <w:rsid w:val="00ED1391"/>
    <w:rsid w:val="00ED2FEE"/>
    <w:rsid w:val="00ED39BA"/>
    <w:rsid w:val="00ED4BE1"/>
    <w:rsid w:val="00ED6DEC"/>
    <w:rsid w:val="00EE0484"/>
    <w:rsid w:val="00EE29C0"/>
    <w:rsid w:val="00EE4C5E"/>
    <w:rsid w:val="00EE5619"/>
    <w:rsid w:val="00EE5896"/>
    <w:rsid w:val="00EE6A28"/>
    <w:rsid w:val="00EE7020"/>
    <w:rsid w:val="00EE7C4F"/>
    <w:rsid w:val="00EF182C"/>
    <w:rsid w:val="00EF1B5C"/>
    <w:rsid w:val="00EF2C59"/>
    <w:rsid w:val="00EF4393"/>
    <w:rsid w:val="00EF48A9"/>
    <w:rsid w:val="00EF62CF"/>
    <w:rsid w:val="00F01FF5"/>
    <w:rsid w:val="00F04E90"/>
    <w:rsid w:val="00F05735"/>
    <w:rsid w:val="00F05CD9"/>
    <w:rsid w:val="00F10884"/>
    <w:rsid w:val="00F15394"/>
    <w:rsid w:val="00F17283"/>
    <w:rsid w:val="00F27623"/>
    <w:rsid w:val="00F32065"/>
    <w:rsid w:val="00F348CA"/>
    <w:rsid w:val="00F368C9"/>
    <w:rsid w:val="00F37787"/>
    <w:rsid w:val="00F40589"/>
    <w:rsid w:val="00F43209"/>
    <w:rsid w:val="00F4375C"/>
    <w:rsid w:val="00F476F4"/>
    <w:rsid w:val="00F52CCD"/>
    <w:rsid w:val="00F52FA7"/>
    <w:rsid w:val="00F53304"/>
    <w:rsid w:val="00F54B0F"/>
    <w:rsid w:val="00F606B1"/>
    <w:rsid w:val="00F60F97"/>
    <w:rsid w:val="00F6261E"/>
    <w:rsid w:val="00F63CE6"/>
    <w:rsid w:val="00F64338"/>
    <w:rsid w:val="00F6632C"/>
    <w:rsid w:val="00F66DD6"/>
    <w:rsid w:val="00F674E2"/>
    <w:rsid w:val="00F6754A"/>
    <w:rsid w:val="00F70AD4"/>
    <w:rsid w:val="00F714D0"/>
    <w:rsid w:val="00F71E73"/>
    <w:rsid w:val="00F726CC"/>
    <w:rsid w:val="00F810FE"/>
    <w:rsid w:val="00F9116A"/>
    <w:rsid w:val="00F91EF5"/>
    <w:rsid w:val="00F943F5"/>
    <w:rsid w:val="00F95082"/>
    <w:rsid w:val="00F95DB8"/>
    <w:rsid w:val="00F96397"/>
    <w:rsid w:val="00F963B4"/>
    <w:rsid w:val="00FA0A03"/>
    <w:rsid w:val="00FA0F0C"/>
    <w:rsid w:val="00FA2028"/>
    <w:rsid w:val="00FA298B"/>
    <w:rsid w:val="00FA29AC"/>
    <w:rsid w:val="00FA4DCD"/>
    <w:rsid w:val="00FA71EB"/>
    <w:rsid w:val="00FA7E74"/>
    <w:rsid w:val="00FB17F3"/>
    <w:rsid w:val="00FB2246"/>
    <w:rsid w:val="00FB35C7"/>
    <w:rsid w:val="00FB3DC3"/>
    <w:rsid w:val="00FB7FFC"/>
    <w:rsid w:val="00FC0B8F"/>
    <w:rsid w:val="00FC4ACF"/>
    <w:rsid w:val="00FC5D7E"/>
    <w:rsid w:val="00FD1732"/>
    <w:rsid w:val="00FD4F84"/>
    <w:rsid w:val="00FD6B4A"/>
    <w:rsid w:val="00FD6E0C"/>
    <w:rsid w:val="00FE1968"/>
    <w:rsid w:val="00FE5282"/>
    <w:rsid w:val="00FE5895"/>
    <w:rsid w:val="00FF1530"/>
    <w:rsid w:val="00FF3086"/>
    <w:rsid w:val="00FF77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9E14FA"/>
  <w15:docId w15:val="{F7E23732-DEE0-4B9C-8F96-69E7A276A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E5F"/>
    <w:rPr>
      <w:lang w:val="es-ES_tradnl"/>
    </w:rPr>
  </w:style>
  <w:style w:type="paragraph" w:styleId="Ttulo1">
    <w:name w:val="heading 1"/>
    <w:basedOn w:val="Normal"/>
    <w:next w:val="Normal"/>
    <w:link w:val="Ttulo1Car"/>
    <w:autoRedefine/>
    <w:uiPriority w:val="9"/>
    <w:qFormat/>
    <w:rsid w:val="00205D1D"/>
    <w:pPr>
      <w:keepNext/>
      <w:keepLines/>
      <w:numPr>
        <w:numId w:val="1"/>
      </w:numPr>
      <w:spacing w:before="480"/>
      <w:jc w:val="both"/>
      <w:outlineLvl w:val="0"/>
    </w:pPr>
    <w:rPr>
      <w:rFonts w:ascii="Arial" w:eastAsiaTheme="majorEastAsia" w:hAnsi="Arial" w:cstheme="majorBidi"/>
      <w:b/>
      <w:bCs/>
      <w:sz w:val="20"/>
      <w:szCs w:val="28"/>
      <w:lang w:val="es-CO" w:eastAsia="es-CO"/>
    </w:rPr>
  </w:style>
  <w:style w:type="paragraph" w:styleId="Ttulo2">
    <w:name w:val="heading 2"/>
    <w:basedOn w:val="Normal"/>
    <w:next w:val="Normal"/>
    <w:link w:val="Ttulo2Car"/>
    <w:uiPriority w:val="9"/>
    <w:unhideWhenUsed/>
    <w:qFormat/>
    <w:rsid w:val="00205D1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205D1D"/>
    <w:pPr>
      <w:keepNext/>
      <w:keepLines/>
      <w:spacing w:before="200"/>
      <w:jc w:val="both"/>
      <w:outlineLvl w:val="2"/>
    </w:pPr>
    <w:rPr>
      <w:rFonts w:asciiTheme="majorHAnsi" w:eastAsiaTheme="majorEastAsia" w:hAnsiTheme="majorHAnsi" w:cstheme="majorBidi"/>
      <w:b/>
      <w:bCs/>
      <w:color w:val="4F81BD" w:themeColor="accent1"/>
      <w:sz w:val="20"/>
      <w:lang w:val="es-CO"/>
    </w:rPr>
  </w:style>
  <w:style w:type="paragraph" w:styleId="Ttulo4">
    <w:name w:val="heading 4"/>
    <w:basedOn w:val="Normal"/>
    <w:next w:val="Normal"/>
    <w:link w:val="Ttulo4Car"/>
    <w:uiPriority w:val="9"/>
    <w:unhideWhenUsed/>
    <w:qFormat/>
    <w:rsid w:val="00205D1D"/>
    <w:pPr>
      <w:keepNext/>
      <w:keepLines/>
      <w:numPr>
        <w:numId w:val="3"/>
      </w:numPr>
      <w:spacing w:before="360" w:after="240"/>
      <w:jc w:val="both"/>
      <w:outlineLvl w:val="3"/>
    </w:pPr>
    <w:rPr>
      <w:rFonts w:ascii="Arial" w:eastAsiaTheme="majorEastAsia" w:hAnsi="Arial" w:cstheme="majorBidi"/>
      <w:b/>
      <w:bCs/>
      <w:iCs/>
      <w:sz w:val="20"/>
      <w:lang w:val="es-CO"/>
    </w:rPr>
  </w:style>
  <w:style w:type="paragraph" w:styleId="Ttulo5">
    <w:name w:val="heading 5"/>
    <w:basedOn w:val="Normal"/>
    <w:next w:val="Normal"/>
    <w:link w:val="Ttulo5Car"/>
    <w:uiPriority w:val="9"/>
    <w:unhideWhenUsed/>
    <w:qFormat/>
    <w:rsid w:val="00205D1D"/>
    <w:pPr>
      <w:keepNext/>
      <w:keepLines/>
      <w:spacing w:before="200"/>
      <w:ind w:left="1008" w:hanging="1008"/>
      <w:jc w:val="both"/>
      <w:outlineLvl w:val="4"/>
    </w:pPr>
    <w:rPr>
      <w:rFonts w:eastAsiaTheme="majorEastAsia" w:cstheme="majorBidi"/>
      <w:color w:val="243F60" w:themeColor="accent1" w:themeShade="7F"/>
      <w:sz w:val="20"/>
      <w:lang w:val="es-CO"/>
    </w:rPr>
  </w:style>
  <w:style w:type="paragraph" w:styleId="Ttulo6">
    <w:name w:val="heading 6"/>
    <w:basedOn w:val="Normal"/>
    <w:next w:val="Normal"/>
    <w:link w:val="Ttulo6Car"/>
    <w:uiPriority w:val="9"/>
    <w:semiHidden/>
    <w:unhideWhenUsed/>
    <w:qFormat/>
    <w:rsid w:val="00205D1D"/>
    <w:pPr>
      <w:keepNext/>
      <w:keepLines/>
      <w:spacing w:before="200"/>
      <w:ind w:left="1152" w:hanging="1152"/>
      <w:jc w:val="both"/>
      <w:outlineLvl w:val="5"/>
    </w:pPr>
    <w:rPr>
      <w:rFonts w:asciiTheme="majorHAnsi" w:eastAsiaTheme="majorEastAsia" w:hAnsiTheme="majorHAnsi" w:cstheme="majorBidi"/>
      <w:i/>
      <w:iCs/>
      <w:color w:val="243F60" w:themeColor="accent1" w:themeShade="7F"/>
      <w:sz w:val="20"/>
      <w:lang w:val="es-CO"/>
    </w:rPr>
  </w:style>
  <w:style w:type="paragraph" w:styleId="Ttulo7">
    <w:name w:val="heading 7"/>
    <w:basedOn w:val="Normal"/>
    <w:next w:val="Normal"/>
    <w:link w:val="Ttulo7Car"/>
    <w:uiPriority w:val="9"/>
    <w:semiHidden/>
    <w:unhideWhenUsed/>
    <w:qFormat/>
    <w:rsid w:val="00205D1D"/>
    <w:pPr>
      <w:keepNext/>
      <w:keepLines/>
      <w:spacing w:before="200"/>
      <w:ind w:left="1296" w:hanging="1296"/>
      <w:jc w:val="both"/>
      <w:outlineLvl w:val="6"/>
    </w:pPr>
    <w:rPr>
      <w:rFonts w:asciiTheme="majorHAnsi" w:eastAsiaTheme="majorEastAsia" w:hAnsiTheme="majorHAnsi" w:cstheme="majorBidi"/>
      <w:i/>
      <w:iCs/>
      <w:color w:val="404040" w:themeColor="text1" w:themeTint="BF"/>
      <w:sz w:val="20"/>
      <w:lang w:val="es-CO"/>
    </w:rPr>
  </w:style>
  <w:style w:type="paragraph" w:styleId="Ttulo8">
    <w:name w:val="heading 8"/>
    <w:basedOn w:val="Normal"/>
    <w:next w:val="Normal"/>
    <w:link w:val="Ttulo8Car"/>
    <w:uiPriority w:val="9"/>
    <w:semiHidden/>
    <w:unhideWhenUsed/>
    <w:qFormat/>
    <w:rsid w:val="00205D1D"/>
    <w:pPr>
      <w:keepNext/>
      <w:keepLines/>
      <w:spacing w:before="200"/>
      <w:ind w:left="1440" w:hanging="1440"/>
      <w:jc w:val="both"/>
      <w:outlineLvl w:val="7"/>
    </w:pPr>
    <w:rPr>
      <w:rFonts w:asciiTheme="majorHAnsi" w:eastAsiaTheme="majorEastAsia" w:hAnsiTheme="majorHAnsi" w:cstheme="majorBidi"/>
      <w:color w:val="404040" w:themeColor="text1" w:themeTint="BF"/>
      <w:sz w:val="20"/>
      <w:szCs w:val="20"/>
      <w:lang w:val="es-CO"/>
    </w:rPr>
  </w:style>
  <w:style w:type="paragraph" w:styleId="Ttulo9">
    <w:name w:val="heading 9"/>
    <w:basedOn w:val="Normal"/>
    <w:next w:val="Normal"/>
    <w:link w:val="Ttulo9Car"/>
    <w:uiPriority w:val="9"/>
    <w:semiHidden/>
    <w:unhideWhenUsed/>
    <w:qFormat/>
    <w:rsid w:val="00205D1D"/>
    <w:pPr>
      <w:keepNext/>
      <w:keepLines/>
      <w:spacing w:before="200"/>
      <w:ind w:left="1584" w:hanging="1584"/>
      <w:jc w:val="both"/>
      <w:outlineLvl w:val="8"/>
    </w:pPr>
    <w:rPr>
      <w:rFonts w:asciiTheme="majorHAnsi" w:eastAsiaTheme="majorEastAsia" w:hAnsiTheme="majorHAnsi" w:cstheme="majorBidi"/>
      <w:i/>
      <w:iCs/>
      <w:color w:val="404040" w:themeColor="text1" w:themeTint="BF"/>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5D1D"/>
    <w:rPr>
      <w:rFonts w:ascii="Arial" w:eastAsiaTheme="majorEastAsia" w:hAnsi="Arial" w:cstheme="majorBidi"/>
      <w:b/>
      <w:bCs/>
      <w:sz w:val="20"/>
      <w:szCs w:val="28"/>
      <w:lang w:val="es-CO" w:eastAsia="es-CO"/>
    </w:rPr>
  </w:style>
  <w:style w:type="character" w:customStyle="1" w:styleId="Ttulo2Car">
    <w:name w:val="Título 2 Car"/>
    <w:basedOn w:val="Fuentedeprrafopredeter"/>
    <w:link w:val="Ttulo2"/>
    <w:rsid w:val="00205D1D"/>
    <w:rPr>
      <w:rFonts w:asciiTheme="majorHAnsi" w:eastAsiaTheme="majorEastAsia" w:hAnsiTheme="majorHAnsi" w:cstheme="majorBidi"/>
      <w:b/>
      <w:bCs/>
      <w:color w:val="4F81BD" w:themeColor="accent1"/>
      <w:sz w:val="26"/>
      <w:szCs w:val="26"/>
      <w:lang w:val="es-ES_tradnl"/>
    </w:rPr>
  </w:style>
  <w:style w:type="character" w:customStyle="1" w:styleId="Ttulo3Car">
    <w:name w:val="Título 3 Car"/>
    <w:basedOn w:val="Fuentedeprrafopredeter"/>
    <w:link w:val="Ttulo3"/>
    <w:uiPriority w:val="9"/>
    <w:rsid w:val="00205D1D"/>
    <w:rPr>
      <w:rFonts w:asciiTheme="majorHAnsi" w:eastAsiaTheme="majorEastAsia" w:hAnsiTheme="majorHAnsi" w:cstheme="majorBidi"/>
      <w:b/>
      <w:bCs/>
      <w:color w:val="4F81BD" w:themeColor="accent1"/>
      <w:sz w:val="20"/>
      <w:lang w:val="es-CO"/>
    </w:rPr>
  </w:style>
  <w:style w:type="character" w:customStyle="1" w:styleId="Ttulo4Car">
    <w:name w:val="Título 4 Car"/>
    <w:basedOn w:val="Fuentedeprrafopredeter"/>
    <w:link w:val="Ttulo4"/>
    <w:uiPriority w:val="9"/>
    <w:rsid w:val="00205D1D"/>
    <w:rPr>
      <w:rFonts w:ascii="Arial" w:eastAsiaTheme="majorEastAsia" w:hAnsi="Arial" w:cstheme="majorBidi"/>
      <w:b/>
      <w:bCs/>
      <w:iCs/>
      <w:sz w:val="20"/>
      <w:lang w:val="es-CO"/>
    </w:rPr>
  </w:style>
  <w:style w:type="character" w:customStyle="1" w:styleId="Ttulo5Car">
    <w:name w:val="Título 5 Car"/>
    <w:basedOn w:val="Fuentedeprrafopredeter"/>
    <w:link w:val="Ttulo5"/>
    <w:uiPriority w:val="9"/>
    <w:rsid w:val="00205D1D"/>
    <w:rPr>
      <w:rFonts w:eastAsiaTheme="majorEastAsia" w:cstheme="majorBidi"/>
      <w:color w:val="243F60" w:themeColor="accent1" w:themeShade="7F"/>
      <w:sz w:val="20"/>
      <w:lang w:val="es-CO"/>
    </w:rPr>
  </w:style>
  <w:style w:type="character" w:customStyle="1" w:styleId="Ttulo6Car">
    <w:name w:val="Título 6 Car"/>
    <w:basedOn w:val="Fuentedeprrafopredeter"/>
    <w:link w:val="Ttulo6"/>
    <w:uiPriority w:val="9"/>
    <w:semiHidden/>
    <w:rsid w:val="00205D1D"/>
    <w:rPr>
      <w:rFonts w:asciiTheme="majorHAnsi" w:eastAsiaTheme="majorEastAsia" w:hAnsiTheme="majorHAnsi" w:cstheme="majorBidi"/>
      <w:i/>
      <w:iCs/>
      <w:color w:val="243F60" w:themeColor="accent1" w:themeShade="7F"/>
      <w:sz w:val="20"/>
      <w:lang w:val="es-CO"/>
    </w:rPr>
  </w:style>
  <w:style w:type="character" w:customStyle="1" w:styleId="Ttulo7Car">
    <w:name w:val="Título 7 Car"/>
    <w:basedOn w:val="Fuentedeprrafopredeter"/>
    <w:link w:val="Ttulo7"/>
    <w:uiPriority w:val="9"/>
    <w:semiHidden/>
    <w:rsid w:val="00205D1D"/>
    <w:rPr>
      <w:rFonts w:asciiTheme="majorHAnsi" w:eastAsiaTheme="majorEastAsia" w:hAnsiTheme="majorHAnsi" w:cstheme="majorBidi"/>
      <w:i/>
      <w:iCs/>
      <w:color w:val="404040" w:themeColor="text1" w:themeTint="BF"/>
      <w:sz w:val="20"/>
      <w:lang w:val="es-CO"/>
    </w:rPr>
  </w:style>
  <w:style w:type="character" w:customStyle="1" w:styleId="Ttulo8Car">
    <w:name w:val="Título 8 Car"/>
    <w:basedOn w:val="Fuentedeprrafopredeter"/>
    <w:link w:val="Ttulo8"/>
    <w:uiPriority w:val="9"/>
    <w:semiHidden/>
    <w:rsid w:val="00205D1D"/>
    <w:rPr>
      <w:rFonts w:asciiTheme="majorHAnsi" w:eastAsiaTheme="majorEastAsia" w:hAnsiTheme="majorHAnsi" w:cstheme="majorBidi"/>
      <w:color w:val="404040" w:themeColor="text1" w:themeTint="BF"/>
      <w:sz w:val="20"/>
      <w:szCs w:val="20"/>
      <w:lang w:val="es-CO"/>
    </w:rPr>
  </w:style>
  <w:style w:type="character" w:customStyle="1" w:styleId="Ttulo9Car">
    <w:name w:val="Título 9 Car"/>
    <w:basedOn w:val="Fuentedeprrafopredeter"/>
    <w:link w:val="Ttulo9"/>
    <w:uiPriority w:val="9"/>
    <w:semiHidden/>
    <w:rsid w:val="00205D1D"/>
    <w:rPr>
      <w:rFonts w:asciiTheme="majorHAnsi" w:eastAsiaTheme="majorEastAsia" w:hAnsiTheme="majorHAnsi" w:cstheme="majorBidi"/>
      <w:i/>
      <w:iCs/>
      <w:color w:val="404040" w:themeColor="text1" w:themeTint="BF"/>
      <w:sz w:val="20"/>
      <w:szCs w:val="20"/>
      <w:lang w:val="es-CO"/>
    </w:rPr>
  </w:style>
  <w:style w:type="paragraph" w:styleId="Encabezado">
    <w:name w:val="header"/>
    <w:aliases w:val="h,h8,h9,h10,h18,encabezado,maria,Haut de page,NOMBRE DEL EMPLEADO,articulo,Header Bold,TENDER,*Header,*Header1,*Header2,*Header3, Car Car Car"/>
    <w:basedOn w:val="Normal"/>
    <w:link w:val="EncabezadoCar"/>
    <w:uiPriority w:val="99"/>
    <w:unhideWhenUsed/>
    <w:rsid w:val="00343BA3"/>
    <w:pPr>
      <w:tabs>
        <w:tab w:val="center" w:pos="4320"/>
        <w:tab w:val="right" w:pos="8640"/>
      </w:tabs>
    </w:pPr>
  </w:style>
  <w:style w:type="character" w:customStyle="1" w:styleId="EncabezadoCar">
    <w:name w:val="Encabezado Car"/>
    <w:aliases w:val="h Car,h8 Car,h9 Car,h10 Car,h18 Car,encabezado Car,maria Car,Haut de page Car,NOMBRE DEL EMPLEADO Car,articulo Car,Header Bold Car,TENDER Car,*Header Car,*Header1 Car,*Header2 Car,*Header3 Car, Car Car Car Car"/>
    <w:basedOn w:val="Fuentedeprrafopredeter"/>
    <w:link w:val="Encabezado"/>
    <w:uiPriority w:val="99"/>
    <w:rsid w:val="00343BA3"/>
    <w:rPr>
      <w:lang w:val="es-ES_tradnl"/>
    </w:rPr>
  </w:style>
  <w:style w:type="paragraph" w:styleId="Piedepgina">
    <w:name w:val="footer"/>
    <w:basedOn w:val="Normal"/>
    <w:link w:val="PiedepginaCar"/>
    <w:uiPriority w:val="99"/>
    <w:unhideWhenUsed/>
    <w:rsid w:val="00343BA3"/>
    <w:pPr>
      <w:tabs>
        <w:tab w:val="center" w:pos="4320"/>
        <w:tab w:val="right" w:pos="8640"/>
      </w:tabs>
    </w:pPr>
  </w:style>
  <w:style w:type="character" w:customStyle="1" w:styleId="PiedepginaCar">
    <w:name w:val="Pie de página Car"/>
    <w:basedOn w:val="Fuentedeprrafopredeter"/>
    <w:link w:val="Piedepgina"/>
    <w:uiPriority w:val="99"/>
    <w:rsid w:val="00343BA3"/>
    <w:rPr>
      <w:lang w:val="es-ES_tradnl"/>
    </w:rPr>
  </w:style>
  <w:style w:type="paragraph" w:styleId="Textodeglobo">
    <w:name w:val="Balloon Text"/>
    <w:basedOn w:val="Normal"/>
    <w:link w:val="TextodegloboCar"/>
    <w:uiPriority w:val="99"/>
    <w:semiHidden/>
    <w:unhideWhenUsed/>
    <w:rsid w:val="00343BA3"/>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343BA3"/>
    <w:rPr>
      <w:rFonts w:ascii="Lucida Grande" w:hAnsi="Lucida Grande" w:cs="Lucida Grande"/>
      <w:sz w:val="18"/>
      <w:szCs w:val="18"/>
      <w:lang w:val="es-ES_tradnl"/>
    </w:rPr>
  </w:style>
  <w:style w:type="character" w:styleId="Hipervnculo">
    <w:name w:val="Hyperlink"/>
    <w:basedOn w:val="Fuentedeprrafopredeter"/>
    <w:uiPriority w:val="99"/>
    <w:unhideWhenUsed/>
    <w:rsid w:val="00205D1D"/>
    <w:rPr>
      <w:color w:val="0000FF"/>
      <w:u w:val="single"/>
    </w:rPr>
  </w:style>
  <w:style w:type="paragraph" w:styleId="TDC1">
    <w:name w:val="toc 1"/>
    <w:basedOn w:val="Normal"/>
    <w:next w:val="Normal"/>
    <w:autoRedefine/>
    <w:uiPriority w:val="39"/>
    <w:unhideWhenUsed/>
    <w:qFormat/>
    <w:rsid w:val="00205D1D"/>
    <w:pPr>
      <w:spacing w:after="100"/>
      <w:jc w:val="both"/>
    </w:pPr>
    <w:rPr>
      <w:sz w:val="20"/>
      <w:lang w:val="es-CO"/>
    </w:rPr>
  </w:style>
  <w:style w:type="paragraph" w:styleId="TDC2">
    <w:name w:val="toc 2"/>
    <w:basedOn w:val="Normal"/>
    <w:next w:val="Normal"/>
    <w:autoRedefine/>
    <w:uiPriority w:val="39"/>
    <w:unhideWhenUsed/>
    <w:qFormat/>
    <w:rsid w:val="00205D1D"/>
    <w:pPr>
      <w:spacing w:after="100"/>
      <w:ind w:left="200"/>
      <w:jc w:val="both"/>
    </w:pPr>
    <w:rPr>
      <w:sz w:val="20"/>
      <w:lang w:val="es-CO"/>
    </w:rPr>
  </w:style>
  <w:style w:type="paragraph" w:styleId="TtuloTDC">
    <w:name w:val="TOC Heading"/>
    <w:basedOn w:val="Ttulo1"/>
    <w:next w:val="Normal"/>
    <w:uiPriority w:val="39"/>
    <w:unhideWhenUsed/>
    <w:qFormat/>
    <w:rsid w:val="00205D1D"/>
    <w:pPr>
      <w:spacing w:line="276" w:lineRule="auto"/>
      <w:jc w:val="left"/>
      <w:outlineLvl w:val="9"/>
    </w:pPr>
    <w:rPr>
      <w:rFonts w:asciiTheme="majorHAnsi" w:hAnsiTheme="majorHAnsi"/>
      <w:color w:val="365F91" w:themeColor="accent1" w:themeShade="BF"/>
      <w:sz w:val="28"/>
    </w:rPr>
  </w:style>
  <w:style w:type="table" w:styleId="Tablaconcuadrcula">
    <w:name w:val="Table Grid"/>
    <w:basedOn w:val="Tablanormal"/>
    <w:uiPriority w:val="59"/>
    <w:rsid w:val="00205D1D"/>
    <w:rPr>
      <w:rFonts w:eastAsiaTheme="minorHAnsi"/>
      <w:sz w:val="22"/>
      <w:szCs w:val="22"/>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iPriority w:val="99"/>
    <w:unhideWhenUsed/>
    <w:rsid w:val="00205D1D"/>
    <w:pPr>
      <w:numPr>
        <w:numId w:val="2"/>
      </w:numPr>
      <w:contextualSpacing/>
      <w:jc w:val="both"/>
    </w:pPr>
    <w:rPr>
      <w:sz w:val="20"/>
      <w:lang w:val="es-CO"/>
    </w:rPr>
  </w:style>
  <w:style w:type="paragraph" w:customStyle="1" w:styleId="Default">
    <w:name w:val="Default"/>
    <w:link w:val="DefaultCar"/>
    <w:rsid w:val="00205D1D"/>
    <w:pPr>
      <w:autoSpaceDE w:val="0"/>
      <w:autoSpaceDN w:val="0"/>
      <w:adjustRightInd w:val="0"/>
    </w:pPr>
    <w:rPr>
      <w:rFonts w:ascii="Arial" w:eastAsiaTheme="minorHAnsi" w:hAnsi="Arial" w:cs="Arial"/>
      <w:color w:val="000000"/>
      <w:lang w:val="es-MX"/>
    </w:rPr>
  </w:style>
  <w:style w:type="character" w:customStyle="1" w:styleId="DefaultCar">
    <w:name w:val="Default Car"/>
    <w:basedOn w:val="Fuentedeprrafopredeter"/>
    <w:link w:val="Default"/>
    <w:rsid w:val="000C2BC1"/>
    <w:rPr>
      <w:rFonts w:ascii="Arial" w:eastAsiaTheme="minorHAnsi" w:hAnsi="Arial" w:cs="Arial"/>
      <w:color w:val="000000"/>
      <w:lang w:val="es-MX"/>
    </w:rPr>
  </w:style>
  <w:style w:type="character" w:customStyle="1" w:styleId="Estilo1">
    <w:name w:val="Estilo1"/>
    <w:basedOn w:val="Fuentedeprrafopredeter"/>
    <w:uiPriority w:val="1"/>
    <w:rsid w:val="00205D1D"/>
    <w:rPr>
      <w:rFonts w:ascii="Arial" w:hAnsi="Arial"/>
      <w:sz w:val="16"/>
    </w:rPr>
  </w:style>
  <w:style w:type="paragraph" w:styleId="Ttulo">
    <w:name w:val="Title"/>
    <w:basedOn w:val="Normal"/>
    <w:next w:val="Normal"/>
    <w:link w:val="TtuloCar"/>
    <w:uiPriority w:val="10"/>
    <w:qFormat/>
    <w:rsid w:val="00205D1D"/>
    <w:pPr>
      <w:pBdr>
        <w:bottom w:val="single" w:sz="8" w:space="4" w:color="4F81BD" w:themeColor="accent1"/>
      </w:pBdr>
      <w:spacing w:after="300"/>
      <w:contextualSpacing/>
      <w:jc w:val="both"/>
    </w:pPr>
    <w:rPr>
      <w:rFonts w:asciiTheme="majorHAnsi" w:eastAsiaTheme="majorEastAsia" w:hAnsiTheme="majorHAnsi" w:cstheme="majorBidi"/>
      <w:color w:val="17365D" w:themeColor="text2" w:themeShade="BF"/>
      <w:spacing w:val="5"/>
      <w:kern w:val="28"/>
      <w:sz w:val="52"/>
      <w:szCs w:val="52"/>
      <w:lang w:val="es-CO"/>
    </w:rPr>
  </w:style>
  <w:style w:type="character" w:customStyle="1" w:styleId="TtuloCar">
    <w:name w:val="Título Car"/>
    <w:basedOn w:val="Fuentedeprrafopredeter"/>
    <w:link w:val="Ttulo"/>
    <w:uiPriority w:val="10"/>
    <w:rsid w:val="00205D1D"/>
    <w:rPr>
      <w:rFonts w:asciiTheme="majorHAnsi" w:eastAsiaTheme="majorEastAsia" w:hAnsiTheme="majorHAnsi" w:cstheme="majorBidi"/>
      <w:color w:val="17365D" w:themeColor="text2" w:themeShade="BF"/>
      <w:spacing w:val="5"/>
      <w:kern w:val="28"/>
      <w:sz w:val="52"/>
      <w:szCs w:val="52"/>
      <w:lang w:val="es-CO"/>
    </w:rPr>
  </w:style>
  <w:style w:type="paragraph" w:styleId="Textoindependiente">
    <w:name w:val="Body Text"/>
    <w:aliases w:val="TABLA DE CONTENIDO 3,bt,body text,body tesx,contents,Subsection Body Text,Texto independiente Car Car"/>
    <w:basedOn w:val="Normal"/>
    <w:link w:val="TextoindependienteCar"/>
    <w:uiPriority w:val="99"/>
    <w:unhideWhenUsed/>
    <w:rsid w:val="00205D1D"/>
    <w:pPr>
      <w:spacing w:after="120"/>
      <w:jc w:val="both"/>
    </w:pPr>
    <w:rPr>
      <w:sz w:val="20"/>
      <w:lang w:val="es-CO"/>
    </w:rPr>
  </w:style>
  <w:style w:type="character" w:customStyle="1" w:styleId="TextoindependienteCar">
    <w:name w:val="Texto independiente Car"/>
    <w:aliases w:val="TABLA DE CONTENIDO 3 Car,bt Car,body text Car,body tesx Car,contents Car,Subsection Body Text Car,Texto independiente Car Car Car"/>
    <w:basedOn w:val="Fuentedeprrafopredeter"/>
    <w:link w:val="Textoindependiente"/>
    <w:uiPriority w:val="99"/>
    <w:rsid w:val="00205D1D"/>
    <w:rPr>
      <w:sz w:val="20"/>
      <w:lang w:val="es-CO"/>
    </w:rPr>
  </w:style>
  <w:style w:type="paragraph" w:styleId="Subttulo">
    <w:name w:val="Subtitle"/>
    <w:basedOn w:val="Normal"/>
    <w:next w:val="Normal"/>
    <w:link w:val="SubttuloCar"/>
    <w:uiPriority w:val="11"/>
    <w:qFormat/>
    <w:rsid w:val="00205D1D"/>
    <w:pPr>
      <w:numPr>
        <w:ilvl w:val="1"/>
      </w:numPr>
      <w:jc w:val="both"/>
    </w:pPr>
    <w:rPr>
      <w:rFonts w:asciiTheme="majorHAnsi" w:eastAsiaTheme="majorEastAsia" w:hAnsiTheme="majorHAnsi" w:cstheme="majorBidi"/>
      <w:i/>
      <w:iCs/>
      <w:color w:val="4F81BD" w:themeColor="accent1"/>
      <w:spacing w:val="15"/>
      <w:lang w:val="es-CO"/>
    </w:rPr>
  </w:style>
  <w:style w:type="character" w:customStyle="1" w:styleId="SubttuloCar">
    <w:name w:val="Subtítulo Car"/>
    <w:basedOn w:val="Fuentedeprrafopredeter"/>
    <w:link w:val="Subttulo"/>
    <w:uiPriority w:val="11"/>
    <w:rsid w:val="00205D1D"/>
    <w:rPr>
      <w:rFonts w:asciiTheme="majorHAnsi" w:eastAsiaTheme="majorEastAsia" w:hAnsiTheme="majorHAnsi" w:cstheme="majorBidi"/>
      <w:i/>
      <w:iCs/>
      <w:color w:val="4F81BD" w:themeColor="accent1"/>
      <w:spacing w:val="15"/>
      <w:lang w:val="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205D1D"/>
    <w:pPr>
      <w:jc w:val="both"/>
    </w:pPr>
    <w:rPr>
      <w:sz w:val="20"/>
      <w:szCs w:val="20"/>
      <w:lang w:val="es-CO"/>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05D1D"/>
    <w:rPr>
      <w:sz w:val="20"/>
      <w:szCs w:val="20"/>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qFormat/>
    <w:rsid w:val="00205D1D"/>
    <w:rPr>
      <w:vertAlign w:val="superscript"/>
    </w:rPr>
  </w:style>
  <w:style w:type="character" w:styleId="Refdecomentario">
    <w:name w:val="annotation reference"/>
    <w:basedOn w:val="Fuentedeprrafopredeter"/>
    <w:uiPriority w:val="99"/>
    <w:unhideWhenUsed/>
    <w:rsid w:val="00205D1D"/>
    <w:rPr>
      <w:sz w:val="16"/>
      <w:szCs w:val="16"/>
    </w:rPr>
  </w:style>
  <w:style w:type="paragraph" w:styleId="Textocomentario">
    <w:name w:val="annotation text"/>
    <w:basedOn w:val="Normal"/>
    <w:link w:val="TextocomentarioCar"/>
    <w:unhideWhenUsed/>
    <w:rsid w:val="00205D1D"/>
    <w:pPr>
      <w:jc w:val="both"/>
    </w:pPr>
    <w:rPr>
      <w:sz w:val="20"/>
      <w:szCs w:val="20"/>
      <w:lang w:val="es-CO"/>
    </w:rPr>
  </w:style>
  <w:style w:type="character" w:customStyle="1" w:styleId="TextocomentarioCar">
    <w:name w:val="Texto comentario Car"/>
    <w:basedOn w:val="Fuentedeprrafopredeter"/>
    <w:link w:val="Textocomentario"/>
    <w:rsid w:val="00205D1D"/>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05D1D"/>
    <w:rPr>
      <w:b/>
      <w:bCs/>
    </w:rPr>
  </w:style>
  <w:style w:type="character" w:customStyle="1" w:styleId="AsuntodelcomentarioCar">
    <w:name w:val="Asunto del comentario Car"/>
    <w:basedOn w:val="TextocomentarioCar"/>
    <w:link w:val="Asuntodelcomentario"/>
    <w:uiPriority w:val="99"/>
    <w:semiHidden/>
    <w:rsid w:val="00205D1D"/>
    <w:rPr>
      <w:b/>
      <w:bCs/>
      <w:sz w:val="20"/>
      <w:szCs w:val="20"/>
      <w:lang w:val="es-CO"/>
    </w:rPr>
  </w:style>
  <w:style w:type="paragraph" w:styleId="NormalWeb">
    <w:name w:val="Normal (Web)"/>
    <w:basedOn w:val="Normal"/>
    <w:uiPriority w:val="99"/>
    <w:unhideWhenUsed/>
    <w:rsid w:val="00205D1D"/>
    <w:pPr>
      <w:spacing w:before="100" w:beforeAutospacing="1" w:after="100" w:afterAutospacing="1"/>
      <w:jc w:val="both"/>
    </w:pPr>
    <w:rPr>
      <w:rFonts w:ascii="Times New Roman" w:eastAsia="Times New Roman" w:hAnsi="Times New Roman" w:cs="Times New Roman"/>
      <w:lang w:val="es-CO" w:eastAsia="es-CO"/>
    </w:rPr>
  </w:style>
  <w:style w:type="character" w:styleId="Textoennegrita">
    <w:name w:val="Strong"/>
    <w:basedOn w:val="Fuentedeprrafopredeter"/>
    <w:uiPriority w:val="22"/>
    <w:qFormat/>
    <w:rsid w:val="00205D1D"/>
    <w:rPr>
      <w:b/>
      <w:bCs/>
    </w:rPr>
  </w:style>
  <w:style w:type="paragraph" w:styleId="Prrafodelista">
    <w:name w:val="List Paragraph"/>
    <w:aliases w:val="Fotografía,Párrafo de lista1,List Paragraph,Fluvial1,Heading iii,Numbered Para 1,Dot pt,No Spacing1,List Paragraph Char Char Char,Indicator Text,List Paragraph1,Bullet Points,Bullet 1,MAIN CONTENT,List Paragraph12,F5 List Paragraph"/>
    <w:basedOn w:val="Normal"/>
    <w:link w:val="PrrafodelistaCar"/>
    <w:uiPriority w:val="34"/>
    <w:qFormat/>
    <w:rsid w:val="00205D1D"/>
    <w:pPr>
      <w:ind w:left="720"/>
      <w:contextualSpacing/>
      <w:jc w:val="both"/>
    </w:pPr>
    <w:rPr>
      <w:sz w:val="20"/>
      <w:lang w:val="es-CO"/>
    </w:rPr>
  </w:style>
  <w:style w:type="character" w:customStyle="1" w:styleId="PrrafodelistaCar">
    <w:name w:val="Párrafo de lista Car"/>
    <w:aliases w:val="Fotografía Car,Párrafo de lista1 Car,List Paragraph Car,Fluvial1 Car,Heading iii Car,Numbered Para 1 Car,Dot pt Car,No Spacing1 Car,List Paragraph Char Char Char Car,Indicator Text Car,List Paragraph1 Car,Bullet Points Car"/>
    <w:link w:val="Prrafodelista"/>
    <w:uiPriority w:val="34"/>
    <w:qFormat/>
    <w:rsid w:val="00205D1D"/>
    <w:rPr>
      <w:sz w:val="20"/>
      <w:lang w:val="es-CO"/>
    </w:rPr>
  </w:style>
  <w:style w:type="character" w:styleId="Nmerodepgina">
    <w:name w:val="page number"/>
    <w:basedOn w:val="Fuentedeprrafopredeter"/>
    <w:rsid w:val="00205D1D"/>
    <w:rPr>
      <w:rFonts w:cs="Times New Roman"/>
    </w:rPr>
  </w:style>
  <w:style w:type="paragraph" w:styleId="Textoindependiente3">
    <w:name w:val="Body Text 3"/>
    <w:basedOn w:val="Normal"/>
    <w:link w:val="Textoindependiente3Car"/>
    <w:rsid w:val="00205D1D"/>
    <w:pPr>
      <w:spacing w:after="120"/>
      <w:jc w:val="both"/>
    </w:pPr>
    <w:rPr>
      <w:sz w:val="16"/>
      <w:szCs w:val="16"/>
      <w:lang w:val="es-CO"/>
    </w:rPr>
  </w:style>
  <w:style w:type="character" w:customStyle="1" w:styleId="Textoindependiente3Car">
    <w:name w:val="Texto independiente 3 Car"/>
    <w:basedOn w:val="Fuentedeprrafopredeter"/>
    <w:link w:val="Textoindependiente3"/>
    <w:rsid w:val="00205D1D"/>
    <w:rPr>
      <w:sz w:val="16"/>
      <w:szCs w:val="16"/>
      <w:lang w:val="es-CO"/>
    </w:rPr>
  </w:style>
  <w:style w:type="paragraph" w:customStyle="1" w:styleId="CM3">
    <w:name w:val="CM3"/>
    <w:basedOn w:val="Normal"/>
    <w:uiPriority w:val="99"/>
    <w:rsid w:val="00205D1D"/>
    <w:pPr>
      <w:autoSpaceDE w:val="0"/>
      <w:autoSpaceDN w:val="0"/>
      <w:spacing w:line="256" w:lineRule="atLeast"/>
      <w:jc w:val="both"/>
    </w:pPr>
    <w:rPr>
      <w:rFonts w:cs="Arial"/>
      <w:lang w:val="es-ES"/>
    </w:rPr>
  </w:style>
  <w:style w:type="paragraph" w:styleId="Textosinformato">
    <w:name w:val="Plain Text"/>
    <w:basedOn w:val="Normal"/>
    <w:link w:val="TextosinformatoCar"/>
    <w:uiPriority w:val="99"/>
    <w:unhideWhenUsed/>
    <w:rsid w:val="00205D1D"/>
    <w:pPr>
      <w:jc w:val="both"/>
    </w:pPr>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205D1D"/>
    <w:rPr>
      <w:rFonts w:ascii="Consolas" w:hAnsi="Consolas"/>
      <w:sz w:val="21"/>
      <w:szCs w:val="21"/>
      <w:lang w:val="es-ES"/>
    </w:rPr>
  </w:style>
  <w:style w:type="paragraph" w:customStyle="1" w:styleId="prrafodelista0">
    <w:name w:val="prrafodelista"/>
    <w:basedOn w:val="Normal"/>
    <w:rsid w:val="00205D1D"/>
    <w:pPr>
      <w:ind w:left="720"/>
      <w:jc w:val="both"/>
    </w:pPr>
    <w:rPr>
      <w:sz w:val="20"/>
      <w:lang w:val="es-CO"/>
    </w:rPr>
  </w:style>
  <w:style w:type="paragraph" w:styleId="Revisin">
    <w:name w:val="Revision"/>
    <w:hidden/>
    <w:uiPriority w:val="99"/>
    <w:semiHidden/>
    <w:rsid w:val="00205D1D"/>
    <w:rPr>
      <w:rFonts w:ascii="Times New Roman" w:eastAsia="Calibri" w:hAnsi="Times New Roman" w:cs="Times New Roman"/>
      <w:sz w:val="20"/>
      <w:szCs w:val="20"/>
      <w:lang w:val="es-CO" w:eastAsia="es-ES"/>
    </w:rPr>
  </w:style>
  <w:style w:type="character" w:customStyle="1" w:styleId="apple-converted-space">
    <w:name w:val="apple-converted-space"/>
    <w:basedOn w:val="Fuentedeprrafopredeter"/>
    <w:rsid w:val="00205D1D"/>
  </w:style>
  <w:style w:type="paragraph" w:customStyle="1" w:styleId="Tabletext">
    <w:name w:val="Tabletext"/>
    <w:basedOn w:val="Normal"/>
    <w:rsid w:val="00205D1D"/>
    <w:pPr>
      <w:keepLines/>
      <w:widowControl w:val="0"/>
      <w:spacing w:after="120" w:line="240" w:lineRule="atLeast"/>
      <w:jc w:val="both"/>
    </w:pPr>
    <w:rPr>
      <w:rFonts w:ascii="Times New Roman" w:eastAsia="Times New Roman" w:hAnsi="Times New Roman" w:cs="Times New Roman"/>
      <w:sz w:val="20"/>
      <w:szCs w:val="20"/>
      <w:lang w:val="es-CO"/>
    </w:rPr>
  </w:style>
  <w:style w:type="paragraph" w:styleId="Sinespaciado">
    <w:name w:val="No Spacing"/>
    <w:link w:val="SinespaciadoCar"/>
    <w:uiPriority w:val="1"/>
    <w:qFormat/>
    <w:rsid w:val="00205D1D"/>
    <w:rPr>
      <w:rFonts w:ascii="Arial Narrow" w:hAnsi="Arial Narrow"/>
      <w:sz w:val="22"/>
    </w:rPr>
  </w:style>
  <w:style w:type="character" w:customStyle="1" w:styleId="SinespaciadoCar">
    <w:name w:val="Sin espaciado Car"/>
    <w:link w:val="Sinespaciado"/>
    <w:uiPriority w:val="1"/>
    <w:qFormat/>
    <w:rsid w:val="000C2BC1"/>
    <w:rPr>
      <w:rFonts w:ascii="Arial Narrow" w:hAnsi="Arial Narrow"/>
      <w:sz w:val="22"/>
    </w:rPr>
  </w:style>
  <w:style w:type="character" w:customStyle="1" w:styleId="MapadeldocumentoCar">
    <w:name w:val="Mapa del documento Car"/>
    <w:basedOn w:val="Fuentedeprrafopredeter"/>
    <w:link w:val="Mapadeldocumento"/>
    <w:uiPriority w:val="99"/>
    <w:semiHidden/>
    <w:rsid w:val="00205D1D"/>
    <w:rPr>
      <w:rFonts w:ascii="Tahoma" w:hAnsi="Tahoma" w:cs="Tahoma"/>
      <w:sz w:val="16"/>
      <w:szCs w:val="16"/>
      <w:lang w:val="es-CO"/>
    </w:rPr>
  </w:style>
  <w:style w:type="paragraph" w:styleId="Mapadeldocumento">
    <w:name w:val="Document Map"/>
    <w:basedOn w:val="Normal"/>
    <w:link w:val="MapadeldocumentoCar"/>
    <w:uiPriority w:val="99"/>
    <w:semiHidden/>
    <w:unhideWhenUsed/>
    <w:rsid w:val="00205D1D"/>
    <w:pPr>
      <w:jc w:val="both"/>
    </w:pPr>
    <w:rPr>
      <w:rFonts w:ascii="Tahoma" w:hAnsi="Tahoma" w:cs="Tahoma"/>
      <w:sz w:val="16"/>
      <w:szCs w:val="16"/>
      <w:lang w:val="es-CO"/>
    </w:rPr>
  </w:style>
  <w:style w:type="character" w:customStyle="1" w:styleId="MapadeldocumentoCar1">
    <w:name w:val="Mapa del documento Car1"/>
    <w:basedOn w:val="Fuentedeprrafopredeter"/>
    <w:uiPriority w:val="99"/>
    <w:semiHidden/>
    <w:rsid w:val="00205D1D"/>
    <w:rPr>
      <w:rFonts w:ascii="Tahoma" w:hAnsi="Tahoma" w:cs="Tahoma"/>
      <w:sz w:val="16"/>
      <w:szCs w:val="16"/>
      <w:lang w:val="es-ES_tradnl"/>
    </w:rPr>
  </w:style>
  <w:style w:type="paragraph" w:styleId="Descripcin">
    <w:name w:val="caption"/>
    <w:basedOn w:val="Normal"/>
    <w:next w:val="Normal"/>
    <w:uiPriority w:val="35"/>
    <w:unhideWhenUsed/>
    <w:qFormat/>
    <w:rsid w:val="00205D1D"/>
    <w:pPr>
      <w:spacing w:after="200"/>
      <w:jc w:val="both"/>
    </w:pPr>
    <w:rPr>
      <w:b/>
      <w:bCs/>
      <w:color w:val="4F81BD" w:themeColor="accent1"/>
      <w:sz w:val="18"/>
      <w:szCs w:val="18"/>
      <w:lang w:val="es-CO"/>
    </w:rPr>
  </w:style>
  <w:style w:type="character" w:customStyle="1" w:styleId="textored1">
    <w:name w:val="texto_red1"/>
    <w:basedOn w:val="Fuentedeprrafopredeter"/>
    <w:rsid w:val="00205D1D"/>
    <w:rPr>
      <w:color w:val="FF0000"/>
    </w:rPr>
  </w:style>
  <w:style w:type="paragraph" w:styleId="TDC3">
    <w:name w:val="toc 3"/>
    <w:basedOn w:val="Normal"/>
    <w:next w:val="Normal"/>
    <w:autoRedefine/>
    <w:uiPriority w:val="39"/>
    <w:unhideWhenUsed/>
    <w:qFormat/>
    <w:rsid w:val="00205D1D"/>
    <w:pPr>
      <w:spacing w:after="100"/>
      <w:ind w:left="400"/>
      <w:jc w:val="both"/>
    </w:pPr>
    <w:rPr>
      <w:sz w:val="20"/>
      <w:lang w:val="es-CO"/>
    </w:rPr>
  </w:style>
  <w:style w:type="character" w:styleId="Hipervnculovisitado">
    <w:name w:val="FollowedHyperlink"/>
    <w:basedOn w:val="Fuentedeprrafopredeter"/>
    <w:uiPriority w:val="99"/>
    <w:semiHidden/>
    <w:unhideWhenUsed/>
    <w:rsid w:val="00205D1D"/>
    <w:rPr>
      <w:color w:val="800080" w:themeColor="followedHyperlink"/>
      <w:u w:val="single"/>
    </w:rPr>
  </w:style>
  <w:style w:type="paragraph" w:styleId="Textoindependiente2">
    <w:name w:val="Body Text 2"/>
    <w:basedOn w:val="Normal"/>
    <w:link w:val="Textoindependiente2Car"/>
    <w:uiPriority w:val="99"/>
    <w:semiHidden/>
    <w:unhideWhenUsed/>
    <w:rsid w:val="00205D1D"/>
    <w:pPr>
      <w:spacing w:after="120" w:line="480" w:lineRule="auto"/>
      <w:jc w:val="both"/>
    </w:pPr>
    <w:rPr>
      <w:sz w:val="20"/>
      <w:lang w:val="es-CO"/>
    </w:rPr>
  </w:style>
  <w:style w:type="character" w:customStyle="1" w:styleId="Textoindependiente2Car">
    <w:name w:val="Texto independiente 2 Car"/>
    <w:basedOn w:val="Fuentedeprrafopredeter"/>
    <w:link w:val="Textoindependiente2"/>
    <w:uiPriority w:val="99"/>
    <w:semiHidden/>
    <w:rsid w:val="00205D1D"/>
    <w:rPr>
      <w:sz w:val="20"/>
      <w:lang w:val="es-CO"/>
    </w:rPr>
  </w:style>
  <w:style w:type="paragraph" w:customStyle="1" w:styleId="Narial">
    <w:name w:val="N+arial"/>
    <w:basedOn w:val="Ttulo9"/>
    <w:rsid w:val="00205D1D"/>
    <w:pPr>
      <w:keepNext w:val="0"/>
      <w:keepLines w:val="0"/>
      <w:spacing w:before="240" w:after="60"/>
      <w:ind w:left="0" w:firstLine="0"/>
      <w:jc w:val="left"/>
    </w:pPr>
    <w:rPr>
      <w:rFonts w:ascii="Arial" w:eastAsia="Times New Roman" w:hAnsi="Arial" w:cs="Times New Roman"/>
      <w:b/>
      <w:i w:val="0"/>
      <w:iCs w:val="0"/>
      <w:color w:val="auto"/>
      <w:sz w:val="24"/>
      <w:szCs w:val="22"/>
      <w:lang w:val="es-ES" w:eastAsia="es-ES"/>
    </w:rPr>
  </w:style>
  <w:style w:type="paragraph" w:customStyle="1" w:styleId="Estilo2">
    <w:name w:val="Estilo2"/>
    <w:basedOn w:val="Ttulo2"/>
    <w:qFormat/>
    <w:rsid w:val="00205D1D"/>
    <w:pPr>
      <w:keepLines w:val="0"/>
      <w:numPr>
        <w:numId w:val="4"/>
      </w:numPr>
      <w:spacing w:before="240"/>
    </w:pPr>
    <w:rPr>
      <w:rFonts w:ascii="Arial Narrow" w:eastAsia="Times New Roman" w:hAnsi="Arial Narrow" w:cs="Times New Roman"/>
      <w:i/>
      <w:iCs/>
      <w:color w:val="auto"/>
      <w:sz w:val="24"/>
      <w:szCs w:val="24"/>
      <w:lang w:val="es-MX"/>
    </w:rPr>
  </w:style>
  <w:style w:type="paragraph" w:customStyle="1" w:styleId="Textbodyindent">
    <w:name w:val="Text body indent"/>
    <w:basedOn w:val="Normal"/>
    <w:rsid w:val="00205D1D"/>
    <w:pPr>
      <w:suppressAutoHyphens/>
      <w:jc w:val="both"/>
      <w:textAlignment w:val="baseline"/>
    </w:pPr>
    <w:rPr>
      <w:rFonts w:ascii="Times New Roman" w:eastAsia="Times New Roman" w:hAnsi="Times New Roman" w:cs="Times New Roman"/>
      <w:kern w:val="1"/>
      <w:szCs w:val="20"/>
      <w:lang w:val="es-ES" w:eastAsia="zh-CN"/>
    </w:rPr>
  </w:style>
  <w:style w:type="paragraph" w:customStyle="1" w:styleId="Estilo3">
    <w:name w:val="Estilo3"/>
    <w:basedOn w:val="Ttulo3"/>
    <w:qFormat/>
    <w:rsid w:val="00205D1D"/>
    <w:pPr>
      <w:keepLines w:val="0"/>
      <w:numPr>
        <w:numId w:val="5"/>
      </w:numPr>
      <w:spacing w:before="240"/>
      <w:jc w:val="left"/>
    </w:pPr>
    <w:rPr>
      <w:rFonts w:ascii="Arial Narrow" w:eastAsia="Times New Roman" w:hAnsi="Arial Narrow" w:cs="Times New Roman"/>
      <w:color w:val="auto"/>
      <w:sz w:val="24"/>
      <w:lang w:val="es-MX"/>
    </w:rPr>
  </w:style>
  <w:style w:type="paragraph" w:customStyle="1" w:styleId="font5">
    <w:name w:val="font5"/>
    <w:basedOn w:val="Normal"/>
    <w:rsid w:val="00205D1D"/>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205D1D"/>
    <w:pPr>
      <w:spacing w:before="100" w:beforeAutospacing="1" w:after="100" w:afterAutospacing="1"/>
    </w:pPr>
    <w:rPr>
      <w:rFonts w:ascii="Arial" w:eastAsia="Times New Roman" w:hAnsi="Arial" w:cs="Arial"/>
      <w:color w:val="000000"/>
      <w:sz w:val="20"/>
      <w:szCs w:val="20"/>
      <w:lang w:val="es-CO" w:eastAsia="es-CO"/>
    </w:rPr>
  </w:style>
  <w:style w:type="paragraph" w:customStyle="1" w:styleId="xl66">
    <w:name w:val="xl66"/>
    <w:basedOn w:val="Normal"/>
    <w:rsid w:val="00205D1D"/>
    <w:pPr>
      <w:shd w:val="clear" w:color="000000" w:fill="FFFFFF"/>
      <w:spacing w:before="100" w:beforeAutospacing="1" w:after="100" w:afterAutospacing="1"/>
    </w:pPr>
    <w:rPr>
      <w:rFonts w:ascii="Times New Roman" w:eastAsia="Times New Roman" w:hAnsi="Times New Roman" w:cs="Times New Roman"/>
      <w:sz w:val="18"/>
      <w:szCs w:val="18"/>
      <w:lang w:val="es-CO" w:eastAsia="es-CO"/>
    </w:rPr>
  </w:style>
  <w:style w:type="paragraph" w:customStyle="1" w:styleId="xl67">
    <w:name w:val="xl67"/>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68">
    <w:name w:val="xl68"/>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9">
    <w:name w:val="xl69"/>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sz w:val="16"/>
      <w:szCs w:val="16"/>
      <w:lang w:val="es-CO" w:eastAsia="es-CO"/>
    </w:rPr>
  </w:style>
  <w:style w:type="paragraph" w:customStyle="1" w:styleId="xl70">
    <w:name w:val="xl70"/>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1">
    <w:name w:val="xl71"/>
    <w:basedOn w:val="Normal"/>
    <w:rsid w:val="00205D1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2">
    <w:name w:val="xl72"/>
    <w:basedOn w:val="Normal"/>
    <w:rsid w:val="00205D1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3">
    <w:name w:val="xl73"/>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74">
    <w:name w:val="xl74"/>
    <w:basedOn w:val="Normal"/>
    <w:rsid w:val="00205D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75">
    <w:name w:val="xl75"/>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76">
    <w:name w:val="xl76"/>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79">
    <w:name w:val="xl79"/>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0">
    <w:name w:val="xl80"/>
    <w:basedOn w:val="Normal"/>
    <w:rsid w:val="00205D1D"/>
    <w:pPr>
      <w:pBdr>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81">
    <w:name w:val="xl81"/>
    <w:basedOn w:val="Normal"/>
    <w:rsid w:val="00205D1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82">
    <w:name w:val="xl82"/>
    <w:basedOn w:val="Normal"/>
    <w:rsid w:val="00205D1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3">
    <w:name w:val="xl83"/>
    <w:basedOn w:val="Normal"/>
    <w:rsid w:val="00205D1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84">
    <w:name w:val="xl84"/>
    <w:basedOn w:val="Normal"/>
    <w:rsid w:val="00205D1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85">
    <w:name w:val="xl85"/>
    <w:basedOn w:val="Normal"/>
    <w:rsid w:val="00205D1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86">
    <w:name w:val="xl86"/>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7">
    <w:name w:val="xl87"/>
    <w:basedOn w:val="Normal"/>
    <w:rsid w:val="00205D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88">
    <w:name w:val="xl88"/>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9">
    <w:name w:val="xl89"/>
    <w:basedOn w:val="Normal"/>
    <w:rsid w:val="00205D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90">
    <w:name w:val="xl90"/>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1">
    <w:name w:val="xl91"/>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2">
    <w:name w:val="xl92"/>
    <w:basedOn w:val="Normal"/>
    <w:rsid w:val="00205D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3">
    <w:name w:val="xl93"/>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val="es-CO" w:eastAsia="es-CO"/>
    </w:rPr>
  </w:style>
  <w:style w:type="paragraph" w:customStyle="1" w:styleId="xl94">
    <w:name w:val="xl94"/>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6">
    <w:name w:val="xl96"/>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97">
    <w:name w:val="xl97"/>
    <w:basedOn w:val="Normal"/>
    <w:rsid w:val="00205D1D"/>
    <w:pPr>
      <w:spacing w:before="100" w:beforeAutospacing="1" w:after="100" w:afterAutospacing="1"/>
    </w:pPr>
    <w:rPr>
      <w:rFonts w:ascii="Times New Roman" w:eastAsia="Times New Roman" w:hAnsi="Times New Roman" w:cs="Times New Roman"/>
      <w:lang w:val="es-CO" w:eastAsia="es-CO"/>
    </w:rPr>
  </w:style>
  <w:style w:type="paragraph" w:customStyle="1" w:styleId="xl98">
    <w:name w:val="xl98"/>
    <w:basedOn w:val="Normal"/>
    <w:rsid w:val="00205D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99">
    <w:name w:val="xl99"/>
    <w:basedOn w:val="Normal"/>
    <w:rsid w:val="00205D1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0">
    <w:name w:val="xl100"/>
    <w:basedOn w:val="Normal"/>
    <w:rsid w:val="00205D1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01">
    <w:name w:val="xl101"/>
    <w:basedOn w:val="Normal"/>
    <w:rsid w:val="00205D1D"/>
    <w:pPr>
      <w:pBdr>
        <w:top w:val="single" w:sz="4" w:space="0" w:color="auto"/>
        <w:left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2">
    <w:name w:val="xl102"/>
    <w:basedOn w:val="Normal"/>
    <w:rsid w:val="00205D1D"/>
    <w:pPr>
      <w:pBdr>
        <w:top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3">
    <w:name w:val="xl103"/>
    <w:basedOn w:val="Normal"/>
    <w:rsid w:val="00205D1D"/>
    <w:pPr>
      <w:pBdr>
        <w:top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4">
    <w:name w:val="xl104"/>
    <w:basedOn w:val="Normal"/>
    <w:rsid w:val="00205D1D"/>
    <w:pPr>
      <w:pBdr>
        <w:left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5">
    <w:name w:val="xl105"/>
    <w:basedOn w:val="Normal"/>
    <w:rsid w:val="00205D1D"/>
    <w:pP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6">
    <w:name w:val="xl106"/>
    <w:basedOn w:val="Normal"/>
    <w:rsid w:val="00205D1D"/>
    <w:pPr>
      <w:pBdr>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7">
    <w:name w:val="xl107"/>
    <w:basedOn w:val="Normal"/>
    <w:rsid w:val="00205D1D"/>
    <w:pPr>
      <w:pBdr>
        <w:left w:val="single" w:sz="4" w:space="0" w:color="auto"/>
        <w:bottom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8">
    <w:name w:val="xl108"/>
    <w:basedOn w:val="Normal"/>
    <w:rsid w:val="00205D1D"/>
    <w:pPr>
      <w:pBdr>
        <w:bottom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09">
    <w:name w:val="xl109"/>
    <w:basedOn w:val="Normal"/>
    <w:rsid w:val="00205D1D"/>
    <w:pPr>
      <w:pBdr>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18"/>
      <w:szCs w:val="18"/>
      <w:lang w:val="es-CO" w:eastAsia="es-CO"/>
    </w:rPr>
  </w:style>
  <w:style w:type="paragraph" w:customStyle="1" w:styleId="xl110">
    <w:name w:val="xl110"/>
    <w:basedOn w:val="Normal"/>
    <w:rsid w:val="00205D1D"/>
    <w:pPr>
      <w:pBdr>
        <w:top w:val="single" w:sz="8"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1">
    <w:name w:val="xl111"/>
    <w:basedOn w:val="Normal"/>
    <w:rsid w:val="00205D1D"/>
    <w:pPr>
      <w:pBdr>
        <w:top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2">
    <w:name w:val="xl112"/>
    <w:basedOn w:val="Normal"/>
    <w:rsid w:val="00205D1D"/>
    <w:pPr>
      <w:pBdr>
        <w:top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3">
    <w:name w:val="xl113"/>
    <w:basedOn w:val="Normal"/>
    <w:rsid w:val="00205D1D"/>
    <w:pPr>
      <w:pBdr>
        <w:top w:val="single" w:sz="8"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4">
    <w:name w:val="xl114"/>
    <w:basedOn w:val="Normal"/>
    <w:rsid w:val="00205D1D"/>
    <w:pPr>
      <w:pBdr>
        <w:top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5">
    <w:name w:val="xl115"/>
    <w:basedOn w:val="Normal"/>
    <w:rsid w:val="00205D1D"/>
    <w:pPr>
      <w:pBdr>
        <w:top w:val="single" w:sz="8"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lang w:val="es-CO" w:eastAsia="es-CO"/>
    </w:rPr>
  </w:style>
  <w:style w:type="paragraph" w:customStyle="1" w:styleId="xl116">
    <w:name w:val="xl116"/>
    <w:basedOn w:val="Normal"/>
    <w:rsid w:val="00205D1D"/>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17">
    <w:name w:val="xl117"/>
    <w:basedOn w:val="Normal"/>
    <w:rsid w:val="00205D1D"/>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18">
    <w:name w:val="xl118"/>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19">
    <w:name w:val="xl119"/>
    <w:basedOn w:val="Normal"/>
    <w:rsid w:val="00205D1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0">
    <w:name w:val="xl120"/>
    <w:basedOn w:val="Normal"/>
    <w:rsid w:val="00205D1D"/>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21">
    <w:name w:val="xl121"/>
    <w:basedOn w:val="Normal"/>
    <w:rsid w:val="00205D1D"/>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color w:val="FF0000"/>
      <w:sz w:val="18"/>
      <w:szCs w:val="18"/>
      <w:lang w:val="es-CO" w:eastAsia="es-CO"/>
    </w:rPr>
  </w:style>
  <w:style w:type="paragraph" w:customStyle="1" w:styleId="xl122">
    <w:name w:val="xl122"/>
    <w:basedOn w:val="Normal"/>
    <w:rsid w:val="00205D1D"/>
    <w:pPr>
      <w:pBdr>
        <w:top w:val="single" w:sz="4" w:space="0" w:color="auto"/>
        <w:bottom w:val="single" w:sz="8" w:space="0" w:color="auto"/>
      </w:pBdr>
      <w:shd w:val="clear" w:color="000000" w:fill="FFFFFF"/>
      <w:spacing w:before="100" w:beforeAutospacing="1" w:after="100" w:afterAutospacing="1"/>
      <w:textAlignment w:val="center"/>
    </w:pPr>
    <w:rPr>
      <w:rFonts w:ascii="Arial" w:eastAsia="Times New Roman" w:hAnsi="Arial" w:cs="Arial"/>
      <w:color w:val="FF0000"/>
      <w:sz w:val="18"/>
      <w:szCs w:val="18"/>
      <w:lang w:val="es-CO" w:eastAsia="es-CO"/>
    </w:rPr>
  </w:style>
  <w:style w:type="paragraph" w:customStyle="1" w:styleId="xl123">
    <w:name w:val="xl123"/>
    <w:basedOn w:val="Normal"/>
    <w:rsid w:val="00205D1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xl124">
    <w:name w:val="xl124"/>
    <w:basedOn w:val="Normal"/>
    <w:rsid w:val="00205D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8"/>
      <w:szCs w:val="18"/>
      <w:lang w:val="es-CO" w:eastAsia="es-CO"/>
    </w:rPr>
  </w:style>
  <w:style w:type="paragraph" w:customStyle="1" w:styleId="yiv328138051msonormal">
    <w:name w:val="yiv328138051msonormal"/>
    <w:basedOn w:val="Normal"/>
    <w:rsid w:val="005A5FDD"/>
    <w:pPr>
      <w:spacing w:before="100" w:beforeAutospacing="1" w:after="100" w:afterAutospacing="1"/>
    </w:pPr>
    <w:rPr>
      <w:rFonts w:ascii="Times New Roman" w:eastAsia="Times New Roman" w:hAnsi="Times New Roman" w:cs="Times New Roman"/>
      <w:lang w:val="es-CO" w:eastAsia="es-CO"/>
    </w:rPr>
  </w:style>
  <w:style w:type="paragraph" w:customStyle="1" w:styleId="Invias-Titulo2">
    <w:name w:val="Invias-Titulo 2"/>
    <w:next w:val="Normal"/>
    <w:link w:val="Invias-Titulo2Car"/>
    <w:autoRedefine/>
    <w:uiPriority w:val="99"/>
    <w:qFormat/>
    <w:rsid w:val="00F04E90"/>
    <w:pPr>
      <w:keepNext/>
      <w:spacing w:before="120" w:after="240"/>
      <w:ind w:left="1430" w:hanging="720"/>
      <w:jc w:val="both"/>
      <w:outlineLvl w:val="1"/>
    </w:pPr>
    <w:rPr>
      <w:rFonts w:ascii="Arial Narrow" w:eastAsia="Times New Roman" w:hAnsi="Arial Narrow" w:cs="Times New Roman"/>
      <w:b/>
      <w:bCs/>
      <w:lang w:val="es-CO" w:eastAsia="es-ES"/>
    </w:rPr>
  </w:style>
  <w:style w:type="character" w:customStyle="1" w:styleId="Invias-Titulo2Car">
    <w:name w:val="Invias-Titulo 2 Car"/>
    <w:link w:val="Invias-Titulo2"/>
    <w:uiPriority w:val="99"/>
    <w:rsid w:val="00F04E90"/>
    <w:rPr>
      <w:rFonts w:ascii="Arial Narrow" w:eastAsia="Times New Roman" w:hAnsi="Arial Narrow" w:cs="Times New Roman"/>
      <w:b/>
      <w:bCs/>
      <w:lang w:val="es-CO" w:eastAsia="es-ES"/>
    </w:rPr>
  </w:style>
  <w:style w:type="table" w:customStyle="1" w:styleId="Tabladecuadrcula6concolores1">
    <w:name w:val="Tabla de cuadrícula 6 con colores1"/>
    <w:basedOn w:val="Tablanormal"/>
    <w:uiPriority w:val="51"/>
    <w:rsid w:val="002C770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
    <w:name w:val="Tabla de cuadrícula 41"/>
    <w:basedOn w:val="Tablanormal"/>
    <w:uiPriority w:val="49"/>
    <w:rsid w:val="002C770F"/>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B040BC"/>
    <w:pPr>
      <w:widowControl w:val="0"/>
      <w:autoSpaceDE w:val="0"/>
      <w:autoSpaceDN w:val="0"/>
    </w:pPr>
    <w:rPr>
      <w:rFonts w:ascii="Arial" w:eastAsia="Arial" w:hAnsi="Arial" w:cs="Arial"/>
      <w:sz w:val="22"/>
      <w:szCs w:val="22"/>
      <w:lang w:val="es-CO" w:eastAsia="es-CO" w:bidi="es-CO"/>
    </w:rPr>
  </w:style>
  <w:style w:type="paragraph" w:customStyle="1" w:styleId="Capitulo3">
    <w:name w:val="Capitulo 3"/>
    <w:basedOn w:val="Normal"/>
    <w:qFormat/>
    <w:rsid w:val="009F230A"/>
    <w:pPr>
      <w:keepNext/>
      <w:numPr>
        <w:numId w:val="6"/>
      </w:numPr>
      <w:spacing w:before="120" w:after="200" w:line="276" w:lineRule="auto"/>
      <w:outlineLvl w:val="1"/>
    </w:pPr>
    <w:rPr>
      <w:rFonts w:ascii="Arial" w:eastAsia="Times New Roman" w:hAnsi="Arial" w:cs="Arial"/>
      <w:b/>
      <w:color w:val="000000"/>
      <w:sz w:val="20"/>
      <w:szCs w:val="20"/>
      <w:lang w:val="es-CO" w:eastAsia="es-CO"/>
    </w:rPr>
  </w:style>
  <w:style w:type="character" w:customStyle="1" w:styleId="Mencinsinresolver1">
    <w:name w:val="Mención sin resolver1"/>
    <w:basedOn w:val="Fuentedeprrafopredeter"/>
    <w:uiPriority w:val="99"/>
    <w:semiHidden/>
    <w:unhideWhenUsed/>
    <w:rsid w:val="00ED2FEE"/>
    <w:rPr>
      <w:color w:val="605E5C"/>
      <w:shd w:val="clear" w:color="auto" w:fill="E1DFDD"/>
    </w:rPr>
  </w:style>
  <w:style w:type="paragraph" w:customStyle="1" w:styleId="InviasNormal">
    <w:name w:val="Invias Normal"/>
    <w:basedOn w:val="Normal"/>
    <w:link w:val="InviasNormalCar"/>
    <w:qFormat/>
    <w:rsid w:val="00E71D5E"/>
    <w:pPr>
      <w:tabs>
        <w:tab w:val="left" w:pos="-142"/>
      </w:tabs>
      <w:autoSpaceDE w:val="0"/>
      <w:autoSpaceDN w:val="0"/>
      <w:adjustRightInd w:val="0"/>
      <w:spacing w:before="120" w:after="240"/>
      <w:jc w:val="both"/>
    </w:pPr>
    <w:rPr>
      <w:rFonts w:ascii="Arial Narrow" w:eastAsia="Times New Roman" w:hAnsi="Arial Narrow" w:cs="Times New Roman"/>
      <w:lang w:val="es-ES" w:eastAsia="es-ES"/>
    </w:rPr>
  </w:style>
  <w:style w:type="character" w:customStyle="1" w:styleId="InviasNormalCar">
    <w:name w:val="Invias Normal Car"/>
    <w:link w:val="InviasNormal"/>
    <w:locked/>
    <w:rsid w:val="00E71D5E"/>
    <w:rPr>
      <w:rFonts w:ascii="Arial Narrow" w:eastAsia="Times New Roman" w:hAnsi="Arial Narrow" w:cs="Times New Roman"/>
      <w:lang w:val="es-ES" w:eastAsia="es-ES"/>
    </w:rPr>
  </w:style>
  <w:style w:type="paragraph" w:customStyle="1" w:styleId="subtitulos">
    <w:name w:val="subtitulos"/>
    <w:basedOn w:val="Normal"/>
    <w:rsid w:val="003E3859"/>
    <w:pPr>
      <w:spacing w:before="100" w:beforeAutospacing="1" w:after="100" w:afterAutospacing="1"/>
    </w:pPr>
    <w:rPr>
      <w:rFonts w:ascii="Times New Roman" w:eastAsia="Times New Roman" w:hAnsi="Times New Roman" w:cs="Times New Roman"/>
      <w:lang w:val="es-ES" w:eastAsia="es-ES"/>
    </w:rPr>
  </w:style>
  <w:style w:type="table" w:styleId="Tablaconcuadrculaclara">
    <w:name w:val="Grid Table Light"/>
    <w:basedOn w:val="Tablanormal"/>
    <w:uiPriority w:val="40"/>
    <w:rsid w:val="00E62851"/>
    <w:rPr>
      <w:rFonts w:eastAsiaTheme="minorHAnsi"/>
      <w:lang w:val="es-ES_tradn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qFormat/>
    <w:rsid w:val="00BF273D"/>
    <w:pPr>
      <w:spacing w:after="200" w:line="276" w:lineRule="auto"/>
    </w:pPr>
    <w:rPr>
      <w:rFonts w:ascii="Calibri" w:eastAsia="Calibri" w:hAnsi="Calibri" w:cs="Calibri"/>
      <w:sz w:val="22"/>
      <w:szCs w:val="22"/>
      <w:lang w:val="es-CO" w:eastAsia="es-CO"/>
    </w:rPr>
    <w:tblPr>
      <w:tblCellMar>
        <w:top w:w="0" w:type="dxa"/>
        <w:left w:w="0" w:type="dxa"/>
        <w:bottom w:w="0" w:type="dxa"/>
        <w:right w:w="0" w:type="dxa"/>
      </w:tblCellMar>
    </w:tblPr>
  </w:style>
  <w:style w:type="paragraph" w:customStyle="1" w:styleId="msonormal0">
    <w:name w:val="msonormal"/>
    <w:basedOn w:val="Normal"/>
    <w:rsid w:val="00701B0D"/>
    <w:pPr>
      <w:spacing w:before="100" w:beforeAutospacing="1" w:after="100" w:afterAutospacing="1"/>
    </w:pPr>
    <w:rPr>
      <w:rFonts w:ascii="Times New Roman" w:eastAsia="Times New Roman" w:hAnsi="Times New Roman" w:cs="Times New Roman"/>
      <w:lang w:val="en-US"/>
    </w:rPr>
  </w:style>
  <w:style w:type="paragraph" w:customStyle="1" w:styleId="xl78">
    <w:name w:val="xl78"/>
    <w:basedOn w:val="Normal"/>
    <w:rsid w:val="00701B0D"/>
    <w:pPr>
      <w:pBdr>
        <w:top w:val="single" w:sz="8" w:space="0" w:color="auto"/>
        <w:left w:val="single" w:sz="4" w:space="0" w:color="auto"/>
        <w:bottom w:val="single" w:sz="8" w:space="0" w:color="auto"/>
        <w:right w:val="single" w:sz="4" w:space="0" w:color="auto"/>
      </w:pBdr>
      <w:shd w:val="clear" w:color="000000" w:fill="8EA9DB"/>
      <w:spacing w:before="100" w:beforeAutospacing="1" w:after="100" w:afterAutospacing="1"/>
      <w:jc w:val="center"/>
      <w:textAlignment w:val="center"/>
    </w:pPr>
    <w:rPr>
      <w:rFonts w:ascii="Century Gothic" w:eastAsia="Times New Roman" w:hAnsi="Century Gothic" w:cs="Times New Roman"/>
      <w:b/>
      <w:bCs/>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850">
      <w:bodyDiv w:val="1"/>
      <w:marLeft w:val="0"/>
      <w:marRight w:val="0"/>
      <w:marTop w:val="0"/>
      <w:marBottom w:val="0"/>
      <w:divBdr>
        <w:top w:val="none" w:sz="0" w:space="0" w:color="auto"/>
        <w:left w:val="none" w:sz="0" w:space="0" w:color="auto"/>
        <w:bottom w:val="none" w:sz="0" w:space="0" w:color="auto"/>
        <w:right w:val="none" w:sz="0" w:space="0" w:color="auto"/>
      </w:divBdr>
    </w:div>
    <w:div w:id="5064203">
      <w:bodyDiv w:val="1"/>
      <w:marLeft w:val="0"/>
      <w:marRight w:val="0"/>
      <w:marTop w:val="0"/>
      <w:marBottom w:val="0"/>
      <w:divBdr>
        <w:top w:val="none" w:sz="0" w:space="0" w:color="auto"/>
        <w:left w:val="none" w:sz="0" w:space="0" w:color="auto"/>
        <w:bottom w:val="none" w:sz="0" w:space="0" w:color="auto"/>
        <w:right w:val="none" w:sz="0" w:space="0" w:color="auto"/>
      </w:divBdr>
      <w:divsChild>
        <w:div w:id="1540778021">
          <w:marLeft w:val="0"/>
          <w:marRight w:val="0"/>
          <w:marTop w:val="0"/>
          <w:marBottom w:val="0"/>
          <w:divBdr>
            <w:top w:val="none" w:sz="0" w:space="0" w:color="auto"/>
            <w:left w:val="none" w:sz="0" w:space="0" w:color="auto"/>
            <w:bottom w:val="none" w:sz="0" w:space="0" w:color="auto"/>
            <w:right w:val="none" w:sz="0" w:space="0" w:color="auto"/>
          </w:divBdr>
        </w:div>
      </w:divsChild>
    </w:div>
    <w:div w:id="14238131">
      <w:bodyDiv w:val="1"/>
      <w:marLeft w:val="0"/>
      <w:marRight w:val="0"/>
      <w:marTop w:val="0"/>
      <w:marBottom w:val="0"/>
      <w:divBdr>
        <w:top w:val="none" w:sz="0" w:space="0" w:color="auto"/>
        <w:left w:val="none" w:sz="0" w:space="0" w:color="auto"/>
        <w:bottom w:val="none" w:sz="0" w:space="0" w:color="auto"/>
        <w:right w:val="none" w:sz="0" w:space="0" w:color="auto"/>
      </w:divBdr>
    </w:div>
    <w:div w:id="16465081">
      <w:bodyDiv w:val="1"/>
      <w:marLeft w:val="0"/>
      <w:marRight w:val="0"/>
      <w:marTop w:val="0"/>
      <w:marBottom w:val="0"/>
      <w:divBdr>
        <w:top w:val="none" w:sz="0" w:space="0" w:color="auto"/>
        <w:left w:val="none" w:sz="0" w:space="0" w:color="auto"/>
        <w:bottom w:val="none" w:sz="0" w:space="0" w:color="auto"/>
        <w:right w:val="none" w:sz="0" w:space="0" w:color="auto"/>
      </w:divBdr>
    </w:div>
    <w:div w:id="47196004">
      <w:bodyDiv w:val="1"/>
      <w:marLeft w:val="0"/>
      <w:marRight w:val="0"/>
      <w:marTop w:val="0"/>
      <w:marBottom w:val="0"/>
      <w:divBdr>
        <w:top w:val="none" w:sz="0" w:space="0" w:color="auto"/>
        <w:left w:val="none" w:sz="0" w:space="0" w:color="auto"/>
        <w:bottom w:val="none" w:sz="0" w:space="0" w:color="auto"/>
        <w:right w:val="none" w:sz="0" w:space="0" w:color="auto"/>
      </w:divBdr>
    </w:div>
    <w:div w:id="55127976">
      <w:bodyDiv w:val="1"/>
      <w:marLeft w:val="0"/>
      <w:marRight w:val="0"/>
      <w:marTop w:val="0"/>
      <w:marBottom w:val="0"/>
      <w:divBdr>
        <w:top w:val="none" w:sz="0" w:space="0" w:color="auto"/>
        <w:left w:val="none" w:sz="0" w:space="0" w:color="auto"/>
        <w:bottom w:val="none" w:sz="0" w:space="0" w:color="auto"/>
        <w:right w:val="none" w:sz="0" w:space="0" w:color="auto"/>
      </w:divBdr>
    </w:div>
    <w:div w:id="58796515">
      <w:bodyDiv w:val="1"/>
      <w:marLeft w:val="0"/>
      <w:marRight w:val="0"/>
      <w:marTop w:val="0"/>
      <w:marBottom w:val="0"/>
      <w:divBdr>
        <w:top w:val="none" w:sz="0" w:space="0" w:color="auto"/>
        <w:left w:val="none" w:sz="0" w:space="0" w:color="auto"/>
        <w:bottom w:val="none" w:sz="0" w:space="0" w:color="auto"/>
        <w:right w:val="none" w:sz="0" w:space="0" w:color="auto"/>
      </w:divBdr>
    </w:div>
    <w:div w:id="66920945">
      <w:bodyDiv w:val="1"/>
      <w:marLeft w:val="0"/>
      <w:marRight w:val="0"/>
      <w:marTop w:val="0"/>
      <w:marBottom w:val="0"/>
      <w:divBdr>
        <w:top w:val="none" w:sz="0" w:space="0" w:color="auto"/>
        <w:left w:val="none" w:sz="0" w:space="0" w:color="auto"/>
        <w:bottom w:val="none" w:sz="0" w:space="0" w:color="auto"/>
        <w:right w:val="none" w:sz="0" w:space="0" w:color="auto"/>
      </w:divBdr>
    </w:div>
    <w:div w:id="76247474">
      <w:bodyDiv w:val="1"/>
      <w:marLeft w:val="0"/>
      <w:marRight w:val="0"/>
      <w:marTop w:val="0"/>
      <w:marBottom w:val="0"/>
      <w:divBdr>
        <w:top w:val="none" w:sz="0" w:space="0" w:color="auto"/>
        <w:left w:val="none" w:sz="0" w:space="0" w:color="auto"/>
        <w:bottom w:val="none" w:sz="0" w:space="0" w:color="auto"/>
        <w:right w:val="none" w:sz="0" w:space="0" w:color="auto"/>
      </w:divBdr>
    </w:div>
    <w:div w:id="101078558">
      <w:bodyDiv w:val="1"/>
      <w:marLeft w:val="0"/>
      <w:marRight w:val="0"/>
      <w:marTop w:val="0"/>
      <w:marBottom w:val="0"/>
      <w:divBdr>
        <w:top w:val="none" w:sz="0" w:space="0" w:color="auto"/>
        <w:left w:val="none" w:sz="0" w:space="0" w:color="auto"/>
        <w:bottom w:val="none" w:sz="0" w:space="0" w:color="auto"/>
        <w:right w:val="none" w:sz="0" w:space="0" w:color="auto"/>
      </w:divBdr>
    </w:div>
    <w:div w:id="120154189">
      <w:bodyDiv w:val="1"/>
      <w:marLeft w:val="0"/>
      <w:marRight w:val="0"/>
      <w:marTop w:val="0"/>
      <w:marBottom w:val="0"/>
      <w:divBdr>
        <w:top w:val="none" w:sz="0" w:space="0" w:color="auto"/>
        <w:left w:val="none" w:sz="0" w:space="0" w:color="auto"/>
        <w:bottom w:val="none" w:sz="0" w:space="0" w:color="auto"/>
        <w:right w:val="none" w:sz="0" w:space="0" w:color="auto"/>
      </w:divBdr>
    </w:div>
    <w:div w:id="125858056">
      <w:bodyDiv w:val="1"/>
      <w:marLeft w:val="0"/>
      <w:marRight w:val="0"/>
      <w:marTop w:val="0"/>
      <w:marBottom w:val="0"/>
      <w:divBdr>
        <w:top w:val="none" w:sz="0" w:space="0" w:color="auto"/>
        <w:left w:val="none" w:sz="0" w:space="0" w:color="auto"/>
        <w:bottom w:val="none" w:sz="0" w:space="0" w:color="auto"/>
        <w:right w:val="none" w:sz="0" w:space="0" w:color="auto"/>
      </w:divBdr>
    </w:div>
    <w:div w:id="131675289">
      <w:bodyDiv w:val="1"/>
      <w:marLeft w:val="0"/>
      <w:marRight w:val="0"/>
      <w:marTop w:val="0"/>
      <w:marBottom w:val="0"/>
      <w:divBdr>
        <w:top w:val="none" w:sz="0" w:space="0" w:color="auto"/>
        <w:left w:val="none" w:sz="0" w:space="0" w:color="auto"/>
        <w:bottom w:val="none" w:sz="0" w:space="0" w:color="auto"/>
        <w:right w:val="none" w:sz="0" w:space="0" w:color="auto"/>
      </w:divBdr>
    </w:div>
    <w:div w:id="159345940">
      <w:bodyDiv w:val="1"/>
      <w:marLeft w:val="0"/>
      <w:marRight w:val="0"/>
      <w:marTop w:val="0"/>
      <w:marBottom w:val="0"/>
      <w:divBdr>
        <w:top w:val="none" w:sz="0" w:space="0" w:color="auto"/>
        <w:left w:val="none" w:sz="0" w:space="0" w:color="auto"/>
        <w:bottom w:val="none" w:sz="0" w:space="0" w:color="auto"/>
        <w:right w:val="none" w:sz="0" w:space="0" w:color="auto"/>
      </w:divBdr>
    </w:div>
    <w:div w:id="171533770">
      <w:bodyDiv w:val="1"/>
      <w:marLeft w:val="0"/>
      <w:marRight w:val="0"/>
      <w:marTop w:val="0"/>
      <w:marBottom w:val="0"/>
      <w:divBdr>
        <w:top w:val="none" w:sz="0" w:space="0" w:color="auto"/>
        <w:left w:val="none" w:sz="0" w:space="0" w:color="auto"/>
        <w:bottom w:val="none" w:sz="0" w:space="0" w:color="auto"/>
        <w:right w:val="none" w:sz="0" w:space="0" w:color="auto"/>
      </w:divBdr>
    </w:div>
    <w:div w:id="182520359">
      <w:bodyDiv w:val="1"/>
      <w:marLeft w:val="0"/>
      <w:marRight w:val="0"/>
      <w:marTop w:val="0"/>
      <w:marBottom w:val="0"/>
      <w:divBdr>
        <w:top w:val="none" w:sz="0" w:space="0" w:color="auto"/>
        <w:left w:val="none" w:sz="0" w:space="0" w:color="auto"/>
        <w:bottom w:val="none" w:sz="0" w:space="0" w:color="auto"/>
        <w:right w:val="none" w:sz="0" w:space="0" w:color="auto"/>
      </w:divBdr>
      <w:divsChild>
        <w:div w:id="31882724">
          <w:marLeft w:val="0"/>
          <w:marRight w:val="0"/>
          <w:marTop w:val="0"/>
          <w:marBottom w:val="0"/>
          <w:divBdr>
            <w:top w:val="none" w:sz="0" w:space="0" w:color="auto"/>
            <w:left w:val="none" w:sz="0" w:space="0" w:color="auto"/>
            <w:bottom w:val="none" w:sz="0" w:space="0" w:color="auto"/>
            <w:right w:val="none" w:sz="0" w:space="0" w:color="auto"/>
          </w:divBdr>
        </w:div>
        <w:div w:id="144320068">
          <w:marLeft w:val="0"/>
          <w:marRight w:val="0"/>
          <w:marTop w:val="0"/>
          <w:marBottom w:val="0"/>
          <w:divBdr>
            <w:top w:val="none" w:sz="0" w:space="0" w:color="auto"/>
            <w:left w:val="none" w:sz="0" w:space="0" w:color="auto"/>
            <w:bottom w:val="none" w:sz="0" w:space="0" w:color="auto"/>
            <w:right w:val="none" w:sz="0" w:space="0" w:color="auto"/>
          </w:divBdr>
        </w:div>
        <w:div w:id="216480156">
          <w:marLeft w:val="0"/>
          <w:marRight w:val="0"/>
          <w:marTop w:val="0"/>
          <w:marBottom w:val="0"/>
          <w:divBdr>
            <w:top w:val="none" w:sz="0" w:space="0" w:color="auto"/>
            <w:left w:val="none" w:sz="0" w:space="0" w:color="auto"/>
            <w:bottom w:val="none" w:sz="0" w:space="0" w:color="auto"/>
            <w:right w:val="none" w:sz="0" w:space="0" w:color="auto"/>
          </w:divBdr>
        </w:div>
        <w:div w:id="305016834">
          <w:marLeft w:val="0"/>
          <w:marRight w:val="0"/>
          <w:marTop w:val="0"/>
          <w:marBottom w:val="0"/>
          <w:divBdr>
            <w:top w:val="none" w:sz="0" w:space="0" w:color="auto"/>
            <w:left w:val="none" w:sz="0" w:space="0" w:color="auto"/>
            <w:bottom w:val="none" w:sz="0" w:space="0" w:color="auto"/>
            <w:right w:val="none" w:sz="0" w:space="0" w:color="auto"/>
          </w:divBdr>
        </w:div>
        <w:div w:id="600643769">
          <w:marLeft w:val="0"/>
          <w:marRight w:val="0"/>
          <w:marTop w:val="0"/>
          <w:marBottom w:val="0"/>
          <w:divBdr>
            <w:top w:val="none" w:sz="0" w:space="0" w:color="auto"/>
            <w:left w:val="none" w:sz="0" w:space="0" w:color="auto"/>
            <w:bottom w:val="none" w:sz="0" w:space="0" w:color="auto"/>
            <w:right w:val="none" w:sz="0" w:space="0" w:color="auto"/>
          </w:divBdr>
        </w:div>
        <w:div w:id="678967629">
          <w:marLeft w:val="0"/>
          <w:marRight w:val="0"/>
          <w:marTop w:val="0"/>
          <w:marBottom w:val="0"/>
          <w:divBdr>
            <w:top w:val="none" w:sz="0" w:space="0" w:color="auto"/>
            <w:left w:val="none" w:sz="0" w:space="0" w:color="auto"/>
            <w:bottom w:val="none" w:sz="0" w:space="0" w:color="auto"/>
            <w:right w:val="none" w:sz="0" w:space="0" w:color="auto"/>
          </w:divBdr>
        </w:div>
        <w:div w:id="1051071873">
          <w:marLeft w:val="0"/>
          <w:marRight w:val="0"/>
          <w:marTop w:val="0"/>
          <w:marBottom w:val="0"/>
          <w:divBdr>
            <w:top w:val="none" w:sz="0" w:space="0" w:color="auto"/>
            <w:left w:val="none" w:sz="0" w:space="0" w:color="auto"/>
            <w:bottom w:val="none" w:sz="0" w:space="0" w:color="auto"/>
            <w:right w:val="none" w:sz="0" w:space="0" w:color="auto"/>
          </w:divBdr>
        </w:div>
        <w:div w:id="1230723437">
          <w:marLeft w:val="0"/>
          <w:marRight w:val="0"/>
          <w:marTop w:val="0"/>
          <w:marBottom w:val="0"/>
          <w:divBdr>
            <w:top w:val="none" w:sz="0" w:space="0" w:color="auto"/>
            <w:left w:val="none" w:sz="0" w:space="0" w:color="auto"/>
            <w:bottom w:val="none" w:sz="0" w:space="0" w:color="auto"/>
            <w:right w:val="none" w:sz="0" w:space="0" w:color="auto"/>
          </w:divBdr>
        </w:div>
        <w:div w:id="1266576214">
          <w:marLeft w:val="0"/>
          <w:marRight w:val="0"/>
          <w:marTop w:val="0"/>
          <w:marBottom w:val="0"/>
          <w:divBdr>
            <w:top w:val="none" w:sz="0" w:space="0" w:color="auto"/>
            <w:left w:val="none" w:sz="0" w:space="0" w:color="auto"/>
            <w:bottom w:val="none" w:sz="0" w:space="0" w:color="auto"/>
            <w:right w:val="none" w:sz="0" w:space="0" w:color="auto"/>
          </w:divBdr>
        </w:div>
        <w:div w:id="1337345258">
          <w:marLeft w:val="0"/>
          <w:marRight w:val="0"/>
          <w:marTop w:val="0"/>
          <w:marBottom w:val="0"/>
          <w:divBdr>
            <w:top w:val="none" w:sz="0" w:space="0" w:color="auto"/>
            <w:left w:val="none" w:sz="0" w:space="0" w:color="auto"/>
            <w:bottom w:val="none" w:sz="0" w:space="0" w:color="auto"/>
            <w:right w:val="none" w:sz="0" w:space="0" w:color="auto"/>
          </w:divBdr>
        </w:div>
        <w:div w:id="1361978404">
          <w:marLeft w:val="0"/>
          <w:marRight w:val="0"/>
          <w:marTop w:val="0"/>
          <w:marBottom w:val="0"/>
          <w:divBdr>
            <w:top w:val="none" w:sz="0" w:space="0" w:color="auto"/>
            <w:left w:val="none" w:sz="0" w:space="0" w:color="auto"/>
            <w:bottom w:val="none" w:sz="0" w:space="0" w:color="auto"/>
            <w:right w:val="none" w:sz="0" w:space="0" w:color="auto"/>
          </w:divBdr>
        </w:div>
        <w:div w:id="1420909390">
          <w:marLeft w:val="0"/>
          <w:marRight w:val="0"/>
          <w:marTop w:val="0"/>
          <w:marBottom w:val="0"/>
          <w:divBdr>
            <w:top w:val="none" w:sz="0" w:space="0" w:color="auto"/>
            <w:left w:val="none" w:sz="0" w:space="0" w:color="auto"/>
            <w:bottom w:val="none" w:sz="0" w:space="0" w:color="auto"/>
            <w:right w:val="none" w:sz="0" w:space="0" w:color="auto"/>
          </w:divBdr>
        </w:div>
        <w:div w:id="1814180478">
          <w:marLeft w:val="0"/>
          <w:marRight w:val="0"/>
          <w:marTop w:val="0"/>
          <w:marBottom w:val="0"/>
          <w:divBdr>
            <w:top w:val="none" w:sz="0" w:space="0" w:color="auto"/>
            <w:left w:val="none" w:sz="0" w:space="0" w:color="auto"/>
            <w:bottom w:val="none" w:sz="0" w:space="0" w:color="auto"/>
            <w:right w:val="none" w:sz="0" w:space="0" w:color="auto"/>
          </w:divBdr>
        </w:div>
        <w:div w:id="1894122446">
          <w:marLeft w:val="0"/>
          <w:marRight w:val="0"/>
          <w:marTop w:val="0"/>
          <w:marBottom w:val="0"/>
          <w:divBdr>
            <w:top w:val="none" w:sz="0" w:space="0" w:color="auto"/>
            <w:left w:val="none" w:sz="0" w:space="0" w:color="auto"/>
            <w:bottom w:val="none" w:sz="0" w:space="0" w:color="auto"/>
            <w:right w:val="none" w:sz="0" w:space="0" w:color="auto"/>
          </w:divBdr>
        </w:div>
      </w:divsChild>
    </w:div>
    <w:div w:id="190070854">
      <w:bodyDiv w:val="1"/>
      <w:marLeft w:val="0"/>
      <w:marRight w:val="0"/>
      <w:marTop w:val="0"/>
      <w:marBottom w:val="0"/>
      <w:divBdr>
        <w:top w:val="none" w:sz="0" w:space="0" w:color="auto"/>
        <w:left w:val="none" w:sz="0" w:space="0" w:color="auto"/>
        <w:bottom w:val="none" w:sz="0" w:space="0" w:color="auto"/>
        <w:right w:val="none" w:sz="0" w:space="0" w:color="auto"/>
      </w:divBdr>
    </w:div>
    <w:div w:id="208877687">
      <w:bodyDiv w:val="1"/>
      <w:marLeft w:val="0"/>
      <w:marRight w:val="0"/>
      <w:marTop w:val="0"/>
      <w:marBottom w:val="0"/>
      <w:divBdr>
        <w:top w:val="none" w:sz="0" w:space="0" w:color="auto"/>
        <w:left w:val="none" w:sz="0" w:space="0" w:color="auto"/>
        <w:bottom w:val="none" w:sz="0" w:space="0" w:color="auto"/>
        <w:right w:val="none" w:sz="0" w:space="0" w:color="auto"/>
      </w:divBdr>
      <w:divsChild>
        <w:div w:id="1446928011">
          <w:marLeft w:val="0"/>
          <w:marRight w:val="0"/>
          <w:marTop w:val="0"/>
          <w:marBottom w:val="0"/>
          <w:divBdr>
            <w:top w:val="none" w:sz="0" w:space="0" w:color="auto"/>
            <w:left w:val="none" w:sz="0" w:space="0" w:color="auto"/>
            <w:bottom w:val="none" w:sz="0" w:space="0" w:color="auto"/>
            <w:right w:val="none" w:sz="0" w:space="0" w:color="auto"/>
          </w:divBdr>
        </w:div>
      </w:divsChild>
    </w:div>
    <w:div w:id="215314580">
      <w:bodyDiv w:val="1"/>
      <w:marLeft w:val="0"/>
      <w:marRight w:val="0"/>
      <w:marTop w:val="0"/>
      <w:marBottom w:val="0"/>
      <w:divBdr>
        <w:top w:val="none" w:sz="0" w:space="0" w:color="auto"/>
        <w:left w:val="none" w:sz="0" w:space="0" w:color="auto"/>
        <w:bottom w:val="none" w:sz="0" w:space="0" w:color="auto"/>
        <w:right w:val="none" w:sz="0" w:space="0" w:color="auto"/>
      </w:divBdr>
    </w:div>
    <w:div w:id="272369889">
      <w:bodyDiv w:val="1"/>
      <w:marLeft w:val="0"/>
      <w:marRight w:val="0"/>
      <w:marTop w:val="0"/>
      <w:marBottom w:val="0"/>
      <w:divBdr>
        <w:top w:val="none" w:sz="0" w:space="0" w:color="auto"/>
        <w:left w:val="none" w:sz="0" w:space="0" w:color="auto"/>
        <w:bottom w:val="none" w:sz="0" w:space="0" w:color="auto"/>
        <w:right w:val="none" w:sz="0" w:space="0" w:color="auto"/>
      </w:divBdr>
    </w:div>
    <w:div w:id="278923843">
      <w:bodyDiv w:val="1"/>
      <w:marLeft w:val="0"/>
      <w:marRight w:val="0"/>
      <w:marTop w:val="0"/>
      <w:marBottom w:val="0"/>
      <w:divBdr>
        <w:top w:val="none" w:sz="0" w:space="0" w:color="auto"/>
        <w:left w:val="none" w:sz="0" w:space="0" w:color="auto"/>
        <w:bottom w:val="none" w:sz="0" w:space="0" w:color="auto"/>
        <w:right w:val="none" w:sz="0" w:space="0" w:color="auto"/>
      </w:divBdr>
    </w:div>
    <w:div w:id="282738815">
      <w:bodyDiv w:val="1"/>
      <w:marLeft w:val="0"/>
      <w:marRight w:val="0"/>
      <w:marTop w:val="0"/>
      <w:marBottom w:val="0"/>
      <w:divBdr>
        <w:top w:val="none" w:sz="0" w:space="0" w:color="auto"/>
        <w:left w:val="none" w:sz="0" w:space="0" w:color="auto"/>
        <w:bottom w:val="none" w:sz="0" w:space="0" w:color="auto"/>
        <w:right w:val="none" w:sz="0" w:space="0" w:color="auto"/>
      </w:divBdr>
      <w:divsChild>
        <w:div w:id="289555691">
          <w:marLeft w:val="0"/>
          <w:marRight w:val="0"/>
          <w:marTop w:val="0"/>
          <w:marBottom w:val="0"/>
          <w:divBdr>
            <w:top w:val="none" w:sz="0" w:space="0" w:color="auto"/>
            <w:left w:val="none" w:sz="0" w:space="0" w:color="auto"/>
            <w:bottom w:val="none" w:sz="0" w:space="0" w:color="auto"/>
            <w:right w:val="none" w:sz="0" w:space="0" w:color="auto"/>
          </w:divBdr>
        </w:div>
      </w:divsChild>
    </w:div>
    <w:div w:id="293676818">
      <w:bodyDiv w:val="1"/>
      <w:marLeft w:val="0"/>
      <w:marRight w:val="0"/>
      <w:marTop w:val="0"/>
      <w:marBottom w:val="0"/>
      <w:divBdr>
        <w:top w:val="none" w:sz="0" w:space="0" w:color="auto"/>
        <w:left w:val="none" w:sz="0" w:space="0" w:color="auto"/>
        <w:bottom w:val="none" w:sz="0" w:space="0" w:color="auto"/>
        <w:right w:val="none" w:sz="0" w:space="0" w:color="auto"/>
      </w:divBdr>
    </w:div>
    <w:div w:id="295911331">
      <w:bodyDiv w:val="1"/>
      <w:marLeft w:val="0"/>
      <w:marRight w:val="0"/>
      <w:marTop w:val="0"/>
      <w:marBottom w:val="0"/>
      <w:divBdr>
        <w:top w:val="none" w:sz="0" w:space="0" w:color="auto"/>
        <w:left w:val="none" w:sz="0" w:space="0" w:color="auto"/>
        <w:bottom w:val="none" w:sz="0" w:space="0" w:color="auto"/>
        <w:right w:val="none" w:sz="0" w:space="0" w:color="auto"/>
      </w:divBdr>
    </w:div>
    <w:div w:id="322316777">
      <w:bodyDiv w:val="1"/>
      <w:marLeft w:val="0"/>
      <w:marRight w:val="0"/>
      <w:marTop w:val="0"/>
      <w:marBottom w:val="0"/>
      <w:divBdr>
        <w:top w:val="none" w:sz="0" w:space="0" w:color="auto"/>
        <w:left w:val="none" w:sz="0" w:space="0" w:color="auto"/>
        <w:bottom w:val="none" w:sz="0" w:space="0" w:color="auto"/>
        <w:right w:val="none" w:sz="0" w:space="0" w:color="auto"/>
      </w:divBdr>
    </w:div>
    <w:div w:id="327441218">
      <w:bodyDiv w:val="1"/>
      <w:marLeft w:val="0"/>
      <w:marRight w:val="0"/>
      <w:marTop w:val="0"/>
      <w:marBottom w:val="0"/>
      <w:divBdr>
        <w:top w:val="none" w:sz="0" w:space="0" w:color="auto"/>
        <w:left w:val="none" w:sz="0" w:space="0" w:color="auto"/>
        <w:bottom w:val="none" w:sz="0" w:space="0" w:color="auto"/>
        <w:right w:val="none" w:sz="0" w:space="0" w:color="auto"/>
      </w:divBdr>
      <w:divsChild>
        <w:div w:id="68890651">
          <w:marLeft w:val="0"/>
          <w:marRight w:val="0"/>
          <w:marTop w:val="0"/>
          <w:marBottom w:val="0"/>
          <w:divBdr>
            <w:top w:val="none" w:sz="0" w:space="0" w:color="auto"/>
            <w:left w:val="none" w:sz="0" w:space="0" w:color="auto"/>
            <w:bottom w:val="none" w:sz="0" w:space="0" w:color="auto"/>
            <w:right w:val="none" w:sz="0" w:space="0" w:color="auto"/>
          </w:divBdr>
        </w:div>
      </w:divsChild>
    </w:div>
    <w:div w:id="337930335">
      <w:bodyDiv w:val="1"/>
      <w:marLeft w:val="0"/>
      <w:marRight w:val="0"/>
      <w:marTop w:val="0"/>
      <w:marBottom w:val="0"/>
      <w:divBdr>
        <w:top w:val="none" w:sz="0" w:space="0" w:color="auto"/>
        <w:left w:val="none" w:sz="0" w:space="0" w:color="auto"/>
        <w:bottom w:val="none" w:sz="0" w:space="0" w:color="auto"/>
        <w:right w:val="none" w:sz="0" w:space="0" w:color="auto"/>
      </w:divBdr>
    </w:div>
    <w:div w:id="339738922">
      <w:bodyDiv w:val="1"/>
      <w:marLeft w:val="0"/>
      <w:marRight w:val="0"/>
      <w:marTop w:val="0"/>
      <w:marBottom w:val="0"/>
      <w:divBdr>
        <w:top w:val="none" w:sz="0" w:space="0" w:color="auto"/>
        <w:left w:val="none" w:sz="0" w:space="0" w:color="auto"/>
        <w:bottom w:val="none" w:sz="0" w:space="0" w:color="auto"/>
        <w:right w:val="none" w:sz="0" w:space="0" w:color="auto"/>
      </w:divBdr>
    </w:div>
    <w:div w:id="361714635">
      <w:bodyDiv w:val="1"/>
      <w:marLeft w:val="0"/>
      <w:marRight w:val="0"/>
      <w:marTop w:val="0"/>
      <w:marBottom w:val="0"/>
      <w:divBdr>
        <w:top w:val="none" w:sz="0" w:space="0" w:color="auto"/>
        <w:left w:val="none" w:sz="0" w:space="0" w:color="auto"/>
        <w:bottom w:val="none" w:sz="0" w:space="0" w:color="auto"/>
        <w:right w:val="none" w:sz="0" w:space="0" w:color="auto"/>
      </w:divBdr>
    </w:div>
    <w:div w:id="372270279">
      <w:bodyDiv w:val="1"/>
      <w:marLeft w:val="0"/>
      <w:marRight w:val="0"/>
      <w:marTop w:val="0"/>
      <w:marBottom w:val="0"/>
      <w:divBdr>
        <w:top w:val="none" w:sz="0" w:space="0" w:color="auto"/>
        <w:left w:val="none" w:sz="0" w:space="0" w:color="auto"/>
        <w:bottom w:val="none" w:sz="0" w:space="0" w:color="auto"/>
        <w:right w:val="none" w:sz="0" w:space="0" w:color="auto"/>
      </w:divBdr>
    </w:div>
    <w:div w:id="373627776">
      <w:bodyDiv w:val="1"/>
      <w:marLeft w:val="0"/>
      <w:marRight w:val="0"/>
      <w:marTop w:val="0"/>
      <w:marBottom w:val="0"/>
      <w:divBdr>
        <w:top w:val="none" w:sz="0" w:space="0" w:color="auto"/>
        <w:left w:val="none" w:sz="0" w:space="0" w:color="auto"/>
        <w:bottom w:val="none" w:sz="0" w:space="0" w:color="auto"/>
        <w:right w:val="none" w:sz="0" w:space="0" w:color="auto"/>
      </w:divBdr>
    </w:div>
    <w:div w:id="400492167">
      <w:bodyDiv w:val="1"/>
      <w:marLeft w:val="0"/>
      <w:marRight w:val="0"/>
      <w:marTop w:val="0"/>
      <w:marBottom w:val="0"/>
      <w:divBdr>
        <w:top w:val="none" w:sz="0" w:space="0" w:color="auto"/>
        <w:left w:val="none" w:sz="0" w:space="0" w:color="auto"/>
        <w:bottom w:val="none" w:sz="0" w:space="0" w:color="auto"/>
        <w:right w:val="none" w:sz="0" w:space="0" w:color="auto"/>
      </w:divBdr>
    </w:div>
    <w:div w:id="408965412">
      <w:bodyDiv w:val="1"/>
      <w:marLeft w:val="0"/>
      <w:marRight w:val="0"/>
      <w:marTop w:val="0"/>
      <w:marBottom w:val="0"/>
      <w:divBdr>
        <w:top w:val="none" w:sz="0" w:space="0" w:color="auto"/>
        <w:left w:val="none" w:sz="0" w:space="0" w:color="auto"/>
        <w:bottom w:val="none" w:sz="0" w:space="0" w:color="auto"/>
        <w:right w:val="none" w:sz="0" w:space="0" w:color="auto"/>
      </w:divBdr>
    </w:div>
    <w:div w:id="424426297">
      <w:bodyDiv w:val="1"/>
      <w:marLeft w:val="0"/>
      <w:marRight w:val="0"/>
      <w:marTop w:val="0"/>
      <w:marBottom w:val="0"/>
      <w:divBdr>
        <w:top w:val="none" w:sz="0" w:space="0" w:color="auto"/>
        <w:left w:val="none" w:sz="0" w:space="0" w:color="auto"/>
        <w:bottom w:val="none" w:sz="0" w:space="0" w:color="auto"/>
        <w:right w:val="none" w:sz="0" w:space="0" w:color="auto"/>
      </w:divBdr>
    </w:div>
    <w:div w:id="444807522">
      <w:bodyDiv w:val="1"/>
      <w:marLeft w:val="0"/>
      <w:marRight w:val="0"/>
      <w:marTop w:val="0"/>
      <w:marBottom w:val="0"/>
      <w:divBdr>
        <w:top w:val="none" w:sz="0" w:space="0" w:color="auto"/>
        <w:left w:val="none" w:sz="0" w:space="0" w:color="auto"/>
        <w:bottom w:val="none" w:sz="0" w:space="0" w:color="auto"/>
        <w:right w:val="none" w:sz="0" w:space="0" w:color="auto"/>
      </w:divBdr>
    </w:div>
    <w:div w:id="461310208">
      <w:bodyDiv w:val="1"/>
      <w:marLeft w:val="0"/>
      <w:marRight w:val="0"/>
      <w:marTop w:val="0"/>
      <w:marBottom w:val="0"/>
      <w:divBdr>
        <w:top w:val="none" w:sz="0" w:space="0" w:color="auto"/>
        <w:left w:val="none" w:sz="0" w:space="0" w:color="auto"/>
        <w:bottom w:val="none" w:sz="0" w:space="0" w:color="auto"/>
        <w:right w:val="none" w:sz="0" w:space="0" w:color="auto"/>
      </w:divBdr>
    </w:div>
    <w:div w:id="471557947">
      <w:bodyDiv w:val="1"/>
      <w:marLeft w:val="0"/>
      <w:marRight w:val="0"/>
      <w:marTop w:val="0"/>
      <w:marBottom w:val="0"/>
      <w:divBdr>
        <w:top w:val="none" w:sz="0" w:space="0" w:color="auto"/>
        <w:left w:val="none" w:sz="0" w:space="0" w:color="auto"/>
        <w:bottom w:val="none" w:sz="0" w:space="0" w:color="auto"/>
        <w:right w:val="none" w:sz="0" w:space="0" w:color="auto"/>
      </w:divBdr>
    </w:div>
    <w:div w:id="475607688">
      <w:bodyDiv w:val="1"/>
      <w:marLeft w:val="0"/>
      <w:marRight w:val="0"/>
      <w:marTop w:val="0"/>
      <w:marBottom w:val="0"/>
      <w:divBdr>
        <w:top w:val="none" w:sz="0" w:space="0" w:color="auto"/>
        <w:left w:val="none" w:sz="0" w:space="0" w:color="auto"/>
        <w:bottom w:val="none" w:sz="0" w:space="0" w:color="auto"/>
        <w:right w:val="none" w:sz="0" w:space="0" w:color="auto"/>
      </w:divBdr>
    </w:div>
    <w:div w:id="479270675">
      <w:bodyDiv w:val="1"/>
      <w:marLeft w:val="0"/>
      <w:marRight w:val="0"/>
      <w:marTop w:val="0"/>
      <w:marBottom w:val="0"/>
      <w:divBdr>
        <w:top w:val="none" w:sz="0" w:space="0" w:color="auto"/>
        <w:left w:val="none" w:sz="0" w:space="0" w:color="auto"/>
        <w:bottom w:val="none" w:sz="0" w:space="0" w:color="auto"/>
        <w:right w:val="none" w:sz="0" w:space="0" w:color="auto"/>
      </w:divBdr>
    </w:div>
    <w:div w:id="493181629">
      <w:bodyDiv w:val="1"/>
      <w:marLeft w:val="0"/>
      <w:marRight w:val="0"/>
      <w:marTop w:val="0"/>
      <w:marBottom w:val="0"/>
      <w:divBdr>
        <w:top w:val="none" w:sz="0" w:space="0" w:color="auto"/>
        <w:left w:val="none" w:sz="0" w:space="0" w:color="auto"/>
        <w:bottom w:val="none" w:sz="0" w:space="0" w:color="auto"/>
        <w:right w:val="none" w:sz="0" w:space="0" w:color="auto"/>
      </w:divBdr>
    </w:div>
    <w:div w:id="494103442">
      <w:bodyDiv w:val="1"/>
      <w:marLeft w:val="0"/>
      <w:marRight w:val="0"/>
      <w:marTop w:val="0"/>
      <w:marBottom w:val="0"/>
      <w:divBdr>
        <w:top w:val="none" w:sz="0" w:space="0" w:color="auto"/>
        <w:left w:val="none" w:sz="0" w:space="0" w:color="auto"/>
        <w:bottom w:val="none" w:sz="0" w:space="0" w:color="auto"/>
        <w:right w:val="none" w:sz="0" w:space="0" w:color="auto"/>
      </w:divBdr>
      <w:divsChild>
        <w:div w:id="506599670">
          <w:marLeft w:val="0"/>
          <w:marRight w:val="0"/>
          <w:marTop w:val="0"/>
          <w:marBottom w:val="0"/>
          <w:divBdr>
            <w:top w:val="none" w:sz="0" w:space="0" w:color="auto"/>
            <w:left w:val="none" w:sz="0" w:space="0" w:color="auto"/>
            <w:bottom w:val="none" w:sz="0" w:space="0" w:color="auto"/>
            <w:right w:val="none" w:sz="0" w:space="0" w:color="auto"/>
          </w:divBdr>
        </w:div>
      </w:divsChild>
    </w:div>
    <w:div w:id="513885104">
      <w:bodyDiv w:val="1"/>
      <w:marLeft w:val="0"/>
      <w:marRight w:val="0"/>
      <w:marTop w:val="0"/>
      <w:marBottom w:val="0"/>
      <w:divBdr>
        <w:top w:val="none" w:sz="0" w:space="0" w:color="auto"/>
        <w:left w:val="none" w:sz="0" w:space="0" w:color="auto"/>
        <w:bottom w:val="none" w:sz="0" w:space="0" w:color="auto"/>
        <w:right w:val="none" w:sz="0" w:space="0" w:color="auto"/>
      </w:divBdr>
    </w:div>
    <w:div w:id="536816905">
      <w:bodyDiv w:val="1"/>
      <w:marLeft w:val="0"/>
      <w:marRight w:val="0"/>
      <w:marTop w:val="0"/>
      <w:marBottom w:val="0"/>
      <w:divBdr>
        <w:top w:val="none" w:sz="0" w:space="0" w:color="auto"/>
        <w:left w:val="none" w:sz="0" w:space="0" w:color="auto"/>
        <w:bottom w:val="none" w:sz="0" w:space="0" w:color="auto"/>
        <w:right w:val="none" w:sz="0" w:space="0" w:color="auto"/>
      </w:divBdr>
    </w:div>
    <w:div w:id="584077643">
      <w:bodyDiv w:val="1"/>
      <w:marLeft w:val="0"/>
      <w:marRight w:val="0"/>
      <w:marTop w:val="0"/>
      <w:marBottom w:val="0"/>
      <w:divBdr>
        <w:top w:val="none" w:sz="0" w:space="0" w:color="auto"/>
        <w:left w:val="none" w:sz="0" w:space="0" w:color="auto"/>
        <w:bottom w:val="none" w:sz="0" w:space="0" w:color="auto"/>
        <w:right w:val="none" w:sz="0" w:space="0" w:color="auto"/>
      </w:divBdr>
    </w:div>
    <w:div w:id="587924941">
      <w:bodyDiv w:val="1"/>
      <w:marLeft w:val="0"/>
      <w:marRight w:val="0"/>
      <w:marTop w:val="0"/>
      <w:marBottom w:val="0"/>
      <w:divBdr>
        <w:top w:val="none" w:sz="0" w:space="0" w:color="auto"/>
        <w:left w:val="none" w:sz="0" w:space="0" w:color="auto"/>
        <w:bottom w:val="none" w:sz="0" w:space="0" w:color="auto"/>
        <w:right w:val="none" w:sz="0" w:space="0" w:color="auto"/>
      </w:divBdr>
    </w:div>
    <w:div w:id="607736376">
      <w:bodyDiv w:val="1"/>
      <w:marLeft w:val="0"/>
      <w:marRight w:val="0"/>
      <w:marTop w:val="0"/>
      <w:marBottom w:val="0"/>
      <w:divBdr>
        <w:top w:val="none" w:sz="0" w:space="0" w:color="auto"/>
        <w:left w:val="none" w:sz="0" w:space="0" w:color="auto"/>
        <w:bottom w:val="none" w:sz="0" w:space="0" w:color="auto"/>
        <w:right w:val="none" w:sz="0" w:space="0" w:color="auto"/>
      </w:divBdr>
    </w:div>
    <w:div w:id="627467575">
      <w:bodyDiv w:val="1"/>
      <w:marLeft w:val="0"/>
      <w:marRight w:val="0"/>
      <w:marTop w:val="0"/>
      <w:marBottom w:val="0"/>
      <w:divBdr>
        <w:top w:val="none" w:sz="0" w:space="0" w:color="auto"/>
        <w:left w:val="none" w:sz="0" w:space="0" w:color="auto"/>
        <w:bottom w:val="none" w:sz="0" w:space="0" w:color="auto"/>
        <w:right w:val="none" w:sz="0" w:space="0" w:color="auto"/>
      </w:divBdr>
    </w:div>
    <w:div w:id="654257378">
      <w:bodyDiv w:val="1"/>
      <w:marLeft w:val="0"/>
      <w:marRight w:val="0"/>
      <w:marTop w:val="0"/>
      <w:marBottom w:val="0"/>
      <w:divBdr>
        <w:top w:val="none" w:sz="0" w:space="0" w:color="auto"/>
        <w:left w:val="none" w:sz="0" w:space="0" w:color="auto"/>
        <w:bottom w:val="none" w:sz="0" w:space="0" w:color="auto"/>
        <w:right w:val="none" w:sz="0" w:space="0" w:color="auto"/>
      </w:divBdr>
    </w:div>
    <w:div w:id="668795762">
      <w:bodyDiv w:val="1"/>
      <w:marLeft w:val="0"/>
      <w:marRight w:val="0"/>
      <w:marTop w:val="0"/>
      <w:marBottom w:val="0"/>
      <w:divBdr>
        <w:top w:val="none" w:sz="0" w:space="0" w:color="auto"/>
        <w:left w:val="none" w:sz="0" w:space="0" w:color="auto"/>
        <w:bottom w:val="none" w:sz="0" w:space="0" w:color="auto"/>
        <w:right w:val="none" w:sz="0" w:space="0" w:color="auto"/>
      </w:divBdr>
    </w:div>
    <w:div w:id="678776712">
      <w:bodyDiv w:val="1"/>
      <w:marLeft w:val="0"/>
      <w:marRight w:val="0"/>
      <w:marTop w:val="0"/>
      <w:marBottom w:val="0"/>
      <w:divBdr>
        <w:top w:val="none" w:sz="0" w:space="0" w:color="auto"/>
        <w:left w:val="none" w:sz="0" w:space="0" w:color="auto"/>
        <w:bottom w:val="none" w:sz="0" w:space="0" w:color="auto"/>
        <w:right w:val="none" w:sz="0" w:space="0" w:color="auto"/>
      </w:divBdr>
    </w:div>
    <w:div w:id="691499100">
      <w:bodyDiv w:val="1"/>
      <w:marLeft w:val="0"/>
      <w:marRight w:val="0"/>
      <w:marTop w:val="0"/>
      <w:marBottom w:val="0"/>
      <w:divBdr>
        <w:top w:val="none" w:sz="0" w:space="0" w:color="auto"/>
        <w:left w:val="none" w:sz="0" w:space="0" w:color="auto"/>
        <w:bottom w:val="none" w:sz="0" w:space="0" w:color="auto"/>
        <w:right w:val="none" w:sz="0" w:space="0" w:color="auto"/>
      </w:divBdr>
    </w:div>
    <w:div w:id="703753971">
      <w:bodyDiv w:val="1"/>
      <w:marLeft w:val="0"/>
      <w:marRight w:val="0"/>
      <w:marTop w:val="0"/>
      <w:marBottom w:val="0"/>
      <w:divBdr>
        <w:top w:val="none" w:sz="0" w:space="0" w:color="auto"/>
        <w:left w:val="none" w:sz="0" w:space="0" w:color="auto"/>
        <w:bottom w:val="none" w:sz="0" w:space="0" w:color="auto"/>
        <w:right w:val="none" w:sz="0" w:space="0" w:color="auto"/>
      </w:divBdr>
    </w:div>
    <w:div w:id="720830657">
      <w:bodyDiv w:val="1"/>
      <w:marLeft w:val="0"/>
      <w:marRight w:val="0"/>
      <w:marTop w:val="0"/>
      <w:marBottom w:val="0"/>
      <w:divBdr>
        <w:top w:val="none" w:sz="0" w:space="0" w:color="auto"/>
        <w:left w:val="none" w:sz="0" w:space="0" w:color="auto"/>
        <w:bottom w:val="none" w:sz="0" w:space="0" w:color="auto"/>
        <w:right w:val="none" w:sz="0" w:space="0" w:color="auto"/>
      </w:divBdr>
    </w:div>
    <w:div w:id="730615575">
      <w:bodyDiv w:val="1"/>
      <w:marLeft w:val="0"/>
      <w:marRight w:val="0"/>
      <w:marTop w:val="0"/>
      <w:marBottom w:val="0"/>
      <w:divBdr>
        <w:top w:val="none" w:sz="0" w:space="0" w:color="auto"/>
        <w:left w:val="none" w:sz="0" w:space="0" w:color="auto"/>
        <w:bottom w:val="none" w:sz="0" w:space="0" w:color="auto"/>
        <w:right w:val="none" w:sz="0" w:space="0" w:color="auto"/>
      </w:divBdr>
    </w:div>
    <w:div w:id="743451741">
      <w:bodyDiv w:val="1"/>
      <w:marLeft w:val="0"/>
      <w:marRight w:val="0"/>
      <w:marTop w:val="0"/>
      <w:marBottom w:val="0"/>
      <w:divBdr>
        <w:top w:val="none" w:sz="0" w:space="0" w:color="auto"/>
        <w:left w:val="none" w:sz="0" w:space="0" w:color="auto"/>
        <w:bottom w:val="none" w:sz="0" w:space="0" w:color="auto"/>
        <w:right w:val="none" w:sz="0" w:space="0" w:color="auto"/>
      </w:divBdr>
      <w:divsChild>
        <w:div w:id="1428043994">
          <w:marLeft w:val="0"/>
          <w:marRight w:val="0"/>
          <w:marTop w:val="0"/>
          <w:marBottom w:val="0"/>
          <w:divBdr>
            <w:top w:val="none" w:sz="0" w:space="0" w:color="auto"/>
            <w:left w:val="none" w:sz="0" w:space="0" w:color="auto"/>
            <w:bottom w:val="none" w:sz="0" w:space="0" w:color="auto"/>
            <w:right w:val="none" w:sz="0" w:space="0" w:color="auto"/>
          </w:divBdr>
        </w:div>
      </w:divsChild>
    </w:div>
    <w:div w:id="748111647">
      <w:bodyDiv w:val="1"/>
      <w:marLeft w:val="0"/>
      <w:marRight w:val="0"/>
      <w:marTop w:val="0"/>
      <w:marBottom w:val="0"/>
      <w:divBdr>
        <w:top w:val="none" w:sz="0" w:space="0" w:color="auto"/>
        <w:left w:val="none" w:sz="0" w:space="0" w:color="auto"/>
        <w:bottom w:val="none" w:sz="0" w:space="0" w:color="auto"/>
        <w:right w:val="none" w:sz="0" w:space="0" w:color="auto"/>
      </w:divBdr>
    </w:div>
    <w:div w:id="770902643">
      <w:bodyDiv w:val="1"/>
      <w:marLeft w:val="0"/>
      <w:marRight w:val="0"/>
      <w:marTop w:val="0"/>
      <w:marBottom w:val="0"/>
      <w:divBdr>
        <w:top w:val="none" w:sz="0" w:space="0" w:color="auto"/>
        <w:left w:val="none" w:sz="0" w:space="0" w:color="auto"/>
        <w:bottom w:val="none" w:sz="0" w:space="0" w:color="auto"/>
        <w:right w:val="none" w:sz="0" w:space="0" w:color="auto"/>
      </w:divBdr>
    </w:div>
    <w:div w:id="807818481">
      <w:bodyDiv w:val="1"/>
      <w:marLeft w:val="0"/>
      <w:marRight w:val="0"/>
      <w:marTop w:val="0"/>
      <w:marBottom w:val="0"/>
      <w:divBdr>
        <w:top w:val="none" w:sz="0" w:space="0" w:color="auto"/>
        <w:left w:val="none" w:sz="0" w:space="0" w:color="auto"/>
        <w:bottom w:val="none" w:sz="0" w:space="0" w:color="auto"/>
        <w:right w:val="none" w:sz="0" w:space="0" w:color="auto"/>
      </w:divBdr>
    </w:div>
    <w:div w:id="816654667">
      <w:bodyDiv w:val="1"/>
      <w:marLeft w:val="0"/>
      <w:marRight w:val="0"/>
      <w:marTop w:val="0"/>
      <w:marBottom w:val="0"/>
      <w:divBdr>
        <w:top w:val="none" w:sz="0" w:space="0" w:color="auto"/>
        <w:left w:val="none" w:sz="0" w:space="0" w:color="auto"/>
        <w:bottom w:val="none" w:sz="0" w:space="0" w:color="auto"/>
        <w:right w:val="none" w:sz="0" w:space="0" w:color="auto"/>
      </w:divBdr>
    </w:div>
    <w:div w:id="824324245">
      <w:bodyDiv w:val="1"/>
      <w:marLeft w:val="0"/>
      <w:marRight w:val="0"/>
      <w:marTop w:val="0"/>
      <w:marBottom w:val="0"/>
      <w:divBdr>
        <w:top w:val="none" w:sz="0" w:space="0" w:color="auto"/>
        <w:left w:val="none" w:sz="0" w:space="0" w:color="auto"/>
        <w:bottom w:val="none" w:sz="0" w:space="0" w:color="auto"/>
        <w:right w:val="none" w:sz="0" w:space="0" w:color="auto"/>
      </w:divBdr>
    </w:div>
    <w:div w:id="833494032">
      <w:bodyDiv w:val="1"/>
      <w:marLeft w:val="0"/>
      <w:marRight w:val="0"/>
      <w:marTop w:val="0"/>
      <w:marBottom w:val="0"/>
      <w:divBdr>
        <w:top w:val="none" w:sz="0" w:space="0" w:color="auto"/>
        <w:left w:val="none" w:sz="0" w:space="0" w:color="auto"/>
        <w:bottom w:val="none" w:sz="0" w:space="0" w:color="auto"/>
        <w:right w:val="none" w:sz="0" w:space="0" w:color="auto"/>
      </w:divBdr>
    </w:div>
    <w:div w:id="886723624">
      <w:bodyDiv w:val="1"/>
      <w:marLeft w:val="0"/>
      <w:marRight w:val="0"/>
      <w:marTop w:val="0"/>
      <w:marBottom w:val="0"/>
      <w:divBdr>
        <w:top w:val="none" w:sz="0" w:space="0" w:color="auto"/>
        <w:left w:val="none" w:sz="0" w:space="0" w:color="auto"/>
        <w:bottom w:val="none" w:sz="0" w:space="0" w:color="auto"/>
        <w:right w:val="none" w:sz="0" w:space="0" w:color="auto"/>
      </w:divBdr>
    </w:div>
    <w:div w:id="891578575">
      <w:bodyDiv w:val="1"/>
      <w:marLeft w:val="0"/>
      <w:marRight w:val="0"/>
      <w:marTop w:val="0"/>
      <w:marBottom w:val="0"/>
      <w:divBdr>
        <w:top w:val="none" w:sz="0" w:space="0" w:color="auto"/>
        <w:left w:val="none" w:sz="0" w:space="0" w:color="auto"/>
        <w:bottom w:val="none" w:sz="0" w:space="0" w:color="auto"/>
        <w:right w:val="none" w:sz="0" w:space="0" w:color="auto"/>
      </w:divBdr>
    </w:div>
    <w:div w:id="915280892">
      <w:bodyDiv w:val="1"/>
      <w:marLeft w:val="0"/>
      <w:marRight w:val="0"/>
      <w:marTop w:val="0"/>
      <w:marBottom w:val="0"/>
      <w:divBdr>
        <w:top w:val="none" w:sz="0" w:space="0" w:color="auto"/>
        <w:left w:val="none" w:sz="0" w:space="0" w:color="auto"/>
        <w:bottom w:val="none" w:sz="0" w:space="0" w:color="auto"/>
        <w:right w:val="none" w:sz="0" w:space="0" w:color="auto"/>
      </w:divBdr>
      <w:divsChild>
        <w:div w:id="122964415">
          <w:marLeft w:val="0"/>
          <w:marRight w:val="0"/>
          <w:marTop w:val="0"/>
          <w:marBottom w:val="0"/>
          <w:divBdr>
            <w:top w:val="none" w:sz="0" w:space="0" w:color="auto"/>
            <w:left w:val="none" w:sz="0" w:space="0" w:color="auto"/>
            <w:bottom w:val="none" w:sz="0" w:space="0" w:color="auto"/>
            <w:right w:val="none" w:sz="0" w:space="0" w:color="auto"/>
          </w:divBdr>
        </w:div>
      </w:divsChild>
    </w:div>
    <w:div w:id="928197940">
      <w:bodyDiv w:val="1"/>
      <w:marLeft w:val="0"/>
      <w:marRight w:val="0"/>
      <w:marTop w:val="0"/>
      <w:marBottom w:val="0"/>
      <w:divBdr>
        <w:top w:val="none" w:sz="0" w:space="0" w:color="auto"/>
        <w:left w:val="none" w:sz="0" w:space="0" w:color="auto"/>
        <w:bottom w:val="none" w:sz="0" w:space="0" w:color="auto"/>
        <w:right w:val="none" w:sz="0" w:space="0" w:color="auto"/>
      </w:divBdr>
    </w:div>
    <w:div w:id="950478666">
      <w:bodyDiv w:val="1"/>
      <w:marLeft w:val="0"/>
      <w:marRight w:val="0"/>
      <w:marTop w:val="0"/>
      <w:marBottom w:val="0"/>
      <w:divBdr>
        <w:top w:val="none" w:sz="0" w:space="0" w:color="auto"/>
        <w:left w:val="none" w:sz="0" w:space="0" w:color="auto"/>
        <w:bottom w:val="none" w:sz="0" w:space="0" w:color="auto"/>
        <w:right w:val="none" w:sz="0" w:space="0" w:color="auto"/>
      </w:divBdr>
    </w:div>
    <w:div w:id="977223602">
      <w:bodyDiv w:val="1"/>
      <w:marLeft w:val="0"/>
      <w:marRight w:val="0"/>
      <w:marTop w:val="0"/>
      <w:marBottom w:val="0"/>
      <w:divBdr>
        <w:top w:val="none" w:sz="0" w:space="0" w:color="auto"/>
        <w:left w:val="none" w:sz="0" w:space="0" w:color="auto"/>
        <w:bottom w:val="none" w:sz="0" w:space="0" w:color="auto"/>
        <w:right w:val="none" w:sz="0" w:space="0" w:color="auto"/>
      </w:divBdr>
    </w:div>
    <w:div w:id="997540451">
      <w:bodyDiv w:val="1"/>
      <w:marLeft w:val="0"/>
      <w:marRight w:val="0"/>
      <w:marTop w:val="0"/>
      <w:marBottom w:val="0"/>
      <w:divBdr>
        <w:top w:val="none" w:sz="0" w:space="0" w:color="auto"/>
        <w:left w:val="none" w:sz="0" w:space="0" w:color="auto"/>
        <w:bottom w:val="none" w:sz="0" w:space="0" w:color="auto"/>
        <w:right w:val="none" w:sz="0" w:space="0" w:color="auto"/>
      </w:divBdr>
    </w:div>
    <w:div w:id="1005473252">
      <w:bodyDiv w:val="1"/>
      <w:marLeft w:val="0"/>
      <w:marRight w:val="0"/>
      <w:marTop w:val="0"/>
      <w:marBottom w:val="0"/>
      <w:divBdr>
        <w:top w:val="none" w:sz="0" w:space="0" w:color="auto"/>
        <w:left w:val="none" w:sz="0" w:space="0" w:color="auto"/>
        <w:bottom w:val="none" w:sz="0" w:space="0" w:color="auto"/>
        <w:right w:val="none" w:sz="0" w:space="0" w:color="auto"/>
      </w:divBdr>
      <w:divsChild>
        <w:div w:id="412239635">
          <w:marLeft w:val="0"/>
          <w:marRight w:val="0"/>
          <w:marTop w:val="0"/>
          <w:marBottom w:val="0"/>
          <w:divBdr>
            <w:top w:val="none" w:sz="0" w:space="0" w:color="auto"/>
            <w:left w:val="none" w:sz="0" w:space="0" w:color="auto"/>
            <w:bottom w:val="none" w:sz="0" w:space="0" w:color="auto"/>
            <w:right w:val="none" w:sz="0" w:space="0" w:color="auto"/>
          </w:divBdr>
        </w:div>
      </w:divsChild>
    </w:div>
    <w:div w:id="1010521380">
      <w:bodyDiv w:val="1"/>
      <w:marLeft w:val="0"/>
      <w:marRight w:val="0"/>
      <w:marTop w:val="0"/>
      <w:marBottom w:val="0"/>
      <w:divBdr>
        <w:top w:val="none" w:sz="0" w:space="0" w:color="auto"/>
        <w:left w:val="none" w:sz="0" w:space="0" w:color="auto"/>
        <w:bottom w:val="none" w:sz="0" w:space="0" w:color="auto"/>
        <w:right w:val="none" w:sz="0" w:space="0" w:color="auto"/>
      </w:divBdr>
    </w:div>
    <w:div w:id="1046684685">
      <w:bodyDiv w:val="1"/>
      <w:marLeft w:val="0"/>
      <w:marRight w:val="0"/>
      <w:marTop w:val="0"/>
      <w:marBottom w:val="0"/>
      <w:divBdr>
        <w:top w:val="none" w:sz="0" w:space="0" w:color="auto"/>
        <w:left w:val="none" w:sz="0" w:space="0" w:color="auto"/>
        <w:bottom w:val="none" w:sz="0" w:space="0" w:color="auto"/>
        <w:right w:val="none" w:sz="0" w:space="0" w:color="auto"/>
      </w:divBdr>
    </w:div>
    <w:div w:id="1072580757">
      <w:bodyDiv w:val="1"/>
      <w:marLeft w:val="0"/>
      <w:marRight w:val="0"/>
      <w:marTop w:val="0"/>
      <w:marBottom w:val="0"/>
      <w:divBdr>
        <w:top w:val="none" w:sz="0" w:space="0" w:color="auto"/>
        <w:left w:val="none" w:sz="0" w:space="0" w:color="auto"/>
        <w:bottom w:val="none" w:sz="0" w:space="0" w:color="auto"/>
        <w:right w:val="none" w:sz="0" w:space="0" w:color="auto"/>
      </w:divBdr>
    </w:div>
    <w:div w:id="1088843240">
      <w:bodyDiv w:val="1"/>
      <w:marLeft w:val="0"/>
      <w:marRight w:val="0"/>
      <w:marTop w:val="0"/>
      <w:marBottom w:val="0"/>
      <w:divBdr>
        <w:top w:val="none" w:sz="0" w:space="0" w:color="auto"/>
        <w:left w:val="none" w:sz="0" w:space="0" w:color="auto"/>
        <w:bottom w:val="none" w:sz="0" w:space="0" w:color="auto"/>
        <w:right w:val="none" w:sz="0" w:space="0" w:color="auto"/>
      </w:divBdr>
    </w:div>
    <w:div w:id="1091926801">
      <w:bodyDiv w:val="1"/>
      <w:marLeft w:val="0"/>
      <w:marRight w:val="0"/>
      <w:marTop w:val="0"/>
      <w:marBottom w:val="0"/>
      <w:divBdr>
        <w:top w:val="none" w:sz="0" w:space="0" w:color="auto"/>
        <w:left w:val="none" w:sz="0" w:space="0" w:color="auto"/>
        <w:bottom w:val="none" w:sz="0" w:space="0" w:color="auto"/>
        <w:right w:val="none" w:sz="0" w:space="0" w:color="auto"/>
      </w:divBdr>
    </w:div>
    <w:div w:id="1102990158">
      <w:bodyDiv w:val="1"/>
      <w:marLeft w:val="0"/>
      <w:marRight w:val="0"/>
      <w:marTop w:val="0"/>
      <w:marBottom w:val="0"/>
      <w:divBdr>
        <w:top w:val="none" w:sz="0" w:space="0" w:color="auto"/>
        <w:left w:val="none" w:sz="0" w:space="0" w:color="auto"/>
        <w:bottom w:val="none" w:sz="0" w:space="0" w:color="auto"/>
        <w:right w:val="none" w:sz="0" w:space="0" w:color="auto"/>
      </w:divBdr>
    </w:div>
    <w:div w:id="1105344708">
      <w:bodyDiv w:val="1"/>
      <w:marLeft w:val="0"/>
      <w:marRight w:val="0"/>
      <w:marTop w:val="0"/>
      <w:marBottom w:val="0"/>
      <w:divBdr>
        <w:top w:val="none" w:sz="0" w:space="0" w:color="auto"/>
        <w:left w:val="none" w:sz="0" w:space="0" w:color="auto"/>
        <w:bottom w:val="none" w:sz="0" w:space="0" w:color="auto"/>
        <w:right w:val="none" w:sz="0" w:space="0" w:color="auto"/>
      </w:divBdr>
    </w:div>
    <w:div w:id="1121025162">
      <w:bodyDiv w:val="1"/>
      <w:marLeft w:val="0"/>
      <w:marRight w:val="0"/>
      <w:marTop w:val="0"/>
      <w:marBottom w:val="0"/>
      <w:divBdr>
        <w:top w:val="none" w:sz="0" w:space="0" w:color="auto"/>
        <w:left w:val="none" w:sz="0" w:space="0" w:color="auto"/>
        <w:bottom w:val="none" w:sz="0" w:space="0" w:color="auto"/>
        <w:right w:val="none" w:sz="0" w:space="0" w:color="auto"/>
      </w:divBdr>
      <w:divsChild>
        <w:div w:id="862791918">
          <w:marLeft w:val="0"/>
          <w:marRight w:val="0"/>
          <w:marTop w:val="0"/>
          <w:marBottom w:val="0"/>
          <w:divBdr>
            <w:top w:val="none" w:sz="0" w:space="0" w:color="auto"/>
            <w:left w:val="none" w:sz="0" w:space="0" w:color="auto"/>
            <w:bottom w:val="none" w:sz="0" w:space="0" w:color="auto"/>
            <w:right w:val="none" w:sz="0" w:space="0" w:color="auto"/>
          </w:divBdr>
        </w:div>
      </w:divsChild>
    </w:div>
    <w:div w:id="1123311488">
      <w:bodyDiv w:val="1"/>
      <w:marLeft w:val="0"/>
      <w:marRight w:val="0"/>
      <w:marTop w:val="0"/>
      <w:marBottom w:val="0"/>
      <w:divBdr>
        <w:top w:val="none" w:sz="0" w:space="0" w:color="auto"/>
        <w:left w:val="none" w:sz="0" w:space="0" w:color="auto"/>
        <w:bottom w:val="none" w:sz="0" w:space="0" w:color="auto"/>
        <w:right w:val="none" w:sz="0" w:space="0" w:color="auto"/>
      </w:divBdr>
    </w:div>
    <w:div w:id="1153066479">
      <w:bodyDiv w:val="1"/>
      <w:marLeft w:val="0"/>
      <w:marRight w:val="0"/>
      <w:marTop w:val="0"/>
      <w:marBottom w:val="0"/>
      <w:divBdr>
        <w:top w:val="none" w:sz="0" w:space="0" w:color="auto"/>
        <w:left w:val="none" w:sz="0" w:space="0" w:color="auto"/>
        <w:bottom w:val="none" w:sz="0" w:space="0" w:color="auto"/>
        <w:right w:val="none" w:sz="0" w:space="0" w:color="auto"/>
      </w:divBdr>
    </w:div>
    <w:div w:id="1155221515">
      <w:bodyDiv w:val="1"/>
      <w:marLeft w:val="0"/>
      <w:marRight w:val="0"/>
      <w:marTop w:val="0"/>
      <w:marBottom w:val="0"/>
      <w:divBdr>
        <w:top w:val="none" w:sz="0" w:space="0" w:color="auto"/>
        <w:left w:val="none" w:sz="0" w:space="0" w:color="auto"/>
        <w:bottom w:val="none" w:sz="0" w:space="0" w:color="auto"/>
        <w:right w:val="none" w:sz="0" w:space="0" w:color="auto"/>
      </w:divBdr>
    </w:div>
    <w:div w:id="1161307901">
      <w:bodyDiv w:val="1"/>
      <w:marLeft w:val="0"/>
      <w:marRight w:val="0"/>
      <w:marTop w:val="0"/>
      <w:marBottom w:val="0"/>
      <w:divBdr>
        <w:top w:val="none" w:sz="0" w:space="0" w:color="auto"/>
        <w:left w:val="none" w:sz="0" w:space="0" w:color="auto"/>
        <w:bottom w:val="none" w:sz="0" w:space="0" w:color="auto"/>
        <w:right w:val="none" w:sz="0" w:space="0" w:color="auto"/>
      </w:divBdr>
    </w:div>
    <w:div w:id="1177619283">
      <w:bodyDiv w:val="1"/>
      <w:marLeft w:val="0"/>
      <w:marRight w:val="0"/>
      <w:marTop w:val="0"/>
      <w:marBottom w:val="0"/>
      <w:divBdr>
        <w:top w:val="none" w:sz="0" w:space="0" w:color="auto"/>
        <w:left w:val="none" w:sz="0" w:space="0" w:color="auto"/>
        <w:bottom w:val="none" w:sz="0" w:space="0" w:color="auto"/>
        <w:right w:val="none" w:sz="0" w:space="0" w:color="auto"/>
      </w:divBdr>
    </w:div>
    <w:div w:id="1192114198">
      <w:bodyDiv w:val="1"/>
      <w:marLeft w:val="0"/>
      <w:marRight w:val="0"/>
      <w:marTop w:val="0"/>
      <w:marBottom w:val="0"/>
      <w:divBdr>
        <w:top w:val="none" w:sz="0" w:space="0" w:color="auto"/>
        <w:left w:val="none" w:sz="0" w:space="0" w:color="auto"/>
        <w:bottom w:val="none" w:sz="0" w:space="0" w:color="auto"/>
        <w:right w:val="none" w:sz="0" w:space="0" w:color="auto"/>
      </w:divBdr>
    </w:div>
    <w:div w:id="1224371663">
      <w:bodyDiv w:val="1"/>
      <w:marLeft w:val="0"/>
      <w:marRight w:val="0"/>
      <w:marTop w:val="0"/>
      <w:marBottom w:val="0"/>
      <w:divBdr>
        <w:top w:val="none" w:sz="0" w:space="0" w:color="auto"/>
        <w:left w:val="none" w:sz="0" w:space="0" w:color="auto"/>
        <w:bottom w:val="none" w:sz="0" w:space="0" w:color="auto"/>
        <w:right w:val="none" w:sz="0" w:space="0" w:color="auto"/>
      </w:divBdr>
    </w:div>
    <w:div w:id="1245801992">
      <w:bodyDiv w:val="1"/>
      <w:marLeft w:val="0"/>
      <w:marRight w:val="0"/>
      <w:marTop w:val="0"/>
      <w:marBottom w:val="0"/>
      <w:divBdr>
        <w:top w:val="none" w:sz="0" w:space="0" w:color="auto"/>
        <w:left w:val="none" w:sz="0" w:space="0" w:color="auto"/>
        <w:bottom w:val="none" w:sz="0" w:space="0" w:color="auto"/>
        <w:right w:val="none" w:sz="0" w:space="0" w:color="auto"/>
      </w:divBdr>
    </w:div>
    <w:div w:id="1256204567">
      <w:bodyDiv w:val="1"/>
      <w:marLeft w:val="0"/>
      <w:marRight w:val="0"/>
      <w:marTop w:val="0"/>
      <w:marBottom w:val="0"/>
      <w:divBdr>
        <w:top w:val="none" w:sz="0" w:space="0" w:color="auto"/>
        <w:left w:val="none" w:sz="0" w:space="0" w:color="auto"/>
        <w:bottom w:val="none" w:sz="0" w:space="0" w:color="auto"/>
        <w:right w:val="none" w:sz="0" w:space="0" w:color="auto"/>
      </w:divBdr>
    </w:div>
    <w:div w:id="1265185177">
      <w:bodyDiv w:val="1"/>
      <w:marLeft w:val="0"/>
      <w:marRight w:val="0"/>
      <w:marTop w:val="0"/>
      <w:marBottom w:val="0"/>
      <w:divBdr>
        <w:top w:val="none" w:sz="0" w:space="0" w:color="auto"/>
        <w:left w:val="none" w:sz="0" w:space="0" w:color="auto"/>
        <w:bottom w:val="none" w:sz="0" w:space="0" w:color="auto"/>
        <w:right w:val="none" w:sz="0" w:space="0" w:color="auto"/>
      </w:divBdr>
    </w:div>
    <w:div w:id="1271470341">
      <w:bodyDiv w:val="1"/>
      <w:marLeft w:val="0"/>
      <w:marRight w:val="0"/>
      <w:marTop w:val="0"/>
      <w:marBottom w:val="0"/>
      <w:divBdr>
        <w:top w:val="none" w:sz="0" w:space="0" w:color="auto"/>
        <w:left w:val="none" w:sz="0" w:space="0" w:color="auto"/>
        <w:bottom w:val="none" w:sz="0" w:space="0" w:color="auto"/>
        <w:right w:val="none" w:sz="0" w:space="0" w:color="auto"/>
      </w:divBdr>
      <w:divsChild>
        <w:div w:id="912348815">
          <w:marLeft w:val="0"/>
          <w:marRight w:val="0"/>
          <w:marTop w:val="0"/>
          <w:marBottom w:val="0"/>
          <w:divBdr>
            <w:top w:val="none" w:sz="0" w:space="0" w:color="auto"/>
            <w:left w:val="none" w:sz="0" w:space="0" w:color="auto"/>
            <w:bottom w:val="none" w:sz="0" w:space="0" w:color="auto"/>
            <w:right w:val="none" w:sz="0" w:space="0" w:color="auto"/>
          </w:divBdr>
        </w:div>
      </w:divsChild>
    </w:div>
    <w:div w:id="1296325820">
      <w:bodyDiv w:val="1"/>
      <w:marLeft w:val="0"/>
      <w:marRight w:val="0"/>
      <w:marTop w:val="0"/>
      <w:marBottom w:val="0"/>
      <w:divBdr>
        <w:top w:val="none" w:sz="0" w:space="0" w:color="auto"/>
        <w:left w:val="none" w:sz="0" w:space="0" w:color="auto"/>
        <w:bottom w:val="none" w:sz="0" w:space="0" w:color="auto"/>
        <w:right w:val="none" w:sz="0" w:space="0" w:color="auto"/>
      </w:divBdr>
    </w:div>
    <w:div w:id="1299603649">
      <w:bodyDiv w:val="1"/>
      <w:marLeft w:val="0"/>
      <w:marRight w:val="0"/>
      <w:marTop w:val="0"/>
      <w:marBottom w:val="0"/>
      <w:divBdr>
        <w:top w:val="none" w:sz="0" w:space="0" w:color="auto"/>
        <w:left w:val="none" w:sz="0" w:space="0" w:color="auto"/>
        <w:bottom w:val="none" w:sz="0" w:space="0" w:color="auto"/>
        <w:right w:val="none" w:sz="0" w:space="0" w:color="auto"/>
      </w:divBdr>
    </w:div>
    <w:div w:id="1311322465">
      <w:bodyDiv w:val="1"/>
      <w:marLeft w:val="0"/>
      <w:marRight w:val="0"/>
      <w:marTop w:val="0"/>
      <w:marBottom w:val="0"/>
      <w:divBdr>
        <w:top w:val="none" w:sz="0" w:space="0" w:color="auto"/>
        <w:left w:val="none" w:sz="0" w:space="0" w:color="auto"/>
        <w:bottom w:val="none" w:sz="0" w:space="0" w:color="auto"/>
        <w:right w:val="none" w:sz="0" w:space="0" w:color="auto"/>
      </w:divBdr>
    </w:div>
    <w:div w:id="1312565533">
      <w:bodyDiv w:val="1"/>
      <w:marLeft w:val="0"/>
      <w:marRight w:val="0"/>
      <w:marTop w:val="0"/>
      <w:marBottom w:val="0"/>
      <w:divBdr>
        <w:top w:val="none" w:sz="0" w:space="0" w:color="auto"/>
        <w:left w:val="none" w:sz="0" w:space="0" w:color="auto"/>
        <w:bottom w:val="none" w:sz="0" w:space="0" w:color="auto"/>
        <w:right w:val="none" w:sz="0" w:space="0" w:color="auto"/>
      </w:divBdr>
    </w:div>
    <w:div w:id="1314216720">
      <w:bodyDiv w:val="1"/>
      <w:marLeft w:val="0"/>
      <w:marRight w:val="0"/>
      <w:marTop w:val="0"/>
      <w:marBottom w:val="0"/>
      <w:divBdr>
        <w:top w:val="none" w:sz="0" w:space="0" w:color="auto"/>
        <w:left w:val="none" w:sz="0" w:space="0" w:color="auto"/>
        <w:bottom w:val="none" w:sz="0" w:space="0" w:color="auto"/>
        <w:right w:val="none" w:sz="0" w:space="0" w:color="auto"/>
      </w:divBdr>
    </w:div>
    <w:div w:id="1339190393">
      <w:bodyDiv w:val="1"/>
      <w:marLeft w:val="0"/>
      <w:marRight w:val="0"/>
      <w:marTop w:val="0"/>
      <w:marBottom w:val="0"/>
      <w:divBdr>
        <w:top w:val="none" w:sz="0" w:space="0" w:color="auto"/>
        <w:left w:val="none" w:sz="0" w:space="0" w:color="auto"/>
        <w:bottom w:val="none" w:sz="0" w:space="0" w:color="auto"/>
        <w:right w:val="none" w:sz="0" w:space="0" w:color="auto"/>
      </w:divBdr>
      <w:divsChild>
        <w:div w:id="1720124191">
          <w:marLeft w:val="0"/>
          <w:marRight w:val="0"/>
          <w:marTop w:val="0"/>
          <w:marBottom w:val="0"/>
          <w:divBdr>
            <w:top w:val="none" w:sz="0" w:space="0" w:color="auto"/>
            <w:left w:val="none" w:sz="0" w:space="0" w:color="auto"/>
            <w:bottom w:val="none" w:sz="0" w:space="0" w:color="auto"/>
            <w:right w:val="none" w:sz="0" w:space="0" w:color="auto"/>
          </w:divBdr>
        </w:div>
      </w:divsChild>
    </w:div>
    <w:div w:id="1341784383">
      <w:bodyDiv w:val="1"/>
      <w:marLeft w:val="0"/>
      <w:marRight w:val="0"/>
      <w:marTop w:val="0"/>
      <w:marBottom w:val="0"/>
      <w:divBdr>
        <w:top w:val="none" w:sz="0" w:space="0" w:color="auto"/>
        <w:left w:val="none" w:sz="0" w:space="0" w:color="auto"/>
        <w:bottom w:val="none" w:sz="0" w:space="0" w:color="auto"/>
        <w:right w:val="none" w:sz="0" w:space="0" w:color="auto"/>
      </w:divBdr>
    </w:div>
    <w:div w:id="1345934781">
      <w:bodyDiv w:val="1"/>
      <w:marLeft w:val="0"/>
      <w:marRight w:val="0"/>
      <w:marTop w:val="0"/>
      <w:marBottom w:val="0"/>
      <w:divBdr>
        <w:top w:val="none" w:sz="0" w:space="0" w:color="auto"/>
        <w:left w:val="none" w:sz="0" w:space="0" w:color="auto"/>
        <w:bottom w:val="none" w:sz="0" w:space="0" w:color="auto"/>
        <w:right w:val="none" w:sz="0" w:space="0" w:color="auto"/>
      </w:divBdr>
    </w:div>
    <w:div w:id="1367368566">
      <w:bodyDiv w:val="1"/>
      <w:marLeft w:val="0"/>
      <w:marRight w:val="0"/>
      <w:marTop w:val="0"/>
      <w:marBottom w:val="0"/>
      <w:divBdr>
        <w:top w:val="none" w:sz="0" w:space="0" w:color="auto"/>
        <w:left w:val="none" w:sz="0" w:space="0" w:color="auto"/>
        <w:bottom w:val="none" w:sz="0" w:space="0" w:color="auto"/>
        <w:right w:val="none" w:sz="0" w:space="0" w:color="auto"/>
      </w:divBdr>
    </w:div>
    <w:div w:id="1380742874">
      <w:bodyDiv w:val="1"/>
      <w:marLeft w:val="0"/>
      <w:marRight w:val="0"/>
      <w:marTop w:val="0"/>
      <w:marBottom w:val="0"/>
      <w:divBdr>
        <w:top w:val="none" w:sz="0" w:space="0" w:color="auto"/>
        <w:left w:val="none" w:sz="0" w:space="0" w:color="auto"/>
        <w:bottom w:val="none" w:sz="0" w:space="0" w:color="auto"/>
        <w:right w:val="none" w:sz="0" w:space="0" w:color="auto"/>
      </w:divBdr>
    </w:div>
    <w:div w:id="1391540966">
      <w:bodyDiv w:val="1"/>
      <w:marLeft w:val="0"/>
      <w:marRight w:val="0"/>
      <w:marTop w:val="0"/>
      <w:marBottom w:val="0"/>
      <w:divBdr>
        <w:top w:val="none" w:sz="0" w:space="0" w:color="auto"/>
        <w:left w:val="none" w:sz="0" w:space="0" w:color="auto"/>
        <w:bottom w:val="none" w:sz="0" w:space="0" w:color="auto"/>
        <w:right w:val="none" w:sz="0" w:space="0" w:color="auto"/>
      </w:divBdr>
    </w:div>
    <w:div w:id="1391998572">
      <w:bodyDiv w:val="1"/>
      <w:marLeft w:val="0"/>
      <w:marRight w:val="0"/>
      <w:marTop w:val="0"/>
      <w:marBottom w:val="0"/>
      <w:divBdr>
        <w:top w:val="none" w:sz="0" w:space="0" w:color="auto"/>
        <w:left w:val="none" w:sz="0" w:space="0" w:color="auto"/>
        <w:bottom w:val="none" w:sz="0" w:space="0" w:color="auto"/>
        <w:right w:val="none" w:sz="0" w:space="0" w:color="auto"/>
      </w:divBdr>
    </w:div>
    <w:div w:id="1395662479">
      <w:bodyDiv w:val="1"/>
      <w:marLeft w:val="0"/>
      <w:marRight w:val="0"/>
      <w:marTop w:val="0"/>
      <w:marBottom w:val="0"/>
      <w:divBdr>
        <w:top w:val="none" w:sz="0" w:space="0" w:color="auto"/>
        <w:left w:val="none" w:sz="0" w:space="0" w:color="auto"/>
        <w:bottom w:val="none" w:sz="0" w:space="0" w:color="auto"/>
        <w:right w:val="none" w:sz="0" w:space="0" w:color="auto"/>
      </w:divBdr>
    </w:div>
    <w:div w:id="1415585443">
      <w:bodyDiv w:val="1"/>
      <w:marLeft w:val="0"/>
      <w:marRight w:val="0"/>
      <w:marTop w:val="0"/>
      <w:marBottom w:val="0"/>
      <w:divBdr>
        <w:top w:val="none" w:sz="0" w:space="0" w:color="auto"/>
        <w:left w:val="none" w:sz="0" w:space="0" w:color="auto"/>
        <w:bottom w:val="none" w:sz="0" w:space="0" w:color="auto"/>
        <w:right w:val="none" w:sz="0" w:space="0" w:color="auto"/>
      </w:divBdr>
    </w:div>
    <w:div w:id="1422602524">
      <w:bodyDiv w:val="1"/>
      <w:marLeft w:val="0"/>
      <w:marRight w:val="0"/>
      <w:marTop w:val="0"/>
      <w:marBottom w:val="0"/>
      <w:divBdr>
        <w:top w:val="none" w:sz="0" w:space="0" w:color="auto"/>
        <w:left w:val="none" w:sz="0" w:space="0" w:color="auto"/>
        <w:bottom w:val="none" w:sz="0" w:space="0" w:color="auto"/>
        <w:right w:val="none" w:sz="0" w:space="0" w:color="auto"/>
      </w:divBdr>
    </w:div>
    <w:div w:id="1442609759">
      <w:bodyDiv w:val="1"/>
      <w:marLeft w:val="0"/>
      <w:marRight w:val="0"/>
      <w:marTop w:val="0"/>
      <w:marBottom w:val="0"/>
      <w:divBdr>
        <w:top w:val="none" w:sz="0" w:space="0" w:color="auto"/>
        <w:left w:val="none" w:sz="0" w:space="0" w:color="auto"/>
        <w:bottom w:val="none" w:sz="0" w:space="0" w:color="auto"/>
        <w:right w:val="none" w:sz="0" w:space="0" w:color="auto"/>
      </w:divBdr>
    </w:div>
    <w:div w:id="1448893600">
      <w:bodyDiv w:val="1"/>
      <w:marLeft w:val="0"/>
      <w:marRight w:val="0"/>
      <w:marTop w:val="0"/>
      <w:marBottom w:val="0"/>
      <w:divBdr>
        <w:top w:val="none" w:sz="0" w:space="0" w:color="auto"/>
        <w:left w:val="none" w:sz="0" w:space="0" w:color="auto"/>
        <w:bottom w:val="none" w:sz="0" w:space="0" w:color="auto"/>
        <w:right w:val="none" w:sz="0" w:space="0" w:color="auto"/>
      </w:divBdr>
    </w:div>
    <w:div w:id="1458252543">
      <w:bodyDiv w:val="1"/>
      <w:marLeft w:val="0"/>
      <w:marRight w:val="0"/>
      <w:marTop w:val="0"/>
      <w:marBottom w:val="0"/>
      <w:divBdr>
        <w:top w:val="none" w:sz="0" w:space="0" w:color="auto"/>
        <w:left w:val="none" w:sz="0" w:space="0" w:color="auto"/>
        <w:bottom w:val="none" w:sz="0" w:space="0" w:color="auto"/>
        <w:right w:val="none" w:sz="0" w:space="0" w:color="auto"/>
      </w:divBdr>
    </w:div>
    <w:div w:id="1462114920">
      <w:bodyDiv w:val="1"/>
      <w:marLeft w:val="0"/>
      <w:marRight w:val="0"/>
      <w:marTop w:val="0"/>
      <w:marBottom w:val="0"/>
      <w:divBdr>
        <w:top w:val="none" w:sz="0" w:space="0" w:color="auto"/>
        <w:left w:val="none" w:sz="0" w:space="0" w:color="auto"/>
        <w:bottom w:val="none" w:sz="0" w:space="0" w:color="auto"/>
        <w:right w:val="none" w:sz="0" w:space="0" w:color="auto"/>
      </w:divBdr>
    </w:div>
    <w:div w:id="1480926573">
      <w:bodyDiv w:val="1"/>
      <w:marLeft w:val="0"/>
      <w:marRight w:val="0"/>
      <w:marTop w:val="0"/>
      <w:marBottom w:val="0"/>
      <w:divBdr>
        <w:top w:val="none" w:sz="0" w:space="0" w:color="auto"/>
        <w:left w:val="none" w:sz="0" w:space="0" w:color="auto"/>
        <w:bottom w:val="none" w:sz="0" w:space="0" w:color="auto"/>
        <w:right w:val="none" w:sz="0" w:space="0" w:color="auto"/>
      </w:divBdr>
    </w:div>
    <w:div w:id="1490517153">
      <w:bodyDiv w:val="1"/>
      <w:marLeft w:val="0"/>
      <w:marRight w:val="0"/>
      <w:marTop w:val="0"/>
      <w:marBottom w:val="0"/>
      <w:divBdr>
        <w:top w:val="none" w:sz="0" w:space="0" w:color="auto"/>
        <w:left w:val="none" w:sz="0" w:space="0" w:color="auto"/>
        <w:bottom w:val="none" w:sz="0" w:space="0" w:color="auto"/>
        <w:right w:val="none" w:sz="0" w:space="0" w:color="auto"/>
      </w:divBdr>
    </w:div>
    <w:div w:id="1508788741">
      <w:bodyDiv w:val="1"/>
      <w:marLeft w:val="0"/>
      <w:marRight w:val="0"/>
      <w:marTop w:val="0"/>
      <w:marBottom w:val="0"/>
      <w:divBdr>
        <w:top w:val="none" w:sz="0" w:space="0" w:color="auto"/>
        <w:left w:val="none" w:sz="0" w:space="0" w:color="auto"/>
        <w:bottom w:val="none" w:sz="0" w:space="0" w:color="auto"/>
        <w:right w:val="none" w:sz="0" w:space="0" w:color="auto"/>
      </w:divBdr>
    </w:div>
    <w:div w:id="1536117700">
      <w:bodyDiv w:val="1"/>
      <w:marLeft w:val="0"/>
      <w:marRight w:val="0"/>
      <w:marTop w:val="0"/>
      <w:marBottom w:val="0"/>
      <w:divBdr>
        <w:top w:val="none" w:sz="0" w:space="0" w:color="auto"/>
        <w:left w:val="none" w:sz="0" w:space="0" w:color="auto"/>
        <w:bottom w:val="none" w:sz="0" w:space="0" w:color="auto"/>
        <w:right w:val="none" w:sz="0" w:space="0" w:color="auto"/>
      </w:divBdr>
    </w:div>
    <w:div w:id="1559628558">
      <w:bodyDiv w:val="1"/>
      <w:marLeft w:val="0"/>
      <w:marRight w:val="0"/>
      <w:marTop w:val="0"/>
      <w:marBottom w:val="0"/>
      <w:divBdr>
        <w:top w:val="none" w:sz="0" w:space="0" w:color="auto"/>
        <w:left w:val="none" w:sz="0" w:space="0" w:color="auto"/>
        <w:bottom w:val="none" w:sz="0" w:space="0" w:color="auto"/>
        <w:right w:val="none" w:sz="0" w:space="0" w:color="auto"/>
      </w:divBdr>
    </w:div>
    <w:div w:id="1560895252">
      <w:bodyDiv w:val="1"/>
      <w:marLeft w:val="0"/>
      <w:marRight w:val="0"/>
      <w:marTop w:val="0"/>
      <w:marBottom w:val="0"/>
      <w:divBdr>
        <w:top w:val="none" w:sz="0" w:space="0" w:color="auto"/>
        <w:left w:val="none" w:sz="0" w:space="0" w:color="auto"/>
        <w:bottom w:val="none" w:sz="0" w:space="0" w:color="auto"/>
        <w:right w:val="none" w:sz="0" w:space="0" w:color="auto"/>
      </w:divBdr>
    </w:div>
    <w:div w:id="1567908942">
      <w:bodyDiv w:val="1"/>
      <w:marLeft w:val="0"/>
      <w:marRight w:val="0"/>
      <w:marTop w:val="0"/>
      <w:marBottom w:val="0"/>
      <w:divBdr>
        <w:top w:val="none" w:sz="0" w:space="0" w:color="auto"/>
        <w:left w:val="none" w:sz="0" w:space="0" w:color="auto"/>
        <w:bottom w:val="none" w:sz="0" w:space="0" w:color="auto"/>
        <w:right w:val="none" w:sz="0" w:space="0" w:color="auto"/>
      </w:divBdr>
      <w:divsChild>
        <w:div w:id="1784153484">
          <w:marLeft w:val="0"/>
          <w:marRight w:val="0"/>
          <w:marTop w:val="0"/>
          <w:marBottom w:val="0"/>
          <w:divBdr>
            <w:top w:val="none" w:sz="0" w:space="0" w:color="auto"/>
            <w:left w:val="none" w:sz="0" w:space="0" w:color="auto"/>
            <w:bottom w:val="none" w:sz="0" w:space="0" w:color="auto"/>
            <w:right w:val="none" w:sz="0" w:space="0" w:color="auto"/>
          </w:divBdr>
        </w:div>
      </w:divsChild>
    </w:div>
    <w:div w:id="1568952534">
      <w:bodyDiv w:val="1"/>
      <w:marLeft w:val="0"/>
      <w:marRight w:val="0"/>
      <w:marTop w:val="0"/>
      <w:marBottom w:val="0"/>
      <w:divBdr>
        <w:top w:val="none" w:sz="0" w:space="0" w:color="auto"/>
        <w:left w:val="none" w:sz="0" w:space="0" w:color="auto"/>
        <w:bottom w:val="none" w:sz="0" w:space="0" w:color="auto"/>
        <w:right w:val="none" w:sz="0" w:space="0" w:color="auto"/>
      </w:divBdr>
    </w:div>
    <w:div w:id="1592466697">
      <w:bodyDiv w:val="1"/>
      <w:marLeft w:val="0"/>
      <w:marRight w:val="0"/>
      <w:marTop w:val="0"/>
      <w:marBottom w:val="0"/>
      <w:divBdr>
        <w:top w:val="none" w:sz="0" w:space="0" w:color="auto"/>
        <w:left w:val="none" w:sz="0" w:space="0" w:color="auto"/>
        <w:bottom w:val="none" w:sz="0" w:space="0" w:color="auto"/>
        <w:right w:val="none" w:sz="0" w:space="0" w:color="auto"/>
      </w:divBdr>
      <w:divsChild>
        <w:div w:id="1037661728">
          <w:marLeft w:val="0"/>
          <w:marRight w:val="0"/>
          <w:marTop w:val="0"/>
          <w:marBottom w:val="0"/>
          <w:divBdr>
            <w:top w:val="none" w:sz="0" w:space="0" w:color="auto"/>
            <w:left w:val="none" w:sz="0" w:space="0" w:color="auto"/>
            <w:bottom w:val="none" w:sz="0" w:space="0" w:color="auto"/>
            <w:right w:val="none" w:sz="0" w:space="0" w:color="auto"/>
          </w:divBdr>
        </w:div>
      </w:divsChild>
    </w:div>
    <w:div w:id="1602836283">
      <w:bodyDiv w:val="1"/>
      <w:marLeft w:val="0"/>
      <w:marRight w:val="0"/>
      <w:marTop w:val="0"/>
      <w:marBottom w:val="0"/>
      <w:divBdr>
        <w:top w:val="none" w:sz="0" w:space="0" w:color="auto"/>
        <w:left w:val="none" w:sz="0" w:space="0" w:color="auto"/>
        <w:bottom w:val="none" w:sz="0" w:space="0" w:color="auto"/>
        <w:right w:val="none" w:sz="0" w:space="0" w:color="auto"/>
      </w:divBdr>
      <w:divsChild>
        <w:div w:id="1182205731">
          <w:marLeft w:val="0"/>
          <w:marRight w:val="0"/>
          <w:marTop w:val="0"/>
          <w:marBottom w:val="0"/>
          <w:divBdr>
            <w:top w:val="none" w:sz="0" w:space="0" w:color="auto"/>
            <w:left w:val="none" w:sz="0" w:space="0" w:color="auto"/>
            <w:bottom w:val="none" w:sz="0" w:space="0" w:color="auto"/>
            <w:right w:val="none" w:sz="0" w:space="0" w:color="auto"/>
          </w:divBdr>
        </w:div>
      </w:divsChild>
    </w:div>
    <w:div w:id="1616016581">
      <w:bodyDiv w:val="1"/>
      <w:marLeft w:val="0"/>
      <w:marRight w:val="0"/>
      <w:marTop w:val="0"/>
      <w:marBottom w:val="0"/>
      <w:divBdr>
        <w:top w:val="none" w:sz="0" w:space="0" w:color="auto"/>
        <w:left w:val="none" w:sz="0" w:space="0" w:color="auto"/>
        <w:bottom w:val="none" w:sz="0" w:space="0" w:color="auto"/>
        <w:right w:val="none" w:sz="0" w:space="0" w:color="auto"/>
      </w:divBdr>
      <w:divsChild>
        <w:div w:id="323167274">
          <w:marLeft w:val="0"/>
          <w:marRight w:val="0"/>
          <w:marTop w:val="0"/>
          <w:marBottom w:val="0"/>
          <w:divBdr>
            <w:top w:val="none" w:sz="0" w:space="0" w:color="auto"/>
            <w:left w:val="none" w:sz="0" w:space="0" w:color="auto"/>
            <w:bottom w:val="none" w:sz="0" w:space="0" w:color="auto"/>
            <w:right w:val="none" w:sz="0" w:space="0" w:color="auto"/>
          </w:divBdr>
        </w:div>
      </w:divsChild>
    </w:div>
    <w:div w:id="1624530918">
      <w:bodyDiv w:val="1"/>
      <w:marLeft w:val="0"/>
      <w:marRight w:val="0"/>
      <w:marTop w:val="0"/>
      <w:marBottom w:val="0"/>
      <w:divBdr>
        <w:top w:val="none" w:sz="0" w:space="0" w:color="auto"/>
        <w:left w:val="none" w:sz="0" w:space="0" w:color="auto"/>
        <w:bottom w:val="none" w:sz="0" w:space="0" w:color="auto"/>
        <w:right w:val="none" w:sz="0" w:space="0" w:color="auto"/>
      </w:divBdr>
    </w:div>
    <w:div w:id="1635676253">
      <w:bodyDiv w:val="1"/>
      <w:marLeft w:val="0"/>
      <w:marRight w:val="0"/>
      <w:marTop w:val="0"/>
      <w:marBottom w:val="0"/>
      <w:divBdr>
        <w:top w:val="none" w:sz="0" w:space="0" w:color="auto"/>
        <w:left w:val="none" w:sz="0" w:space="0" w:color="auto"/>
        <w:bottom w:val="none" w:sz="0" w:space="0" w:color="auto"/>
        <w:right w:val="none" w:sz="0" w:space="0" w:color="auto"/>
      </w:divBdr>
    </w:div>
    <w:div w:id="1636639737">
      <w:bodyDiv w:val="1"/>
      <w:marLeft w:val="0"/>
      <w:marRight w:val="0"/>
      <w:marTop w:val="0"/>
      <w:marBottom w:val="0"/>
      <w:divBdr>
        <w:top w:val="none" w:sz="0" w:space="0" w:color="auto"/>
        <w:left w:val="none" w:sz="0" w:space="0" w:color="auto"/>
        <w:bottom w:val="none" w:sz="0" w:space="0" w:color="auto"/>
        <w:right w:val="none" w:sz="0" w:space="0" w:color="auto"/>
      </w:divBdr>
    </w:div>
    <w:div w:id="1637180073">
      <w:bodyDiv w:val="1"/>
      <w:marLeft w:val="0"/>
      <w:marRight w:val="0"/>
      <w:marTop w:val="0"/>
      <w:marBottom w:val="0"/>
      <w:divBdr>
        <w:top w:val="none" w:sz="0" w:space="0" w:color="auto"/>
        <w:left w:val="none" w:sz="0" w:space="0" w:color="auto"/>
        <w:bottom w:val="none" w:sz="0" w:space="0" w:color="auto"/>
        <w:right w:val="none" w:sz="0" w:space="0" w:color="auto"/>
      </w:divBdr>
    </w:div>
    <w:div w:id="1642421719">
      <w:bodyDiv w:val="1"/>
      <w:marLeft w:val="0"/>
      <w:marRight w:val="0"/>
      <w:marTop w:val="0"/>
      <w:marBottom w:val="0"/>
      <w:divBdr>
        <w:top w:val="none" w:sz="0" w:space="0" w:color="auto"/>
        <w:left w:val="none" w:sz="0" w:space="0" w:color="auto"/>
        <w:bottom w:val="none" w:sz="0" w:space="0" w:color="auto"/>
        <w:right w:val="none" w:sz="0" w:space="0" w:color="auto"/>
      </w:divBdr>
    </w:div>
    <w:div w:id="1644770034">
      <w:bodyDiv w:val="1"/>
      <w:marLeft w:val="0"/>
      <w:marRight w:val="0"/>
      <w:marTop w:val="0"/>
      <w:marBottom w:val="0"/>
      <w:divBdr>
        <w:top w:val="none" w:sz="0" w:space="0" w:color="auto"/>
        <w:left w:val="none" w:sz="0" w:space="0" w:color="auto"/>
        <w:bottom w:val="none" w:sz="0" w:space="0" w:color="auto"/>
        <w:right w:val="none" w:sz="0" w:space="0" w:color="auto"/>
      </w:divBdr>
    </w:div>
    <w:div w:id="1677878441">
      <w:bodyDiv w:val="1"/>
      <w:marLeft w:val="0"/>
      <w:marRight w:val="0"/>
      <w:marTop w:val="0"/>
      <w:marBottom w:val="0"/>
      <w:divBdr>
        <w:top w:val="none" w:sz="0" w:space="0" w:color="auto"/>
        <w:left w:val="none" w:sz="0" w:space="0" w:color="auto"/>
        <w:bottom w:val="none" w:sz="0" w:space="0" w:color="auto"/>
        <w:right w:val="none" w:sz="0" w:space="0" w:color="auto"/>
      </w:divBdr>
    </w:div>
    <w:div w:id="1690444490">
      <w:bodyDiv w:val="1"/>
      <w:marLeft w:val="0"/>
      <w:marRight w:val="0"/>
      <w:marTop w:val="0"/>
      <w:marBottom w:val="0"/>
      <w:divBdr>
        <w:top w:val="none" w:sz="0" w:space="0" w:color="auto"/>
        <w:left w:val="none" w:sz="0" w:space="0" w:color="auto"/>
        <w:bottom w:val="none" w:sz="0" w:space="0" w:color="auto"/>
        <w:right w:val="none" w:sz="0" w:space="0" w:color="auto"/>
      </w:divBdr>
    </w:div>
    <w:div w:id="1700009856">
      <w:bodyDiv w:val="1"/>
      <w:marLeft w:val="0"/>
      <w:marRight w:val="0"/>
      <w:marTop w:val="0"/>
      <w:marBottom w:val="0"/>
      <w:divBdr>
        <w:top w:val="none" w:sz="0" w:space="0" w:color="auto"/>
        <w:left w:val="none" w:sz="0" w:space="0" w:color="auto"/>
        <w:bottom w:val="none" w:sz="0" w:space="0" w:color="auto"/>
        <w:right w:val="none" w:sz="0" w:space="0" w:color="auto"/>
      </w:divBdr>
    </w:div>
    <w:div w:id="1702365852">
      <w:bodyDiv w:val="1"/>
      <w:marLeft w:val="0"/>
      <w:marRight w:val="0"/>
      <w:marTop w:val="0"/>
      <w:marBottom w:val="0"/>
      <w:divBdr>
        <w:top w:val="none" w:sz="0" w:space="0" w:color="auto"/>
        <w:left w:val="none" w:sz="0" w:space="0" w:color="auto"/>
        <w:bottom w:val="none" w:sz="0" w:space="0" w:color="auto"/>
        <w:right w:val="none" w:sz="0" w:space="0" w:color="auto"/>
      </w:divBdr>
    </w:div>
    <w:div w:id="1703939712">
      <w:bodyDiv w:val="1"/>
      <w:marLeft w:val="0"/>
      <w:marRight w:val="0"/>
      <w:marTop w:val="0"/>
      <w:marBottom w:val="0"/>
      <w:divBdr>
        <w:top w:val="none" w:sz="0" w:space="0" w:color="auto"/>
        <w:left w:val="none" w:sz="0" w:space="0" w:color="auto"/>
        <w:bottom w:val="none" w:sz="0" w:space="0" w:color="auto"/>
        <w:right w:val="none" w:sz="0" w:space="0" w:color="auto"/>
      </w:divBdr>
    </w:div>
    <w:div w:id="1708066368">
      <w:bodyDiv w:val="1"/>
      <w:marLeft w:val="0"/>
      <w:marRight w:val="0"/>
      <w:marTop w:val="0"/>
      <w:marBottom w:val="0"/>
      <w:divBdr>
        <w:top w:val="none" w:sz="0" w:space="0" w:color="auto"/>
        <w:left w:val="none" w:sz="0" w:space="0" w:color="auto"/>
        <w:bottom w:val="none" w:sz="0" w:space="0" w:color="auto"/>
        <w:right w:val="none" w:sz="0" w:space="0" w:color="auto"/>
      </w:divBdr>
    </w:div>
    <w:div w:id="1712612754">
      <w:bodyDiv w:val="1"/>
      <w:marLeft w:val="0"/>
      <w:marRight w:val="0"/>
      <w:marTop w:val="0"/>
      <w:marBottom w:val="0"/>
      <w:divBdr>
        <w:top w:val="none" w:sz="0" w:space="0" w:color="auto"/>
        <w:left w:val="none" w:sz="0" w:space="0" w:color="auto"/>
        <w:bottom w:val="none" w:sz="0" w:space="0" w:color="auto"/>
        <w:right w:val="none" w:sz="0" w:space="0" w:color="auto"/>
      </w:divBdr>
    </w:div>
    <w:div w:id="1719892195">
      <w:bodyDiv w:val="1"/>
      <w:marLeft w:val="0"/>
      <w:marRight w:val="0"/>
      <w:marTop w:val="0"/>
      <w:marBottom w:val="0"/>
      <w:divBdr>
        <w:top w:val="none" w:sz="0" w:space="0" w:color="auto"/>
        <w:left w:val="none" w:sz="0" w:space="0" w:color="auto"/>
        <w:bottom w:val="none" w:sz="0" w:space="0" w:color="auto"/>
        <w:right w:val="none" w:sz="0" w:space="0" w:color="auto"/>
      </w:divBdr>
    </w:div>
    <w:div w:id="1722747684">
      <w:bodyDiv w:val="1"/>
      <w:marLeft w:val="0"/>
      <w:marRight w:val="0"/>
      <w:marTop w:val="0"/>
      <w:marBottom w:val="0"/>
      <w:divBdr>
        <w:top w:val="none" w:sz="0" w:space="0" w:color="auto"/>
        <w:left w:val="none" w:sz="0" w:space="0" w:color="auto"/>
        <w:bottom w:val="none" w:sz="0" w:space="0" w:color="auto"/>
        <w:right w:val="none" w:sz="0" w:space="0" w:color="auto"/>
      </w:divBdr>
    </w:div>
    <w:div w:id="1723169824">
      <w:bodyDiv w:val="1"/>
      <w:marLeft w:val="0"/>
      <w:marRight w:val="0"/>
      <w:marTop w:val="0"/>
      <w:marBottom w:val="0"/>
      <w:divBdr>
        <w:top w:val="none" w:sz="0" w:space="0" w:color="auto"/>
        <w:left w:val="none" w:sz="0" w:space="0" w:color="auto"/>
        <w:bottom w:val="none" w:sz="0" w:space="0" w:color="auto"/>
        <w:right w:val="none" w:sz="0" w:space="0" w:color="auto"/>
      </w:divBdr>
    </w:div>
    <w:div w:id="1742748324">
      <w:bodyDiv w:val="1"/>
      <w:marLeft w:val="0"/>
      <w:marRight w:val="0"/>
      <w:marTop w:val="0"/>
      <w:marBottom w:val="0"/>
      <w:divBdr>
        <w:top w:val="none" w:sz="0" w:space="0" w:color="auto"/>
        <w:left w:val="none" w:sz="0" w:space="0" w:color="auto"/>
        <w:bottom w:val="none" w:sz="0" w:space="0" w:color="auto"/>
        <w:right w:val="none" w:sz="0" w:space="0" w:color="auto"/>
      </w:divBdr>
      <w:divsChild>
        <w:div w:id="1933774722">
          <w:marLeft w:val="0"/>
          <w:marRight w:val="0"/>
          <w:marTop w:val="0"/>
          <w:marBottom w:val="0"/>
          <w:divBdr>
            <w:top w:val="none" w:sz="0" w:space="0" w:color="auto"/>
            <w:left w:val="none" w:sz="0" w:space="0" w:color="auto"/>
            <w:bottom w:val="none" w:sz="0" w:space="0" w:color="auto"/>
            <w:right w:val="none" w:sz="0" w:space="0" w:color="auto"/>
          </w:divBdr>
        </w:div>
      </w:divsChild>
    </w:div>
    <w:div w:id="1758093484">
      <w:bodyDiv w:val="1"/>
      <w:marLeft w:val="0"/>
      <w:marRight w:val="0"/>
      <w:marTop w:val="0"/>
      <w:marBottom w:val="0"/>
      <w:divBdr>
        <w:top w:val="none" w:sz="0" w:space="0" w:color="auto"/>
        <w:left w:val="none" w:sz="0" w:space="0" w:color="auto"/>
        <w:bottom w:val="none" w:sz="0" w:space="0" w:color="auto"/>
        <w:right w:val="none" w:sz="0" w:space="0" w:color="auto"/>
      </w:divBdr>
    </w:div>
    <w:div w:id="1758555435">
      <w:bodyDiv w:val="1"/>
      <w:marLeft w:val="0"/>
      <w:marRight w:val="0"/>
      <w:marTop w:val="0"/>
      <w:marBottom w:val="0"/>
      <w:divBdr>
        <w:top w:val="none" w:sz="0" w:space="0" w:color="auto"/>
        <w:left w:val="none" w:sz="0" w:space="0" w:color="auto"/>
        <w:bottom w:val="none" w:sz="0" w:space="0" w:color="auto"/>
        <w:right w:val="none" w:sz="0" w:space="0" w:color="auto"/>
      </w:divBdr>
    </w:div>
    <w:div w:id="1808085907">
      <w:bodyDiv w:val="1"/>
      <w:marLeft w:val="0"/>
      <w:marRight w:val="0"/>
      <w:marTop w:val="0"/>
      <w:marBottom w:val="0"/>
      <w:divBdr>
        <w:top w:val="none" w:sz="0" w:space="0" w:color="auto"/>
        <w:left w:val="none" w:sz="0" w:space="0" w:color="auto"/>
        <w:bottom w:val="none" w:sz="0" w:space="0" w:color="auto"/>
        <w:right w:val="none" w:sz="0" w:space="0" w:color="auto"/>
      </w:divBdr>
    </w:div>
    <w:div w:id="1819419291">
      <w:bodyDiv w:val="1"/>
      <w:marLeft w:val="0"/>
      <w:marRight w:val="0"/>
      <w:marTop w:val="0"/>
      <w:marBottom w:val="0"/>
      <w:divBdr>
        <w:top w:val="none" w:sz="0" w:space="0" w:color="auto"/>
        <w:left w:val="none" w:sz="0" w:space="0" w:color="auto"/>
        <w:bottom w:val="none" w:sz="0" w:space="0" w:color="auto"/>
        <w:right w:val="none" w:sz="0" w:space="0" w:color="auto"/>
      </w:divBdr>
    </w:div>
    <w:div w:id="1822038223">
      <w:bodyDiv w:val="1"/>
      <w:marLeft w:val="0"/>
      <w:marRight w:val="0"/>
      <w:marTop w:val="0"/>
      <w:marBottom w:val="0"/>
      <w:divBdr>
        <w:top w:val="none" w:sz="0" w:space="0" w:color="auto"/>
        <w:left w:val="none" w:sz="0" w:space="0" w:color="auto"/>
        <w:bottom w:val="none" w:sz="0" w:space="0" w:color="auto"/>
        <w:right w:val="none" w:sz="0" w:space="0" w:color="auto"/>
      </w:divBdr>
    </w:div>
    <w:div w:id="1823042386">
      <w:bodyDiv w:val="1"/>
      <w:marLeft w:val="0"/>
      <w:marRight w:val="0"/>
      <w:marTop w:val="0"/>
      <w:marBottom w:val="0"/>
      <w:divBdr>
        <w:top w:val="none" w:sz="0" w:space="0" w:color="auto"/>
        <w:left w:val="none" w:sz="0" w:space="0" w:color="auto"/>
        <w:bottom w:val="none" w:sz="0" w:space="0" w:color="auto"/>
        <w:right w:val="none" w:sz="0" w:space="0" w:color="auto"/>
      </w:divBdr>
    </w:div>
    <w:div w:id="1826582398">
      <w:bodyDiv w:val="1"/>
      <w:marLeft w:val="0"/>
      <w:marRight w:val="0"/>
      <w:marTop w:val="0"/>
      <w:marBottom w:val="0"/>
      <w:divBdr>
        <w:top w:val="none" w:sz="0" w:space="0" w:color="auto"/>
        <w:left w:val="none" w:sz="0" w:space="0" w:color="auto"/>
        <w:bottom w:val="none" w:sz="0" w:space="0" w:color="auto"/>
        <w:right w:val="none" w:sz="0" w:space="0" w:color="auto"/>
      </w:divBdr>
      <w:divsChild>
        <w:div w:id="1055274207">
          <w:marLeft w:val="0"/>
          <w:marRight w:val="0"/>
          <w:marTop w:val="0"/>
          <w:marBottom w:val="0"/>
          <w:divBdr>
            <w:top w:val="none" w:sz="0" w:space="0" w:color="auto"/>
            <w:left w:val="none" w:sz="0" w:space="0" w:color="auto"/>
            <w:bottom w:val="none" w:sz="0" w:space="0" w:color="auto"/>
            <w:right w:val="none" w:sz="0" w:space="0" w:color="auto"/>
          </w:divBdr>
        </w:div>
      </w:divsChild>
    </w:div>
    <w:div w:id="1834450153">
      <w:bodyDiv w:val="1"/>
      <w:marLeft w:val="0"/>
      <w:marRight w:val="0"/>
      <w:marTop w:val="0"/>
      <w:marBottom w:val="0"/>
      <w:divBdr>
        <w:top w:val="none" w:sz="0" w:space="0" w:color="auto"/>
        <w:left w:val="none" w:sz="0" w:space="0" w:color="auto"/>
        <w:bottom w:val="none" w:sz="0" w:space="0" w:color="auto"/>
        <w:right w:val="none" w:sz="0" w:space="0" w:color="auto"/>
      </w:divBdr>
    </w:div>
    <w:div w:id="1839231069">
      <w:bodyDiv w:val="1"/>
      <w:marLeft w:val="0"/>
      <w:marRight w:val="0"/>
      <w:marTop w:val="0"/>
      <w:marBottom w:val="0"/>
      <w:divBdr>
        <w:top w:val="none" w:sz="0" w:space="0" w:color="auto"/>
        <w:left w:val="none" w:sz="0" w:space="0" w:color="auto"/>
        <w:bottom w:val="none" w:sz="0" w:space="0" w:color="auto"/>
        <w:right w:val="none" w:sz="0" w:space="0" w:color="auto"/>
      </w:divBdr>
    </w:div>
    <w:div w:id="1841850290">
      <w:bodyDiv w:val="1"/>
      <w:marLeft w:val="0"/>
      <w:marRight w:val="0"/>
      <w:marTop w:val="0"/>
      <w:marBottom w:val="0"/>
      <w:divBdr>
        <w:top w:val="none" w:sz="0" w:space="0" w:color="auto"/>
        <w:left w:val="none" w:sz="0" w:space="0" w:color="auto"/>
        <w:bottom w:val="none" w:sz="0" w:space="0" w:color="auto"/>
        <w:right w:val="none" w:sz="0" w:space="0" w:color="auto"/>
      </w:divBdr>
    </w:div>
    <w:div w:id="1844591705">
      <w:bodyDiv w:val="1"/>
      <w:marLeft w:val="0"/>
      <w:marRight w:val="0"/>
      <w:marTop w:val="0"/>
      <w:marBottom w:val="0"/>
      <w:divBdr>
        <w:top w:val="none" w:sz="0" w:space="0" w:color="auto"/>
        <w:left w:val="none" w:sz="0" w:space="0" w:color="auto"/>
        <w:bottom w:val="none" w:sz="0" w:space="0" w:color="auto"/>
        <w:right w:val="none" w:sz="0" w:space="0" w:color="auto"/>
      </w:divBdr>
    </w:div>
    <w:div w:id="1860771680">
      <w:bodyDiv w:val="1"/>
      <w:marLeft w:val="0"/>
      <w:marRight w:val="0"/>
      <w:marTop w:val="0"/>
      <w:marBottom w:val="0"/>
      <w:divBdr>
        <w:top w:val="none" w:sz="0" w:space="0" w:color="auto"/>
        <w:left w:val="none" w:sz="0" w:space="0" w:color="auto"/>
        <w:bottom w:val="none" w:sz="0" w:space="0" w:color="auto"/>
        <w:right w:val="none" w:sz="0" w:space="0" w:color="auto"/>
      </w:divBdr>
    </w:div>
    <w:div w:id="1862743941">
      <w:bodyDiv w:val="1"/>
      <w:marLeft w:val="0"/>
      <w:marRight w:val="0"/>
      <w:marTop w:val="0"/>
      <w:marBottom w:val="0"/>
      <w:divBdr>
        <w:top w:val="none" w:sz="0" w:space="0" w:color="auto"/>
        <w:left w:val="none" w:sz="0" w:space="0" w:color="auto"/>
        <w:bottom w:val="none" w:sz="0" w:space="0" w:color="auto"/>
        <w:right w:val="none" w:sz="0" w:space="0" w:color="auto"/>
      </w:divBdr>
    </w:div>
    <w:div w:id="1866753401">
      <w:bodyDiv w:val="1"/>
      <w:marLeft w:val="0"/>
      <w:marRight w:val="0"/>
      <w:marTop w:val="0"/>
      <w:marBottom w:val="0"/>
      <w:divBdr>
        <w:top w:val="none" w:sz="0" w:space="0" w:color="auto"/>
        <w:left w:val="none" w:sz="0" w:space="0" w:color="auto"/>
        <w:bottom w:val="none" w:sz="0" w:space="0" w:color="auto"/>
        <w:right w:val="none" w:sz="0" w:space="0" w:color="auto"/>
      </w:divBdr>
    </w:div>
    <w:div w:id="1870216966">
      <w:bodyDiv w:val="1"/>
      <w:marLeft w:val="0"/>
      <w:marRight w:val="0"/>
      <w:marTop w:val="0"/>
      <w:marBottom w:val="0"/>
      <w:divBdr>
        <w:top w:val="none" w:sz="0" w:space="0" w:color="auto"/>
        <w:left w:val="none" w:sz="0" w:space="0" w:color="auto"/>
        <w:bottom w:val="none" w:sz="0" w:space="0" w:color="auto"/>
        <w:right w:val="none" w:sz="0" w:space="0" w:color="auto"/>
      </w:divBdr>
    </w:div>
    <w:div w:id="1879244967">
      <w:bodyDiv w:val="1"/>
      <w:marLeft w:val="0"/>
      <w:marRight w:val="0"/>
      <w:marTop w:val="0"/>
      <w:marBottom w:val="0"/>
      <w:divBdr>
        <w:top w:val="none" w:sz="0" w:space="0" w:color="auto"/>
        <w:left w:val="none" w:sz="0" w:space="0" w:color="auto"/>
        <w:bottom w:val="none" w:sz="0" w:space="0" w:color="auto"/>
        <w:right w:val="none" w:sz="0" w:space="0" w:color="auto"/>
      </w:divBdr>
      <w:divsChild>
        <w:div w:id="1673216554">
          <w:marLeft w:val="0"/>
          <w:marRight w:val="0"/>
          <w:marTop w:val="0"/>
          <w:marBottom w:val="0"/>
          <w:divBdr>
            <w:top w:val="none" w:sz="0" w:space="0" w:color="auto"/>
            <w:left w:val="none" w:sz="0" w:space="0" w:color="auto"/>
            <w:bottom w:val="none" w:sz="0" w:space="0" w:color="auto"/>
            <w:right w:val="none" w:sz="0" w:space="0" w:color="auto"/>
          </w:divBdr>
        </w:div>
      </w:divsChild>
    </w:div>
    <w:div w:id="1882326693">
      <w:bodyDiv w:val="1"/>
      <w:marLeft w:val="0"/>
      <w:marRight w:val="0"/>
      <w:marTop w:val="0"/>
      <w:marBottom w:val="0"/>
      <w:divBdr>
        <w:top w:val="none" w:sz="0" w:space="0" w:color="auto"/>
        <w:left w:val="none" w:sz="0" w:space="0" w:color="auto"/>
        <w:bottom w:val="none" w:sz="0" w:space="0" w:color="auto"/>
        <w:right w:val="none" w:sz="0" w:space="0" w:color="auto"/>
      </w:divBdr>
    </w:div>
    <w:div w:id="1919632650">
      <w:bodyDiv w:val="1"/>
      <w:marLeft w:val="0"/>
      <w:marRight w:val="0"/>
      <w:marTop w:val="0"/>
      <w:marBottom w:val="0"/>
      <w:divBdr>
        <w:top w:val="none" w:sz="0" w:space="0" w:color="auto"/>
        <w:left w:val="none" w:sz="0" w:space="0" w:color="auto"/>
        <w:bottom w:val="none" w:sz="0" w:space="0" w:color="auto"/>
        <w:right w:val="none" w:sz="0" w:space="0" w:color="auto"/>
      </w:divBdr>
    </w:div>
    <w:div w:id="1937979838">
      <w:bodyDiv w:val="1"/>
      <w:marLeft w:val="0"/>
      <w:marRight w:val="0"/>
      <w:marTop w:val="0"/>
      <w:marBottom w:val="0"/>
      <w:divBdr>
        <w:top w:val="none" w:sz="0" w:space="0" w:color="auto"/>
        <w:left w:val="none" w:sz="0" w:space="0" w:color="auto"/>
        <w:bottom w:val="none" w:sz="0" w:space="0" w:color="auto"/>
        <w:right w:val="none" w:sz="0" w:space="0" w:color="auto"/>
      </w:divBdr>
    </w:div>
    <w:div w:id="1949116329">
      <w:bodyDiv w:val="1"/>
      <w:marLeft w:val="0"/>
      <w:marRight w:val="0"/>
      <w:marTop w:val="0"/>
      <w:marBottom w:val="0"/>
      <w:divBdr>
        <w:top w:val="none" w:sz="0" w:space="0" w:color="auto"/>
        <w:left w:val="none" w:sz="0" w:space="0" w:color="auto"/>
        <w:bottom w:val="none" w:sz="0" w:space="0" w:color="auto"/>
        <w:right w:val="none" w:sz="0" w:space="0" w:color="auto"/>
      </w:divBdr>
    </w:div>
    <w:div w:id="1959293548">
      <w:bodyDiv w:val="1"/>
      <w:marLeft w:val="0"/>
      <w:marRight w:val="0"/>
      <w:marTop w:val="0"/>
      <w:marBottom w:val="0"/>
      <w:divBdr>
        <w:top w:val="none" w:sz="0" w:space="0" w:color="auto"/>
        <w:left w:val="none" w:sz="0" w:space="0" w:color="auto"/>
        <w:bottom w:val="none" w:sz="0" w:space="0" w:color="auto"/>
        <w:right w:val="none" w:sz="0" w:space="0" w:color="auto"/>
      </w:divBdr>
    </w:div>
    <w:div w:id="1975522106">
      <w:bodyDiv w:val="1"/>
      <w:marLeft w:val="0"/>
      <w:marRight w:val="0"/>
      <w:marTop w:val="0"/>
      <w:marBottom w:val="0"/>
      <w:divBdr>
        <w:top w:val="none" w:sz="0" w:space="0" w:color="auto"/>
        <w:left w:val="none" w:sz="0" w:space="0" w:color="auto"/>
        <w:bottom w:val="none" w:sz="0" w:space="0" w:color="auto"/>
        <w:right w:val="none" w:sz="0" w:space="0" w:color="auto"/>
      </w:divBdr>
    </w:div>
    <w:div w:id="1979262595">
      <w:bodyDiv w:val="1"/>
      <w:marLeft w:val="0"/>
      <w:marRight w:val="0"/>
      <w:marTop w:val="0"/>
      <w:marBottom w:val="0"/>
      <w:divBdr>
        <w:top w:val="none" w:sz="0" w:space="0" w:color="auto"/>
        <w:left w:val="none" w:sz="0" w:space="0" w:color="auto"/>
        <w:bottom w:val="none" w:sz="0" w:space="0" w:color="auto"/>
        <w:right w:val="none" w:sz="0" w:space="0" w:color="auto"/>
      </w:divBdr>
    </w:div>
    <w:div w:id="2022198189">
      <w:bodyDiv w:val="1"/>
      <w:marLeft w:val="0"/>
      <w:marRight w:val="0"/>
      <w:marTop w:val="0"/>
      <w:marBottom w:val="0"/>
      <w:divBdr>
        <w:top w:val="none" w:sz="0" w:space="0" w:color="auto"/>
        <w:left w:val="none" w:sz="0" w:space="0" w:color="auto"/>
        <w:bottom w:val="none" w:sz="0" w:space="0" w:color="auto"/>
        <w:right w:val="none" w:sz="0" w:space="0" w:color="auto"/>
      </w:divBdr>
    </w:div>
    <w:div w:id="2022537732">
      <w:bodyDiv w:val="1"/>
      <w:marLeft w:val="0"/>
      <w:marRight w:val="0"/>
      <w:marTop w:val="0"/>
      <w:marBottom w:val="0"/>
      <w:divBdr>
        <w:top w:val="none" w:sz="0" w:space="0" w:color="auto"/>
        <w:left w:val="none" w:sz="0" w:space="0" w:color="auto"/>
        <w:bottom w:val="none" w:sz="0" w:space="0" w:color="auto"/>
        <w:right w:val="none" w:sz="0" w:space="0" w:color="auto"/>
      </w:divBdr>
    </w:div>
    <w:div w:id="2044162848">
      <w:bodyDiv w:val="1"/>
      <w:marLeft w:val="0"/>
      <w:marRight w:val="0"/>
      <w:marTop w:val="0"/>
      <w:marBottom w:val="0"/>
      <w:divBdr>
        <w:top w:val="none" w:sz="0" w:space="0" w:color="auto"/>
        <w:left w:val="none" w:sz="0" w:space="0" w:color="auto"/>
        <w:bottom w:val="none" w:sz="0" w:space="0" w:color="auto"/>
        <w:right w:val="none" w:sz="0" w:space="0" w:color="auto"/>
      </w:divBdr>
    </w:div>
    <w:div w:id="2078938728">
      <w:bodyDiv w:val="1"/>
      <w:marLeft w:val="0"/>
      <w:marRight w:val="0"/>
      <w:marTop w:val="0"/>
      <w:marBottom w:val="0"/>
      <w:divBdr>
        <w:top w:val="none" w:sz="0" w:space="0" w:color="auto"/>
        <w:left w:val="none" w:sz="0" w:space="0" w:color="auto"/>
        <w:bottom w:val="none" w:sz="0" w:space="0" w:color="auto"/>
        <w:right w:val="none" w:sz="0" w:space="0" w:color="auto"/>
      </w:divBdr>
    </w:div>
    <w:div w:id="2101755587">
      <w:bodyDiv w:val="1"/>
      <w:marLeft w:val="0"/>
      <w:marRight w:val="0"/>
      <w:marTop w:val="0"/>
      <w:marBottom w:val="0"/>
      <w:divBdr>
        <w:top w:val="none" w:sz="0" w:space="0" w:color="auto"/>
        <w:left w:val="none" w:sz="0" w:space="0" w:color="auto"/>
        <w:bottom w:val="none" w:sz="0" w:space="0" w:color="auto"/>
        <w:right w:val="none" w:sz="0" w:space="0" w:color="auto"/>
      </w:divBdr>
    </w:div>
    <w:div w:id="2109229551">
      <w:bodyDiv w:val="1"/>
      <w:marLeft w:val="0"/>
      <w:marRight w:val="0"/>
      <w:marTop w:val="0"/>
      <w:marBottom w:val="0"/>
      <w:divBdr>
        <w:top w:val="none" w:sz="0" w:space="0" w:color="auto"/>
        <w:left w:val="none" w:sz="0" w:space="0" w:color="auto"/>
        <w:bottom w:val="none" w:sz="0" w:space="0" w:color="auto"/>
        <w:right w:val="none" w:sz="0" w:space="0" w:color="auto"/>
      </w:divBdr>
      <w:divsChild>
        <w:div w:id="34233267">
          <w:marLeft w:val="0"/>
          <w:marRight w:val="0"/>
          <w:marTop w:val="0"/>
          <w:marBottom w:val="0"/>
          <w:divBdr>
            <w:top w:val="none" w:sz="0" w:space="0" w:color="auto"/>
            <w:left w:val="none" w:sz="0" w:space="0" w:color="auto"/>
            <w:bottom w:val="none" w:sz="0" w:space="0" w:color="auto"/>
            <w:right w:val="none" w:sz="0" w:space="0" w:color="auto"/>
          </w:divBdr>
        </w:div>
        <w:div w:id="37316862">
          <w:marLeft w:val="0"/>
          <w:marRight w:val="0"/>
          <w:marTop w:val="0"/>
          <w:marBottom w:val="0"/>
          <w:divBdr>
            <w:top w:val="none" w:sz="0" w:space="0" w:color="auto"/>
            <w:left w:val="none" w:sz="0" w:space="0" w:color="auto"/>
            <w:bottom w:val="none" w:sz="0" w:space="0" w:color="auto"/>
            <w:right w:val="none" w:sz="0" w:space="0" w:color="auto"/>
          </w:divBdr>
        </w:div>
        <w:div w:id="59599756">
          <w:marLeft w:val="0"/>
          <w:marRight w:val="0"/>
          <w:marTop w:val="0"/>
          <w:marBottom w:val="0"/>
          <w:divBdr>
            <w:top w:val="none" w:sz="0" w:space="0" w:color="auto"/>
            <w:left w:val="none" w:sz="0" w:space="0" w:color="auto"/>
            <w:bottom w:val="none" w:sz="0" w:space="0" w:color="auto"/>
            <w:right w:val="none" w:sz="0" w:space="0" w:color="auto"/>
          </w:divBdr>
        </w:div>
        <w:div w:id="65998946">
          <w:marLeft w:val="0"/>
          <w:marRight w:val="0"/>
          <w:marTop w:val="0"/>
          <w:marBottom w:val="0"/>
          <w:divBdr>
            <w:top w:val="none" w:sz="0" w:space="0" w:color="auto"/>
            <w:left w:val="none" w:sz="0" w:space="0" w:color="auto"/>
            <w:bottom w:val="none" w:sz="0" w:space="0" w:color="auto"/>
            <w:right w:val="none" w:sz="0" w:space="0" w:color="auto"/>
          </w:divBdr>
        </w:div>
        <w:div w:id="92676392">
          <w:marLeft w:val="0"/>
          <w:marRight w:val="0"/>
          <w:marTop w:val="0"/>
          <w:marBottom w:val="0"/>
          <w:divBdr>
            <w:top w:val="none" w:sz="0" w:space="0" w:color="auto"/>
            <w:left w:val="none" w:sz="0" w:space="0" w:color="auto"/>
            <w:bottom w:val="none" w:sz="0" w:space="0" w:color="auto"/>
            <w:right w:val="none" w:sz="0" w:space="0" w:color="auto"/>
          </w:divBdr>
        </w:div>
        <w:div w:id="99566280">
          <w:marLeft w:val="0"/>
          <w:marRight w:val="0"/>
          <w:marTop w:val="0"/>
          <w:marBottom w:val="0"/>
          <w:divBdr>
            <w:top w:val="none" w:sz="0" w:space="0" w:color="auto"/>
            <w:left w:val="none" w:sz="0" w:space="0" w:color="auto"/>
            <w:bottom w:val="none" w:sz="0" w:space="0" w:color="auto"/>
            <w:right w:val="none" w:sz="0" w:space="0" w:color="auto"/>
          </w:divBdr>
        </w:div>
        <w:div w:id="228924786">
          <w:marLeft w:val="0"/>
          <w:marRight w:val="0"/>
          <w:marTop w:val="0"/>
          <w:marBottom w:val="0"/>
          <w:divBdr>
            <w:top w:val="none" w:sz="0" w:space="0" w:color="auto"/>
            <w:left w:val="none" w:sz="0" w:space="0" w:color="auto"/>
            <w:bottom w:val="none" w:sz="0" w:space="0" w:color="auto"/>
            <w:right w:val="none" w:sz="0" w:space="0" w:color="auto"/>
          </w:divBdr>
        </w:div>
        <w:div w:id="515071628">
          <w:marLeft w:val="0"/>
          <w:marRight w:val="0"/>
          <w:marTop w:val="0"/>
          <w:marBottom w:val="0"/>
          <w:divBdr>
            <w:top w:val="none" w:sz="0" w:space="0" w:color="auto"/>
            <w:left w:val="none" w:sz="0" w:space="0" w:color="auto"/>
            <w:bottom w:val="none" w:sz="0" w:space="0" w:color="auto"/>
            <w:right w:val="none" w:sz="0" w:space="0" w:color="auto"/>
          </w:divBdr>
        </w:div>
        <w:div w:id="595018540">
          <w:marLeft w:val="0"/>
          <w:marRight w:val="0"/>
          <w:marTop w:val="0"/>
          <w:marBottom w:val="0"/>
          <w:divBdr>
            <w:top w:val="none" w:sz="0" w:space="0" w:color="auto"/>
            <w:left w:val="none" w:sz="0" w:space="0" w:color="auto"/>
            <w:bottom w:val="none" w:sz="0" w:space="0" w:color="auto"/>
            <w:right w:val="none" w:sz="0" w:space="0" w:color="auto"/>
          </w:divBdr>
        </w:div>
        <w:div w:id="852719633">
          <w:marLeft w:val="0"/>
          <w:marRight w:val="0"/>
          <w:marTop w:val="0"/>
          <w:marBottom w:val="0"/>
          <w:divBdr>
            <w:top w:val="none" w:sz="0" w:space="0" w:color="auto"/>
            <w:left w:val="none" w:sz="0" w:space="0" w:color="auto"/>
            <w:bottom w:val="none" w:sz="0" w:space="0" w:color="auto"/>
            <w:right w:val="none" w:sz="0" w:space="0" w:color="auto"/>
          </w:divBdr>
        </w:div>
        <w:div w:id="872308098">
          <w:marLeft w:val="0"/>
          <w:marRight w:val="0"/>
          <w:marTop w:val="0"/>
          <w:marBottom w:val="0"/>
          <w:divBdr>
            <w:top w:val="none" w:sz="0" w:space="0" w:color="auto"/>
            <w:left w:val="none" w:sz="0" w:space="0" w:color="auto"/>
            <w:bottom w:val="none" w:sz="0" w:space="0" w:color="auto"/>
            <w:right w:val="none" w:sz="0" w:space="0" w:color="auto"/>
          </w:divBdr>
        </w:div>
        <w:div w:id="960769828">
          <w:marLeft w:val="0"/>
          <w:marRight w:val="0"/>
          <w:marTop w:val="0"/>
          <w:marBottom w:val="0"/>
          <w:divBdr>
            <w:top w:val="none" w:sz="0" w:space="0" w:color="auto"/>
            <w:left w:val="none" w:sz="0" w:space="0" w:color="auto"/>
            <w:bottom w:val="none" w:sz="0" w:space="0" w:color="auto"/>
            <w:right w:val="none" w:sz="0" w:space="0" w:color="auto"/>
          </w:divBdr>
        </w:div>
        <w:div w:id="1033382224">
          <w:marLeft w:val="0"/>
          <w:marRight w:val="0"/>
          <w:marTop w:val="0"/>
          <w:marBottom w:val="0"/>
          <w:divBdr>
            <w:top w:val="none" w:sz="0" w:space="0" w:color="auto"/>
            <w:left w:val="none" w:sz="0" w:space="0" w:color="auto"/>
            <w:bottom w:val="none" w:sz="0" w:space="0" w:color="auto"/>
            <w:right w:val="none" w:sz="0" w:space="0" w:color="auto"/>
          </w:divBdr>
        </w:div>
        <w:div w:id="1146897674">
          <w:marLeft w:val="0"/>
          <w:marRight w:val="0"/>
          <w:marTop w:val="0"/>
          <w:marBottom w:val="0"/>
          <w:divBdr>
            <w:top w:val="none" w:sz="0" w:space="0" w:color="auto"/>
            <w:left w:val="none" w:sz="0" w:space="0" w:color="auto"/>
            <w:bottom w:val="none" w:sz="0" w:space="0" w:color="auto"/>
            <w:right w:val="none" w:sz="0" w:space="0" w:color="auto"/>
          </w:divBdr>
        </w:div>
        <w:div w:id="1161963765">
          <w:marLeft w:val="0"/>
          <w:marRight w:val="0"/>
          <w:marTop w:val="0"/>
          <w:marBottom w:val="0"/>
          <w:divBdr>
            <w:top w:val="none" w:sz="0" w:space="0" w:color="auto"/>
            <w:left w:val="none" w:sz="0" w:space="0" w:color="auto"/>
            <w:bottom w:val="none" w:sz="0" w:space="0" w:color="auto"/>
            <w:right w:val="none" w:sz="0" w:space="0" w:color="auto"/>
          </w:divBdr>
        </w:div>
        <w:div w:id="1201086158">
          <w:marLeft w:val="0"/>
          <w:marRight w:val="0"/>
          <w:marTop w:val="0"/>
          <w:marBottom w:val="0"/>
          <w:divBdr>
            <w:top w:val="none" w:sz="0" w:space="0" w:color="auto"/>
            <w:left w:val="none" w:sz="0" w:space="0" w:color="auto"/>
            <w:bottom w:val="none" w:sz="0" w:space="0" w:color="auto"/>
            <w:right w:val="none" w:sz="0" w:space="0" w:color="auto"/>
          </w:divBdr>
        </w:div>
        <w:div w:id="1366368741">
          <w:marLeft w:val="0"/>
          <w:marRight w:val="0"/>
          <w:marTop w:val="0"/>
          <w:marBottom w:val="0"/>
          <w:divBdr>
            <w:top w:val="none" w:sz="0" w:space="0" w:color="auto"/>
            <w:left w:val="none" w:sz="0" w:space="0" w:color="auto"/>
            <w:bottom w:val="none" w:sz="0" w:space="0" w:color="auto"/>
            <w:right w:val="none" w:sz="0" w:space="0" w:color="auto"/>
          </w:divBdr>
        </w:div>
        <w:div w:id="1484273459">
          <w:marLeft w:val="0"/>
          <w:marRight w:val="0"/>
          <w:marTop w:val="0"/>
          <w:marBottom w:val="0"/>
          <w:divBdr>
            <w:top w:val="none" w:sz="0" w:space="0" w:color="auto"/>
            <w:left w:val="none" w:sz="0" w:space="0" w:color="auto"/>
            <w:bottom w:val="none" w:sz="0" w:space="0" w:color="auto"/>
            <w:right w:val="none" w:sz="0" w:space="0" w:color="auto"/>
          </w:divBdr>
        </w:div>
        <w:div w:id="1484619762">
          <w:marLeft w:val="0"/>
          <w:marRight w:val="0"/>
          <w:marTop w:val="0"/>
          <w:marBottom w:val="0"/>
          <w:divBdr>
            <w:top w:val="none" w:sz="0" w:space="0" w:color="auto"/>
            <w:left w:val="none" w:sz="0" w:space="0" w:color="auto"/>
            <w:bottom w:val="none" w:sz="0" w:space="0" w:color="auto"/>
            <w:right w:val="none" w:sz="0" w:space="0" w:color="auto"/>
          </w:divBdr>
        </w:div>
        <w:div w:id="1520855893">
          <w:marLeft w:val="0"/>
          <w:marRight w:val="0"/>
          <w:marTop w:val="0"/>
          <w:marBottom w:val="0"/>
          <w:divBdr>
            <w:top w:val="none" w:sz="0" w:space="0" w:color="auto"/>
            <w:left w:val="none" w:sz="0" w:space="0" w:color="auto"/>
            <w:bottom w:val="none" w:sz="0" w:space="0" w:color="auto"/>
            <w:right w:val="none" w:sz="0" w:space="0" w:color="auto"/>
          </w:divBdr>
        </w:div>
        <w:div w:id="1530491208">
          <w:marLeft w:val="0"/>
          <w:marRight w:val="0"/>
          <w:marTop w:val="0"/>
          <w:marBottom w:val="0"/>
          <w:divBdr>
            <w:top w:val="none" w:sz="0" w:space="0" w:color="auto"/>
            <w:left w:val="none" w:sz="0" w:space="0" w:color="auto"/>
            <w:bottom w:val="none" w:sz="0" w:space="0" w:color="auto"/>
            <w:right w:val="none" w:sz="0" w:space="0" w:color="auto"/>
          </w:divBdr>
        </w:div>
        <w:div w:id="1908226905">
          <w:marLeft w:val="0"/>
          <w:marRight w:val="0"/>
          <w:marTop w:val="0"/>
          <w:marBottom w:val="0"/>
          <w:divBdr>
            <w:top w:val="none" w:sz="0" w:space="0" w:color="auto"/>
            <w:left w:val="none" w:sz="0" w:space="0" w:color="auto"/>
            <w:bottom w:val="none" w:sz="0" w:space="0" w:color="auto"/>
            <w:right w:val="none" w:sz="0" w:space="0" w:color="auto"/>
          </w:divBdr>
        </w:div>
        <w:div w:id="1933732844">
          <w:marLeft w:val="0"/>
          <w:marRight w:val="0"/>
          <w:marTop w:val="0"/>
          <w:marBottom w:val="0"/>
          <w:divBdr>
            <w:top w:val="none" w:sz="0" w:space="0" w:color="auto"/>
            <w:left w:val="none" w:sz="0" w:space="0" w:color="auto"/>
            <w:bottom w:val="none" w:sz="0" w:space="0" w:color="auto"/>
            <w:right w:val="none" w:sz="0" w:space="0" w:color="auto"/>
          </w:divBdr>
        </w:div>
        <w:div w:id="2059813362">
          <w:marLeft w:val="0"/>
          <w:marRight w:val="0"/>
          <w:marTop w:val="0"/>
          <w:marBottom w:val="0"/>
          <w:divBdr>
            <w:top w:val="none" w:sz="0" w:space="0" w:color="auto"/>
            <w:left w:val="none" w:sz="0" w:space="0" w:color="auto"/>
            <w:bottom w:val="none" w:sz="0" w:space="0" w:color="auto"/>
            <w:right w:val="none" w:sz="0" w:space="0" w:color="auto"/>
          </w:divBdr>
        </w:div>
        <w:div w:id="2081167793">
          <w:marLeft w:val="0"/>
          <w:marRight w:val="0"/>
          <w:marTop w:val="0"/>
          <w:marBottom w:val="0"/>
          <w:divBdr>
            <w:top w:val="none" w:sz="0" w:space="0" w:color="auto"/>
            <w:left w:val="none" w:sz="0" w:space="0" w:color="auto"/>
            <w:bottom w:val="none" w:sz="0" w:space="0" w:color="auto"/>
            <w:right w:val="none" w:sz="0" w:space="0" w:color="auto"/>
          </w:divBdr>
        </w:div>
      </w:divsChild>
    </w:div>
    <w:div w:id="21195172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9" Type="http://schemas.openxmlformats.org/officeDocument/2006/relationships/image" Target="media/image24.png"/><Relationship Id="rId21" Type="http://schemas.openxmlformats.org/officeDocument/2006/relationships/image" Target="media/image13.png"/><Relationship Id="rId34" Type="http://schemas.microsoft.com/office/2014/relationships/chartEx" Target="charts/chartEx2.xml"/><Relationship Id="rId42" Type="http://schemas.openxmlformats.org/officeDocument/2006/relationships/image" Target="media/image26.png"/><Relationship Id="rId47"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microsoft.com/office/2014/relationships/chartEx" Target="charts/chartEx1.xml"/><Relationship Id="rId37" Type="http://schemas.openxmlformats.org/officeDocument/2006/relationships/image" Target="media/image23.png"/><Relationship Id="rId40" Type="http://schemas.microsoft.com/office/2014/relationships/chartEx" Target="charts/chartEx5.xml"/><Relationship Id="rId45" Type="http://schemas.openxmlformats.org/officeDocument/2006/relationships/image" Target="media/image29.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7.png"/><Relationship Id="rId36" Type="http://schemas.microsoft.com/office/2014/relationships/chartEx" Target="charts/chartEx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image" Target="media/image2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dane.gov.co/index.php/estadisticas-por-tema/comercio-internacional/importaciones"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2.png"/><Relationship Id="rId43"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1.xml"/><Relationship Id="rId33" Type="http://schemas.openxmlformats.org/officeDocument/2006/relationships/image" Target="media/image21.png"/><Relationship Id="rId38" Type="http://schemas.microsoft.com/office/2014/relationships/chartEx" Target="charts/chartEx4.xml"/><Relationship Id="rId46"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25.pn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User\Desktop\A.S%202024\INDICADORES\Libro1%20(Recuperado).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User\Desktop\A.S%202024\INDICADORES\Libro1%20(Recuperado).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User\Desktop\A.S%202024\INDICADORES\Libro1%20(Recuperado).xlsx"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User\Desktop\A.S%202024\INDICADORES\Libro1%20(Recuperado).xlsx"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User\Desktop\A.S%202024\INDICADORES\Libro1%20(Recuperado).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Hoja1!$C$5:$C$32</cx:f>
        <cx:lvl ptCount="28" formatCode="0,00">
          <cx:pt idx="0">6.6699999999999999</cx:pt>
          <cx:pt idx="1">2.8599999999999999</cx:pt>
          <cx:pt idx="2">16.09</cx:pt>
          <cx:pt idx="3">3.0299999999999998</cx:pt>
          <cx:pt idx="4">8.5999999999999996</cx:pt>
          <cx:pt idx="5">5.1200000000000001</cx:pt>
          <cx:pt idx="6">5.1900000000000004</cx:pt>
          <cx:pt idx="7">3.8300000000000001</cx:pt>
          <cx:pt idx="8">2.5099999999999998</cx:pt>
          <cx:pt idx="9">1.1200000000000001</cx:pt>
          <cx:pt idx="10">4.4000000000000004</cx:pt>
          <cx:pt idx="11">1.8899999999999999</cx:pt>
          <cx:pt idx="12">8.3800000000000008</cx:pt>
          <cx:pt idx="13">2.0299999999999998</cx:pt>
          <cx:pt idx="14">9.9299999999999997</cx:pt>
          <cx:pt idx="15">2.7400000000000002</cx:pt>
          <cx:pt idx="16">20.760000000000002</cx:pt>
          <cx:pt idx="17">24.699999999999999</cx:pt>
          <cx:pt idx="18">1.9099999999999999</cx:pt>
          <cx:pt idx="19">4.0899999999999999</cx:pt>
          <cx:pt idx="20">2.75</cx:pt>
          <cx:pt idx="21">3.3700000000000001</cx:pt>
          <cx:pt idx="22">2.7400000000000002</cx:pt>
          <cx:pt idx="23">24.68</cx:pt>
          <cx:pt idx="24">2.1299999999999999</cx:pt>
          <cx:pt idx="25">10.66</cx:pt>
          <cx:pt idx="26">8.7200000000000006</cx:pt>
          <cx:pt idx="27">3.9900000000000002</cx:pt>
        </cx:lvl>
      </cx:numDim>
    </cx:data>
  </cx:chartData>
  <cx:chart>
    <cx:plotArea>
      <cx:plotAreaRegion>
        <cx:series layoutId="clusteredColumn" uniqueId="{92C310F5-3819-423B-9DD3-6728F332696D}">
          <cx:dataId val="0"/>
          <cx:layoutPr>
            <cx:binning intervalClosed="r"/>
          </cx:layoutPr>
          <cx:axisId val="1"/>
        </cx:series>
        <cx:series layoutId="paretoLine" ownerIdx="0" uniqueId="{C6F49D6D-F641-4B9D-823B-E2CFB752E7BF}">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Hoja1!$D$5:$D$32</cx:f>
        <cx:lvl ptCount="28" formatCode="General">
          <cx:pt idx="0">33</cx:pt>
          <cx:pt idx="1">42</cx:pt>
          <cx:pt idx="2">19</cx:pt>
          <cx:pt idx="3">39</cx:pt>
          <cx:pt idx="4">59</cx:pt>
          <cx:pt idx="5">44</cx:pt>
          <cx:pt idx="6">19</cx:pt>
          <cx:pt idx="7">48</cx:pt>
          <cx:pt idx="8">40.079999999999998</cx:pt>
          <cx:pt idx="9">55</cx:pt>
          <cx:pt idx="10">33</cx:pt>
          <cx:pt idx="11">38</cx:pt>
          <cx:pt idx="12">18</cx:pt>
          <cx:pt idx="13">46</cx:pt>
          <cx:pt idx="14">7</cx:pt>
          <cx:pt idx="15">35.189999999999998</cx:pt>
          <cx:pt idx="16">27</cx:pt>
          <cx:pt idx="17">86.450000000000003</cx:pt>
          <cx:pt idx="18">86.040000000000006</cx:pt>
          <cx:pt idx="19">41</cx:pt>
          <cx:pt idx="20">48</cx:pt>
          <cx:pt idx="21">50</cx:pt>
          <cx:pt idx="22">52</cx:pt>
          <cx:pt idx="23">24</cx:pt>
          <cx:pt idx="24">55</cx:pt>
          <cx:pt idx="25">40</cx:pt>
          <cx:pt idx="26">49</cx:pt>
          <cx:pt idx="27">77</cx:pt>
        </cx:lvl>
      </cx:numDim>
    </cx:data>
  </cx:chartData>
  <cx:chart>
    <cx:plotArea>
      <cx:plotAreaRegion>
        <cx:series layoutId="clusteredColumn" uniqueId="{BABC400E-9632-4879-BD49-E6A55AE20579}">
          <cx:dataId val="0"/>
          <cx:layoutPr>
            <cx:binning intervalClosed="r"/>
          </cx:layoutPr>
          <cx:axisId val="1"/>
        </cx:series>
        <cx:series layoutId="paretoLine" ownerIdx="0" uniqueId="{607ED0FE-544A-4AC1-B43C-94D77B70F5CF}">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Hoja2!$C$2:$C$22</cx:f>
        <cx:lvl ptCount="21" formatCode="General">
          <cx:pt idx="0">47.210000000000001</cx:pt>
          <cx:pt idx="1">53.170000000000002</cx:pt>
          <cx:pt idx="2">15.970000000000001</cx:pt>
          <cx:pt idx="3">7.6399999999999997</cx:pt>
          <cx:pt idx="4">48.32</cx:pt>
          <cx:pt idx="5">42.68</cx:pt>
          <cx:pt idx="6">1.25</cx:pt>
          <cx:pt idx="7">5.3700000000000001</cx:pt>
          <cx:pt idx="8">12.220000000000001</cx:pt>
          <cx:pt idx="9">8.7100000000000009</cx:pt>
          <cx:pt idx="10">20.100000000000001</cx:pt>
          <cx:pt idx="11">4.6299999999999999</cx:pt>
          <cx:pt idx="12">0.57999999999999996</cx:pt>
          <cx:pt idx="13">23.57</cx:pt>
          <cx:pt idx="14">6.9400000000000004</cx:pt>
          <cx:pt idx="15">3.7799999999999998</cx:pt>
          <cx:pt idx="16">88.239999999999995</cx:pt>
          <cx:pt idx="17">3</cx:pt>
          <cx:pt idx="18">15.039999999999999</cx:pt>
          <cx:pt idx="19">9.8399999999999999</cx:pt>
          <cx:pt idx="20">0.94999999999999996</cx:pt>
        </cx:lvl>
      </cx:numDim>
    </cx:data>
  </cx:chartData>
  <cx:chart>
    <cx:plotArea>
      <cx:plotAreaRegion>
        <cx:series layoutId="clusteredColumn" uniqueId="{C87DE018-5AED-4E46-BD6B-95655E038519}">
          <cx:dataId val="0"/>
          <cx:layoutPr>
            <cx:binning intervalClosed="r"/>
          </cx:layoutPr>
          <cx:axisId val="1"/>
        </cx:series>
        <cx:series layoutId="paretoLine" ownerIdx="0" uniqueId="{B8BAAD33-8F81-4DDF-8350-0D4D529D316F}">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Hoja1!$F$6:$F$32</cx:f>
        <cx:lvl ptCount="27" formatCode="0,00">
          <cx:pt idx="0">31</cx:pt>
          <cx:pt idx="1">21</cx:pt>
          <cx:pt idx="2">12</cx:pt>
          <cx:pt idx="3">9</cx:pt>
          <cx:pt idx="4">2</cx:pt>
          <cx:pt idx="5">4</cx:pt>
          <cx:pt idx="6">17</cx:pt>
          <cx:pt idx="7">6.1799999999999997</cx:pt>
          <cx:pt idx="8">25</cx:pt>
          <cx:pt idx="9">1</cx:pt>
          <cx:pt idx="10">23</cx:pt>
          <cx:pt idx="11">3</cx:pt>
          <cx:pt idx="12">21</cx:pt>
          <cx:pt idx="13">25</cx:pt>
          <cx:pt idx="14">38.25</cx:pt>
          <cx:pt idx="15">70</cx:pt>
          <cx:pt idx="16">16.399999999999999</cx:pt>
          <cx:pt idx="17">12.619999999999999</cx:pt>
          <cx:pt idx="18">22</cx:pt>
          <cx:pt idx="19">15</cx:pt>
          <cx:pt idx="20">39</cx:pt>
          <cx:pt idx="21">11</cx:pt>
          <cx:pt idx="22">52</cx:pt>
          <cx:pt idx="23">27</cx:pt>
          <cx:pt idx="24">10</cx:pt>
          <cx:pt idx="25">26</cx:pt>
          <cx:pt idx="26">39</cx:pt>
        </cx:lvl>
      </cx:numDim>
    </cx:data>
  </cx:chartData>
  <cx:chart>
    <cx:plotArea>
      <cx:plotAreaRegion>
        <cx:series layoutId="clusteredColumn" uniqueId="{719CE61B-D535-4ECE-8052-A8A1B7D8011B}">
          <cx:dataId val="0"/>
          <cx:layoutPr>
            <cx:binning intervalClosed="r"/>
          </cx:layoutPr>
          <cx:axisId val="1"/>
        </cx:series>
        <cx:series layoutId="paretoLine" ownerIdx="0" uniqueId="{74DF8EE3-4452-45ED-A665-EB6076952BA8}">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Hoja1!$G$5:$G$32</cx:f>
        <cx:lvl ptCount="28" formatCode="0,00">
          <cx:pt idx="0">66</cx:pt>
          <cx:pt idx="1">17</cx:pt>
          <cx:pt idx="2">17</cx:pt>
          <cx:pt idx="3">7</cx:pt>
          <cx:pt idx="4">3</cx:pt>
          <cx:pt idx="5">1</cx:pt>
          <cx:pt idx="6">3</cx:pt>
          <cx:pt idx="7">9</cx:pt>
          <cx:pt idx="8">3.8500000000000001</cx:pt>
          <cx:pt idx="9">11</cx:pt>
          <cx:pt idx="10">0</cx:pt>
          <cx:pt idx="11">14</cx:pt>
          <cx:pt idx="12">2</cx:pt>
          <cx:pt idx="13">11</cx:pt>
          <cx:pt idx="14">23</cx:pt>
          <cx:pt idx="15">24.789999999999999</cx:pt>
          <cx:pt idx="16">50</cx:pt>
          <cx:pt idx="17">7.21</cx:pt>
          <cx:pt idx="18">3.2400000000000002</cx:pt>
          <cx:pt idx="19">13</cx:pt>
          <cx:pt idx="20">7</cx:pt>
          <cx:pt idx="21">19</cx:pt>
          <cx:pt idx="22">7</cx:pt>
          <cx:pt idx="23">39</cx:pt>
          <cx:pt idx="24">11</cx:pt>
          <cx:pt idx="25">6</cx:pt>
          <cx:pt idx="26">13</cx:pt>
          <cx:pt idx="27">9</cx:pt>
        </cx:lvl>
      </cx:numDim>
    </cx:data>
  </cx:chartData>
  <cx:chart>
    <cx:plotArea>
      <cx:plotAreaRegion>
        <cx:series layoutId="clusteredColumn" uniqueId="{0F33E89D-7EB8-4998-A081-9BB5D8A477A8}">
          <cx:dataId val="0"/>
          <cx:layoutPr>
            <cx:binning intervalClosed="r"/>
          </cx:layoutPr>
          <cx:axisId val="1"/>
        </cx:series>
        <cx:series layoutId="paretoLine" ownerIdx="0" uniqueId="{603BEC46-880B-4267-821D-E6EB52330BF8}">
          <cx:axisId val="2"/>
        </cx:series>
      </cx:plotAreaRegion>
      <cx:axis id="0">
        <cx:catScaling gapWidth="0"/>
        <cx:tickLabels/>
      </cx:axis>
      <cx:axis id="1">
        <cx:valScaling/>
        <cx:majorGridlines/>
        <cx:tickLabels/>
      </cx:axis>
      <cx:axis id="2">
        <cx:valScaling max="1" min="0"/>
        <cx:units unit="percentage"/>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solidFill>
    </cs:spPr>
  </cs:downBar>
  <cs:dropLine>
    <cs:lnRef idx="0"/>
    <cs:fillRef idx="0"/>
    <cs:effectRef idx="0"/>
    <cs:fontRef idx="minor">
      <a:schemeClr val="tx1"/>
    </cs:fontRef>
  </cs:dropLine>
  <cs:errorBar>
    <cs:lnRef idx="0"/>
    <cs:fillRef idx="0"/>
    <cs:effectRef idx="0"/>
    <cs:fontRef idx="minor">
      <a:schemeClr val="tx1"/>
    </cs:fontRef>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a:solidFill>
          <a:schemeClr val="tx1">
            <a:lumMod val="15000"/>
            <a:lumOff val="85000"/>
            <a:lumOff val="10000"/>
          </a:schemeClr>
        </a:solidFill>
      </a:ln>
    </cs:spPr>
  </cs:gridlineMinor>
  <cs:hiLoLine>
    <cs:lnRef idx="0"/>
    <cs:fillRef idx="0"/>
    <cs:effectRef idx="0"/>
    <cs:fontRef idx="minor">
      <a:schemeClr val="tx1"/>
    </cs:fontRef>
  </cs:hiLoLine>
  <cs:leaderLine>
    <cs:lnRef idx="0"/>
    <cs:fillRef idx="0"/>
    <cs:effectRef idx="0"/>
    <cs:fontRef idx="minor">
      <a:schemeClr val="tx1"/>
    </cs:fontRef>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BB9BA-B223-4D8A-BDE1-816D38946268}">
  <ds:schemaRefs>
    <ds:schemaRef ds:uri="http://schemas.openxmlformats.org/officeDocument/2006/bibliography"/>
  </ds:schemaRefs>
</ds:datastoreItem>
</file>

<file path=customXml/itemProps2.xml><?xml version="1.0" encoding="utf-8"?>
<ds:datastoreItem xmlns:ds="http://schemas.openxmlformats.org/officeDocument/2006/customXml" ds:itemID="{3D1A32B4-CAE0-4138-878B-FFDE99258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9872</Words>
  <Characters>54297</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2021-02-12T20:31:00Z</cp:lastPrinted>
  <dcterms:created xsi:type="dcterms:W3CDTF">2024-03-06T04:07:00Z</dcterms:created>
  <dcterms:modified xsi:type="dcterms:W3CDTF">2024-03-06T04:07:00Z</dcterms:modified>
</cp:coreProperties>
</file>