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Para el presente </w:t>
      </w:r>
      <w:r w:rsidR="00C61BDB" w:rsidRPr="00CF7B39">
        <w:rPr>
          <w:rFonts w:ascii="Arial" w:hAnsi="Arial" w:cs="Arial"/>
          <w:sz w:val="20"/>
          <w:szCs w:val="20"/>
          <w:lang w:val="es-ES_tradnl" w:eastAsia="es-CO"/>
        </w:rPr>
        <w:t xml:space="preserve">procedimiento </w:t>
      </w:r>
      <w:r w:rsidRPr="00CF7B39">
        <w:rPr>
          <w:rFonts w:ascii="Arial" w:hAnsi="Arial" w:cs="Arial"/>
          <w:sz w:val="20"/>
          <w:szCs w:val="20"/>
          <w:lang w:val="es-ES_tradnl" w:eastAsia="es-CO"/>
        </w:rPr>
        <w:t xml:space="preserve">contractual, en atención </w:t>
      </w:r>
      <w:r w:rsidR="00B81B1F" w:rsidRPr="00CF7B39">
        <w:rPr>
          <w:rFonts w:ascii="Arial" w:hAnsi="Arial" w:cs="Arial"/>
          <w:sz w:val="20"/>
          <w:szCs w:val="20"/>
          <w:lang w:val="es-ES_tradnl" w:eastAsia="es-CO"/>
        </w:rPr>
        <w:t>a la</w:t>
      </w:r>
      <w:r w:rsidRPr="00CF7B39">
        <w:rPr>
          <w:rFonts w:ascii="Arial" w:hAnsi="Arial" w:cs="Arial"/>
          <w:sz w:val="20"/>
          <w:szCs w:val="20"/>
          <w:lang w:val="es-ES_tradnl" w:eastAsia="es-CO"/>
        </w:rPr>
        <w:t xml:space="preserve"> Ley 1150 de 2007 y los artículos 2.2.1.1.1.3.1 y 2.2.1.1.1.6.</w:t>
      </w:r>
      <w:r w:rsidR="00B81B1F" w:rsidRPr="00CF7B39">
        <w:rPr>
          <w:rFonts w:ascii="Arial" w:hAnsi="Arial" w:cs="Arial"/>
          <w:sz w:val="20"/>
          <w:szCs w:val="20"/>
          <w:lang w:val="es-ES_tradnl" w:eastAsia="es-CO"/>
        </w:rPr>
        <w:t>3. del</w:t>
      </w:r>
      <w:r w:rsidRPr="00CF7B39">
        <w:rPr>
          <w:rFonts w:ascii="Arial" w:hAnsi="Arial" w:cs="Arial"/>
          <w:sz w:val="20"/>
          <w:szCs w:val="20"/>
          <w:lang w:val="es-ES_tradnl" w:eastAsia="es-CO"/>
        </w:rPr>
        <w:t xml:space="preserve"> Decreto </w:t>
      </w:r>
      <w:r w:rsidR="00B81B1F" w:rsidRPr="00CF7B39">
        <w:rPr>
          <w:rFonts w:ascii="Arial" w:hAnsi="Arial" w:cs="Arial"/>
          <w:sz w:val="20"/>
          <w:szCs w:val="20"/>
          <w:lang w:val="es-ES_tradnl" w:eastAsia="es-CO"/>
        </w:rPr>
        <w:t>1082 de</w:t>
      </w:r>
      <w:r w:rsidR="006E6D9B" w:rsidRPr="00CF7B39">
        <w:rPr>
          <w:rFonts w:ascii="Arial" w:hAnsi="Arial" w:cs="Arial"/>
          <w:sz w:val="20"/>
          <w:szCs w:val="20"/>
          <w:lang w:val="es-ES_tradnl" w:eastAsia="es-CO"/>
        </w:rPr>
        <w:t xml:space="preserve"> 2015, entiéndase por R</w:t>
      </w:r>
      <w:r w:rsidRPr="00CF7B39">
        <w:rPr>
          <w:rFonts w:ascii="Arial" w:hAnsi="Arial" w:cs="Arial"/>
          <w:sz w:val="20"/>
          <w:szCs w:val="20"/>
          <w:lang w:val="es-ES_tradnl" w:eastAsia="es-CO"/>
        </w:rPr>
        <w:t>iesgo</w:t>
      </w:r>
      <w:r w:rsidR="006E6D9B" w:rsidRPr="00CF7B39">
        <w:rPr>
          <w:rFonts w:ascii="Arial" w:hAnsi="Arial" w:cs="Arial"/>
          <w:sz w:val="20"/>
          <w:szCs w:val="20"/>
          <w:lang w:val="es-ES_tradnl" w:eastAsia="es-CO"/>
        </w:rPr>
        <w:t xml:space="preserve"> </w:t>
      </w:r>
      <w:r w:rsidRPr="00CF7B39">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CF7B39">
        <w:rPr>
          <w:rFonts w:ascii="Arial" w:hAnsi="Arial" w:cs="Arial"/>
          <w:sz w:val="20"/>
          <w:szCs w:val="20"/>
          <w:lang w:val="es-ES_tradnl" w:eastAsia="es-CO"/>
        </w:rPr>
        <w:t>como con</w:t>
      </w:r>
      <w:r w:rsidRPr="00CF7B39">
        <w:rPr>
          <w:rFonts w:ascii="Arial" w:hAnsi="Arial" w:cs="Arial"/>
          <w:sz w:val="20"/>
          <w:szCs w:val="20"/>
          <w:lang w:val="es-ES_tradnl"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4D84E88B" w14:textId="77777777" w:rsidR="0058222E" w:rsidRDefault="00815604" w:rsidP="007821D3">
      <w:pPr>
        <w:spacing w:after="100" w:afterAutospacing="1"/>
        <w:jc w:val="center"/>
        <w:rPr>
          <w:rFonts w:ascii="Arial" w:eastAsia="SimSun" w:hAnsi="Arial" w:cs="Arial"/>
          <w:b/>
          <w:kern w:val="3"/>
          <w:sz w:val="20"/>
          <w:szCs w:val="20"/>
          <w:u w:val="single"/>
          <w:lang w:eastAsia="zh-CN" w:bidi="hi-IN"/>
        </w:rPr>
      </w:pPr>
      <w:r w:rsidRPr="00CF7B39">
        <w:rPr>
          <w:rFonts w:ascii="Arial" w:eastAsia="SimSun" w:hAnsi="Arial" w:cs="Arial"/>
          <w:b/>
          <w:kern w:val="3"/>
          <w:sz w:val="20"/>
          <w:szCs w:val="20"/>
          <w:u w:val="single"/>
          <w:lang w:eastAsia="zh-CN" w:bidi="hi-IN"/>
        </w:rPr>
        <w:t>Matriz de Riesgos</w:t>
      </w:r>
    </w:p>
    <w:p w14:paraId="0B032828" w14:textId="77777777" w:rsidR="007821D3" w:rsidRDefault="007821D3" w:rsidP="007821D3">
      <w:pPr>
        <w:spacing w:after="100" w:afterAutospacing="1"/>
        <w:jc w:val="center"/>
        <w:rPr>
          <w:rFonts w:ascii="Arial" w:eastAsia="SimSun" w:hAnsi="Arial" w:cs="Arial"/>
          <w:b/>
          <w:kern w:val="3"/>
          <w:sz w:val="20"/>
          <w:szCs w:val="20"/>
          <w:u w:val="single"/>
          <w:lang w:eastAsia="zh-CN" w:bidi="hi-IN"/>
        </w:rPr>
      </w:pPr>
    </w:p>
    <w:tbl>
      <w:tblPr>
        <w:tblStyle w:val="Tablaconcuadrcula"/>
        <w:tblW w:w="5000" w:type="pct"/>
        <w:tblLook w:val="04A0" w:firstRow="1" w:lastRow="0" w:firstColumn="1" w:lastColumn="0" w:noHBand="0" w:noVBand="1"/>
      </w:tblPr>
      <w:tblGrid>
        <w:gridCol w:w="360"/>
        <w:gridCol w:w="360"/>
        <w:gridCol w:w="360"/>
        <w:gridCol w:w="360"/>
        <w:gridCol w:w="360"/>
        <w:gridCol w:w="752"/>
        <w:gridCol w:w="753"/>
        <w:gridCol w:w="361"/>
        <w:gridCol w:w="361"/>
        <w:gridCol w:w="361"/>
        <w:gridCol w:w="361"/>
        <w:gridCol w:w="728"/>
        <w:gridCol w:w="781"/>
        <w:gridCol w:w="361"/>
        <w:gridCol w:w="361"/>
        <w:gridCol w:w="361"/>
        <w:gridCol w:w="361"/>
        <w:gridCol w:w="361"/>
        <w:gridCol w:w="431"/>
        <w:gridCol w:w="344"/>
        <w:gridCol w:w="732"/>
        <w:gridCol w:w="753"/>
        <w:gridCol w:w="431"/>
      </w:tblGrid>
      <w:tr w:rsidR="007821D3" w:rsidRPr="004D7C35" w14:paraId="75BB79B4" w14:textId="77777777" w:rsidTr="007821D3">
        <w:trPr>
          <w:gridAfter w:val="1"/>
          <w:wAfter w:w="166" w:type="pct"/>
          <w:cantSplit/>
          <w:trHeight w:val="1212"/>
        </w:trPr>
        <w:tc>
          <w:tcPr>
            <w:tcW w:w="154" w:type="pct"/>
            <w:vMerge w:val="restart"/>
            <w:shd w:val="clear" w:color="auto" w:fill="4D4D4D"/>
            <w:textDirection w:val="btLr"/>
          </w:tcPr>
          <w:p w14:paraId="54B9D6BD"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154" w:type="pct"/>
            <w:vMerge w:val="restart"/>
            <w:shd w:val="clear" w:color="auto" w:fill="4D4D4D"/>
            <w:textDirection w:val="btLr"/>
          </w:tcPr>
          <w:p w14:paraId="7870009A"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154" w:type="pct"/>
            <w:vMerge w:val="restart"/>
            <w:shd w:val="clear" w:color="auto" w:fill="4D4D4D"/>
            <w:textDirection w:val="btLr"/>
          </w:tcPr>
          <w:p w14:paraId="7BD3FC04"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154" w:type="pct"/>
            <w:vMerge w:val="restart"/>
            <w:shd w:val="clear" w:color="auto" w:fill="4D4D4D"/>
            <w:textDirection w:val="btLr"/>
          </w:tcPr>
          <w:p w14:paraId="0E783133"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154" w:type="pct"/>
            <w:vMerge w:val="restart"/>
            <w:shd w:val="clear" w:color="auto" w:fill="4D4D4D"/>
            <w:textDirection w:val="btLr"/>
          </w:tcPr>
          <w:p w14:paraId="34041BDD"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347" w:type="pct"/>
            <w:vMerge w:val="restart"/>
            <w:shd w:val="clear" w:color="auto" w:fill="4D4D4D"/>
            <w:textDirection w:val="btLr"/>
          </w:tcPr>
          <w:p w14:paraId="1CADB8D1"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4F97E0FF"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109F83E3"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23" w:type="pct"/>
            <w:vMerge w:val="restart"/>
            <w:shd w:val="clear" w:color="auto" w:fill="4D4D4D"/>
            <w:textDirection w:val="btLr"/>
          </w:tcPr>
          <w:p w14:paraId="5293487F"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161" w:type="pct"/>
            <w:vMerge w:val="restart"/>
            <w:shd w:val="clear" w:color="auto" w:fill="4D4D4D"/>
            <w:textDirection w:val="btLr"/>
          </w:tcPr>
          <w:p w14:paraId="77511057"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161" w:type="pct"/>
            <w:vMerge w:val="restart"/>
            <w:shd w:val="clear" w:color="auto" w:fill="4D4D4D"/>
            <w:textDirection w:val="btLr"/>
          </w:tcPr>
          <w:p w14:paraId="7BECE27F"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162" w:type="pct"/>
            <w:vMerge w:val="restart"/>
            <w:shd w:val="clear" w:color="auto" w:fill="4D4D4D"/>
            <w:textDirection w:val="btLr"/>
          </w:tcPr>
          <w:p w14:paraId="49BA1CF2"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161" w:type="pct"/>
            <w:vMerge w:val="restart"/>
            <w:shd w:val="clear" w:color="auto" w:fill="4D4D4D"/>
            <w:textDirection w:val="btLr"/>
          </w:tcPr>
          <w:p w14:paraId="03F53EAB" w14:textId="77777777" w:rsidR="007821D3" w:rsidRPr="004D7C35" w:rsidRDefault="007821D3" w:rsidP="00B575C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323" w:type="pct"/>
            <w:vMerge w:val="restart"/>
            <w:shd w:val="clear" w:color="auto" w:fill="BFBFBF" w:themeFill="background1" w:themeFillShade="BF"/>
            <w:textDirection w:val="btLr"/>
          </w:tcPr>
          <w:p w14:paraId="7271D5EC"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¿A quién se le asigna?</w:t>
            </w:r>
          </w:p>
        </w:tc>
        <w:tc>
          <w:tcPr>
            <w:tcW w:w="593" w:type="pct"/>
            <w:vMerge w:val="restart"/>
            <w:shd w:val="clear" w:color="auto" w:fill="BFBFBF" w:themeFill="background1" w:themeFillShade="BF"/>
            <w:textDirection w:val="btLr"/>
          </w:tcPr>
          <w:p w14:paraId="1428BA98"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Tratamiento/Controles a ser implementados</w:t>
            </w:r>
          </w:p>
        </w:tc>
        <w:tc>
          <w:tcPr>
            <w:tcW w:w="646" w:type="pct"/>
            <w:gridSpan w:val="4"/>
            <w:shd w:val="clear" w:color="auto" w:fill="BFBFBF" w:themeFill="background1" w:themeFillShade="BF"/>
            <w:vAlign w:val="center"/>
          </w:tcPr>
          <w:p w14:paraId="798B166F" w14:textId="77777777" w:rsidR="007821D3" w:rsidRPr="00CF7B39" w:rsidRDefault="007821D3" w:rsidP="00B575C9">
            <w:pPr>
              <w:spacing w:after="100" w:afterAutospacing="1"/>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Impacto después del tratamiento</w:t>
            </w:r>
          </w:p>
        </w:tc>
        <w:tc>
          <w:tcPr>
            <w:tcW w:w="161" w:type="pct"/>
            <w:vMerge w:val="restart"/>
            <w:shd w:val="clear" w:color="auto" w:fill="BFBFBF" w:themeFill="background1" w:themeFillShade="BF"/>
            <w:textDirection w:val="btLr"/>
          </w:tcPr>
          <w:p w14:paraId="67E88985"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¿Afecta la ejecución del contrato?</w:t>
            </w:r>
          </w:p>
        </w:tc>
        <w:tc>
          <w:tcPr>
            <w:tcW w:w="215" w:type="pct"/>
            <w:vMerge w:val="restart"/>
            <w:shd w:val="clear" w:color="auto" w:fill="BFBFBF" w:themeFill="background1" w:themeFillShade="BF"/>
            <w:textDirection w:val="btLr"/>
          </w:tcPr>
          <w:p w14:paraId="5EF0B46B" w14:textId="77777777" w:rsidR="007821D3" w:rsidRPr="00CF7B39" w:rsidRDefault="007821D3" w:rsidP="00B575C9">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Persona responsable por implementar el tratamiento</w:t>
            </w:r>
          </w:p>
        </w:tc>
        <w:tc>
          <w:tcPr>
            <w:tcW w:w="161" w:type="pct"/>
            <w:vMerge w:val="restart"/>
            <w:shd w:val="clear" w:color="auto" w:fill="BFBFBF" w:themeFill="background1" w:themeFillShade="BF"/>
            <w:textDirection w:val="btLr"/>
          </w:tcPr>
          <w:p w14:paraId="5346456F" w14:textId="77777777" w:rsidR="007821D3" w:rsidRPr="00CF7B39" w:rsidRDefault="007821D3" w:rsidP="00B575C9">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Fecha estimada en que se completa el tratamiento</w:t>
            </w:r>
          </w:p>
        </w:tc>
        <w:tc>
          <w:tcPr>
            <w:tcW w:w="646" w:type="pct"/>
            <w:gridSpan w:val="2"/>
            <w:shd w:val="clear" w:color="auto" w:fill="BFBFBF" w:themeFill="background1" w:themeFillShade="BF"/>
          </w:tcPr>
          <w:p w14:paraId="49E2A7FD" w14:textId="77777777" w:rsidR="007821D3" w:rsidRPr="00CF7B39" w:rsidRDefault="007821D3" w:rsidP="00B575C9">
            <w:pPr>
              <w:spacing w:after="100" w:afterAutospacing="1"/>
              <w:jc w:val="center"/>
              <w:rPr>
                <w:rFonts w:ascii="Arial" w:eastAsia="SimSun" w:hAnsi="Arial" w:cs="Arial"/>
                <w:b/>
                <w:kern w:val="3"/>
                <w:sz w:val="16"/>
                <w:szCs w:val="20"/>
                <w:lang w:eastAsia="zh-CN" w:bidi="hi-IN"/>
              </w:rPr>
            </w:pPr>
          </w:p>
          <w:p w14:paraId="175367A2" w14:textId="77777777" w:rsidR="007821D3" w:rsidRPr="00CF7B39" w:rsidRDefault="007821D3" w:rsidP="00B575C9">
            <w:pPr>
              <w:spacing w:after="100" w:afterAutospacing="1"/>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Monitoreo y revisión</w:t>
            </w:r>
          </w:p>
        </w:tc>
      </w:tr>
      <w:tr w:rsidR="007821D3" w:rsidRPr="004D7C35" w14:paraId="4DB45C4B" w14:textId="77777777" w:rsidTr="007821D3">
        <w:trPr>
          <w:gridAfter w:val="1"/>
          <w:wAfter w:w="166" w:type="pct"/>
          <w:cantSplit/>
          <w:trHeight w:val="2063"/>
        </w:trPr>
        <w:tc>
          <w:tcPr>
            <w:tcW w:w="154" w:type="pct"/>
            <w:vMerge/>
            <w:shd w:val="clear" w:color="auto" w:fill="4D4D4D"/>
            <w:textDirection w:val="btLr"/>
          </w:tcPr>
          <w:p w14:paraId="3438F603"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154" w:type="pct"/>
            <w:vMerge/>
            <w:shd w:val="clear" w:color="auto" w:fill="4D4D4D"/>
            <w:textDirection w:val="btLr"/>
          </w:tcPr>
          <w:p w14:paraId="0842A23E"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154" w:type="pct"/>
            <w:vMerge/>
            <w:shd w:val="clear" w:color="auto" w:fill="4D4D4D"/>
            <w:textDirection w:val="btLr"/>
          </w:tcPr>
          <w:p w14:paraId="7F56CD22"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154" w:type="pct"/>
            <w:vMerge/>
            <w:shd w:val="clear" w:color="auto" w:fill="4D4D4D"/>
            <w:textDirection w:val="btLr"/>
          </w:tcPr>
          <w:p w14:paraId="40087C6D"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154" w:type="pct"/>
            <w:vMerge/>
            <w:shd w:val="clear" w:color="auto" w:fill="4D4D4D"/>
            <w:textDirection w:val="btLr"/>
          </w:tcPr>
          <w:p w14:paraId="209A2ACE"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347" w:type="pct"/>
            <w:vMerge/>
            <w:shd w:val="clear" w:color="auto" w:fill="4D4D4D"/>
            <w:textDirection w:val="btLr"/>
          </w:tcPr>
          <w:p w14:paraId="5568E612"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323" w:type="pct"/>
            <w:vMerge/>
            <w:shd w:val="clear" w:color="auto" w:fill="4D4D4D"/>
            <w:textDirection w:val="btLr"/>
          </w:tcPr>
          <w:p w14:paraId="344F1416"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161" w:type="pct"/>
            <w:vMerge/>
            <w:shd w:val="clear" w:color="auto" w:fill="4D4D4D"/>
            <w:textDirection w:val="btLr"/>
          </w:tcPr>
          <w:p w14:paraId="58C257C6"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161" w:type="pct"/>
            <w:vMerge/>
            <w:shd w:val="clear" w:color="auto" w:fill="4D4D4D"/>
            <w:textDirection w:val="btLr"/>
          </w:tcPr>
          <w:p w14:paraId="32AE2138"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162" w:type="pct"/>
            <w:vMerge/>
            <w:shd w:val="clear" w:color="auto" w:fill="4D4D4D"/>
            <w:textDirection w:val="btLr"/>
          </w:tcPr>
          <w:p w14:paraId="5D3D3676"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161" w:type="pct"/>
            <w:vMerge/>
            <w:shd w:val="clear" w:color="auto" w:fill="4D4D4D"/>
            <w:textDirection w:val="btLr"/>
          </w:tcPr>
          <w:p w14:paraId="105F33E6" w14:textId="77777777" w:rsidR="007821D3" w:rsidRPr="004D7C35" w:rsidRDefault="007821D3" w:rsidP="00B575C9">
            <w:pPr>
              <w:spacing w:after="100" w:afterAutospacing="1"/>
              <w:ind w:left="113" w:right="113"/>
              <w:rPr>
                <w:rFonts w:ascii="Arial" w:eastAsia="SimSun" w:hAnsi="Arial" w:cs="Arial"/>
                <w:color w:val="FFFFFF" w:themeColor="background1"/>
                <w:kern w:val="3"/>
                <w:sz w:val="16"/>
                <w:szCs w:val="20"/>
                <w:lang w:eastAsia="zh-CN" w:bidi="hi-IN"/>
              </w:rPr>
            </w:pPr>
          </w:p>
        </w:tc>
        <w:tc>
          <w:tcPr>
            <w:tcW w:w="323" w:type="pct"/>
            <w:vMerge/>
            <w:shd w:val="clear" w:color="auto" w:fill="BFBFBF" w:themeFill="background1" w:themeFillShade="BF"/>
            <w:textDirection w:val="btLr"/>
          </w:tcPr>
          <w:p w14:paraId="2F56A8AA" w14:textId="77777777" w:rsidR="007821D3" w:rsidRPr="009771F1" w:rsidRDefault="007821D3" w:rsidP="00B575C9">
            <w:pPr>
              <w:spacing w:after="100" w:afterAutospacing="1"/>
              <w:ind w:left="113" w:right="113"/>
              <w:rPr>
                <w:rFonts w:ascii="Arial" w:eastAsia="SimSun" w:hAnsi="Arial" w:cs="Arial"/>
                <w:b/>
                <w:color w:val="404040" w:themeColor="text1" w:themeTint="BF"/>
                <w:kern w:val="3"/>
                <w:sz w:val="16"/>
                <w:szCs w:val="20"/>
                <w:lang w:eastAsia="zh-CN" w:bidi="hi-IN"/>
              </w:rPr>
            </w:pPr>
          </w:p>
        </w:tc>
        <w:tc>
          <w:tcPr>
            <w:tcW w:w="593" w:type="pct"/>
            <w:vMerge/>
            <w:shd w:val="clear" w:color="auto" w:fill="BFBFBF" w:themeFill="background1" w:themeFillShade="BF"/>
            <w:textDirection w:val="btLr"/>
          </w:tcPr>
          <w:p w14:paraId="2A915EBF" w14:textId="77777777" w:rsidR="007821D3" w:rsidRPr="009771F1" w:rsidRDefault="007821D3" w:rsidP="00B575C9">
            <w:pPr>
              <w:spacing w:after="100" w:afterAutospacing="1"/>
              <w:ind w:left="113" w:right="113"/>
              <w:rPr>
                <w:rFonts w:ascii="Arial" w:eastAsia="SimSun" w:hAnsi="Arial" w:cs="Arial"/>
                <w:b/>
                <w:color w:val="404040" w:themeColor="text1" w:themeTint="BF"/>
                <w:kern w:val="3"/>
                <w:sz w:val="16"/>
                <w:szCs w:val="20"/>
                <w:lang w:eastAsia="zh-CN" w:bidi="hi-IN"/>
              </w:rPr>
            </w:pPr>
          </w:p>
        </w:tc>
        <w:tc>
          <w:tcPr>
            <w:tcW w:w="161" w:type="pct"/>
            <w:shd w:val="clear" w:color="auto" w:fill="BFBFBF" w:themeFill="background1" w:themeFillShade="BF"/>
            <w:textDirection w:val="btLr"/>
          </w:tcPr>
          <w:p w14:paraId="25EC88D3"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Probabilidad</w:t>
            </w:r>
          </w:p>
        </w:tc>
        <w:tc>
          <w:tcPr>
            <w:tcW w:w="161" w:type="pct"/>
            <w:shd w:val="clear" w:color="auto" w:fill="BFBFBF" w:themeFill="background1" w:themeFillShade="BF"/>
            <w:textDirection w:val="btLr"/>
          </w:tcPr>
          <w:p w14:paraId="7E49CC68"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Impacto</w:t>
            </w:r>
          </w:p>
        </w:tc>
        <w:tc>
          <w:tcPr>
            <w:tcW w:w="161" w:type="pct"/>
            <w:shd w:val="clear" w:color="auto" w:fill="BFBFBF" w:themeFill="background1" w:themeFillShade="BF"/>
            <w:textDirection w:val="btLr"/>
          </w:tcPr>
          <w:p w14:paraId="7033B61A"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Valoración del Riesgo</w:t>
            </w:r>
          </w:p>
        </w:tc>
        <w:tc>
          <w:tcPr>
            <w:tcW w:w="162" w:type="pct"/>
            <w:shd w:val="clear" w:color="auto" w:fill="BFBFBF" w:themeFill="background1" w:themeFillShade="BF"/>
            <w:textDirection w:val="btLr"/>
          </w:tcPr>
          <w:p w14:paraId="0ADDFB42"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Categoría</w:t>
            </w:r>
          </w:p>
        </w:tc>
        <w:tc>
          <w:tcPr>
            <w:tcW w:w="161" w:type="pct"/>
            <w:vMerge/>
            <w:shd w:val="clear" w:color="auto" w:fill="BFBFBF" w:themeFill="background1" w:themeFillShade="BF"/>
            <w:textDirection w:val="btLr"/>
          </w:tcPr>
          <w:p w14:paraId="00FCD78A"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p>
        </w:tc>
        <w:tc>
          <w:tcPr>
            <w:tcW w:w="215" w:type="pct"/>
            <w:vMerge/>
            <w:shd w:val="clear" w:color="auto" w:fill="BFBFBF" w:themeFill="background1" w:themeFillShade="BF"/>
            <w:textDirection w:val="btLr"/>
          </w:tcPr>
          <w:p w14:paraId="7EE58453"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p>
        </w:tc>
        <w:tc>
          <w:tcPr>
            <w:tcW w:w="161" w:type="pct"/>
            <w:vMerge/>
            <w:shd w:val="clear" w:color="auto" w:fill="BFBFBF" w:themeFill="background1" w:themeFillShade="BF"/>
            <w:textDirection w:val="btLr"/>
          </w:tcPr>
          <w:p w14:paraId="46125106" w14:textId="77777777" w:rsidR="007821D3" w:rsidRPr="009771F1" w:rsidRDefault="007821D3" w:rsidP="00B575C9">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323" w:type="pct"/>
            <w:shd w:val="clear" w:color="auto" w:fill="BFBFBF" w:themeFill="background1" w:themeFillShade="BF"/>
            <w:textDirection w:val="btLr"/>
          </w:tcPr>
          <w:p w14:paraId="47BB35B6" w14:textId="77777777" w:rsidR="007821D3" w:rsidRPr="00CF7B39" w:rsidRDefault="007821D3" w:rsidP="00B575C9">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¿Cómo se realiza el monitoreo?</w:t>
            </w:r>
          </w:p>
        </w:tc>
        <w:tc>
          <w:tcPr>
            <w:tcW w:w="323" w:type="pct"/>
            <w:shd w:val="clear" w:color="auto" w:fill="BFBFBF" w:themeFill="background1" w:themeFillShade="BF"/>
            <w:textDirection w:val="btLr"/>
          </w:tcPr>
          <w:p w14:paraId="74085B7C"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Periodicidad</w:t>
            </w:r>
          </w:p>
          <w:p w14:paraId="7FAA921D" w14:textId="77777777" w:rsidR="007821D3" w:rsidRPr="00CF7B39" w:rsidRDefault="007821D3" w:rsidP="00B575C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¿Cuándo?</w:t>
            </w:r>
          </w:p>
        </w:tc>
      </w:tr>
      <w:tr w:rsidR="007821D3" w:rsidRPr="004D7C35" w14:paraId="4B751C12" w14:textId="77777777" w:rsidTr="007821D3">
        <w:trPr>
          <w:cantSplit/>
          <w:trHeight w:val="466"/>
        </w:trPr>
        <w:tc>
          <w:tcPr>
            <w:tcW w:w="154" w:type="pct"/>
            <w:shd w:val="clear" w:color="auto" w:fill="auto"/>
            <w:vAlign w:val="center"/>
          </w:tcPr>
          <w:p w14:paraId="1B458988"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lastRenderedPageBreak/>
              <w:t>1</w:t>
            </w:r>
          </w:p>
        </w:tc>
        <w:tc>
          <w:tcPr>
            <w:tcW w:w="154" w:type="pct"/>
            <w:shd w:val="clear" w:color="auto" w:fill="auto"/>
            <w:textDirection w:val="btLr"/>
            <w:vAlign w:val="center"/>
          </w:tcPr>
          <w:p w14:paraId="55B9E98A"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General</w:t>
            </w:r>
          </w:p>
        </w:tc>
        <w:tc>
          <w:tcPr>
            <w:tcW w:w="154" w:type="pct"/>
            <w:shd w:val="clear" w:color="auto" w:fill="auto"/>
            <w:textDirection w:val="btLr"/>
            <w:vAlign w:val="center"/>
          </w:tcPr>
          <w:p w14:paraId="584149BE"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5BB6EC77"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139A8765"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Regulatorio</w:t>
            </w:r>
          </w:p>
        </w:tc>
        <w:tc>
          <w:tcPr>
            <w:tcW w:w="347" w:type="pct"/>
            <w:shd w:val="clear" w:color="auto" w:fill="auto"/>
            <w:vAlign w:val="center"/>
          </w:tcPr>
          <w:p w14:paraId="2A48F254"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Riesgo por cambios en el régimen de contratación</w:t>
            </w:r>
          </w:p>
        </w:tc>
        <w:tc>
          <w:tcPr>
            <w:tcW w:w="323" w:type="pct"/>
            <w:shd w:val="clear" w:color="auto" w:fill="auto"/>
            <w:vAlign w:val="center"/>
          </w:tcPr>
          <w:p w14:paraId="4B8542AD"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Afectación de las condiciones pactadas en el contrato</w:t>
            </w:r>
          </w:p>
        </w:tc>
        <w:tc>
          <w:tcPr>
            <w:tcW w:w="161" w:type="pct"/>
            <w:shd w:val="clear" w:color="auto" w:fill="auto"/>
            <w:vAlign w:val="center"/>
          </w:tcPr>
          <w:p w14:paraId="525BCF99"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1</w:t>
            </w:r>
          </w:p>
        </w:tc>
        <w:tc>
          <w:tcPr>
            <w:tcW w:w="161" w:type="pct"/>
            <w:shd w:val="clear" w:color="auto" w:fill="auto"/>
            <w:vAlign w:val="center"/>
          </w:tcPr>
          <w:p w14:paraId="2737F7E0"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2</w:t>
            </w:r>
          </w:p>
        </w:tc>
        <w:tc>
          <w:tcPr>
            <w:tcW w:w="162" w:type="pct"/>
            <w:shd w:val="clear" w:color="auto" w:fill="auto"/>
            <w:vAlign w:val="center"/>
          </w:tcPr>
          <w:p w14:paraId="292D174E"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3</w:t>
            </w:r>
          </w:p>
        </w:tc>
        <w:tc>
          <w:tcPr>
            <w:tcW w:w="161" w:type="pct"/>
            <w:shd w:val="clear" w:color="auto" w:fill="auto"/>
            <w:textDirection w:val="btLr"/>
            <w:vAlign w:val="center"/>
          </w:tcPr>
          <w:p w14:paraId="41E3D763"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Bajo</w:t>
            </w:r>
          </w:p>
        </w:tc>
        <w:tc>
          <w:tcPr>
            <w:tcW w:w="323" w:type="pct"/>
            <w:shd w:val="clear" w:color="auto" w:fill="auto"/>
            <w:vAlign w:val="center"/>
          </w:tcPr>
          <w:p w14:paraId="5CCAD8D0" w14:textId="77777777" w:rsidR="007821D3" w:rsidRPr="0076567A" w:rsidRDefault="007821D3" w:rsidP="007821D3">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Este riesgo y sus consecuencias serán asumidos en su totalidad por el contratista</w:t>
            </w:r>
          </w:p>
        </w:tc>
        <w:tc>
          <w:tcPr>
            <w:tcW w:w="593" w:type="pct"/>
            <w:shd w:val="clear" w:color="auto" w:fill="auto"/>
            <w:vAlign w:val="center"/>
          </w:tcPr>
          <w:p w14:paraId="6CEC9A52"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161" w:type="pct"/>
            <w:shd w:val="clear" w:color="auto" w:fill="auto"/>
            <w:vAlign w:val="center"/>
          </w:tcPr>
          <w:p w14:paraId="4BE9382B"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1</w:t>
            </w:r>
          </w:p>
        </w:tc>
        <w:tc>
          <w:tcPr>
            <w:tcW w:w="161" w:type="pct"/>
            <w:shd w:val="clear" w:color="auto" w:fill="auto"/>
            <w:vAlign w:val="center"/>
          </w:tcPr>
          <w:p w14:paraId="4D1CB78A"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1</w:t>
            </w:r>
          </w:p>
        </w:tc>
        <w:tc>
          <w:tcPr>
            <w:tcW w:w="161" w:type="pct"/>
            <w:shd w:val="clear" w:color="auto" w:fill="auto"/>
            <w:vAlign w:val="center"/>
          </w:tcPr>
          <w:p w14:paraId="61BA14E1"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3ABFDD38"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Bajo</w:t>
            </w:r>
          </w:p>
        </w:tc>
        <w:tc>
          <w:tcPr>
            <w:tcW w:w="161" w:type="pct"/>
            <w:shd w:val="clear" w:color="auto" w:fill="auto"/>
            <w:vAlign w:val="center"/>
          </w:tcPr>
          <w:p w14:paraId="6D96933E"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449BB2ED" w14:textId="6F0D871F" w:rsidR="007821D3" w:rsidRPr="00D94435" w:rsidRDefault="007821D3" w:rsidP="00B575C9">
            <w:pPr>
              <w:spacing w:after="100" w:afterAutospacing="1"/>
              <w:jc w:val="center"/>
              <w:rPr>
                <w:rFonts w:ascii="Arial" w:eastAsia="SimSun" w:hAnsi="Arial" w:cs="Arial"/>
                <w:kern w:val="3"/>
                <w:sz w:val="16"/>
                <w:szCs w:val="20"/>
                <w:lang w:eastAsia="zh-CN" w:bidi="hi-IN"/>
              </w:rPr>
            </w:pPr>
            <w:r w:rsidRPr="00D94435">
              <w:rPr>
                <w:rFonts w:ascii="Arial Narrow" w:eastAsia="Times New Roman" w:hAnsi="Arial Narrow"/>
                <w:sz w:val="12"/>
                <w:szCs w:val="12"/>
                <w:lang w:eastAsia="es-CO"/>
              </w:rPr>
              <w:t xml:space="preserve">Secretaría </w:t>
            </w:r>
            <w:r w:rsidR="00D94435" w:rsidRPr="00D94435">
              <w:rPr>
                <w:rFonts w:ascii="Arial Narrow" w:eastAsia="Times New Roman" w:hAnsi="Arial Narrow"/>
                <w:sz w:val="12"/>
                <w:szCs w:val="12"/>
                <w:lang w:eastAsia="es-CO"/>
              </w:rPr>
              <w:t>Infraestructura/ Supervisión</w:t>
            </w:r>
            <w:r w:rsidRPr="00D94435">
              <w:rPr>
                <w:rFonts w:ascii="Arial Narrow" w:eastAsia="Times New Roman" w:hAnsi="Arial Narrow"/>
                <w:sz w:val="12"/>
                <w:szCs w:val="12"/>
                <w:lang w:eastAsia="es-CO"/>
              </w:rPr>
              <w:t xml:space="preserve">   o interventoría</w:t>
            </w:r>
          </w:p>
        </w:tc>
        <w:tc>
          <w:tcPr>
            <w:tcW w:w="161" w:type="pct"/>
            <w:shd w:val="clear" w:color="auto" w:fill="auto"/>
            <w:textDirection w:val="btLr"/>
            <w:vAlign w:val="center"/>
          </w:tcPr>
          <w:p w14:paraId="242BFC40"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Una vez se conozca la normativa</w:t>
            </w:r>
          </w:p>
        </w:tc>
        <w:tc>
          <w:tcPr>
            <w:tcW w:w="323" w:type="pct"/>
            <w:shd w:val="clear" w:color="auto" w:fill="auto"/>
            <w:vAlign w:val="center"/>
          </w:tcPr>
          <w:p w14:paraId="4678E809"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Hasta el momento de perfeccionar el cambio normativo en el contrato</w:t>
            </w:r>
          </w:p>
        </w:tc>
        <w:tc>
          <w:tcPr>
            <w:tcW w:w="323" w:type="pct"/>
            <w:shd w:val="clear" w:color="auto" w:fill="auto"/>
            <w:vAlign w:val="center"/>
          </w:tcPr>
          <w:p w14:paraId="276A715F"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Revisión periódica de las normas de contratación</w:t>
            </w:r>
          </w:p>
        </w:tc>
        <w:tc>
          <w:tcPr>
            <w:tcW w:w="166" w:type="pct"/>
            <w:textDirection w:val="btLr"/>
            <w:vAlign w:val="center"/>
          </w:tcPr>
          <w:p w14:paraId="398C03A8" w14:textId="77777777" w:rsidR="007821D3" w:rsidRPr="004D7C35" w:rsidRDefault="007821D3" w:rsidP="00B575C9">
            <w:pPr>
              <w:jc w:val="center"/>
            </w:pPr>
            <w:r w:rsidRPr="008E5795">
              <w:rPr>
                <w:rFonts w:ascii="Arial Narrow" w:eastAsia="Times New Roman" w:hAnsi="Arial Narrow"/>
                <w:sz w:val="12"/>
                <w:szCs w:val="12"/>
                <w:lang w:eastAsia="es-CO"/>
              </w:rPr>
              <w:t>Mensual</w:t>
            </w:r>
          </w:p>
        </w:tc>
      </w:tr>
      <w:tr w:rsidR="007821D3" w:rsidRPr="004D7C35" w14:paraId="22FE5AD2" w14:textId="77777777" w:rsidTr="007821D3">
        <w:trPr>
          <w:cantSplit/>
          <w:trHeight w:val="418"/>
        </w:trPr>
        <w:tc>
          <w:tcPr>
            <w:tcW w:w="154" w:type="pct"/>
            <w:shd w:val="clear" w:color="auto" w:fill="auto"/>
            <w:vAlign w:val="center"/>
          </w:tcPr>
          <w:p w14:paraId="66C2C8C9"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2</w:t>
            </w:r>
          </w:p>
        </w:tc>
        <w:tc>
          <w:tcPr>
            <w:tcW w:w="154" w:type="pct"/>
            <w:shd w:val="clear" w:color="auto" w:fill="auto"/>
            <w:textDirection w:val="btLr"/>
            <w:vAlign w:val="center"/>
          </w:tcPr>
          <w:p w14:paraId="599DB696"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General</w:t>
            </w:r>
          </w:p>
        </w:tc>
        <w:tc>
          <w:tcPr>
            <w:tcW w:w="154" w:type="pct"/>
            <w:shd w:val="clear" w:color="auto" w:fill="auto"/>
            <w:textDirection w:val="btLr"/>
            <w:vAlign w:val="center"/>
          </w:tcPr>
          <w:p w14:paraId="12728418"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4E4239E6"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5DB41AB3"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Regulatorio</w:t>
            </w:r>
          </w:p>
        </w:tc>
        <w:tc>
          <w:tcPr>
            <w:tcW w:w="347" w:type="pct"/>
            <w:shd w:val="clear" w:color="auto" w:fill="auto"/>
            <w:vAlign w:val="center"/>
          </w:tcPr>
          <w:p w14:paraId="61711F50"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Riesgo por cambios en el régimen laboral colombiano</w:t>
            </w:r>
          </w:p>
        </w:tc>
        <w:tc>
          <w:tcPr>
            <w:tcW w:w="323" w:type="pct"/>
            <w:shd w:val="clear" w:color="auto" w:fill="auto"/>
            <w:vAlign w:val="center"/>
          </w:tcPr>
          <w:p w14:paraId="4BCB3B8B"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Afectación de las condiciones pactadas en el contrato</w:t>
            </w:r>
          </w:p>
        </w:tc>
        <w:tc>
          <w:tcPr>
            <w:tcW w:w="161" w:type="pct"/>
            <w:shd w:val="clear" w:color="auto" w:fill="auto"/>
            <w:vAlign w:val="center"/>
          </w:tcPr>
          <w:p w14:paraId="4EB82A86"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1</w:t>
            </w:r>
          </w:p>
        </w:tc>
        <w:tc>
          <w:tcPr>
            <w:tcW w:w="161" w:type="pct"/>
            <w:shd w:val="clear" w:color="auto" w:fill="auto"/>
            <w:vAlign w:val="center"/>
          </w:tcPr>
          <w:p w14:paraId="0A442728"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2</w:t>
            </w:r>
          </w:p>
        </w:tc>
        <w:tc>
          <w:tcPr>
            <w:tcW w:w="162" w:type="pct"/>
            <w:shd w:val="clear" w:color="auto" w:fill="auto"/>
            <w:vAlign w:val="center"/>
          </w:tcPr>
          <w:p w14:paraId="739EE027"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3</w:t>
            </w:r>
          </w:p>
        </w:tc>
        <w:tc>
          <w:tcPr>
            <w:tcW w:w="161" w:type="pct"/>
            <w:shd w:val="clear" w:color="auto" w:fill="auto"/>
            <w:textDirection w:val="btLr"/>
            <w:vAlign w:val="center"/>
          </w:tcPr>
          <w:p w14:paraId="310A21F8" w14:textId="77777777" w:rsidR="007821D3" w:rsidRPr="004D7C35" w:rsidRDefault="007821D3" w:rsidP="00B575C9">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Bajo</w:t>
            </w:r>
          </w:p>
        </w:tc>
        <w:tc>
          <w:tcPr>
            <w:tcW w:w="323" w:type="pct"/>
            <w:shd w:val="clear" w:color="auto" w:fill="auto"/>
            <w:vAlign w:val="center"/>
          </w:tcPr>
          <w:p w14:paraId="6CC5ECD9"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Este riesgo y sus consecuencias serán asumidos en su totalidad por el contratista</w:t>
            </w:r>
          </w:p>
        </w:tc>
        <w:tc>
          <w:tcPr>
            <w:tcW w:w="593" w:type="pct"/>
            <w:shd w:val="clear" w:color="auto" w:fill="auto"/>
            <w:vAlign w:val="center"/>
          </w:tcPr>
          <w:p w14:paraId="001C4529"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161" w:type="pct"/>
            <w:shd w:val="clear" w:color="auto" w:fill="auto"/>
            <w:vAlign w:val="center"/>
          </w:tcPr>
          <w:p w14:paraId="5795E0FA"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1</w:t>
            </w:r>
          </w:p>
        </w:tc>
        <w:tc>
          <w:tcPr>
            <w:tcW w:w="161" w:type="pct"/>
            <w:shd w:val="clear" w:color="auto" w:fill="auto"/>
            <w:vAlign w:val="center"/>
          </w:tcPr>
          <w:p w14:paraId="2BE4C1AC"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1</w:t>
            </w:r>
          </w:p>
        </w:tc>
        <w:tc>
          <w:tcPr>
            <w:tcW w:w="161" w:type="pct"/>
            <w:shd w:val="clear" w:color="auto" w:fill="auto"/>
            <w:vAlign w:val="center"/>
          </w:tcPr>
          <w:p w14:paraId="01E6A61A"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087ED2EB"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Bajo</w:t>
            </w:r>
          </w:p>
        </w:tc>
        <w:tc>
          <w:tcPr>
            <w:tcW w:w="161" w:type="pct"/>
            <w:shd w:val="clear" w:color="auto" w:fill="auto"/>
            <w:vAlign w:val="center"/>
          </w:tcPr>
          <w:p w14:paraId="046E3FF1"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1C6E9463" w14:textId="60A1E270" w:rsidR="007821D3" w:rsidRPr="0076567A" w:rsidRDefault="00D94435" w:rsidP="00B575C9">
            <w:pPr>
              <w:spacing w:after="100" w:afterAutospacing="1"/>
              <w:jc w:val="center"/>
              <w:rPr>
                <w:rFonts w:ascii="Arial" w:eastAsia="SimSun" w:hAnsi="Arial" w:cs="Arial"/>
                <w:b/>
                <w:kern w:val="3"/>
                <w:sz w:val="16"/>
                <w:szCs w:val="20"/>
                <w:lang w:eastAsia="zh-CN" w:bidi="hi-IN"/>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593F590E"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Una vez se conozca la normativa</w:t>
            </w:r>
          </w:p>
        </w:tc>
        <w:tc>
          <w:tcPr>
            <w:tcW w:w="323" w:type="pct"/>
            <w:shd w:val="clear" w:color="auto" w:fill="auto"/>
            <w:vAlign w:val="center"/>
          </w:tcPr>
          <w:p w14:paraId="6E4845AD"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p w14:paraId="65A5E4A6" w14:textId="77777777" w:rsidR="007821D3" w:rsidRPr="008E5795" w:rsidRDefault="007821D3" w:rsidP="00B575C9">
            <w:pPr>
              <w:jc w:val="center"/>
              <w:rPr>
                <w:rFonts w:ascii="Arial Narrow" w:eastAsia="Times New Roman" w:hAnsi="Arial Narrow"/>
                <w:sz w:val="12"/>
                <w:szCs w:val="12"/>
                <w:lang w:eastAsia="es-CO"/>
              </w:rPr>
            </w:pPr>
          </w:p>
          <w:p w14:paraId="2841963D" w14:textId="77777777" w:rsidR="007821D3" w:rsidRPr="008E5795" w:rsidRDefault="007821D3" w:rsidP="00B575C9">
            <w:pPr>
              <w:jc w:val="center"/>
              <w:rPr>
                <w:rFonts w:ascii="Arial Narrow" w:eastAsia="Times New Roman" w:hAnsi="Arial Narrow"/>
                <w:sz w:val="12"/>
                <w:szCs w:val="12"/>
                <w:lang w:eastAsia="es-CO"/>
              </w:rPr>
            </w:pPr>
          </w:p>
          <w:p w14:paraId="772D6525" w14:textId="77777777" w:rsidR="007821D3" w:rsidRPr="008E5795" w:rsidRDefault="007821D3" w:rsidP="00B575C9">
            <w:pPr>
              <w:jc w:val="center"/>
              <w:rPr>
                <w:rFonts w:ascii="Arial Narrow" w:eastAsia="Times New Roman" w:hAnsi="Arial Narrow"/>
                <w:sz w:val="12"/>
                <w:szCs w:val="12"/>
                <w:lang w:eastAsia="es-CO"/>
              </w:rPr>
            </w:pPr>
          </w:p>
          <w:p w14:paraId="238E251E" w14:textId="77777777" w:rsidR="007821D3" w:rsidRPr="008E5795" w:rsidRDefault="007821D3" w:rsidP="00B575C9">
            <w:pPr>
              <w:jc w:val="center"/>
              <w:rPr>
                <w:rFonts w:ascii="Arial Narrow" w:eastAsia="Times New Roman" w:hAnsi="Arial Narrow"/>
                <w:sz w:val="12"/>
                <w:szCs w:val="12"/>
                <w:lang w:eastAsia="es-CO"/>
              </w:rPr>
            </w:pPr>
          </w:p>
          <w:p w14:paraId="1F32C04C"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p>
        </w:tc>
        <w:tc>
          <w:tcPr>
            <w:tcW w:w="323" w:type="pct"/>
            <w:shd w:val="clear" w:color="auto" w:fill="auto"/>
            <w:vAlign w:val="center"/>
          </w:tcPr>
          <w:p w14:paraId="7907F9A0" w14:textId="77777777" w:rsidR="007821D3" w:rsidRPr="0076567A" w:rsidRDefault="007821D3" w:rsidP="00B575C9">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Revisión periódica de las normas de laborales.</w:t>
            </w:r>
          </w:p>
        </w:tc>
        <w:tc>
          <w:tcPr>
            <w:tcW w:w="166" w:type="pct"/>
            <w:textDirection w:val="btLr"/>
            <w:vAlign w:val="center"/>
          </w:tcPr>
          <w:p w14:paraId="42005D0C" w14:textId="77777777" w:rsidR="007821D3" w:rsidRPr="004D7C35" w:rsidRDefault="007821D3" w:rsidP="00B575C9">
            <w:pPr>
              <w:jc w:val="center"/>
            </w:pPr>
            <w:r w:rsidRPr="008E5795">
              <w:rPr>
                <w:rFonts w:ascii="Arial Narrow" w:eastAsia="Times New Roman" w:hAnsi="Arial Narrow"/>
                <w:sz w:val="12"/>
                <w:szCs w:val="12"/>
                <w:lang w:eastAsia="es-CO"/>
              </w:rPr>
              <w:t>Mensual</w:t>
            </w:r>
          </w:p>
        </w:tc>
      </w:tr>
      <w:tr w:rsidR="007821D3" w:rsidRPr="004D7C35" w14:paraId="3920C0BB" w14:textId="77777777" w:rsidTr="007821D3">
        <w:trPr>
          <w:cantSplit/>
          <w:trHeight w:val="418"/>
        </w:trPr>
        <w:tc>
          <w:tcPr>
            <w:tcW w:w="154" w:type="pct"/>
            <w:shd w:val="clear" w:color="auto" w:fill="auto"/>
            <w:vAlign w:val="center"/>
          </w:tcPr>
          <w:p w14:paraId="12EEEC6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3</w:t>
            </w:r>
          </w:p>
        </w:tc>
        <w:tc>
          <w:tcPr>
            <w:tcW w:w="154" w:type="pct"/>
            <w:shd w:val="clear" w:color="auto" w:fill="auto"/>
            <w:textDirection w:val="btLr"/>
            <w:vAlign w:val="center"/>
          </w:tcPr>
          <w:p w14:paraId="72EF00A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154" w:type="pct"/>
            <w:shd w:val="clear" w:color="auto" w:fill="auto"/>
            <w:textDirection w:val="btLr"/>
            <w:vAlign w:val="center"/>
          </w:tcPr>
          <w:p w14:paraId="55F9087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4DC5C7F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379544A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Regulatorio</w:t>
            </w:r>
          </w:p>
        </w:tc>
        <w:tc>
          <w:tcPr>
            <w:tcW w:w="347" w:type="pct"/>
            <w:shd w:val="clear" w:color="auto" w:fill="auto"/>
            <w:vAlign w:val="center"/>
          </w:tcPr>
          <w:p w14:paraId="74782A3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suspensión del contrato</w:t>
            </w:r>
          </w:p>
        </w:tc>
        <w:tc>
          <w:tcPr>
            <w:tcW w:w="323" w:type="pct"/>
            <w:shd w:val="clear" w:color="auto" w:fill="auto"/>
            <w:vAlign w:val="center"/>
          </w:tcPr>
          <w:p w14:paraId="40F84E8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Retraso en la entrega de las obras a la entidad contratante.       mayor tiempo de ejecución del contrato</w:t>
            </w:r>
          </w:p>
        </w:tc>
        <w:tc>
          <w:tcPr>
            <w:tcW w:w="161" w:type="pct"/>
            <w:shd w:val="clear" w:color="auto" w:fill="auto"/>
            <w:vAlign w:val="center"/>
          </w:tcPr>
          <w:p w14:paraId="10E8927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4548A74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vAlign w:val="center"/>
          </w:tcPr>
          <w:p w14:paraId="0F45BE1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161" w:type="pct"/>
            <w:shd w:val="clear" w:color="auto" w:fill="auto"/>
            <w:textDirection w:val="btLr"/>
            <w:vAlign w:val="center"/>
          </w:tcPr>
          <w:p w14:paraId="019A186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0FA7DD8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municipio de Manizales cuando los motivos de la suspensión obedezcan a acciones u omisiones de la entidad.       al contratista cuando los motivos de la suspensión obedezcan a acciones del contratista</w:t>
            </w:r>
          </w:p>
        </w:tc>
        <w:tc>
          <w:tcPr>
            <w:tcW w:w="593" w:type="pct"/>
            <w:shd w:val="clear" w:color="auto" w:fill="auto"/>
            <w:vAlign w:val="center"/>
          </w:tcPr>
          <w:p w14:paraId="35EB166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las  condiciones de reinicio.</w:t>
            </w:r>
          </w:p>
        </w:tc>
        <w:tc>
          <w:tcPr>
            <w:tcW w:w="161" w:type="pct"/>
            <w:shd w:val="clear" w:color="auto" w:fill="auto"/>
            <w:vAlign w:val="center"/>
          </w:tcPr>
          <w:p w14:paraId="16C865C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20F4223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50D1329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048E441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60D7D90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5917ADB6" w14:textId="5E665BE0" w:rsidR="007821D3" w:rsidRPr="008E5795" w:rsidRDefault="00D94435" w:rsidP="00B575C9">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7C6FF76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necesidad de suspender</w:t>
            </w:r>
          </w:p>
        </w:tc>
        <w:tc>
          <w:tcPr>
            <w:tcW w:w="323" w:type="pct"/>
            <w:shd w:val="clear" w:color="auto" w:fill="auto"/>
            <w:vAlign w:val="center"/>
          </w:tcPr>
          <w:p w14:paraId="6E724364"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reinicio del contrato</w:t>
            </w:r>
          </w:p>
        </w:tc>
        <w:tc>
          <w:tcPr>
            <w:tcW w:w="323" w:type="pct"/>
            <w:shd w:val="clear" w:color="auto" w:fill="auto"/>
            <w:vAlign w:val="center"/>
          </w:tcPr>
          <w:p w14:paraId="3090369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Información permanente de la ejecución del contrato por parte de la supervisión o Interventoría </w:t>
            </w:r>
          </w:p>
        </w:tc>
        <w:tc>
          <w:tcPr>
            <w:tcW w:w="166" w:type="pct"/>
            <w:textDirection w:val="btLr"/>
            <w:vAlign w:val="center"/>
          </w:tcPr>
          <w:p w14:paraId="278BCC13"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Quincenal</w:t>
            </w:r>
          </w:p>
        </w:tc>
      </w:tr>
      <w:tr w:rsidR="007821D3" w:rsidRPr="004D7C35" w14:paraId="6276E249" w14:textId="77777777" w:rsidTr="007821D3">
        <w:trPr>
          <w:cantSplit/>
          <w:trHeight w:val="418"/>
        </w:trPr>
        <w:tc>
          <w:tcPr>
            <w:tcW w:w="154" w:type="pct"/>
            <w:shd w:val="clear" w:color="auto" w:fill="auto"/>
            <w:vAlign w:val="center"/>
          </w:tcPr>
          <w:p w14:paraId="388E98E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4</w:t>
            </w:r>
          </w:p>
        </w:tc>
        <w:tc>
          <w:tcPr>
            <w:tcW w:w="154" w:type="pct"/>
            <w:shd w:val="clear" w:color="auto" w:fill="auto"/>
            <w:textDirection w:val="btLr"/>
            <w:vAlign w:val="center"/>
          </w:tcPr>
          <w:p w14:paraId="518BCC8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154" w:type="pct"/>
            <w:shd w:val="clear" w:color="auto" w:fill="auto"/>
            <w:textDirection w:val="btLr"/>
            <w:vAlign w:val="center"/>
          </w:tcPr>
          <w:p w14:paraId="7B311F6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268E37D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3900036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347" w:type="pct"/>
            <w:shd w:val="clear" w:color="auto" w:fill="auto"/>
            <w:vAlign w:val="center"/>
          </w:tcPr>
          <w:p w14:paraId="508F3BE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323" w:type="pct"/>
            <w:shd w:val="clear" w:color="auto" w:fill="auto"/>
            <w:vAlign w:val="center"/>
          </w:tcPr>
          <w:p w14:paraId="21FA746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en sus valores liquidados y pagados al contratista como consecuencia de los impuestos, tasas y tarifas aplicados</w:t>
            </w:r>
          </w:p>
        </w:tc>
        <w:tc>
          <w:tcPr>
            <w:tcW w:w="161" w:type="pct"/>
            <w:shd w:val="clear" w:color="auto" w:fill="auto"/>
            <w:vAlign w:val="center"/>
          </w:tcPr>
          <w:p w14:paraId="204F3DB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1AFFBA8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5FA46C9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textDirection w:val="btLr"/>
            <w:vAlign w:val="center"/>
          </w:tcPr>
          <w:p w14:paraId="41E7C87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740303C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en el desarrollo del contrato, se modifican las tarifas de los impuestos o se crean nuevos impuestos o eliminan los ya existentes, y esto aumenta el valor transaccional entre el contratista y sus proveedores, el municipio de Manizales no reconocerá reajuste en el valor inicial del contrato, toda vez que estas relaciones son responsabilidad total y absoluta del contratista.  Este riesgo y sus consecuencias serán asumidos en su totalidad por el contratista.</w:t>
            </w:r>
          </w:p>
        </w:tc>
        <w:tc>
          <w:tcPr>
            <w:tcW w:w="593" w:type="pct"/>
            <w:shd w:val="clear" w:color="auto" w:fill="auto"/>
            <w:vAlign w:val="center"/>
          </w:tcPr>
          <w:p w14:paraId="32B4D51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Todo cambio o modificación en materia de impuestos aplicables al contrato será de obligatorio cumplimiento para el municipio de Manizales Caldas</w:t>
            </w:r>
          </w:p>
        </w:tc>
        <w:tc>
          <w:tcPr>
            <w:tcW w:w="161" w:type="pct"/>
            <w:shd w:val="clear" w:color="auto" w:fill="auto"/>
            <w:vAlign w:val="center"/>
          </w:tcPr>
          <w:p w14:paraId="5E60A20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3C36023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7EFF35D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1FC0843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379D246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228A1E8B" w14:textId="73913F73" w:rsidR="007821D3" w:rsidRPr="008E5795" w:rsidRDefault="00D94435" w:rsidP="00D94435">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27C28AE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el cambio normativo</w:t>
            </w:r>
          </w:p>
        </w:tc>
        <w:tc>
          <w:tcPr>
            <w:tcW w:w="323" w:type="pct"/>
            <w:shd w:val="clear" w:color="auto" w:fill="auto"/>
            <w:vAlign w:val="center"/>
          </w:tcPr>
          <w:p w14:paraId="6D574935"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323" w:type="pct"/>
            <w:shd w:val="clear" w:color="auto" w:fill="auto"/>
            <w:vAlign w:val="center"/>
          </w:tcPr>
          <w:p w14:paraId="48A0642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de las normas y leyes tributarias en forma periódica.</w:t>
            </w:r>
          </w:p>
        </w:tc>
        <w:tc>
          <w:tcPr>
            <w:tcW w:w="166" w:type="pct"/>
            <w:textDirection w:val="btLr"/>
            <w:vAlign w:val="center"/>
          </w:tcPr>
          <w:p w14:paraId="4C2FD7CE"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7821D3" w:rsidRPr="004D7C35" w14:paraId="3A9252B8" w14:textId="77777777" w:rsidTr="007821D3">
        <w:trPr>
          <w:cantSplit/>
          <w:trHeight w:val="418"/>
        </w:trPr>
        <w:tc>
          <w:tcPr>
            <w:tcW w:w="154" w:type="pct"/>
            <w:shd w:val="clear" w:color="auto" w:fill="auto"/>
            <w:vAlign w:val="center"/>
          </w:tcPr>
          <w:p w14:paraId="05D3EC4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5</w:t>
            </w:r>
          </w:p>
        </w:tc>
        <w:tc>
          <w:tcPr>
            <w:tcW w:w="154" w:type="pct"/>
            <w:shd w:val="clear" w:color="auto" w:fill="auto"/>
            <w:textDirection w:val="btLr"/>
            <w:vAlign w:val="center"/>
          </w:tcPr>
          <w:p w14:paraId="2E1D216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154" w:type="pct"/>
            <w:shd w:val="clear" w:color="auto" w:fill="auto"/>
            <w:textDirection w:val="btLr"/>
            <w:vAlign w:val="center"/>
          </w:tcPr>
          <w:p w14:paraId="2E969D8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6325C6E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3B4BEEE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347" w:type="pct"/>
            <w:shd w:val="clear" w:color="auto" w:fill="auto"/>
            <w:vAlign w:val="center"/>
          </w:tcPr>
          <w:p w14:paraId="6B19A24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Cambios en  la legislación tributaria municipal</w:t>
            </w:r>
          </w:p>
        </w:tc>
        <w:tc>
          <w:tcPr>
            <w:tcW w:w="323" w:type="pct"/>
            <w:shd w:val="clear" w:color="auto" w:fill="auto"/>
            <w:vAlign w:val="center"/>
          </w:tcPr>
          <w:p w14:paraId="5172A59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en los valores liquidados y pagados al contratista como consecuencia de los impuestos, tasas y tarifas aplicados.</w:t>
            </w:r>
          </w:p>
        </w:tc>
        <w:tc>
          <w:tcPr>
            <w:tcW w:w="161" w:type="pct"/>
            <w:shd w:val="clear" w:color="auto" w:fill="auto"/>
            <w:vAlign w:val="center"/>
          </w:tcPr>
          <w:p w14:paraId="3647E6E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7F7108B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2E6889E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textDirection w:val="btLr"/>
            <w:vAlign w:val="center"/>
          </w:tcPr>
          <w:p w14:paraId="7B7E737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3D21CB8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es asumido en el 100% por el contratista</w:t>
            </w:r>
          </w:p>
        </w:tc>
        <w:tc>
          <w:tcPr>
            <w:tcW w:w="593" w:type="pct"/>
            <w:shd w:val="clear" w:color="auto" w:fill="auto"/>
            <w:vAlign w:val="center"/>
          </w:tcPr>
          <w:p w14:paraId="548974D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161" w:type="pct"/>
            <w:shd w:val="clear" w:color="auto" w:fill="auto"/>
            <w:vAlign w:val="center"/>
          </w:tcPr>
          <w:p w14:paraId="38557AC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425345F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0FAFADE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61AF785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23A7AFD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73129576" w14:textId="16554223" w:rsidR="007821D3" w:rsidRPr="008E5795" w:rsidRDefault="00D94435" w:rsidP="00D94435">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2AFCCA7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el marco normativo</w:t>
            </w:r>
          </w:p>
        </w:tc>
        <w:tc>
          <w:tcPr>
            <w:tcW w:w="323" w:type="pct"/>
            <w:shd w:val="clear" w:color="auto" w:fill="auto"/>
            <w:vAlign w:val="center"/>
          </w:tcPr>
          <w:p w14:paraId="3EEF7DE9"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323" w:type="pct"/>
            <w:shd w:val="clear" w:color="auto" w:fill="auto"/>
            <w:vAlign w:val="center"/>
          </w:tcPr>
          <w:p w14:paraId="04BE2F3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de las normas y leyes tributarias en forma periódica.</w:t>
            </w:r>
          </w:p>
        </w:tc>
        <w:tc>
          <w:tcPr>
            <w:tcW w:w="166" w:type="pct"/>
            <w:textDirection w:val="btLr"/>
            <w:vAlign w:val="center"/>
          </w:tcPr>
          <w:p w14:paraId="0F25DCBF"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7821D3" w:rsidRPr="004D7C35" w14:paraId="00C4EC89" w14:textId="77777777" w:rsidTr="007821D3">
        <w:trPr>
          <w:cantSplit/>
          <w:trHeight w:val="418"/>
        </w:trPr>
        <w:tc>
          <w:tcPr>
            <w:tcW w:w="154" w:type="pct"/>
            <w:shd w:val="clear" w:color="auto" w:fill="auto"/>
            <w:vAlign w:val="center"/>
          </w:tcPr>
          <w:p w14:paraId="1A7C33B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6</w:t>
            </w:r>
          </w:p>
        </w:tc>
        <w:tc>
          <w:tcPr>
            <w:tcW w:w="154" w:type="pct"/>
            <w:shd w:val="clear" w:color="auto" w:fill="auto"/>
            <w:textDirection w:val="btLr"/>
            <w:vAlign w:val="center"/>
          </w:tcPr>
          <w:p w14:paraId="29D7AE6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524B23A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27A37CE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45FBB5C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347" w:type="pct"/>
            <w:shd w:val="clear" w:color="auto" w:fill="auto"/>
            <w:vAlign w:val="center"/>
          </w:tcPr>
          <w:p w14:paraId="647AA4C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incumplimiento de proveedores. Corresponde a los efectos económicos derivados del incumplimiento de los proveedores y subcontratistas</w:t>
            </w:r>
          </w:p>
        </w:tc>
        <w:tc>
          <w:tcPr>
            <w:tcW w:w="323" w:type="pct"/>
            <w:shd w:val="clear" w:color="auto" w:fill="auto"/>
            <w:vAlign w:val="center"/>
          </w:tcPr>
          <w:p w14:paraId="500F892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Retrasos en la entrega de las obras a la entidad contratante.            mayor tiempo de ejecución del contrato</w:t>
            </w:r>
          </w:p>
        </w:tc>
        <w:tc>
          <w:tcPr>
            <w:tcW w:w="161" w:type="pct"/>
            <w:shd w:val="clear" w:color="auto" w:fill="auto"/>
            <w:vAlign w:val="center"/>
          </w:tcPr>
          <w:p w14:paraId="7F0DA5D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499FE89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16A9FD3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textDirection w:val="btLr"/>
            <w:vAlign w:val="center"/>
          </w:tcPr>
          <w:p w14:paraId="1262CD3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73687CD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es asumido en el 100% por el contratista</w:t>
            </w:r>
          </w:p>
        </w:tc>
        <w:tc>
          <w:tcPr>
            <w:tcW w:w="593" w:type="pct"/>
            <w:shd w:val="clear" w:color="auto" w:fill="auto"/>
            <w:vAlign w:val="center"/>
          </w:tcPr>
          <w:p w14:paraId="0A8A429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161" w:type="pct"/>
            <w:shd w:val="clear" w:color="auto" w:fill="auto"/>
            <w:vAlign w:val="center"/>
          </w:tcPr>
          <w:p w14:paraId="75293F5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4A6FFE6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458014A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5DA4427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0196071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7FB54E64" w14:textId="39F05AE1" w:rsidR="007821D3" w:rsidRPr="008E5795" w:rsidRDefault="00D94435" w:rsidP="00D94435">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r w:rsidRPr="008E5795">
              <w:rPr>
                <w:rFonts w:ascii="Arial Narrow" w:eastAsia="Times New Roman" w:hAnsi="Arial Narrow"/>
                <w:sz w:val="12"/>
                <w:szCs w:val="12"/>
                <w:lang w:eastAsia="es-CO"/>
              </w:rPr>
              <w:t xml:space="preserve"> </w:t>
            </w:r>
          </w:p>
        </w:tc>
        <w:tc>
          <w:tcPr>
            <w:tcW w:w="161" w:type="pct"/>
            <w:shd w:val="clear" w:color="auto" w:fill="auto"/>
            <w:textDirection w:val="btLr"/>
            <w:vAlign w:val="center"/>
          </w:tcPr>
          <w:p w14:paraId="698D4E2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ocurrencia del evento</w:t>
            </w:r>
          </w:p>
        </w:tc>
        <w:tc>
          <w:tcPr>
            <w:tcW w:w="323" w:type="pct"/>
            <w:shd w:val="clear" w:color="auto" w:fill="auto"/>
            <w:vAlign w:val="center"/>
          </w:tcPr>
          <w:p w14:paraId="6CFD44A7"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323" w:type="pct"/>
            <w:shd w:val="clear" w:color="auto" w:fill="auto"/>
            <w:vAlign w:val="center"/>
          </w:tcPr>
          <w:p w14:paraId="4B3FA3D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de los materiales existentes en obra y avance de ella.</w:t>
            </w:r>
          </w:p>
        </w:tc>
        <w:tc>
          <w:tcPr>
            <w:tcW w:w="166" w:type="pct"/>
            <w:textDirection w:val="btLr"/>
            <w:vAlign w:val="center"/>
          </w:tcPr>
          <w:p w14:paraId="637E5662"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7821D3" w:rsidRPr="004D7C35" w14:paraId="267F9ED3" w14:textId="77777777" w:rsidTr="007821D3">
        <w:trPr>
          <w:cantSplit/>
          <w:trHeight w:val="418"/>
        </w:trPr>
        <w:tc>
          <w:tcPr>
            <w:tcW w:w="154" w:type="pct"/>
            <w:shd w:val="clear" w:color="auto" w:fill="auto"/>
            <w:vAlign w:val="center"/>
          </w:tcPr>
          <w:p w14:paraId="1DB2EBB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7</w:t>
            </w:r>
          </w:p>
        </w:tc>
        <w:tc>
          <w:tcPr>
            <w:tcW w:w="154" w:type="pct"/>
            <w:shd w:val="clear" w:color="auto" w:fill="auto"/>
            <w:textDirection w:val="btLr"/>
            <w:vAlign w:val="center"/>
          </w:tcPr>
          <w:p w14:paraId="7409517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248788A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7E9344D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72C5C15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347" w:type="pct"/>
            <w:shd w:val="clear" w:color="auto" w:fill="auto"/>
            <w:vAlign w:val="center"/>
          </w:tcPr>
          <w:p w14:paraId="279694D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de insuficiente análisis económico. Corresponde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323" w:type="pct"/>
            <w:shd w:val="clear" w:color="auto" w:fill="auto"/>
            <w:vAlign w:val="center"/>
          </w:tcPr>
          <w:p w14:paraId="56D920D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Variación del presupuesto inicial presentado, por parte del contratista</w:t>
            </w:r>
          </w:p>
        </w:tc>
        <w:tc>
          <w:tcPr>
            <w:tcW w:w="161" w:type="pct"/>
            <w:shd w:val="clear" w:color="auto" w:fill="auto"/>
            <w:vAlign w:val="center"/>
          </w:tcPr>
          <w:p w14:paraId="62CEF54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38A3D48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001DC41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textDirection w:val="btLr"/>
            <w:vAlign w:val="center"/>
          </w:tcPr>
          <w:p w14:paraId="10F8A04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2D29187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y sus consecuencias serán asumidos en su totalidad por el contratista</w:t>
            </w:r>
          </w:p>
        </w:tc>
        <w:tc>
          <w:tcPr>
            <w:tcW w:w="593" w:type="pct"/>
            <w:shd w:val="clear" w:color="auto" w:fill="auto"/>
            <w:vAlign w:val="center"/>
          </w:tcPr>
          <w:p w14:paraId="1C9D35B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y evaluación del o las variaciones en los costos presentados por el contratista, que permitan la evaluación, perjuicios y posterior toma de decisiones</w:t>
            </w:r>
          </w:p>
        </w:tc>
        <w:tc>
          <w:tcPr>
            <w:tcW w:w="161" w:type="pct"/>
            <w:shd w:val="clear" w:color="auto" w:fill="auto"/>
            <w:vAlign w:val="center"/>
          </w:tcPr>
          <w:p w14:paraId="5622129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742FAFF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647DE49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4CB7D45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435AED9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125AAD94" w14:textId="7BE748FC" w:rsidR="007821D3" w:rsidRPr="008E5795" w:rsidRDefault="00D94435" w:rsidP="00B575C9">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3BC1BED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ocurrencia del evento</w:t>
            </w:r>
          </w:p>
        </w:tc>
        <w:tc>
          <w:tcPr>
            <w:tcW w:w="323" w:type="pct"/>
            <w:shd w:val="clear" w:color="auto" w:fill="auto"/>
            <w:vAlign w:val="center"/>
          </w:tcPr>
          <w:p w14:paraId="12C2064F"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323" w:type="pct"/>
            <w:shd w:val="clear" w:color="auto" w:fill="auto"/>
            <w:vAlign w:val="center"/>
          </w:tcPr>
          <w:p w14:paraId="3878C8E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Revisiones Periódicas y pago de actas de avance de obra.</w:t>
            </w:r>
          </w:p>
        </w:tc>
        <w:tc>
          <w:tcPr>
            <w:tcW w:w="166" w:type="pct"/>
            <w:textDirection w:val="btLr"/>
            <w:vAlign w:val="center"/>
          </w:tcPr>
          <w:p w14:paraId="0CBF6B2F"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7821D3" w:rsidRPr="004D7C35" w14:paraId="529A0376" w14:textId="77777777" w:rsidTr="007821D3">
        <w:trPr>
          <w:cantSplit/>
          <w:trHeight w:val="418"/>
        </w:trPr>
        <w:tc>
          <w:tcPr>
            <w:tcW w:w="154" w:type="pct"/>
            <w:shd w:val="clear" w:color="auto" w:fill="auto"/>
            <w:vAlign w:val="center"/>
          </w:tcPr>
          <w:p w14:paraId="08FCD9B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8</w:t>
            </w:r>
          </w:p>
        </w:tc>
        <w:tc>
          <w:tcPr>
            <w:tcW w:w="154" w:type="pct"/>
            <w:shd w:val="clear" w:color="auto" w:fill="auto"/>
            <w:textDirection w:val="btLr"/>
            <w:vAlign w:val="center"/>
          </w:tcPr>
          <w:p w14:paraId="673861B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154" w:type="pct"/>
            <w:shd w:val="clear" w:color="auto" w:fill="auto"/>
            <w:textDirection w:val="btLr"/>
            <w:vAlign w:val="center"/>
          </w:tcPr>
          <w:p w14:paraId="7909CAC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07B5F71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6AD4CDF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347" w:type="pct"/>
            <w:shd w:val="clear" w:color="auto" w:fill="auto"/>
            <w:vAlign w:val="center"/>
          </w:tcPr>
          <w:p w14:paraId="00EDBDA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de consecución de financiación o riesgo de iliquidez.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323" w:type="pct"/>
            <w:shd w:val="clear" w:color="auto" w:fill="auto"/>
            <w:vAlign w:val="center"/>
          </w:tcPr>
          <w:p w14:paraId="3B9118D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Retraso en la entrega de las obras a la entidad contratante.    mayor tiempo de ejecución del contrato</w:t>
            </w:r>
          </w:p>
        </w:tc>
        <w:tc>
          <w:tcPr>
            <w:tcW w:w="161" w:type="pct"/>
            <w:shd w:val="clear" w:color="auto" w:fill="auto"/>
            <w:vAlign w:val="center"/>
          </w:tcPr>
          <w:p w14:paraId="4871D46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51EE6DD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42F9166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textDirection w:val="btLr"/>
            <w:vAlign w:val="center"/>
          </w:tcPr>
          <w:p w14:paraId="68DCDE2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7C42961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contratista deberá cubrir y soportar el 100% de la alteración de las condiciones de financiación</w:t>
            </w:r>
          </w:p>
        </w:tc>
        <w:tc>
          <w:tcPr>
            <w:tcW w:w="593" w:type="pct"/>
            <w:shd w:val="clear" w:color="auto" w:fill="auto"/>
            <w:vAlign w:val="center"/>
          </w:tcPr>
          <w:p w14:paraId="2184E51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161" w:type="pct"/>
            <w:shd w:val="clear" w:color="auto" w:fill="auto"/>
            <w:vAlign w:val="center"/>
          </w:tcPr>
          <w:p w14:paraId="0255A39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2A70769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37838B2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4C7E3C6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21DFD7B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284085A3" w14:textId="453DC2A7" w:rsidR="007821D3" w:rsidRPr="008E5795" w:rsidRDefault="00D94435" w:rsidP="00D94435">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4E5388E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ocurrencia del evento</w:t>
            </w:r>
          </w:p>
        </w:tc>
        <w:tc>
          <w:tcPr>
            <w:tcW w:w="323" w:type="pct"/>
            <w:shd w:val="clear" w:color="auto" w:fill="auto"/>
            <w:vAlign w:val="center"/>
          </w:tcPr>
          <w:p w14:paraId="75B87CE1"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323" w:type="pct"/>
            <w:shd w:val="clear" w:color="auto" w:fill="auto"/>
            <w:vAlign w:val="center"/>
          </w:tcPr>
          <w:p w14:paraId="419BB7F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periódica y actas de avance de obra.</w:t>
            </w:r>
          </w:p>
        </w:tc>
        <w:tc>
          <w:tcPr>
            <w:tcW w:w="166" w:type="pct"/>
            <w:textDirection w:val="btLr"/>
            <w:vAlign w:val="center"/>
          </w:tcPr>
          <w:p w14:paraId="0DECDAFE"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7821D3" w:rsidRPr="004D7C35" w14:paraId="60475E37" w14:textId="77777777" w:rsidTr="007821D3">
        <w:trPr>
          <w:cantSplit/>
          <w:trHeight w:val="418"/>
        </w:trPr>
        <w:tc>
          <w:tcPr>
            <w:tcW w:w="154" w:type="pct"/>
            <w:shd w:val="clear" w:color="auto" w:fill="auto"/>
            <w:vAlign w:val="center"/>
          </w:tcPr>
          <w:p w14:paraId="7983A0C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9</w:t>
            </w:r>
          </w:p>
        </w:tc>
        <w:tc>
          <w:tcPr>
            <w:tcW w:w="154" w:type="pct"/>
            <w:shd w:val="clear" w:color="auto" w:fill="auto"/>
            <w:textDirection w:val="btLr"/>
            <w:vAlign w:val="center"/>
          </w:tcPr>
          <w:p w14:paraId="49BAF29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23FA5D7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56E024F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6FF74BA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347" w:type="pct"/>
            <w:shd w:val="clear" w:color="auto" w:fill="auto"/>
            <w:vAlign w:val="center"/>
          </w:tcPr>
          <w:p w14:paraId="7D1D644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variación en los precios de equipos, materiales e insumos. Este riesgo puede presentarse por la variación en los precios de mercado de los equipos, materiales, e insumos utilizados para la ejecución del proyecto.</w:t>
            </w:r>
          </w:p>
        </w:tc>
        <w:tc>
          <w:tcPr>
            <w:tcW w:w="323" w:type="pct"/>
            <w:shd w:val="clear" w:color="auto" w:fill="auto"/>
            <w:vAlign w:val="center"/>
          </w:tcPr>
          <w:p w14:paraId="6B9C3315" w14:textId="4C66AD0D" w:rsidR="007821D3" w:rsidRPr="008E5795" w:rsidRDefault="00D94435" w:rsidP="00B575C9">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w:t>
            </w:r>
            <w:r w:rsidR="007821D3" w:rsidRPr="008E5795">
              <w:rPr>
                <w:rFonts w:ascii="Arial Narrow" w:eastAsia="Times New Roman" w:hAnsi="Arial Narrow"/>
                <w:sz w:val="12"/>
                <w:szCs w:val="12"/>
                <w:lang w:eastAsia="es-CO"/>
              </w:rPr>
              <w:t>ariación del presupuesto inicial presentado, por parte del contratista</w:t>
            </w:r>
          </w:p>
        </w:tc>
        <w:tc>
          <w:tcPr>
            <w:tcW w:w="161" w:type="pct"/>
            <w:shd w:val="clear" w:color="auto" w:fill="auto"/>
            <w:vAlign w:val="center"/>
          </w:tcPr>
          <w:p w14:paraId="6260974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vAlign w:val="center"/>
          </w:tcPr>
          <w:p w14:paraId="2E975E5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vAlign w:val="center"/>
          </w:tcPr>
          <w:p w14:paraId="000C407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4</w:t>
            </w:r>
          </w:p>
        </w:tc>
        <w:tc>
          <w:tcPr>
            <w:tcW w:w="161" w:type="pct"/>
            <w:shd w:val="clear" w:color="auto" w:fill="auto"/>
            <w:textDirection w:val="btLr"/>
            <w:vAlign w:val="center"/>
          </w:tcPr>
          <w:p w14:paraId="7112334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6245218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contratista correrá con el 100% de la variación de los precios de mercado de insumos, materiales y equipos utilizados durante la ejecución del proyecto</w:t>
            </w:r>
          </w:p>
        </w:tc>
        <w:tc>
          <w:tcPr>
            <w:tcW w:w="593" w:type="pct"/>
            <w:shd w:val="clear" w:color="auto" w:fill="auto"/>
            <w:vAlign w:val="center"/>
          </w:tcPr>
          <w:p w14:paraId="1124024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y evaluación del o las variaciones en los costos presentados por el contratista, que permitan la evaluación, perjuicios y posterior toma de decisiones como las medidas correctivas</w:t>
            </w:r>
          </w:p>
        </w:tc>
        <w:tc>
          <w:tcPr>
            <w:tcW w:w="161" w:type="pct"/>
            <w:shd w:val="clear" w:color="auto" w:fill="auto"/>
            <w:vAlign w:val="center"/>
          </w:tcPr>
          <w:p w14:paraId="2D78F7A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14C2681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011EFAD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1C89D97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6F681EB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086E52B2" w14:textId="2C704873" w:rsidR="007821D3" w:rsidRPr="008E5795" w:rsidRDefault="00D94435" w:rsidP="00D94435">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0B671F3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ocurrencia del evento</w:t>
            </w:r>
          </w:p>
        </w:tc>
        <w:tc>
          <w:tcPr>
            <w:tcW w:w="323" w:type="pct"/>
            <w:shd w:val="clear" w:color="auto" w:fill="auto"/>
            <w:vAlign w:val="center"/>
          </w:tcPr>
          <w:p w14:paraId="0E24CBA3"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323" w:type="pct"/>
            <w:shd w:val="clear" w:color="auto" w:fill="auto"/>
            <w:vAlign w:val="center"/>
          </w:tcPr>
          <w:p w14:paraId="34A4D31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Periódica</w:t>
            </w:r>
          </w:p>
        </w:tc>
        <w:tc>
          <w:tcPr>
            <w:tcW w:w="166" w:type="pct"/>
            <w:textDirection w:val="btLr"/>
            <w:vAlign w:val="center"/>
          </w:tcPr>
          <w:p w14:paraId="324370B3"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7821D3" w:rsidRPr="004D7C35" w14:paraId="66109197" w14:textId="77777777" w:rsidTr="007821D3">
        <w:trPr>
          <w:cantSplit/>
          <w:trHeight w:val="418"/>
        </w:trPr>
        <w:tc>
          <w:tcPr>
            <w:tcW w:w="154" w:type="pct"/>
            <w:shd w:val="clear" w:color="auto" w:fill="auto"/>
            <w:vAlign w:val="center"/>
          </w:tcPr>
          <w:p w14:paraId="2CF63FF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10</w:t>
            </w:r>
          </w:p>
        </w:tc>
        <w:tc>
          <w:tcPr>
            <w:tcW w:w="154" w:type="pct"/>
            <w:shd w:val="clear" w:color="auto" w:fill="auto"/>
            <w:textDirection w:val="btLr"/>
            <w:vAlign w:val="center"/>
          </w:tcPr>
          <w:p w14:paraId="7E01CF3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26771F9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430396B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7BBA6A9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347" w:type="pct"/>
            <w:shd w:val="clear" w:color="auto" w:fill="auto"/>
            <w:vAlign w:val="center"/>
          </w:tcPr>
          <w:p w14:paraId="3997D07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323" w:type="pct"/>
            <w:shd w:val="clear" w:color="auto" w:fill="auto"/>
            <w:vAlign w:val="center"/>
          </w:tcPr>
          <w:p w14:paraId="102616B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161" w:type="pct"/>
            <w:shd w:val="clear" w:color="auto" w:fill="auto"/>
            <w:vAlign w:val="center"/>
          </w:tcPr>
          <w:p w14:paraId="2042330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vAlign w:val="center"/>
          </w:tcPr>
          <w:p w14:paraId="26ABCD5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162" w:type="pct"/>
            <w:shd w:val="clear" w:color="auto" w:fill="auto"/>
            <w:vAlign w:val="center"/>
          </w:tcPr>
          <w:p w14:paraId="27F12E8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161" w:type="pct"/>
            <w:shd w:val="clear" w:color="auto" w:fill="auto"/>
            <w:textDirection w:val="btLr"/>
            <w:vAlign w:val="center"/>
          </w:tcPr>
          <w:p w14:paraId="6A92425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Medio</w:t>
            </w:r>
          </w:p>
        </w:tc>
        <w:tc>
          <w:tcPr>
            <w:tcW w:w="323" w:type="pct"/>
            <w:shd w:val="clear" w:color="auto" w:fill="auto"/>
            <w:vAlign w:val="center"/>
          </w:tcPr>
          <w:p w14:paraId="0808BD6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En caso que las cantidades de obras se modifiquen por una situación que pudo ser prevista por el contratista y no lo fue, éste deberá asumir la totalidad del riesgo. En caso contrario será evaluado por el Municipio.</w:t>
            </w:r>
          </w:p>
        </w:tc>
        <w:tc>
          <w:tcPr>
            <w:tcW w:w="593" w:type="pct"/>
            <w:shd w:val="clear" w:color="auto" w:fill="auto"/>
            <w:vAlign w:val="center"/>
          </w:tcPr>
          <w:p w14:paraId="52570D8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Evaluación de las actas parciales e informes periódicos de ejecución del contrato.</w:t>
            </w:r>
          </w:p>
        </w:tc>
        <w:tc>
          <w:tcPr>
            <w:tcW w:w="161" w:type="pct"/>
            <w:shd w:val="clear" w:color="auto" w:fill="auto"/>
            <w:vAlign w:val="center"/>
          </w:tcPr>
          <w:p w14:paraId="70AEF09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02500CE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540B90C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5ABDBEC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3C4C56F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57B05169" w14:textId="4ED09511" w:rsidR="007821D3" w:rsidRPr="008E5795" w:rsidRDefault="00D94435" w:rsidP="00D94435">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22301EA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la preparación de los pliegos de condiciones</w:t>
            </w:r>
          </w:p>
        </w:tc>
        <w:tc>
          <w:tcPr>
            <w:tcW w:w="323" w:type="pct"/>
            <w:shd w:val="clear" w:color="auto" w:fill="auto"/>
            <w:vAlign w:val="center"/>
          </w:tcPr>
          <w:p w14:paraId="2B13FF80"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finalizar la etapa de pre construcción</w:t>
            </w:r>
          </w:p>
        </w:tc>
        <w:tc>
          <w:tcPr>
            <w:tcW w:w="323" w:type="pct"/>
            <w:shd w:val="clear" w:color="auto" w:fill="auto"/>
            <w:vAlign w:val="center"/>
          </w:tcPr>
          <w:p w14:paraId="393D926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del avance físico y avance presupuestal del proyecto respecto de la planificación inicial</w:t>
            </w:r>
          </w:p>
        </w:tc>
        <w:tc>
          <w:tcPr>
            <w:tcW w:w="166" w:type="pct"/>
            <w:textDirection w:val="btLr"/>
            <w:vAlign w:val="center"/>
          </w:tcPr>
          <w:p w14:paraId="0A25C559"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cumpla la mitad del plazo contractual</w:t>
            </w:r>
          </w:p>
        </w:tc>
      </w:tr>
      <w:tr w:rsidR="007821D3" w:rsidRPr="004D7C35" w14:paraId="05E042F1" w14:textId="77777777" w:rsidTr="007821D3">
        <w:trPr>
          <w:cantSplit/>
          <w:trHeight w:val="418"/>
        </w:trPr>
        <w:tc>
          <w:tcPr>
            <w:tcW w:w="154" w:type="pct"/>
            <w:shd w:val="clear" w:color="auto" w:fill="auto"/>
            <w:vAlign w:val="center"/>
          </w:tcPr>
          <w:p w14:paraId="24AE38C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11</w:t>
            </w:r>
          </w:p>
        </w:tc>
        <w:tc>
          <w:tcPr>
            <w:tcW w:w="154" w:type="pct"/>
            <w:shd w:val="clear" w:color="auto" w:fill="auto"/>
            <w:textDirection w:val="btLr"/>
            <w:vAlign w:val="center"/>
          </w:tcPr>
          <w:p w14:paraId="4AC50BD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046470B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154" w:type="pct"/>
            <w:shd w:val="clear" w:color="auto" w:fill="auto"/>
            <w:textDirection w:val="btLr"/>
            <w:vAlign w:val="center"/>
          </w:tcPr>
          <w:p w14:paraId="1C44804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0AFB252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347" w:type="pct"/>
            <w:shd w:val="clear" w:color="auto" w:fill="auto"/>
            <w:vAlign w:val="center"/>
          </w:tcPr>
          <w:p w14:paraId="5FCD037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la modificación de estudios, diseños y especificaciones técnicas.  este riesgo puede evidenciarse durante la ejecución del proyecto y se pueden presentar variaciones en el diseño planteado inicialmente</w:t>
            </w:r>
          </w:p>
        </w:tc>
        <w:tc>
          <w:tcPr>
            <w:tcW w:w="323" w:type="pct"/>
            <w:shd w:val="clear" w:color="auto" w:fill="auto"/>
            <w:vAlign w:val="center"/>
          </w:tcPr>
          <w:p w14:paraId="570AABD8" w14:textId="1D5E4BE0"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La modificació</w:t>
            </w:r>
            <w:r w:rsidR="00D94435">
              <w:rPr>
                <w:rFonts w:ascii="Arial Narrow" w:eastAsia="Times New Roman" w:hAnsi="Arial Narrow"/>
                <w:sz w:val="12"/>
                <w:szCs w:val="12"/>
                <w:lang w:eastAsia="es-CO"/>
              </w:rPr>
              <w:t>n</w:t>
            </w:r>
            <w:r w:rsidRPr="008E5795">
              <w:rPr>
                <w:rFonts w:ascii="Arial Narrow" w:eastAsia="Times New Roman" w:hAnsi="Arial Narrow"/>
                <w:sz w:val="12"/>
                <w:szCs w:val="12"/>
                <w:lang w:eastAsia="es-CO"/>
              </w:rPr>
              <w:t xml:space="preserve"> de los diseños puede impactar el cronograma y el costo inicialmente planificado en el contrato</w:t>
            </w:r>
          </w:p>
        </w:tc>
        <w:tc>
          <w:tcPr>
            <w:tcW w:w="161" w:type="pct"/>
            <w:shd w:val="clear" w:color="auto" w:fill="auto"/>
            <w:vAlign w:val="center"/>
          </w:tcPr>
          <w:p w14:paraId="4F6F5F7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161" w:type="pct"/>
            <w:shd w:val="clear" w:color="auto" w:fill="auto"/>
            <w:vAlign w:val="center"/>
          </w:tcPr>
          <w:p w14:paraId="7EAE954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vAlign w:val="center"/>
          </w:tcPr>
          <w:p w14:paraId="0AA182F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161" w:type="pct"/>
            <w:shd w:val="clear" w:color="auto" w:fill="auto"/>
            <w:textDirection w:val="btLr"/>
            <w:vAlign w:val="center"/>
          </w:tcPr>
          <w:p w14:paraId="712ACE6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Medio</w:t>
            </w:r>
          </w:p>
        </w:tc>
        <w:tc>
          <w:tcPr>
            <w:tcW w:w="323" w:type="pct"/>
            <w:shd w:val="clear" w:color="auto" w:fill="auto"/>
            <w:vAlign w:val="center"/>
          </w:tcPr>
          <w:p w14:paraId="123CD22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es compartido por el municipio y el contratista</w:t>
            </w:r>
          </w:p>
        </w:tc>
        <w:tc>
          <w:tcPr>
            <w:tcW w:w="593" w:type="pct"/>
            <w:shd w:val="clear" w:color="auto" w:fill="auto"/>
            <w:vAlign w:val="center"/>
          </w:tcPr>
          <w:p w14:paraId="42571DE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contratista debe verificar en detalle la coherencia y vigencia de los estudios y diseños iniciales</w:t>
            </w:r>
          </w:p>
        </w:tc>
        <w:tc>
          <w:tcPr>
            <w:tcW w:w="161" w:type="pct"/>
            <w:shd w:val="clear" w:color="auto" w:fill="auto"/>
            <w:vAlign w:val="center"/>
          </w:tcPr>
          <w:p w14:paraId="2321EFF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67FEDB0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3725534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2DF91D1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48DEDC9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28C08A42" w14:textId="49E869AA" w:rsidR="007821D3" w:rsidRPr="008E5795" w:rsidRDefault="00D94435" w:rsidP="00B575C9">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Contratista /</w:t>
            </w:r>
            <w:r w:rsidR="007821D3" w:rsidRPr="008E5795">
              <w:rPr>
                <w:rFonts w:ascii="Arial Narrow" w:eastAsia="Times New Roman" w:hAnsi="Arial Narrow"/>
                <w:sz w:val="12"/>
                <w:szCs w:val="12"/>
                <w:lang w:eastAsia="es-CO"/>
              </w:rPr>
              <w:t xml:space="preserve"> </w:t>
            </w: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7D84C8C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el inicio de la etapa de construcción</w:t>
            </w:r>
          </w:p>
        </w:tc>
        <w:tc>
          <w:tcPr>
            <w:tcW w:w="323" w:type="pct"/>
            <w:shd w:val="clear" w:color="auto" w:fill="auto"/>
            <w:vAlign w:val="center"/>
          </w:tcPr>
          <w:p w14:paraId="6A18AE4C"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finalizar la etapa de preconstrucción</w:t>
            </w:r>
          </w:p>
        </w:tc>
        <w:tc>
          <w:tcPr>
            <w:tcW w:w="323" w:type="pct"/>
            <w:shd w:val="clear" w:color="auto" w:fill="auto"/>
            <w:vAlign w:val="center"/>
          </w:tcPr>
          <w:p w14:paraId="4FE3989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 avance físico y avance presupuestal del proyecto respecto de la planificación inicial</w:t>
            </w:r>
          </w:p>
        </w:tc>
        <w:tc>
          <w:tcPr>
            <w:tcW w:w="166" w:type="pct"/>
            <w:textDirection w:val="btLr"/>
            <w:vAlign w:val="center"/>
          </w:tcPr>
          <w:p w14:paraId="6962944D"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 se cumpla la mitad del plazo contractual</w:t>
            </w:r>
          </w:p>
        </w:tc>
      </w:tr>
      <w:tr w:rsidR="007821D3" w:rsidRPr="004D7C35" w14:paraId="497B2A33" w14:textId="77777777" w:rsidTr="007821D3">
        <w:trPr>
          <w:cantSplit/>
          <w:trHeight w:val="418"/>
        </w:trPr>
        <w:tc>
          <w:tcPr>
            <w:tcW w:w="154" w:type="pct"/>
            <w:shd w:val="clear" w:color="auto" w:fill="auto"/>
            <w:vAlign w:val="center"/>
          </w:tcPr>
          <w:p w14:paraId="0774B96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12</w:t>
            </w:r>
          </w:p>
        </w:tc>
        <w:tc>
          <w:tcPr>
            <w:tcW w:w="154" w:type="pct"/>
            <w:shd w:val="clear" w:color="auto" w:fill="auto"/>
            <w:textDirection w:val="btLr"/>
            <w:vAlign w:val="center"/>
          </w:tcPr>
          <w:p w14:paraId="23FA1B9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4D01EC1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154" w:type="pct"/>
            <w:shd w:val="clear" w:color="auto" w:fill="auto"/>
            <w:textDirection w:val="btLr"/>
            <w:vAlign w:val="center"/>
          </w:tcPr>
          <w:p w14:paraId="5DCA0B1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2B182CB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347" w:type="pct"/>
            <w:shd w:val="clear" w:color="auto" w:fill="auto"/>
            <w:vAlign w:val="center"/>
          </w:tcPr>
          <w:p w14:paraId="5977A37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323" w:type="pct"/>
            <w:shd w:val="clear" w:color="auto" w:fill="auto"/>
            <w:vAlign w:val="center"/>
          </w:tcPr>
          <w:p w14:paraId="5DC727A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 puede ver afectada la calidad de los trabajos, no cumpliendo de esta manera las especificaciones técnicas del proyecto y la normatividad vigente que rige el desarrollo del tipo de obras a ejecutar en el contrato</w:t>
            </w:r>
          </w:p>
        </w:tc>
        <w:tc>
          <w:tcPr>
            <w:tcW w:w="161" w:type="pct"/>
            <w:shd w:val="clear" w:color="auto" w:fill="auto"/>
            <w:vAlign w:val="center"/>
          </w:tcPr>
          <w:p w14:paraId="3C48410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3AF4695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4D79EB5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textDirection w:val="btLr"/>
            <w:vAlign w:val="center"/>
          </w:tcPr>
          <w:p w14:paraId="5947814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2736DAC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y sus consecuencias serán asumidos en su totalidad por el contratista</w:t>
            </w:r>
          </w:p>
        </w:tc>
        <w:tc>
          <w:tcPr>
            <w:tcW w:w="593" w:type="pct"/>
            <w:shd w:val="clear" w:color="auto" w:fill="auto"/>
            <w:vAlign w:val="center"/>
          </w:tcPr>
          <w:p w14:paraId="7E74E72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La experiencia específica requerida por parte dela entidad para los proponentes debe garantizar la idoneidad de la mano de obra que  se asignará para la ejecución de las actividades del contrato</w:t>
            </w:r>
          </w:p>
        </w:tc>
        <w:tc>
          <w:tcPr>
            <w:tcW w:w="161" w:type="pct"/>
            <w:shd w:val="clear" w:color="auto" w:fill="auto"/>
            <w:vAlign w:val="center"/>
          </w:tcPr>
          <w:p w14:paraId="65D4A69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2A0816E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13641F5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0312607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730C4AC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399D1341" w14:textId="7D95702B" w:rsidR="007821D3" w:rsidRPr="008E5795" w:rsidRDefault="007821D3" w:rsidP="00D94435">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Contratista  / </w:t>
            </w:r>
            <w:r w:rsidR="00D94435"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59F86B1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la preparación de los pliegos de condiciones</w:t>
            </w:r>
          </w:p>
        </w:tc>
        <w:tc>
          <w:tcPr>
            <w:tcW w:w="323" w:type="pct"/>
            <w:shd w:val="clear" w:color="auto" w:fill="auto"/>
            <w:vAlign w:val="center"/>
          </w:tcPr>
          <w:p w14:paraId="2A325B2E"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adjudicación del contrato</w:t>
            </w:r>
          </w:p>
        </w:tc>
        <w:tc>
          <w:tcPr>
            <w:tcW w:w="323" w:type="pct"/>
            <w:shd w:val="clear" w:color="auto" w:fill="auto"/>
            <w:vAlign w:val="center"/>
          </w:tcPr>
          <w:p w14:paraId="68E0C22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 cumplimiento de las especificaciones técnicas del contrato de acuerdo con los reportes de los informes de supervisión o Interventoría</w:t>
            </w:r>
          </w:p>
        </w:tc>
        <w:tc>
          <w:tcPr>
            <w:tcW w:w="166" w:type="pct"/>
            <w:textDirection w:val="btLr"/>
            <w:vAlign w:val="center"/>
          </w:tcPr>
          <w:p w14:paraId="11857F8E"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cuando se cumpla la mitad del plazo contractual</w:t>
            </w:r>
          </w:p>
        </w:tc>
      </w:tr>
      <w:tr w:rsidR="007821D3" w:rsidRPr="004D7C35" w14:paraId="155FB370" w14:textId="77777777" w:rsidTr="007821D3">
        <w:trPr>
          <w:cantSplit/>
          <w:trHeight w:val="418"/>
        </w:trPr>
        <w:tc>
          <w:tcPr>
            <w:tcW w:w="154" w:type="pct"/>
            <w:shd w:val="clear" w:color="auto" w:fill="auto"/>
            <w:vAlign w:val="center"/>
          </w:tcPr>
          <w:p w14:paraId="150EC88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13</w:t>
            </w:r>
          </w:p>
        </w:tc>
        <w:tc>
          <w:tcPr>
            <w:tcW w:w="154" w:type="pct"/>
            <w:shd w:val="clear" w:color="auto" w:fill="auto"/>
            <w:textDirection w:val="btLr"/>
            <w:vAlign w:val="center"/>
          </w:tcPr>
          <w:p w14:paraId="732FF9B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128C12C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22B893B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1E06A06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 la naturaleza</w:t>
            </w:r>
          </w:p>
        </w:tc>
        <w:tc>
          <w:tcPr>
            <w:tcW w:w="347" w:type="pct"/>
            <w:shd w:val="clear" w:color="auto" w:fill="auto"/>
            <w:vAlign w:val="center"/>
          </w:tcPr>
          <w:p w14:paraId="7F44649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323" w:type="pct"/>
            <w:shd w:val="clear" w:color="auto" w:fill="auto"/>
            <w:vAlign w:val="center"/>
          </w:tcPr>
          <w:p w14:paraId="7DD4A2A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del cronograma de obra y del plazo de finalización.  Reclamaciones por parte del contratista por sobre costos administrativos durante el periodo que no se puedan ejecutar obras.</w:t>
            </w:r>
          </w:p>
        </w:tc>
        <w:tc>
          <w:tcPr>
            <w:tcW w:w="161" w:type="pct"/>
            <w:shd w:val="clear" w:color="auto" w:fill="auto"/>
            <w:vAlign w:val="center"/>
          </w:tcPr>
          <w:p w14:paraId="6171467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vAlign w:val="center"/>
          </w:tcPr>
          <w:p w14:paraId="51A96D6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vAlign w:val="center"/>
          </w:tcPr>
          <w:p w14:paraId="6BD6829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4</w:t>
            </w:r>
          </w:p>
        </w:tc>
        <w:tc>
          <w:tcPr>
            <w:tcW w:w="161" w:type="pct"/>
            <w:shd w:val="clear" w:color="auto" w:fill="auto"/>
            <w:textDirection w:val="btLr"/>
            <w:vAlign w:val="center"/>
          </w:tcPr>
          <w:p w14:paraId="1F5C14C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2A96B66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593" w:type="pct"/>
            <w:shd w:val="clear" w:color="auto" w:fill="auto"/>
            <w:vAlign w:val="center"/>
          </w:tcPr>
          <w:p w14:paraId="72E003D3" w14:textId="77777777" w:rsidR="007821D3" w:rsidRPr="008E5795" w:rsidRDefault="007821D3" w:rsidP="00B575C9">
            <w:pPr>
              <w:rPr>
                <w:rFonts w:ascii="Arial Narrow" w:eastAsia="Times New Roman" w:hAnsi="Arial Narrow"/>
                <w:sz w:val="12"/>
                <w:szCs w:val="12"/>
                <w:lang w:eastAsia="es-CO"/>
              </w:rPr>
            </w:pPr>
          </w:p>
          <w:p w14:paraId="16FFAC44" w14:textId="77777777" w:rsidR="007821D3" w:rsidRPr="008E5795" w:rsidRDefault="007821D3" w:rsidP="00B575C9">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14:paraId="698074DB" w14:textId="77777777" w:rsidR="007821D3" w:rsidRPr="008E5795" w:rsidRDefault="007821D3" w:rsidP="00B575C9">
            <w:pPr>
              <w:spacing w:after="100" w:afterAutospacing="1"/>
              <w:jc w:val="center"/>
              <w:rPr>
                <w:rFonts w:ascii="Arial Narrow" w:eastAsia="Times New Roman" w:hAnsi="Arial Narrow"/>
                <w:sz w:val="12"/>
                <w:szCs w:val="12"/>
                <w:lang w:eastAsia="es-CO"/>
              </w:rPr>
            </w:pPr>
          </w:p>
        </w:tc>
        <w:tc>
          <w:tcPr>
            <w:tcW w:w="161" w:type="pct"/>
            <w:shd w:val="clear" w:color="auto" w:fill="auto"/>
            <w:vAlign w:val="center"/>
          </w:tcPr>
          <w:p w14:paraId="000FF2B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7EDE30C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2D03847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7AFD95E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6D6BD1F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Si</w:t>
            </w:r>
          </w:p>
        </w:tc>
        <w:tc>
          <w:tcPr>
            <w:tcW w:w="215" w:type="pct"/>
            <w:shd w:val="clear" w:color="auto" w:fill="auto"/>
            <w:textDirection w:val="btLr"/>
            <w:vAlign w:val="center"/>
          </w:tcPr>
          <w:p w14:paraId="5C631366" w14:textId="0C19DDBA"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Secretaria de </w:t>
            </w:r>
            <w:r w:rsidR="00D94435">
              <w:rPr>
                <w:rFonts w:ascii="Arial Narrow" w:eastAsia="Times New Roman" w:hAnsi="Arial Narrow"/>
                <w:sz w:val="12"/>
                <w:szCs w:val="12"/>
                <w:lang w:eastAsia="es-CO"/>
              </w:rPr>
              <w:t>Infraestructura</w:t>
            </w:r>
            <w:r w:rsidRPr="008E5795">
              <w:rPr>
                <w:rFonts w:ascii="Arial Narrow" w:eastAsia="Times New Roman" w:hAnsi="Arial Narrow"/>
                <w:sz w:val="12"/>
                <w:szCs w:val="12"/>
                <w:lang w:eastAsia="es-CO"/>
              </w:rPr>
              <w:t>, Secretaría de Hacienda,</w:t>
            </w:r>
          </w:p>
          <w:p w14:paraId="5FEC1714"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Oficina jurídica, Supervisión</w:t>
            </w:r>
          </w:p>
        </w:tc>
        <w:tc>
          <w:tcPr>
            <w:tcW w:w="161" w:type="pct"/>
            <w:shd w:val="clear" w:color="auto" w:fill="auto"/>
            <w:textDirection w:val="btLr"/>
            <w:vAlign w:val="center"/>
          </w:tcPr>
          <w:p w14:paraId="7F3E511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se inicie el evento adverso</w:t>
            </w:r>
          </w:p>
        </w:tc>
        <w:tc>
          <w:tcPr>
            <w:tcW w:w="323" w:type="pct"/>
            <w:shd w:val="clear" w:color="auto" w:fill="auto"/>
            <w:vAlign w:val="center"/>
          </w:tcPr>
          <w:p w14:paraId="14BA2F6F"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finalización del evento adverso</w:t>
            </w:r>
          </w:p>
        </w:tc>
        <w:tc>
          <w:tcPr>
            <w:tcW w:w="323" w:type="pct"/>
            <w:shd w:val="clear" w:color="auto" w:fill="auto"/>
            <w:vAlign w:val="center"/>
          </w:tcPr>
          <w:p w14:paraId="45BA78D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documentos contractuales del contrato</w:t>
            </w:r>
          </w:p>
        </w:tc>
        <w:tc>
          <w:tcPr>
            <w:tcW w:w="166" w:type="pct"/>
            <w:textDirection w:val="btLr"/>
            <w:vAlign w:val="center"/>
          </w:tcPr>
          <w:p w14:paraId="1DBA7679"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cuando se cumpla la mitad del plazo contractual</w:t>
            </w:r>
          </w:p>
        </w:tc>
      </w:tr>
      <w:tr w:rsidR="007821D3" w:rsidRPr="004D7C35" w14:paraId="09E40138" w14:textId="77777777" w:rsidTr="007821D3">
        <w:trPr>
          <w:cantSplit/>
          <w:trHeight w:val="418"/>
        </w:trPr>
        <w:tc>
          <w:tcPr>
            <w:tcW w:w="154" w:type="pct"/>
            <w:shd w:val="clear" w:color="auto" w:fill="auto"/>
            <w:vAlign w:val="center"/>
          </w:tcPr>
          <w:p w14:paraId="13737B0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14</w:t>
            </w:r>
          </w:p>
        </w:tc>
        <w:tc>
          <w:tcPr>
            <w:tcW w:w="154" w:type="pct"/>
            <w:shd w:val="clear" w:color="auto" w:fill="auto"/>
            <w:textDirection w:val="btLr"/>
            <w:vAlign w:val="center"/>
          </w:tcPr>
          <w:p w14:paraId="5042620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1DB774C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154" w:type="pct"/>
            <w:shd w:val="clear" w:color="auto" w:fill="auto"/>
            <w:textDirection w:val="btLr"/>
            <w:vAlign w:val="center"/>
          </w:tcPr>
          <w:p w14:paraId="2207755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132C96C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347" w:type="pct"/>
            <w:shd w:val="clear" w:color="auto" w:fill="auto"/>
            <w:vAlign w:val="center"/>
          </w:tcPr>
          <w:p w14:paraId="30A0BE1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mal funcionamiento de los equipos de construcción. El mal funcionamiento mecánico y eléctrico de los equipos de construcción, derivados de las labores propias del proyecto</w:t>
            </w:r>
          </w:p>
        </w:tc>
        <w:tc>
          <w:tcPr>
            <w:tcW w:w="323" w:type="pct"/>
            <w:shd w:val="clear" w:color="auto" w:fill="auto"/>
            <w:vAlign w:val="center"/>
          </w:tcPr>
          <w:p w14:paraId="21A9268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 puede ver afectada la calidad de los trabajos, no cumpliendo de esta manera las especificaciones técnicas del proyecto y afectando el cronograma de obra por rendimiento inadecuado de los equipos</w:t>
            </w:r>
          </w:p>
        </w:tc>
        <w:tc>
          <w:tcPr>
            <w:tcW w:w="161" w:type="pct"/>
            <w:shd w:val="clear" w:color="auto" w:fill="auto"/>
            <w:vAlign w:val="center"/>
          </w:tcPr>
          <w:p w14:paraId="7137453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7067D9D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5B1E408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textDirection w:val="btLr"/>
            <w:vAlign w:val="center"/>
          </w:tcPr>
          <w:p w14:paraId="329DCF3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6B231A7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y sus consecuencias serán asumidos en su totalidad por el contratista</w:t>
            </w:r>
          </w:p>
        </w:tc>
        <w:tc>
          <w:tcPr>
            <w:tcW w:w="593" w:type="pct"/>
            <w:shd w:val="clear" w:color="auto" w:fill="auto"/>
            <w:vAlign w:val="center"/>
          </w:tcPr>
          <w:p w14:paraId="3CBC1F60" w14:textId="77777777" w:rsidR="007821D3" w:rsidRPr="008E5795" w:rsidRDefault="007821D3" w:rsidP="00B575C9">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161" w:type="pct"/>
            <w:shd w:val="clear" w:color="auto" w:fill="auto"/>
            <w:vAlign w:val="center"/>
          </w:tcPr>
          <w:p w14:paraId="180C8A5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34248EC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7986AB0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3E5C2EF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7182AAA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7CF29AFA" w14:textId="7963520C" w:rsidR="007821D3" w:rsidRPr="008E5795" w:rsidRDefault="00D94435" w:rsidP="00B575C9">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tc>
        <w:tc>
          <w:tcPr>
            <w:tcW w:w="161" w:type="pct"/>
            <w:shd w:val="clear" w:color="auto" w:fill="auto"/>
            <w:textDirection w:val="btLr"/>
            <w:vAlign w:val="center"/>
          </w:tcPr>
          <w:p w14:paraId="02306BA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la preparación de los pliegos de condiciones</w:t>
            </w:r>
          </w:p>
        </w:tc>
        <w:tc>
          <w:tcPr>
            <w:tcW w:w="323" w:type="pct"/>
            <w:shd w:val="clear" w:color="auto" w:fill="auto"/>
            <w:vAlign w:val="center"/>
          </w:tcPr>
          <w:p w14:paraId="169E787A"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adjudicación del contrato</w:t>
            </w:r>
          </w:p>
        </w:tc>
        <w:tc>
          <w:tcPr>
            <w:tcW w:w="323" w:type="pct"/>
            <w:shd w:val="clear" w:color="auto" w:fill="auto"/>
            <w:vAlign w:val="center"/>
          </w:tcPr>
          <w:p w14:paraId="5880AA8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Verificación del cumplimiento de la obligación contractual de acuerdo con los reportes de los informes de supervisión. </w:t>
            </w:r>
          </w:p>
        </w:tc>
        <w:tc>
          <w:tcPr>
            <w:tcW w:w="166" w:type="pct"/>
            <w:textDirection w:val="btLr"/>
            <w:vAlign w:val="center"/>
          </w:tcPr>
          <w:p w14:paraId="5B19DA99"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cuando se cumpla la mitad del plazo contractual</w:t>
            </w:r>
          </w:p>
        </w:tc>
      </w:tr>
      <w:tr w:rsidR="007821D3" w:rsidRPr="004D7C35" w14:paraId="76254803" w14:textId="77777777" w:rsidTr="007821D3">
        <w:trPr>
          <w:cantSplit/>
          <w:trHeight w:val="418"/>
        </w:trPr>
        <w:tc>
          <w:tcPr>
            <w:tcW w:w="154" w:type="pct"/>
            <w:shd w:val="clear" w:color="auto" w:fill="auto"/>
            <w:vAlign w:val="center"/>
          </w:tcPr>
          <w:p w14:paraId="0B0F687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15</w:t>
            </w:r>
          </w:p>
        </w:tc>
        <w:tc>
          <w:tcPr>
            <w:tcW w:w="154" w:type="pct"/>
            <w:shd w:val="clear" w:color="auto" w:fill="auto"/>
            <w:textDirection w:val="btLr"/>
            <w:vAlign w:val="center"/>
          </w:tcPr>
          <w:p w14:paraId="6927234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154" w:type="pct"/>
            <w:shd w:val="clear" w:color="auto" w:fill="auto"/>
            <w:textDirection w:val="btLr"/>
            <w:vAlign w:val="center"/>
          </w:tcPr>
          <w:p w14:paraId="1D820FC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21A4E23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4D885C4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Social, de la naturaleza, política</w:t>
            </w:r>
          </w:p>
        </w:tc>
        <w:tc>
          <w:tcPr>
            <w:tcW w:w="347" w:type="pct"/>
            <w:shd w:val="clear" w:color="auto" w:fill="auto"/>
            <w:vAlign w:val="center"/>
          </w:tcPr>
          <w:p w14:paraId="034833D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intransitabilidad de las vías</w:t>
            </w:r>
          </w:p>
        </w:tc>
        <w:tc>
          <w:tcPr>
            <w:tcW w:w="323" w:type="pct"/>
            <w:shd w:val="clear" w:color="auto" w:fill="auto"/>
            <w:vAlign w:val="center"/>
          </w:tcPr>
          <w:p w14:paraId="03FA374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Imposibilidad de ejecutar las actividades propias del proyecto</w:t>
            </w:r>
          </w:p>
        </w:tc>
        <w:tc>
          <w:tcPr>
            <w:tcW w:w="161" w:type="pct"/>
            <w:shd w:val="clear" w:color="auto" w:fill="auto"/>
            <w:vAlign w:val="center"/>
          </w:tcPr>
          <w:p w14:paraId="31271C5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447666D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0D54611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textDirection w:val="btLr"/>
            <w:vAlign w:val="center"/>
          </w:tcPr>
          <w:p w14:paraId="791DB82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042F63C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riesgo es compartido por el contratista y el municipio de Manizales</w:t>
            </w:r>
          </w:p>
        </w:tc>
        <w:tc>
          <w:tcPr>
            <w:tcW w:w="593" w:type="pct"/>
            <w:shd w:val="clear" w:color="auto" w:fill="auto"/>
            <w:vAlign w:val="center"/>
          </w:tcPr>
          <w:p w14:paraId="291288A7" w14:textId="77777777" w:rsidR="007821D3" w:rsidRPr="008E5795" w:rsidRDefault="007821D3" w:rsidP="00B575C9">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esto se llegare a presentar será causal de ampliación de plazo o suspensión del mismo hasta que las condiciones sean óptimas para continuar con la ejecución del contrato previa aprobación de la supervisión , pero no de reconocimiento de mayores costos o desequilibrio económico</w:t>
            </w:r>
          </w:p>
        </w:tc>
        <w:tc>
          <w:tcPr>
            <w:tcW w:w="161" w:type="pct"/>
            <w:shd w:val="clear" w:color="auto" w:fill="auto"/>
            <w:vAlign w:val="center"/>
          </w:tcPr>
          <w:p w14:paraId="4711489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7D1A54C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7632DED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189B867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2183660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48ED83EA" w14:textId="28508BB2" w:rsidR="00D94435" w:rsidRPr="008E5795" w:rsidRDefault="00D94435" w:rsidP="00D94435">
            <w:pPr>
              <w:jc w:val="center"/>
              <w:rPr>
                <w:rFonts w:ascii="Arial Narrow" w:eastAsia="Times New Roman" w:hAnsi="Arial Narrow"/>
                <w:sz w:val="12"/>
                <w:szCs w:val="12"/>
                <w:lang w:eastAsia="es-CO"/>
              </w:rPr>
            </w:pPr>
            <w:r w:rsidRPr="00D94435">
              <w:rPr>
                <w:rFonts w:ascii="Arial Narrow" w:eastAsia="Times New Roman" w:hAnsi="Arial Narrow"/>
                <w:sz w:val="12"/>
                <w:szCs w:val="12"/>
                <w:lang w:eastAsia="es-CO"/>
              </w:rPr>
              <w:t>Secretaría Infraestructura/ Supervisión   o interventoría</w:t>
            </w:r>
          </w:p>
          <w:p w14:paraId="5AEA8764" w14:textId="724F8912"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 </w:t>
            </w:r>
          </w:p>
        </w:tc>
        <w:tc>
          <w:tcPr>
            <w:tcW w:w="161" w:type="pct"/>
            <w:shd w:val="clear" w:color="auto" w:fill="auto"/>
            <w:textDirection w:val="btLr"/>
            <w:vAlign w:val="center"/>
          </w:tcPr>
          <w:p w14:paraId="7258E9E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se inicie el evento adverso</w:t>
            </w:r>
          </w:p>
        </w:tc>
        <w:tc>
          <w:tcPr>
            <w:tcW w:w="323" w:type="pct"/>
            <w:shd w:val="clear" w:color="auto" w:fill="auto"/>
            <w:vAlign w:val="center"/>
          </w:tcPr>
          <w:p w14:paraId="58135129"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finalización del evento adverso</w:t>
            </w:r>
          </w:p>
        </w:tc>
        <w:tc>
          <w:tcPr>
            <w:tcW w:w="323" w:type="pct"/>
            <w:shd w:val="clear" w:color="auto" w:fill="auto"/>
            <w:vAlign w:val="center"/>
          </w:tcPr>
          <w:p w14:paraId="781D7BE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documentos contractuales del contrato</w:t>
            </w:r>
          </w:p>
        </w:tc>
        <w:tc>
          <w:tcPr>
            <w:tcW w:w="166" w:type="pct"/>
            <w:textDirection w:val="btLr"/>
            <w:vAlign w:val="center"/>
          </w:tcPr>
          <w:p w14:paraId="1E27C109"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cuando se cumpla la mitad del plazo contractual</w:t>
            </w:r>
          </w:p>
        </w:tc>
      </w:tr>
      <w:tr w:rsidR="007821D3" w:rsidRPr="004D7C35" w14:paraId="578764C0" w14:textId="77777777" w:rsidTr="007821D3">
        <w:trPr>
          <w:cantSplit/>
          <w:trHeight w:val="418"/>
        </w:trPr>
        <w:tc>
          <w:tcPr>
            <w:tcW w:w="154" w:type="pct"/>
            <w:shd w:val="clear" w:color="auto" w:fill="auto"/>
            <w:vAlign w:val="center"/>
          </w:tcPr>
          <w:p w14:paraId="0F48A1D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16</w:t>
            </w:r>
          </w:p>
        </w:tc>
        <w:tc>
          <w:tcPr>
            <w:tcW w:w="154" w:type="pct"/>
            <w:shd w:val="clear" w:color="auto" w:fill="auto"/>
            <w:textDirection w:val="btLr"/>
            <w:vAlign w:val="center"/>
          </w:tcPr>
          <w:p w14:paraId="707472D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3E6595F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154" w:type="pct"/>
            <w:shd w:val="clear" w:color="auto" w:fill="auto"/>
            <w:textDirection w:val="btLr"/>
            <w:vAlign w:val="center"/>
          </w:tcPr>
          <w:p w14:paraId="5A37F1A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2F3DD52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347" w:type="pct"/>
            <w:shd w:val="clear" w:color="auto" w:fill="auto"/>
            <w:vAlign w:val="center"/>
          </w:tcPr>
          <w:p w14:paraId="72280CD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logísticos para la ejecución del contrato</w:t>
            </w:r>
          </w:p>
        </w:tc>
        <w:tc>
          <w:tcPr>
            <w:tcW w:w="323" w:type="pct"/>
            <w:shd w:val="clear" w:color="auto" w:fill="auto"/>
            <w:vAlign w:val="center"/>
          </w:tcPr>
          <w:p w14:paraId="0580963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del cronograma de obra por no contar con los recursos al momento de ser requeridos de acuerdo con la programación de la obra</w:t>
            </w:r>
          </w:p>
        </w:tc>
        <w:tc>
          <w:tcPr>
            <w:tcW w:w="161" w:type="pct"/>
            <w:shd w:val="clear" w:color="auto" w:fill="auto"/>
            <w:vAlign w:val="center"/>
          </w:tcPr>
          <w:p w14:paraId="311002E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1" w:type="pct"/>
            <w:shd w:val="clear" w:color="auto" w:fill="auto"/>
            <w:vAlign w:val="center"/>
          </w:tcPr>
          <w:p w14:paraId="4E4CAEA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2" w:type="pct"/>
            <w:shd w:val="clear" w:color="auto" w:fill="auto"/>
            <w:vAlign w:val="center"/>
          </w:tcPr>
          <w:p w14:paraId="6ED5798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161" w:type="pct"/>
            <w:shd w:val="clear" w:color="auto" w:fill="auto"/>
            <w:textDirection w:val="btLr"/>
            <w:vAlign w:val="center"/>
          </w:tcPr>
          <w:p w14:paraId="0EA55FE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323" w:type="pct"/>
            <w:shd w:val="clear" w:color="auto" w:fill="auto"/>
            <w:vAlign w:val="center"/>
          </w:tcPr>
          <w:p w14:paraId="795E066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contratista correrá con el 100% de  los riesgos logísticos para la ejecución del contrato</w:t>
            </w:r>
          </w:p>
        </w:tc>
        <w:tc>
          <w:tcPr>
            <w:tcW w:w="593" w:type="pct"/>
            <w:shd w:val="clear" w:color="auto" w:fill="auto"/>
            <w:vAlign w:val="center"/>
          </w:tcPr>
          <w:p w14:paraId="27286833" w14:textId="77777777" w:rsidR="007821D3" w:rsidRPr="008E5795" w:rsidRDefault="007821D3" w:rsidP="00B575C9">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Poner en marcha un plan de contingencia que puede representar  mayor disposición de personal, materiales y equipos.</w:t>
            </w:r>
          </w:p>
        </w:tc>
        <w:tc>
          <w:tcPr>
            <w:tcW w:w="161" w:type="pct"/>
            <w:shd w:val="clear" w:color="auto" w:fill="auto"/>
            <w:vAlign w:val="center"/>
          </w:tcPr>
          <w:p w14:paraId="54322AC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23A0856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602AFAE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6BE8C0D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5B39FBA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5A77F488" w14:textId="43600DDF"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Secretaria de </w:t>
            </w:r>
            <w:r w:rsidR="00D94435">
              <w:rPr>
                <w:rFonts w:ascii="Arial Narrow" w:eastAsia="Times New Roman" w:hAnsi="Arial Narrow"/>
                <w:sz w:val="12"/>
                <w:szCs w:val="12"/>
                <w:lang w:eastAsia="es-CO"/>
              </w:rPr>
              <w:t>Infraestructura</w:t>
            </w:r>
            <w:r w:rsidRPr="008E5795">
              <w:rPr>
                <w:rFonts w:ascii="Arial Narrow" w:eastAsia="Times New Roman" w:hAnsi="Arial Narrow"/>
                <w:sz w:val="12"/>
                <w:szCs w:val="12"/>
                <w:lang w:eastAsia="es-CO"/>
              </w:rPr>
              <w:t xml:space="preserve">, </w:t>
            </w:r>
          </w:p>
          <w:p w14:paraId="46ECEE75"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supervisión  o interventoría y contratista</w:t>
            </w:r>
          </w:p>
        </w:tc>
        <w:tc>
          <w:tcPr>
            <w:tcW w:w="161" w:type="pct"/>
            <w:shd w:val="clear" w:color="auto" w:fill="auto"/>
            <w:textDirection w:val="btLr"/>
            <w:vAlign w:val="center"/>
          </w:tcPr>
          <w:p w14:paraId="0A84CB4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la preparación de los pliegos de condiciones</w:t>
            </w:r>
          </w:p>
        </w:tc>
        <w:tc>
          <w:tcPr>
            <w:tcW w:w="323" w:type="pct"/>
            <w:shd w:val="clear" w:color="auto" w:fill="auto"/>
            <w:vAlign w:val="center"/>
          </w:tcPr>
          <w:p w14:paraId="23785025"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finalizar la etapa de construcción</w:t>
            </w:r>
          </w:p>
        </w:tc>
        <w:tc>
          <w:tcPr>
            <w:tcW w:w="323" w:type="pct"/>
            <w:shd w:val="clear" w:color="auto" w:fill="auto"/>
            <w:vAlign w:val="center"/>
          </w:tcPr>
          <w:p w14:paraId="59A768F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 la implementación del plan de contingencia frente al avance de ejecución de obra.</w:t>
            </w:r>
          </w:p>
        </w:tc>
        <w:tc>
          <w:tcPr>
            <w:tcW w:w="166" w:type="pct"/>
            <w:textDirection w:val="btLr"/>
            <w:vAlign w:val="center"/>
          </w:tcPr>
          <w:p w14:paraId="0673B20B"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Una vez, cuando se cumpla la mitad del </w:t>
            </w:r>
          </w:p>
          <w:p w14:paraId="1F81F457"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plazo contractual</w:t>
            </w:r>
          </w:p>
        </w:tc>
      </w:tr>
      <w:tr w:rsidR="007821D3" w:rsidRPr="004D7C35" w14:paraId="10E5372A" w14:textId="77777777" w:rsidTr="007821D3">
        <w:trPr>
          <w:cantSplit/>
          <w:trHeight w:val="418"/>
        </w:trPr>
        <w:tc>
          <w:tcPr>
            <w:tcW w:w="154" w:type="pct"/>
            <w:shd w:val="clear" w:color="auto" w:fill="auto"/>
            <w:vAlign w:val="center"/>
          </w:tcPr>
          <w:p w14:paraId="00310DF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17</w:t>
            </w:r>
          </w:p>
        </w:tc>
        <w:tc>
          <w:tcPr>
            <w:tcW w:w="154" w:type="pct"/>
            <w:shd w:val="clear" w:color="auto" w:fill="auto"/>
            <w:textDirection w:val="btLr"/>
            <w:vAlign w:val="center"/>
          </w:tcPr>
          <w:p w14:paraId="74F18C0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154" w:type="pct"/>
            <w:shd w:val="clear" w:color="auto" w:fill="auto"/>
            <w:textDirection w:val="btLr"/>
            <w:vAlign w:val="center"/>
          </w:tcPr>
          <w:p w14:paraId="7194E2F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154" w:type="pct"/>
            <w:shd w:val="clear" w:color="auto" w:fill="auto"/>
            <w:textDirection w:val="btLr"/>
            <w:vAlign w:val="center"/>
          </w:tcPr>
          <w:p w14:paraId="77D34B6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7FFFD6F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347" w:type="pct"/>
            <w:shd w:val="clear" w:color="auto" w:fill="auto"/>
            <w:vAlign w:val="center"/>
          </w:tcPr>
          <w:p w14:paraId="14E70FB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la ejecución de actividades inherentes a la prestación de servicios que se presentan en la zona o área a intervenir</w:t>
            </w:r>
          </w:p>
        </w:tc>
        <w:tc>
          <w:tcPr>
            <w:tcW w:w="323" w:type="pct"/>
            <w:shd w:val="clear" w:color="auto" w:fill="auto"/>
            <w:vAlign w:val="center"/>
          </w:tcPr>
          <w:p w14:paraId="7F52795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161" w:type="pct"/>
            <w:shd w:val="clear" w:color="auto" w:fill="auto"/>
            <w:vAlign w:val="center"/>
          </w:tcPr>
          <w:p w14:paraId="1A057EE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161" w:type="pct"/>
            <w:shd w:val="clear" w:color="auto" w:fill="auto"/>
            <w:vAlign w:val="center"/>
          </w:tcPr>
          <w:p w14:paraId="5FE259A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vAlign w:val="center"/>
          </w:tcPr>
          <w:p w14:paraId="09955D0B"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161" w:type="pct"/>
            <w:shd w:val="clear" w:color="auto" w:fill="auto"/>
            <w:textDirection w:val="btLr"/>
            <w:vAlign w:val="center"/>
          </w:tcPr>
          <w:p w14:paraId="421F238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medio</w:t>
            </w:r>
          </w:p>
        </w:tc>
        <w:tc>
          <w:tcPr>
            <w:tcW w:w="323" w:type="pct"/>
            <w:shd w:val="clear" w:color="auto" w:fill="auto"/>
            <w:vAlign w:val="center"/>
          </w:tcPr>
          <w:p w14:paraId="3FA28BD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riesgo es compartido por el contratista y el municipio de Manizales</w:t>
            </w:r>
          </w:p>
        </w:tc>
        <w:tc>
          <w:tcPr>
            <w:tcW w:w="593" w:type="pct"/>
            <w:shd w:val="clear" w:color="auto" w:fill="auto"/>
            <w:vAlign w:val="center"/>
          </w:tcPr>
          <w:p w14:paraId="59DABD59" w14:textId="77777777" w:rsidR="007821D3" w:rsidRPr="008E5795" w:rsidRDefault="007821D3" w:rsidP="00B575C9">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esto se llegare a presentar será causal de ampliación del plazo o suspensión del mismo hasta que las condiciones sean óptimas para continuar con la ejecución del contrato previa aprobación de la supervisión, pero no de reconocimiento de mayores costos o desequilibrio económico.</w:t>
            </w:r>
          </w:p>
        </w:tc>
        <w:tc>
          <w:tcPr>
            <w:tcW w:w="161" w:type="pct"/>
            <w:shd w:val="clear" w:color="auto" w:fill="auto"/>
            <w:vAlign w:val="center"/>
          </w:tcPr>
          <w:p w14:paraId="379ED2C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6309E9A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0E5563B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7CDF383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1A7CCD4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Si</w:t>
            </w:r>
          </w:p>
        </w:tc>
        <w:tc>
          <w:tcPr>
            <w:tcW w:w="215" w:type="pct"/>
            <w:shd w:val="clear" w:color="auto" w:fill="auto"/>
            <w:textDirection w:val="btLr"/>
            <w:vAlign w:val="center"/>
          </w:tcPr>
          <w:p w14:paraId="40DB1BD7"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Contratista ,   supervisión  del contrato</w:t>
            </w:r>
          </w:p>
        </w:tc>
        <w:tc>
          <w:tcPr>
            <w:tcW w:w="161" w:type="pct"/>
            <w:shd w:val="clear" w:color="auto" w:fill="auto"/>
            <w:textDirection w:val="btLr"/>
            <w:vAlign w:val="center"/>
          </w:tcPr>
          <w:p w14:paraId="30C7F02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se inicie el evento adverso</w:t>
            </w:r>
          </w:p>
        </w:tc>
        <w:tc>
          <w:tcPr>
            <w:tcW w:w="323" w:type="pct"/>
            <w:shd w:val="clear" w:color="auto" w:fill="auto"/>
            <w:vAlign w:val="center"/>
          </w:tcPr>
          <w:p w14:paraId="0154FB56"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finalización del evento adverso</w:t>
            </w:r>
          </w:p>
        </w:tc>
        <w:tc>
          <w:tcPr>
            <w:tcW w:w="323" w:type="pct"/>
            <w:shd w:val="clear" w:color="auto" w:fill="auto"/>
            <w:vAlign w:val="center"/>
          </w:tcPr>
          <w:p w14:paraId="343ACCB0"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documentos contractuales del contrato</w:t>
            </w:r>
          </w:p>
        </w:tc>
        <w:tc>
          <w:tcPr>
            <w:tcW w:w="166" w:type="pct"/>
            <w:textDirection w:val="btLr"/>
            <w:vAlign w:val="center"/>
          </w:tcPr>
          <w:p w14:paraId="4ECB497D"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una vez, cuando se cumpla la mitad del </w:t>
            </w:r>
          </w:p>
          <w:p w14:paraId="67CF25AC"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plazo contractual</w:t>
            </w:r>
          </w:p>
        </w:tc>
      </w:tr>
      <w:tr w:rsidR="007821D3" w:rsidRPr="004D7C35" w14:paraId="4FF34D19" w14:textId="77777777" w:rsidTr="007821D3">
        <w:trPr>
          <w:cantSplit/>
          <w:trHeight w:val="418"/>
        </w:trPr>
        <w:tc>
          <w:tcPr>
            <w:tcW w:w="154" w:type="pct"/>
            <w:shd w:val="clear" w:color="auto" w:fill="auto"/>
            <w:vAlign w:val="center"/>
          </w:tcPr>
          <w:p w14:paraId="44820D8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18</w:t>
            </w:r>
          </w:p>
        </w:tc>
        <w:tc>
          <w:tcPr>
            <w:tcW w:w="154" w:type="pct"/>
            <w:shd w:val="clear" w:color="auto" w:fill="auto"/>
            <w:textDirection w:val="btLr"/>
            <w:vAlign w:val="center"/>
          </w:tcPr>
          <w:p w14:paraId="4C4D50D4"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Especifico</w:t>
            </w:r>
          </w:p>
        </w:tc>
        <w:tc>
          <w:tcPr>
            <w:tcW w:w="154" w:type="pct"/>
            <w:shd w:val="clear" w:color="auto" w:fill="auto"/>
            <w:textDirection w:val="btLr"/>
            <w:vAlign w:val="center"/>
          </w:tcPr>
          <w:p w14:paraId="4D22A09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154" w:type="pct"/>
            <w:shd w:val="clear" w:color="auto" w:fill="auto"/>
            <w:textDirection w:val="btLr"/>
            <w:vAlign w:val="center"/>
          </w:tcPr>
          <w:p w14:paraId="4478B1C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154" w:type="pct"/>
            <w:shd w:val="clear" w:color="auto" w:fill="auto"/>
            <w:textDirection w:val="btLr"/>
            <w:vAlign w:val="center"/>
          </w:tcPr>
          <w:p w14:paraId="6549EE98"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347" w:type="pct"/>
            <w:shd w:val="clear" w:color="auto" w:fill="auto"/>
            <w:vAlign w:val="center"/>
          </w:tcPr>
          <w:p w14:paraId="6053375A"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Riesgo por demora en la construcción. </w:t>
            </w:r>
          </w:p>
        </w:tc>
        <w:tc>
          <w:tcPr>
            <w:tcW w:w="323" w:type="pct"/>
            <w:shd w:val="clear" w:color="auto" w:fill="auto"/>
            <w:vAlign w:val="center"/>
          </w:tcPr>
          <w:p w14:paraId="737F5461"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del cronograma de obra por no cumplir con la Ruta Crítica del proyecto</w:t>
            </w:r>
          </w:p>
        </w:tc>
        <w:tc>
          <w:tcPr>
            <w:tcW w:w="161" w:type="pct"/>
            <w:shd w:val="clear" w:color="auto" w:fill="auto"/>
            <w:vAlign w:val="center"/>
          </w:tcPr>
          <w:p w14:paraId="76D50186"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161" w:type="pct"/>
            <w:shd w:val="clear" w:color="auto" w:fill="auto"/>
            <w:vAlign w:val="center"/>
          </w:tcPr>
          <w:p w14:paraId="64A86E49"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162" w:type="pct"/>
            <w:shd w:val="clear" w:color="auto" w:fill="auto"/>
            <w:vAlign w:val="center"/>
          </w:tcPr>
          <w:p w14:paraId="2C9BC30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161" w:type="pct"/>
            <w:shd w:val="clear" w:color="auto" w:fill="auto"/>
            <w:textDirection w:val="btLr"/>
            <w:vAlign w:val="center"/>
          </w:tcPr>
          <w:p w14:paraId="6E96D66F"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medio</w:t>
            </w:r>
          </w:p>
        </w:tc>
        <w:tc>
          <w:tcPr>
            <w:tcW w:w="323" w:type="pct"/>
            <w:shd w:val="clear" w:color="auto" w:fill="auto"/>
            <w:vAlign w:val="center"/>
          </w:tcPr>
          <w:p w14:paraId="2BAD652C"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es asumido en el 100% por el contratista.</w:t>
            </w:r>
          </w:p>
        </w:tc>
        <w:tc>
          <w:tcPr>
            <w:tcW w:w="593" w:type="pct"/>
            <w:shd w:val="clear" w:color="auto" w:fill="auto"/>
            <w:vAlign w:val="center"/>
          </w:tcPr>
          <w:p w14:paraId="360F24C6" w14:textId="77777777" w:rsidR="007821D3" w:rsidRPr="008E5795" w:rsidRDefault="007821D3" w:rsidP="00B575C9">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El contratista debe dar inicio a las obras en el menor tiempo posible luego de la adjudicación del contrato y velar, luego del inicio, por el estricto cumplimiento de un cronograma y un plan de manejo de tráfico tal que permita el normal y ágil desenvolvimiento del proyecto. Adicional a ello, debe tener diseñado un plan de contingencia para afrontar posibles retrasos en la ejecución del tramo de vía deprimido. </w:t>
            </w:r>
          </w:p>
        </w:tc>
        <w:tc>
          <w:tcPr>
            <w:tcW w:w="161" w:type="pct"/>
            <w:shd w:val="clear" w:color="auto" w:fill="auto"/>
            <w:vAlign w:val="center"/>
          </w:tcPr>
          <w:p w14:paraId="7E0286F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42006CB3"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161" w:type="pct"/>
            <w:shd w:val="clear" w:color="auto" w:fill="auto"/>
            <w:vAlign w:val="center"/>
          </w:tcPr>
          <w:p w14:paraId="2556E712"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162" w:type="pct"/>
            <w:shd w:val="clear" w:color="auto" w:fill="auto"/>
            <w:textDirection w:val="btLr"/>
            <w:vAlign w:val="center"/>
          </w:tcPr>
          <w:p w14:paraId="11EB616D"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161" w:type="pct"/>
            <w:shd w:val="clear" w:color="auto" w:fill="auto"/>
            <w:vAlign w:val="center"/>
          </w:tcPr>
          <w:p w14:paraId="0E055BCE"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215" w:type="pct"/>
            <w:shd w:val="clear" w:color="auto" w:fill="auto"/>
            <w:textDirection w:val="btLr"/>
            <w:vAlign w:val="center"/>
          </w:tcPr>
          <w:p w14:paraId="7E9FB311"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Supervisión  o interventoría</w:t>
            </w:r>
          </w:p>
        </w:tc>
        <w:tc>
          <w:tcPr>
            <w:tcW w:w="161" w:type="pct"/>
            <w:shd w:val="clear" w:color="auto" w:fill="auto"/>
            <w:textDirection w:val="btLr"/>
            <w:vAlign w:val="center"/>
          </w:tcPr>
          <w:p w14:paraId="4FA58D15"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el inicio de la etapa de construcción</w:t>
            </w:r>
          </w:p>
        </w:tc>
        <w:tc>
          <w:tcPr>
            <w:tcW w:w="323" w:type="pct"/>
            <w:shd w:val="clear" w:color="auto" w:fill="auto"/>
            <w:vAlign w:val="center"/>
          </w:tcPr>
          <w:p w14:paraId="1D224CDA"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finalizar la etapa  de construcción del deprimido.</w:t>
            </w:r>
          </w:p>
        </w:tc>
        <w:tc>
          <w:tcPr>
            <w:tcW w:w="323" w:type="pct"/>
            <w:shd w:val="clear" w:color="auto" w:fill="auto"/>
            <w:vAlign w:val="center"/>
          </w:tcPr>
          <w:p w14:paraId="47EB0217" w14:textId="77777777" w:rsidR="007821D3" w:rsidRPr="008E5795" w:rsidRDefault="007821D3" w:rsidP="00B575C9">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 avance físico.</w:t>
            </w:r>
          </w:p>
        </w:tc>
        <w:tc>
          <w:tcPr>
            <w:tcW w:w="166" w:type="pct"/>
            <w:textDirection w:val="btLr"/>
            <w:vAlign w:val="center"/>
          </w:tcPr>
          <w:p w14:paraId="1DBBFD5B" w14:textId="77777777" w:rsidR="007821D3" w:rsidRPr="008E5795" w:rsidRDefault="007821D3" w:rsidP="00B575C9">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 se cumpla la mitad del plazo contractual</w:t>
            </w:r>
          </w:p>
        </w:tc>
      </w:tr>
    </w:tbl>
    <w:p w14:paraId="13283344" w14:textId="77777777" w:rsidR="007821D3" w:rsidRDefault="007821D3" w:rsidP="007821D3">
      <w:pPr>
        <w:spacing w:after="100" w:afterAutospacing="1"/>
        <w:jc w:val="center"/>
        <w:rPr>
          <w:rFonts w:ascii="Arial" w:eastAsia="SimSun" w:hAnsi="Arial" w:cs="Arial"/>
          <w:b/>
          <w:kern w:val="3"/>
          <w:sz w:val="20"/>
          <w:szCs w:val="20"/>
          <w:u w:val="single"/>
          <w:lang w:eastAsia="zh-CN" w:bidi="hi-IN"/>
        </w:rPr>
      </w:pPr>
    </w:p>
    <w:p w14:paraId="08437C0B" w14:textId="77777777" w:rsidR="007821D3" w:rsidRDefault="007821D3" w:rsidP="007821D3">
      <w:pPr>
        <w:spacing w:after="100" w:afterAutospacing="1"/>
        <w:jc w:val="center"/>
        <w:rPr>
          <w:rFonts w:ascii="Arial" w:eastAsia="SimSun" w:hAnsi="Arial" w:cs="Arial"/>
          <w:b/>
          <w:kern w:val="3"/>
          <w:sz w:val="20"/>
          <w:szCs w:val="20"/>
          <w:u w:val="single"/>
          <w:lang w:eastAsia="zh-CN" w:bidi="hi-IN"/>
        </w:rPr>
      </w:pPr>
    </w:p>
    <w:p w14:paraId="1FFA5849" w14:textId="77777777" w:rsidR="007821D3" w:rsidRPr="00CF7B39" w:rsidRDefault="007821D3" w:rsidP="007821D3">
      <w:pPr>
        <w:spacing w:after="100" w:afterAutospacing="1"/>
        <w:jc w:val="center"/>
        <w:rPr>
          <w:rFonts w:ascii="Arial" w:eastAsia="SimSun" w:hAnsi="Arial" w:cs="Arial"/>
          <w:kern w:val="3"/>
          <w:sz w:val="20"/>
          <w:szCs w:val="20"/>
          <w:lang w:eastAsia="zh-CN" w:bidi="hi-IN"/>
        </w:rPr>
      </w:pP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821D3">
      <w:headerReference w:type="default" r:id="rId11"/>
      <w:footerReference w:type="default" r:id="rId12"/>
      <w:pgSz w:w="12240" w:h="15840" w:code="1"/>
      <w:pgMar w:top="1134" w:right="851" w:bottom="1134" w:left="851"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99CB0" w14:textId="77777777" w:rsidR="00B1395B" w:rsidRDefault="00B1395B" w:rsidP="00091875">
      <w:pPr>
        <w:spacing w:line="240" w:lineRule="auto"/>
      </w:pPr>
      <w:r>
        <w:separator/>
      </w:r>
    </w:p>
  </w:endnote>
  <w:endnote w:type="continuationSeparator" w:id="0">
    <w:p w14:paraId="3816DC35" w14:textId="77777777" w:rsidR="00B1395B" w:rsidRDefault="00B1395B" w:rsidP="00091875">
      <w:pPr>
        <w:spacing w:line="240" w:lineRule="auto"/>
      </w:pPr>
      <w:r>
        <w:continuationSeparator/>
      </w:r>
    </w:p>
  </w:endnote>
  <w:endnote w:type="continuationNotice" w:id="1">
    <w:p w14:paraId="1624A523" w14:textId="77777777" w:rsidR="00B1395B" w:rsidRDefault="00B139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7821D3" w:rsidRPr="007821D3">
          <w:rPr>
            <w:noProof/>
            <w:lang w:val="es-ES"/>
          </w:rPr>
          <w:t>13</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17"/>
      <w:gridCol w:w="2294"/>
      <w:gridCol w:w="1183"/>
      <w:gridCol w:w="338"/>
    </w:tblGrid>
    <w:tr w:rsidR="007633A4" w:rsidRPr="007B2A82"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77777777"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3</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81232" w14:textId="77777777" w:rsidR="00B1395B" w:rsidRDefault="00B1395B" w:rsidP="00091875">
      <w:pPr>
        <w:spacing w:line="240" w:lineRule="auto"/>
      </w:pPr>
      <w:r>
        <w:separator/>
      </w:r>
    </w:p>
  </w:footnote>
  <w:footnote w:type="continuationSeparator" w:id="0">
    <w:p w14:paraId="69384D10" w14:textId="77777777" w:rsidR="00B1395B" w:rsidRDefault="00B1395B" w:rsidP="00091875">
      <w:pPr>
        <w:spacing w:line="240" w:lineRule="auto"/>
      </w:pPr>
      <w:r>
        <w:continuationSeparator/>
      </w:r>
    </w:p>
  </w:footnote>
  <w:footnote w:type="continuationNotice" w:id="1">
    <w:p w14:paraId="56A0D31C" w14:textId="77777777" w:rsidR="00B1395B" w:rsidRDefault="00B1395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1"/>
      <w:gridCol w:w="5557"/>
      <w:gridCol w:w="1136"/>
      <w:gridCol w:w="2427"/>
    </w:tblGrid>
    <w:tr w:rsidR="007B2A82" w:rsidRPr="007B2A82" w14:paraId="584614E7" w14:textId="77777777" w:rsidTr="00462D6F">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77777777"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3) </w:t>
          </w:r>
        </w:p>
      </w:tc>
    </w:tr>
    <w:tr w:rsidR="007B2A82" w:rsidRPr="007B2A82" w14:paraId="678BCEBD" w14:textId="77777777" w:rsidTr="00462D6F">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007821D3">
            <w:rPr>
              <w:rFonts w:ascii="Arial" w:eastAsia="Arial" w:hAnsi="Arial" w:cs="Arial"/>
              <w:noProof/>
              <w:sz w:val="16"/>
              <w:szCs w:val="16"/>
            </w:rPr>
            <w:t>13</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007821D3">
            <w:rPr>
              <w:rFonts w:ascii="Arial" w:eastAsia="Arial" w:hAnsi="Arial" w:cs="Arial"/>
              <w:noProof/>
              <w:sz w:val="16"/>
              <w:szCs w:val="16"/>
            </w:rPr>
            <w:t>13</w:t>
          </w:r>
          <w:r w:rsidRPr="007B2A82">
            <w:rPr>
              <w:rFonts w:ascii="Arial" w:eastAsia="Arial" w:hAnsi="Arial" w:cs="Arial"/>
              <w:sz w:val="16"/>
              <w:szCs w:val="16"/>
            </w:rPr>
            <w:fldChar w:fldCharType="end"/>
          </w:r>
        </w:p>
      </w:tc>
    </w:tr>
    <w:tr w:rsidR="007B2A82" w:rsidRPr="007B2A82" w14:paraId="69DA7E9B" w14:textId="77777777" w:rsidTr="00462D6F">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t>3</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3322F8"/>
    <w:rsid w:val="003558EC"/>
    <w:rsid w:val="00374B32"/>
    <w:rsid w:val="00375454"/>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E5030"/>
    <w:rsid w:val="00686C25"/>
    <w:rsid w:val="006A3288"/>
    <w:rsid w:val="006B4FEE"/>
    <w:rsid w:val="006C3AC4"/>
    <w:rsid w:val="006E6D9B"/>
    <w:rsid w:val="007115DA"/>
    <w:rsid w:val="00721886"/>
    <w:rsid w:val="00762556"/>
    <w:rsid w:val="007633A4"/>
    <w:rsid w:val="0076567A"/>
    <w:rsid w:val="0077727E"/>
    <w:rsid w:val="007821D3"/>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1520B"/>
    <w:rsid w:val="00A411F2"/>
    <w:rsid w:val="00A802EF"/>
    <w:rsid w:val="00A9107A"/>
    <w:rsid w:val="00A97889"/>
    <w:rsid w:val="00AB5F8B"/>
    <w:rsid w:val="00AE2ECB"/>
    <w:rsid w:val="00B1395B"/>
    <w:rsid w:val="00B26E25"/>
    <w:rsid w:val="00B60C9E"/>
    <w:rsid w:val="00B76DAD"/>
    <w:rsid w:val="00B773A4"/>
    <w:rsid w:val="00B81B1F"/>
    <w:rsid w:val="00B83621"/>
    <w:rsid w:val="00B92158"/>
    <w:rsid w:val="00B94790"/>
    <w:rsid w:val="00BA3870"/>
    <w:rsid w:val="00BC48AE"/>
    <w:rsid w:val="00BF3A5C"/>
    <w:rsid w:val="00C53FEB"/>
    <w:rsid w:val="00C61BDB"/>
    <w:rsid w:val="00C6295F"/>
    <w:rsid w:val="00C71F76"/>
    <w:rsid w:val="00CB7D17"/>
    <w:rsid w:val="00CD4E92"/>
    <w:rsid w:val="00CF543A"/>
    <w:rsid w:val="00CF7B39"/>
    <w:rsid w:val="00D13765"/>
    <w:rsid w:val="00D5252D"/>
    <w:rsid w:val="00D70D7B"/>
    <w:rsid w:val="00D802B8"/>
    <w:rsid w:val="00D86ECC"/>
    <w:rsid w:val="00D94435"/>
    <w:rsid w:val="00DA2321"/>
    <w:rsid w:val="00DD4300"/>
    <w:rsid w:val="00DF421A"/>
    <w:rsid w:val="00E52F4D"/>
    <w:rsid w:val="00E56873"/>
    <w:rsid w:val="00F6022F"/>
    <w:rsid w:val="00F63350"/>
    <w:rsid w:val="00F77C04"/>
    <w:rsid w:val="00F86A1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B615B5ED-93D6-493B-8EB8-8E044836E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1"/>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105F2-718D-46D2-8AEB-5FEB8DF58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1F5C78F0-56E6-4A95-9A34-3DE619BA0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3136</Words>
  <Characters>17250</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YENNY</cp:lastModifiedBy>
  <cp:revision>4</cp:revision>
  <cp:lastPrinted>2020-11-13T22:46:00Z</cp:lastPrinted>
  <dcterms:created xsi:type="dcterms:W3CDTF">2023-06-20T03:34:00Z</dcterms:created>
  <dcterms:modified xsi:type="dcterms:W3CDTF">2024-03-12T14:49:00Z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