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50D3C" w14:textId="77777777" w:rsidR="005C79FE" w:rsidRPr="008C37C4" w:rsidRDefault="005C79FE" w:rsidP="000E4D71">
      <w:pPr>
        <w:jc w:val="both"/>
        <w:rPr>
          <w:rFonts w:ascii="Trebuchet MS" w:hAnsi="Trebuchet MS" w:cs="Arial"/>
          <w:sz w:val="22"/>
          <w:szCs w:val="22"/>
        </w:rPr>
      </w:pPr>
    </w:p>
    <w:tbl>
      <w:tblPr>
        <w:tblW w:w="8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9"/>
        <w:gridCol w:w="4225"/>
      </w:tblGrid>
      <w:tr w:rsidR="005C79FE" w:rsidRPr="008C37C4" w14:paraId="425CA067" w14:textId="77777777" w:rsidTr="003A0F14">
        <w:trPr>
          <w:trHeight w:val="354"/>
        </w:trPr>
        <w:tc>
          <w:tcPr>
            <w:tcW w:w="4429" w:type="dxa"/>
            <w:shd w:val="clear" w:color="auto" w:fill="auto"/>
          </w:tcPr>
          <w:p w14:paraId="11F9B68E" w14:textId="77777777" w:rsidR="005C79FE" w:rsidRPr="008C37C4" w:rsidRDefault="005C79FE" w:rsidP="003A0F14">
            <w:pPr>
              <w:jc w:val="both"/>
              <w:rPr>
                <w:rFonts w:ascii="Trebuchet MS" w:eastAsia="Calibri" w:hAnsi="Trebuchet MS" w:cs="Arial"/>
                <w:sz w:val="22"/>
                <w:szCs w:val="22"/>
              </w:rPr>
            </w:pPr>
            <w:r w:rsidRPr="008C37C4">
              <w:rPr>
                <w:rFonts w:ascii="Trebuchet MS" w:eastAsia="SimSun" w:hAnsi="Trebuchet MS" w:cs="Arial"/>
                <w:sz w:val="22"/>
                <w:szCs w:val="22"/>
                <w:lang w:val="es-ES" w:eastAsia="es-ES"/>
              </w:rPr>
              <w:t>DEFENSORÍA DEL PUEBLO REGIONAL, DELEGADA U OFICINA</w:t>
            </w:r>
          </w:p>
        </w:tc>
        <w:tc>
          <w:tcPr>
            <w:tcW w:w="4225" w:type="dxa"/>
            <w:shd w:val="clear" w:color="auto" w:fill="auto"/>
          </w:tcPr>
          <w:p w14:paraId="33DD0D86" w14:textId="77777777" w:rsidR="005C79FE" w:rsidRPr="008C37C4" w:rsidRDefault="005C79FE" w:rsidP="003A0F14">
            <w:pPr>
              <w:rPr>
                <w:rFonts w:ascii="Trebuchet MS" w:eastAsia="Calibri" w:hAnsi="Trebuchet MS" w:cs="Arial"/>
                <w:sz w:val="22"/>
                <w:szCs w:val="22"/>
              </w:rPr>
            </w:pPr>
            <w:r w:rsidRPr="008C37C4">
              <w:rPr>
                <w:rFonts w:ascii="Trebuchet MS" w:eastAsia="Calibri" w:hAnsi="Trebuchet MS" w:cs="Arial"/>
                <w:sz w:val="22"/>
                <w:szCs w:val="22"/>
              </w:rPr>
              <w:t>DIRECCIÓN NACIONAL DE DEFENSORÍA PÚBLICA</w:t>
            </w:r>
          </w:p>
        </w:tc>
      </w:tr>
      <w:tr w:rsidR="005C79FE" w:rsidRPr="008C37C4" w14:paraId="7828C24D" w14:textId="77777777" w:rsidTr="003A0F14">
        <w:trPr>
          <w:trHeight w:val="177"/>
        </w:trPr>
        <w:tc>
          <w:tcPr>
            <w:tcW w:w="4429" w:type="dxa"/>
            <w:shd w:val="clear" w:color="auto" w:fill="auto"/>
          </w:tcPr>
          <w:p w14:paraId="76825745" w14:textId="77777777" w:rsidR="005C79FE" w:rsidRDefault="005C79FE" w:rsidP="003A0F14">
            <w:pPr>
              <w:widowControl w:val="0"/>
              <w:adjustRightInd w:val="0"/>
              <w:jc w:val="both"/>
              <w:rPr>
                <w:rFonts w:ascii="Trebuchet MS" w:eastAsia="SimSun" w:hAnsi="Trebuchet MS" w:cs="Arial"/>
                <w:sz w:val="22"/>
                <w:szCs w:val="22"/>
                <w:lang w:val="es-ES" w:eastAsia="es-ES"/>
              </w:rPr>
            </w:pPr>
          </w:p>
          <w:p w14:paraId="015AF9B1" w14:textId="77777777" w:rsidR="005C79FE" w:rsidRPr="008C37C4" w:rsidRDefault="005C79FE" w:rsidP="003A0F14">
            <w:pPr>
              <w:widowControl w:val="0"/>
              <w:adjustRightInd w:val="0"/>
              <w:jc w:val="both"/>
              <w:rPr>
                <w:rFonts w:ascii="Trebuchet MS" w:eastAsia="SimSun" w:hAnsi="Trebuchet MS" w:cs="Arial"/>
                <w:sz w:val="22"/>
                <w:szCs w:val="22"/>
                <w:lang w:val="es-ES" w:eastAsia="es-ES"/>
              </w:rPr>
            </w:pPr>
            <w:r w:rsidRPr="008C37C4">
              <w:rPr>
                <w:rFonts w:ascii="Trebuchet MS" w:eastAsia="SimSun" w:hAnsi="Trebuchet MS" w:cs="Arial"/>
                <w:sz w:val="22"/>
                <w:szCs w:val="22"/>
                <w:lang w:val="es-ES" w:eastAsia="es-ES"/>
              </w:rPr>
              <w:t>Ciudad (Departamento), día, mes y año</w:t>
            </w:r>
          </w:p>
        </w:tc>
        <w:tc>
          <w:tcPr>
            <w:tcW w:w="4225" w:type="dxa"/>
            <w:shd w:val="clear" w:color="auto" w:fill="auto"/>
          </w:tcPr>
          <w:p w14:paraId="4AD568F8" w14:textId="130AEC2C" w:rsidR="005C79FE" w:rsidRPr="008C37C4" w:rsidRDefault="006034D4" w:rsidP="003A0F14">
            <w:pPr>
              <w:rPr>
                <w:rFonts w:ascii="Trebuchet MS" w:eastAsia="Calibri" w:hAnsi="Trebuchet MS" w:cs="Arial"/>
                <w:sz w:val="22"/>
                <w:szCs w:val="22"/>
              </w:rPr>
            </w:pPr>
            <w:r>
              <w:rPr>
                <w:rFonts w:ascii="Trebuchet MS" w:eastAsia="Calibri" w:hAnsi="Trebuchet MS" w:cs="Arial"/>
                <w:sz w:val="22"/>
                <w:szCs w:val="22"/>
              </w:rPr>
              <w:t>Bogotá D.C</w:t>
            </w:r>
            <w:r w:rsidR="003E1CCB">
              <w:rPr>
                <w:rFonts w:ascii="Trebuchet MS" w:eastAsia="Calibri" w:hAnsi="Trebuchet MS" w:cs="Arial"/>
                <w:sz w:val="22"/>
                <w:szCs w:val="22"/>
              </w:rPr>
              <w:t xml:space="preserve">, del </w:t>
            </w:r>
            <w:r>
              <w:rPr>
                <w:rFonts w:ascii="Trebuchet MS" w:eastAsia="Calibri" w:hAnsi="Trebuchet MS" w:cs="Arial"/>
                <w:sz w:val="22"/>
                <w:szCs w:val="22"/>
              </w:rPr>
              <w:t>15-04-2020</w:t>
            </w:r>
          </w:p>
        </w:tc>
      </w:tr>
      <w:tr w:rsidR="005C79FE" w:rsidRPr="008C37C4" w14:paraId="5AE3BC78" w14:textId="77777777" w:rsidTr="003A0F14">
        <w:trPr>
          <w:trHeight w:val="615"/>
        </w:trPr>
        <w:tc>
          <w:tcPr>
            <w:tcW w:w="4429" w:type="dxa"/>
            <w:shd w:val="clear" w:color="auto" w:fill="auto"/>
          </w:tcPr>
          <w:p w14:paraId="4EB30227" w14:textId="77777777" w:rsidR="005C79FE" w:rsidRPr="007238C2" w:rsidRDefault="005C79FE" w:rsidP="003A0F14">
            <w:pPr>
              <w:jc w:val="both"/>
              <w:rPr>
                <w:rFonts w:ascii="Trebuchet MS" w:eastAsia="SimSun" w:hAnsi="Trebuchet MS" w:cs="Arial"/>
                <w:sz w:val="22"/>
                <w:szCs w:val="22"/>
                <w:lang w:val="es-ES" w:eastAsia="es-ES"/>
              </w:rPr>
            </w:pPr>
          </w:p>
          <w:p w14:paraId="44666783" w14:textId="77777777" w:rsidR="005C79FE" w:rsidRPr="007238C2" w:rsidRDefault="005C79FE" w:rsidP="003A0F14">
            <w:pPr>
              <w:jc w:val="both"/>
              <w:rPr>
                <w:rFonts w:ascii="Trebuchet MS" w:eastAsia="SimSun" w:hAnsi="Trebuchet MS" w:cs="Arial"/>
                <w:sz w:val="22"/>
                <w:szCs w:val="22"/>
                <w:lang w:val="es-ES" w:eastAsia="es-ES"/>
              </w:rPr>
            </w:pPr>
          </w:p>
          <w:p w14:paraId="279DE229" w14:textId="77777777" w:rsidR="005C79FE" w:rsidRPr="007238C2" w:rsidRDefault="005C79FE" w:rsidP="003A0F14">
            <w:pPr>
              <w:jc w:val="both"/>
              <w:rPr>
                <w:rFonts w:ascii="Trebuchet MS" w:eastAsia="SimSun" w:hAnsi="Trebuchet MS" w:cs="Arial"/>
                <w:sz w:val="22"/>
                <w:szCs w:val="22"/>
                <w:lang w:val="es-ES" w:eastAsia="es-ES"/>
              </w:rPr>
            </w:pPr>
            <w:r w:rsidRPr="007238C2">
              <w:rPr>
                <w:rFonts w:ascii="Trebuchet MS" w:eastAsia="SimSun" w:hAnsi="Trebuchet MS" w:cs="Arial"/>
                <w:sz w:val="22"/>
                <w:szCs w:val="22"/>
                <w:lang w:val="es-ES" w:eastAsia="es-ES"/>
              </w:rPr>
              <w:t xml:space="preserve">PRESUPUESTO ESTIMADO </w:t>
            </w:r>
          </w:p>
          <w:p w14:paraId="6EFA0300" w14:textId="77777777" w:rsidR="005C79FE" w:rsidRPr="007238C2" w:rsidRDefault="005C79FE" w:rsidP="000E4D71">
            <w:pPr>
              <w:jc w:val="both"/>
              <w:rPr>
                <w:rFonts w:ascii="Trebuchet MS" w:eastAsia="Calibri" w:hAnsi="Trebuchet MS" w:cs="Arial"/>
                <w:sz w:val="22"/>
                <w:szCs w:val="22"/>
              </w:rPr>
            </w:pPr>
          </w:p>
        </w:tc>
        <w:tc>
          <w:tcPr>
            <w:tcW w:w="4225" w:type="dxa"/>
            <w:shd w:val="clear" w:color="auto" w:fill="auto"/>
            <w:vAlign w:val="center"/>
          </w:tcPr>
          <w:p w14:paraId="08521B7A" w14:textId="77777777" w:rsidR="005C79FE" w:rsidRPr="007238C2" w:rsidRDefault="005C79FE" w:rsidP="003A0F14">
            <w:pPr>
              <w:rPr>
                <w:rFonts w:ascii="Trebuchet MS" w:eastAsia="Calibri" w:hAnsi="Trebuchet MS" w:cs="Arial"/>
                <w:sz w:val="22"/>
                <w:szCs w:val="22"/>
              </w:rPr>
            </w:pPr>
          </w:p>
          <w:p w14:paraId="50F4D031" w14:textId="659950F8" w:rsidR="005C79FE" w:rsidRPr="007238C2" w:rsidRDefault="006034D4" w:rsidP="003A0F14">
            <w:pPr>
              <w:rPr>
                <w:rFonts w:ascii="Trebuchet MS" w:eastAsia="Calibri" w:hAnsi="Trebuchet MS" w:cs="Arial"/>
                <w:sz w:val="22"/>
                <w:szCs w:val="22"/>
              </w:rPr>
            </w:pPr>
            <w:r>
              <w:rPr>
                <w:rFonts w:ascii="Trebuchet MS" w:hAnsi="Trebuchet MS" w:cs="Arial"/>
                <w:sz w:val="22"/>
                <w:szCs w:val="22"/>
              </w:rPr>
              <w:t>$ 42.750.000,00</w:t>
            </w:r>
          </w:p>
        </w:tc>
      </w:tr>
    </w:tbl>
    <w:p w14:paraId="6DC22B2C" w14:textId="77777777" w:rsidR="005C79FE" w:rsidRPr="008C37C4" w:rsidRDefault="005C79FE" w:rsidP="000E4D71">
      <w:pPr>
        <w:jc w:val="both"/>
        <w:rPr>
          <w:rFonts w:ascii="Trebuchet MS" w:hAnsi="Trebuchet MS" w:cs="Arial"/>
          <w:sz w:val="22"/>
          <w:szCs w:val="22"/>
        </w:rPr>
      </w:pPr>
    </w:p>
    <w:p w14:paraId="4CFF202F" w14:textId="77777777" w:rsidR="005C79FE" w:rsidRPr="008C37C4" w:rsidRDefault="005C79FE" w:rsidP="000E4D71">
      <w:pPr>
        <w:jc w:val="both"/>
        <w:rPr>
          <w:rFonts w:ascii="Trebuchet MS" w:hAnsi="Trebuchet MS" w:cs="Arial"/>
          <w:sz w:val="22"/>
          <w:szCs w:val="22"/>
        </w:rPr>
      </w:pPr>
    </w:p>
    <w:p w14:paraId="728285CF" w14:textId="77777777" w:rsidR="005C79FE" w:rsidRPr="008C37C4" w:rsidRDefault="005C79FE" w:rsidP="000E4D71">
      <w:pPr>
        <w:pStyle w:val="P34"/>
        <w:jc w:val="both"/>
        <w:rPr>
          <w:rFonts w:ascii="Trebuchet MS" w:hAnsi="Trebuchet MS" w:cs="Arial"/>
          <w:szCs w:val="22"/>
        </w:rPr>
      </w:pPr>
      <w:r w:rsidRPr="008C37C4">
        <w:rPr>
          <w:rFonts w:ascii="Trebuchet MS" w:hAnsi="Trebuchet MS" w:cs="Arial"/>
          <w:szCs w:val="22"/>
        </w:rPr>
        <w:t>1. DESCRIPCIÓN DE LA NECESIDAD:</w:t>
      </w:r>
    </w:p>
    <w:p w14:paraId="14545521" w14:textId="77777777" w:rsidR="005C79FE" w:rsidRPr="008C37C4" w:rsidRDefault="005C79FE" w:rsidP="000E4D71">
      <w:pPr>
        <w:pStyle w:val="Prrafodelista"/>
        <w:ind w:left="0"/>
        <w:jc w:val="both"/>
        <w:rPr>
          <w:rFonts w:ascii="Trebuchet MS" w:hAnsi="Trebuchet MS" w:cs="Arial"/>
          <w:sz w:val="22"/>
          <w:szCs w:val="22"/>
        </w:rPr>
      </w:pPr>
    </w:p>
    <w:p w14:paraId="0252A171"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37082659" w14:textId="77777777" w:rsidR="005C79FE" w:rsidRPr="00FF66FF" w:rsidRDefault="005C79FE" w:rsidP="00A42B79">
      <w:pPr>
        <w:pStyle w:val="P26"/>
        <w:jc w:val="both"/>
        <w:rPr>
          <w:rFonts w:ascii="Trebuchet MS" w:hAnsi="Trebuchet MS" w:cs="Arial"/>
          <w:szCs w:val="22"/>
          <w:lang w:val="es-CO" w:eastAsia="es-CO"/>
        </w:rPr>
      </w:pPr>
    </w:p>
    <w:p w14:paraId="4EB3E3F3"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663CB3EC" w14:textId="77777777" w:rsidR="005C79FE" w:rsidRPr="00FF66FF" w:rsidRDefault="005C79FE" w:rsidP="00A42B79">
      <w:pPr>
        <w:pStyle w:val="P26"/>
        <w:jc w:val="both"/>
        <w:rPr>
          <w:rFonts w:ascii="Trebuchet MS" w:hAnsi="Trebuchet MS" w:cs="Arial"/>
          <w:szCs w:val="22"/>
          <w:lang w:val="es-CO" w:eastAsia="es-CO"/>
        </w:rPr>
      </w:pPr>
    </w:p>
    <w:p w14:paraId="41CF4BFC"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48A2E7ED" w14:textId="77777777" w:rsidR="005C79FE" w:rsidRPr="00FF66FF" w:rsidRDefault="005C79FE" w:rsidP="00A42B79">
      <w:pPr>
        <w:pStyle w:val="P26"/>
        <w:jc w:val="both"/>
        <w:rPr>
          <w:rFonts w:ascii="Trebuchet MS" w:hAnsi="Trebuchet MS" w:cs="Arial"/>
          <w:szCs w:val="22"/>
          <w:lang w:val="es-CO" w:eastAsia="es-CO"/>
        </w:rPr>
      </w:pPr>
    </w:p>
    <w:p w14:paraId="2CA83FB9"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4DA160C4"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30A20C3"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76979F58"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1C8F040" w14:textId="77777777" w:rsidR="005C79FE" w:rsidRPr="00FF66FF" w:rsidRDefault="005C79FE" w:rsidP="00A42B79">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04B595B4" w14:textId="77777777" w:rsidR="005C79FE" w:rsidRPr="00FF66FF" w:rsidRDefault="005C79FE" w:rsidP="00A42B79">
      <w:pPr>
        <w:pStyle w:val="P26"/>
        <w:jc w:val="both"/>
        <w:rPr>
          <w:rFonts w:ascii="Trebuchet MS" w:hAnsi="Trebuchet MS" w:cs="Arial"/>
          <w:szCs w:val="22"/>
          <w:lang w:val="es-CO" w:eastAsia="es-CO"/>
        </w:rPr>
      </w:pPr>
    </w:p>
    <w:p w14:paraId="453CD4AF"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9B8238D" w14:textId="77777777" w:rsidR="005C79FE" w:rsidRPr="00FF66FF" w:rsidRDefault="005C79FE" w:rsidP="00A42B79">
      <w:pPr>
        <w:pStyle w:val="P26"/>
        <w:jc w:val="both"/>
        <w:rPr>
          <w:rFonts w:ascii="Trebuchet MS" w:hAnsi="Trebuchet MS" w:cs="Arial"/>
          <w:szCs w:val="22"/>
          <w:lang w:val="es-CO" w:eastAsia="es-CO"/>
        </w:rPr>
      </w:pPr>
    </w:p>
    <w:p w14:paraId="3838BA3B"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734D3363" w14:textId="77777777" w:rsidR="005C79FE" w:rsidRPr="00FF66FF" w:rsidRDefault="005C79FE" w:rsidP="00A42B79">
      <w:pPr>
        <w:pStyle w:val="P26"/>
        <w:jc w:val="both"/>
        <w:rPr>
          <w:rFonts w:ascii="Trebuchet MS" w:hAnsi="Trebuchet MS" w:cs="Arial"/>
          <w:szCs w:val="22"/>
          <w:lang w:val="es-CO" w:eastAsia="es-CO"/>
        </w:rPr>
      </w:pPr>
    </w:p>
    <w:p w14:paraId="73B94184"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w:t>
      </w:r>
      <w:r w:rsidRPr="00FF66FF">
        <w:rPr>
          <w:rFonts w:ascii="Trebuchet MS" w:hAnsi="Trebuchet MS" w:cs="Arial"/>
          <w:szCs w:val="22"/>
          <w:lang w:val="es-CO" w:eastAsia="es-CO"/>
        </w:rPr>
        <w:lastRenderedPageBreak/>
        <w:t>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25135C2A" w14:textId="77777777" w:rsidR="005C79FE" w:rsidRPr="00FF66FF" w:rsidRDefault="005C79FE" w:rsidP="00A42B79">
      <w:pPr>
        <w:pStyle w:val="P26"/>
        <w:jc w:val="both"/>
        <w:rPr>
          <w:rFonts w:ascii="Trebuchet MS" w:hAnsi="Trebuchet MS" w:cs="Arial"/>
          <w:szCs w:val="22"/>
          <w:lang w:val="es-CO" w:eastAsia="es-CO"/>
        </w:rPr>
      </w:pPr>
    </w:p>
    <w:p w14:paraId="72C390CB"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5396BE45" w14:textId="77777777" w:rsidR="005C79FE" w:rsidRPr="00FF66FF" w:rsidRDefault="005C79FE" w:rsidP="00A42B79">
      <w:pPr>
        <w:pStyle w:val="P26"/>
        <w:jc w:val="both"/>
        <w:rPr>
          <w:rFonts w:ascii="Trebuchet MS" w:hAnsi="Trebuchet MS" w:cs="Arial"/>
          <w:szCs w:val="22"/>
          <w:lang w:val="es-CO" w:eastAsia="es-CO"/>
        </w:rPr>
      </w:pPr>
    </w:p>
    <w:p w14:paraId="590E4717"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13CA1806" w14:textId="77777777" w:rsidR="005C79FE" w:rsidRPr="00FF66FF" w:rsidRDefault="005C79FE" w:rsidP="00A42B79">
      <w:pPr>
        <w:pStyle w:val="P26"/>
        <w:jc w:val="both"/>
        <w:rPr>
          <w:rFonts w:ascii="Trebuchet MS" w:hAnsi="Trebuchet MS" w:cs="Arial"/>
          <w:i/>
          <w:szCs w:val="22"/>
          <w:lang w:val="es-CO" w:eastAsia="es-CO"/>
        </w:rPr>
      </w:pPr>
    </w:p>
    <w:p w14:paraId="4B08496A"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17F539EF" w14:textId="77777777" w:rsidR="005C79FE" w:rsidRPr="00FF66FF" w:rsidRDefault="005C79FE" w:rsidP="00A42B79">
      <w:pPr>
        <w:pStyle w:val="P26"/>
        <w:jc w:val="both"/>
        <w:rPr>
          <w:rFonts w:ascii="Trebuchet MS" w:hAnsi="Trebuchet MS" w:cs="Arial"/>
          <w:i/>
          <w:szCs w:val="22"/>
          <w:lang w:val="es-CO" w:eastAsia="es-CO"/>
        </w:rPr>
      </w:pPr>
    </w:p>
    <w:p w14:paraId="35BC31CF"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0FCF9D95" w14:textId="77777777" w:rsidR="005C79FE" w:rsidRPr="00FF66FF" w:rsidRDefault="005C79FE" w:rsidP="00A42B79">
      <w:pPr>
        <w:pStyle w:val="P26"/>
        <w:jc w:val="both"/>
        <w:rPr>
          <w:rFonts w:ascii="Trebuchet MS" w:hAnsi="Trebuchet MS" w:cs="Arial"/>
          <w:i/>
          <w:szCs w:val="22"/>
          <w:lang w:val="es-CO" w:eastAsia="es-CO"/>
        </w:rPr>
      </w:pPr>
    </w:p>
    <w:p w14:paraId="2ADD0644"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7C462DD3" w14:textId="77777777" w:rsidR="005C79FE" w:rsidRPr="00FF66FF" w:rsidRDefault="005C79FE" w:rsidP="00A42B79">
      <w:pPr>
        <w:pStyle w:val="P26"/>
        <w:jc w:val="both"/>
        <w:rPr>
          <w:rFonts w:ascii="Trebuchet MS" w:hAnsi="Trebuchet MS" w:cs="Arial"/>
          <w:i/>
          <w:szCs w:val="22"/>
          <w:lang w:val="es-CO" w:eastAsia="es-CO"/>
        </w:rPr>
      </w:pPr>
    </w:p>
    <w:p w14:paraId="2B58F0AA"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E156AB9" w14:textId="77777777" w:rsidR="005C79FE" w:rsidRPr="00FF66FF" w:rsidRDefault="005C79FE" w:rsidP="00A42B79">
      <w:pPr>
        <w:pStyle w:val="P26"/>
        <w:jc w:val="both"/>
        <w:rPr>
          <w:rFonts w:ascii="Trebuchet MS" w:hAnsi="Trebuchet MS" w:cs="Arial"/>
          <w:i/>
          <w:szCs w:val="22"/>
          <w:lang w:val="es-CO" w:eastAsia="es-CO"/>
        </w:rPr>
      </w:pPr>
    </w:p>
    <w:p w14:paraId="66AC0130"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6FB6814D" w14:textId="77777777" w:rsidR="005C79FE" w:rsidRPr="00FF66FF" w:rsidRDefault="005C79FE" w:rsidP="00A42B79">
      <w:pPr>
        <w:pStyle w:val="P26"/>
        <w:jc w:val="both"/>
        <w:rPr>
          <w:rFonts w:ascii="Trebuchet MS" w:hAnsi="Trebuchet MS" w:cs="Arial"/>
          <w:szCs w:val="22"/>
          <w:lang w:val="es-CO" w:eastAsia="es-CO"/>
        </w:rPr>
      </w:pPr>
    </w:p>
    <w:p w14:paraId="478B5245"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46DFFF1A" w14:textId="77777777" w:rsidR="005C79FE" w:rsidRPr="00FF66FF" w:rsidRDefault="005C79FE" w:rsidP="00A42B79">
      <w:pPr>
        <w:pStyle w:val="P26"/>
        <w:jc w:val="both"/>
        <w:rPr>
          <w:rFonts w:ascii="Trebuchet MS" w:hAnsi="Trebuchet MS" w:cs="Arial"/>
          <w:b/>
          <w:i/>
          <w:szCs w:val="22"/>
          <w:u w:val="single"/>
          <w:lang w:val="es-CO" w:eastAsia="es-CO"/>
        </w:rPr>
      </w:pPr>
    </w:p>
    <w:p w14:paraId="1A4A60B7"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326CFEE9" w14:textId="77777777" w:rsidR="005C79FE" w:rsidRPr="00FF66FF" w:rsidRDefault="005C79FE" w:rsidP="00A42B79">
      <w:pPr>
        <w:pStyle w:val="P26"/>
        <w:jc w:val="both"/>
        <w:rPr>
          <w:rFonts w:ascii="Trebuchet MS" w:hAnsi="Trebuchet MS" w:cs="Arial"/>
          <w:szCs w:val="22"/>
          <w:lang w:val="es-CO" w:eastAsia="es-CO"/>
        </w:rPr>
      </w:pPr>
    </w:p>
    <w:p w14:paraId="1A7BED7D"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La norma sugiere una clasificación a efecto de observar los criterios de proporcionalidad frente a la dificultad de los asuntos y autoridad ante la cual actúa, en los siguientes términos:</w:t>
      </w:r>
    </w:p>
    <w:p w14:paraId="1F529AC5" w14:textId="77777777" w:rsidR="005C79FE" w:rsidRPr="00FF66FF" w:rsidRDefault="005C79FE" w:rsidP="00A42B79">
      <w:pPr>
        <w:pStyle w:val="P26"/>
        <w:jc w:val="both"/>
        <w:rPr>
          <w:rFonts w:ascii="Trebuchet MS" w:hAnsi="Trebuchet MS" w:cs="Arial"/>
          <w:szCs w:val="22"/>
          <w:lang w:val="es-CO" w:eastAsia="es-CO"/>
        </w:rPr>
      </w:pPr>
    </w:p>
    <w:p w14:paraId="3F08408C"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lastRenderedPageBreak/>
        <w:t>“Artículo 27. Clasificación. Para efectos de su remuneración, los Defensores Públicos del Sistema podrán clasificarse en tres (3) categorías:</w:t>
      </w:r>
    </w:p>
    <w:p w14:paraId="3AA1118D" w14:textId="77777777" w:rsidR="005C79FE" w:rsidRPr="00FF66FF" w:rsidRDefault="005C79FE" w:rsidP="00A42B79">
      <w:pPr>
        <w:pStyle w:val="P26"/>
        <w:jc w:val="both"/>
        <w:rPr>
          <w:rFonts w:ascii="Trebuchet MS" w:hAnsi="Trebuchet MS" w:cs="Arial"/>
          <w:i/>
          <w:szCs w:val="22"/>
          <w:lang w:val="es-CO" w:eastAsia="es-CO"/>
        </w:rPr>
      </w:pPr>
    </w:p>
    <w:p w14:paraId="502B2E21"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1. Defensores Públicos ante jueces penales municipales.</w:t>
      </w:r>
    </w:p>
    <w:p w14:paraId="23959503"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2. Defensores Públicos ante jueces penales del circuito y del circuito especializado.</w:t>
      </w:r>
    </w:p>
    <w:p w14:paraId="3C825295"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3. Defensores Públicos ante las Salas Penales de los Tribunales Superiores de Distrito Judicial y de la Corte Suprema de Justicia.</w:t>
      </w:r>
    </w:p>
    <w:p w14:paraId="6EA6E456"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Parágrafo. En caso de requerirse la sustentación de un recurso ante un funcionario superior, el defensor público deberá actuar sin que ello signifique cambiar de categoría.”</w:t>
      </w:r>
    </w:p>
    <w:p w14:paraId="139298A7" w14:textId="77777777" w:rsidR="005C79FE" w:rsidRPr="00FF66FF" w:rsidRDefault="005C79FE" w:rsidP="00A42B79">
      <w:pPr>
        <w:pStyle w:val="P26"/>
        <w:jc w:val="both"/>
        <w:rPr>
          <w:rFonts w:ascii="Trebuchet MS" w:hAnsi="Trebuchet MS" w:cs="Arial"/>
          <w:i/>
          <w:szCs w:val="22"/>
          <w:lang w:val="es-CO" w:eastAsia="es-CO"/>
        </w:rPr>
      </w:pPr>
    </w:p>
    <w:p w14:paraId="79F6F73C"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Así mismo, señala la obligación a cargo del Defensor del Pueblo de establecer los requisitos mínimos con los que deben cumplir los defensores públicos, de acuerdo a cada una de las categorías que sugiere la ley, </w:t>
      </w:r>
    </w:p>
    <w:p w14:paraId="1277BE52" w14:textId="77777777" w:rsidR="005C79FE" w:rsidRPr="00FF66FF" w:rsidRDefault="005C79FE" w:rsidP="00A42B79">
      <w:pPr>
        <w:pStyle w:val="P26"/>
        <w:jc w:val="both"/>
        <w:rPr>
          <w:rFonts w:ascii="Trebuchet MS" w:hAnsi="Trebuchet MS" w:cs="Arial"/>
          <w:szCs w:val="22"/>
          <w:lang w:val="es-CO" w:eastAsia="es-CO"/>
        </w:rPr>
      </w:pPr>
    </w:p>
    <w:p w14:paraId="16CD1DA4" w14:textId="77777777" w:rsidR="005C79FE" w:rsidRPr="00FF66FF"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28. Requisitos mínimos. El Defensor del Pueblo establecerá mediante reglamento los requisitos mínimos que deberán cumplir los defensores públicos de acuerdo con las categorías a que se refiere este capítulo, así como para contratar abogados particulares en aquellas regiones apartadas del país en donde sea insuficiente o no exista oferta de servicios profesionales para la prestación del servicio de defensoría pública.”</w:t>
      </w:r>
    </w:p>
    <w:p w14:paraId="55F6EBDA" w14:textId="77777777" w:rsidR="005C79FE" w:rsidRPr="00FF66FF" w:rsidRDefault="005C79FE" w:rsidP="00A42B79">
      <w:pPr>
        <w:pStyle w:val="P26"/>
        <w:jc w:val="both"/>
        <w:rPr>
          <w:rFonts w:ascii="Trebuchet MS" w:hAnsi="Trebuchet MS" w:cs="Arial"/>
          <w:szCs w:val="22"/>
          <w:lang w:val="es-CO" w:eastAsia="es-CO"/>
        </w:rPr>
      </w:pPr>
    </w:p>
    <w:p w14:paraId="7CC2EAC6"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Finalmente, la Ley 941/2005 establece la obligación de establecer remuneraciones que atiendan a los criterios de dignidad, proporcionalidad entre otros, que redundan en el mejoramiento de la prestación del servicio de cara al ciudadano, así: </w:t>
      </w:r>
    </w:p>
    <w:p w14:paraId="5CB5B34D" w14:textId="77777777" w:rsidR="005C79FE" w:rsidRPr="00FF66FF" w:rsidRDefault="005C79FE" w:rsidP="00A42B79">
      <w:pPr>
        <w:pStyle w:val="P26"/>
        <w:jc w:val="both"/>
        <w:rPr>
          <w:rFonts w:ascii="Trebuchet MS" w:hAnsi="Trebuchet MS" w:cs="Arial"/>
          <w:szCs w:val="22"/>
          <w:lang w:val="es-CO" w:eastAsia="es-CO"/>
        </w:rPr>
      </w:pPr>
    </w:p>
    <w:p w14:paraId="41AC771A" w14:textId="77777777" w:rsidR="005C79FE" w:rsidRDefault="005C79FE" w:rsidP="00A42B79">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29. Remuneración. El Defensor del Pueblo establecerá el sistema de remuneración de los defensores públicos, el cual deberá atender criterios de dignidad, proporcionalidad, carga procesal o complejidad de asuntos, categoría de los funcionarios ante quienes se actúe y tarifas profesionales vigentes.”</w:t>
      </w:r>
    </w:p>
    <w:p w14:paraId="1061EA07" w14:textId="77777777" w:rsidR="005C79FE" w:rsidRPr="00FF66FF" w:rsidRDefault="005C79FE" w:rsidP="00A42B79">
      <w:pPr>
        <w:pStyle w:val="P26"/>
        <w:jc w:val="both"/>
        <w:rPr>
          <w:rFonts w:ascii="Trebuchet MS" w:hAnsi="Trebuchet MS" w:cs="Arial"/>
          <w:i/>
          <w:szCs w:val="22"/>
          <w:lang w:val="es-CO" w:eastAsia="es-CO"/>
        </w:rPr>
      </w:pPr>
    </w:p>
    <w:p w14:paraId="175BD042" w14:textId="77777777" w:rsidR="005C79FE" w:rsidRPr="00FF66FF" w:rsidRDefault="005C79FE" w:rsidP="00A42B79">
      <w:pPr>
        <w:pStyle w:val="P26"/>
        <w:jc w:val="both"/>
        <w:rPr>
          <w:rFonts w:ascii="Trebuchet MS" w:hAnsi="Trebuchet MS" w:cs="Arial"/>
          <w:szCs w:val="22"/>
          <w:lang w:val="es-CO" w:eastAsia="es-CO"/>
        </w:rPr>
      </w:pPr>
      <w:r w:rsidRPr="00FF66FF">
        <w:rPr>
          <w:rFonts w:ascii="Trebuchet MS" w:hAnsi="Trebuchet MS" w:cs="Arial"/>
          <w:szCs w:val="22"/>
          <w:lang w:val="es-CO" w:eastAsia="es-CO"/>
        </w:rPr>
        <w:t>Al respecto se precisa de suma importancia indicar, que la categorización establecida en estos actos administrativos obedece a la dignificación del ejercicio del defensor público, pues con ellas se establece de manera proporcional sus honorarios a la complejidad de los asuntos a su cargo, así como una redistribución de cargas procesales, lo que justifica la diferenciación frente a los requisitos mínimos exigidos para cada una de ellas.</w:t>
      </w:r>
    </w:p>
    <w:p w14:paraId="385132EB" w14:textId="77777777" w:rsidR="005C79FE" w:rsidRPr="00FF66FF" w:rsidRDefault="005C79FE" w:rsidP="00A42B79">
      <w:pPr>
        <w:tabs>
          <w:tab w:val="left" w:pos="-720"/>
          <w:tab w:val="left" w:pos="0"/>
        </w:tabs>
        <w:suppressAutoHyphens/>
        <w:jc w:val="both"/>
        <w:rPr>
          <w:rFonts w:ascii="Trebuchet MS" w:hAnsi="Trebuchet MS"/>
          <w:sz w:val="22"/>
          <w:szCs w:val="22"/>
        </w:rPr>
      </w:pPr>
    </w:p>
    <w:p w14:paraId="1E1B2B07" w14:textId="77777777" w:rsidR="005C79FE" w:rsidRDefault="005C79FE" w:rsidP="00A42B79">
      <w:pPr>
        <w:tabs>
          <w:tab w:val="left" w:pos="-720"/>
          <w:tab w:val="left" w:pos="0"/>
        </w:tabs>
        <w:suppressAutoHyphens/>
        <w:jc w:val="both"/>
        <w:rPr>
          <w:rFonts w:ascii="Trebuchet MS" w:hAnsi="Trebuchet MS" w:cs="Arial"/>
          <w:i/>
          <w:sz w:val="22"/>
          <w:szCs w:val="22"/>
        </w:rPr>
      </w:pPr>
      <w:r>
        <w:rPr>
          <w:rFonts w:ascii="Trebuchet MS" w:hAnsi="Trebuchet MS"/>
          <w:sz w:val="22"/>
          <w:szCs w:val="22"/>
        </w:rPr>
        <w:t>E</w:t>
      </w:r>
      <w:r w:rsidRPr="00FF66FF">
        <w:rPr>
          <w:rFonts w:ascii="Trebuchet MS" w:hAnsi="Trebuchet MS"/>
          <w:sz w:val="22"/>
          <w:szCs w:val="22"/>
        </w:rPr>
        <w:t xml:space="preserve">n </w:t>
      </w:r>
      <w:r>
        <w:rPr>
          <w:rFonts w:ascii="Trebuchet MS" w:hAnsi="Trebuchet MS"/>
          <w:sz w:val="22"/>
          <w:szCs w:val="22"/>
        </w:rPr>
        <w:t>c</w:t>
      </w:r>
      <w:r w:rsidRPr="00FF66FF">
        <w:rPr>
          <w:rFonts w:ascii="Trebuchet MS" w:hAnsi="Trebuchet MS"/>
          <w:sz w:val="22"/>
          <w:szCs w:val="22"/>
        </w:rPr>
        <w:t xml:space="preserve">ongruencia con lo expuesto, el parágrafo No 1 del </w:t>
      </w:r>
      <w:r w:rsidRPr="00FF66FF">
        <w:rPr>
          <w:rFonts w:ascii="Trebuchet MS" w:hAnsi="Trebuchet MS" w:cs="Arial"/>
          <w:sz w:val="22"/>
          <w:szCs w:val="22"/>
        </w:rPr>
        <w:t xml:space="preserve">Artículo 17 del Decreto Ley 025 de 2014 </w:t>
      </w:r>
      <w:r w:rsidRPr="00FF66FF">
        <w:rPr>
          <w:rFonts w:ascii="Trebuchet MS" w:hAnsi="Trebuchet MS"/>
          <w:i/>
          <w:sz w:val="22"/>
          <w:szCs w:val="22"/>
        </w:rPr>
        <w:t>Por el cual se modifica la estructura orgánica y se establece la organización y funcionamiento de la Defensoría del Pueblo</w:t>
      </w:r>
      <w:r w:rsidRPr="00FF66FF">
        <w:rPr>
          <w:rFonts w:ascii="Trebuchet MS" w:hAnsi="Trebuchet MS"/>
          <w:sz w:val="22"/>
          <w:szCs w:val="22"/>
        </w:rPr>
        <w:t xml:space="preserve"> </w:t>
      </w:r>
      <w:r w:rsidRPr="00FF66FF">
        <w:rPr>
          <w:rFonts w:ascii="Trebuchet MS" w:hAnsi="Trebuchet MS" w:cs="Arial"/>
          <w:sz w:val="22"/>
          <w:szCs w:val="22"/>
        </w:rPr>
        <w:t xml:space="preserve">definió el término de Operador del Sistema Nacional de Defensoría Pública como </w:t>
      </w:r>
      <w:r w:rsidRPr="00FF66FF">
        <w:rPr>
          <w:rFonts w:ascii="Trebuchet MS" w:hAnsi="Trebuchet MS" w:cs="Arial"/>
          <w:i/>
          <w:sz w:val="22"/>
          <w:szCs w:val="22"/>
        </w:rPr>
        <w:t xml:space="preserve">“los defensores públicos vinculados mediante contrato de prestación de servicios profesionales y los abogados particulares que intervengan como defensores públicos para las excepciones previstas en esta ley. (…)” </w:t>
      </w:r>
    </w:p>
    <w:p w14:paraId="134E743A" w14:textId="77777777" w:rsidR="005C79FE" w:rsidRPr="00FF66FF" w:rsidRDefault="005C79FE" w:rsidP="00A42B79">
      <w:pPr>
        <w:tabs>
          <w:tab w:val="left" w:pos="-720"/>
          <w:tab w:val="left" w:pos="0"/>
        </w:tabs>
        <w:suppressAutoHyphens/>
        <w:jc w:val="both"/>
        <w:rPr>
          <w:rFonts w:ascii="Trebuchet MS" w:hAnsi="Trebuchet MS" w:cs="Arial"/>
          <w:i/>
          <w:sz w:val="22"/>
          <w:szCs w:val="22"/>
        </w:rPr>
      </w:pPr>
    </w:p>
    <w:p w14:paraId="43CD8FE4" w14:textId="77777777" w:rsidR="005C79FE" w:rsidRPr="00FF66FF"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Sobre las bases legales precitadas, conviene precisar que la Defensoría del Pueblo, mediante resoluciones 939 y 1281 del año 2018, estableció las categorías, requisitos mínimos y honorarios de los Defensores Públicos del Sistema y del Servicio nacional de Defensoría Pública. Así mismo mediante resolución 1008 de 2018, el Ente Defensorial determinó las áreas en las que se presta el servicio de Defensoría Pública, de la siguiente manera:</w:t>
      </w:r>
    </w:p>
    <w:p w14:paraId="4015E7DC"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236CA815"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PENAL</w:t>
      </w:r>
    </w:p>
    <w:p w14:paraId="1A78FA35"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2E238F28" w14:textId="77777777" w:rsidR="005C79FE" w:rsidRDefault="005C79FE" w:rsidP="00A42B79">
      <w:pPr>
        <w:tabs>
          <w:tab w:val="left" w:pos="-720"/>
          <w:tab w:val="left" w:pos="0"/>
        </w:tabs>
        <w:suppressAutoHyphens/>
        <w:jc w:val="both"/>
        <w:rPr>
          <w:rFonts w:ascii="Trebuchet MS" w:hAnsi="Trebuchet MS" w:cs="Arial"/>
          <w:b/>
          <w:sz w:val="22"/>
          <w:szCs w:val="22"/>
        </w:rPr>
      </w:pPr>
      <w:r w:rsidRPr="00FF66FF">
        <w:rPr>
          <w:rFonts w:ascii="Trebuchet MS" w:hAnsi="Trebuchet MS" w:cs="Arial"/>
          <w:sz w:val="22"/>
          <w:szCs w:val="22"/>
        </w:rPr>
        <w:t></w:t>
      </w:r>
      <w:r w:rsidRPr="00FF66FF">
        <w:rPr>
          <w:rFonts w:ascii="Trebuchet MS" w:hAnsi="Trebuchet MS" w:cs="Arial"/>
          <w:sz w:val="22"/>
          <w:szCs w:val="22"/>
        </w:rPr>
        <w:tab/>
      </w:r>
      <w:r w:rsidRPr="00FF66FF">
        <w:rPr>
          <w:rFonts w:ascii="Trebuchet MS" w:hAnsi="Trebuchet MS" w:cs="Arial"/>
          <w:b/>
          <w:sz w:val="22"/>
          <w:szCs w:val="22"/>
        </w:rPr>
        <w:t>Sub Área de Procesados y Condenados</w:t>
      </w:r>
    </w:p>
    <w:p w14:paraId="2537CB72" w14:textId="77777777" w:rsidR="005C79FE" w:rsidRPr="00FF66FF" w:rsidRDefault="005C79FE" w:rsidP="00A42B79">
      <w:pPr>
        <w:tabs>
          <w:tab w:val="left" w:pos="-720"/>
          <w:tab w:val="left" w:pos="0"/>
        </w:tabs>
        <w:suppressAutoHyphens/>
        <w:jc w:val="both"/>
        <w:rPr>
          <w:rFonts w:ascii="Trebuchet MS" w:hAnsi="Trebuchet MS" w:cs="Arial"/>
          <w:b/>
          <w:sz w:val="22"/>
          <w:szCs w:val="22"/>
        </w:rPr>
      </w:pPr>
    </w:p>
    <w:p w14:paraId="6884AD0D"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lastRenderedPageBreak/>
        <w:t></w:t>
      </w:r>
      <w:r w:rsidRPr="00FF66FF">
        <w:rPr>
          <w:rFonts w:ascii="Trebuchet MS" w:hAnsi="Trebuchet MS" w:cs="Arial"/>
          <w:sz w:val="22"/>
          <w:szCs w:val="22"/>
        </w:rPr>
        <w:tab/>
        <w:t>Penal General. Sistema penal mixto – Sistema Penal Oral Acusatorio – Postulados Justicia y Paz – Responsabilidad Penal de Adolescentes – Beneficios Jurídicos y Administrativos para condenados – Desmovilizados – Programa Penal ante Jueces Especializados en Cundinamarca</w:t>
      </w:r>
    </w:p>
    <w:p w14:paraId="44EFC75B"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DBFBCA9"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Casación, Revisión y Extradición.</w:t>
      </w:r>
    </w:p>
    <w:p w14:paraId="7FB5679F"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6D5542DC"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Penal militar</w:t>
      </w:r>
    </w:p>
    <w:p w14:paraId="7AF2D4C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0D8BA11"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256702CE"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7BE37080" w14:textId="77777777" w:rsidR="005C79FE" w:rsidRPr="00FF66FF"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r>
      <w:r w:rsidRPr="00FF66FF">
        <w:rPr>
          <w:rFonts w:ascii="Trebuchet MS" w:hAnsi="Trebuchet MS" w:cs="Arial"/>
          <w:b/>
          <w:sz w:val="22"/>
          <w:szCs w:val="22"/>
        </w:rPr>
        <w:t>Sub Área de Víctimas</w:t>
      </w:r>
    </w:p>
    <w:p w14:paraId="5F5FCC4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Víctimas General. Justicia y Paz – Infancia y adolescencia – Víctimas de género – Restitución de Tierras – Víctimas con ocasión del conflicto armando – Trata de personas y normas para la atención y protección de las víctimas de la misma – Feminicidio y minorías étnicas.</w:t>
      </w:r>
    </w:p>
    <w:p w14:paraId="792C50F3"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42A6AF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 xml:space="preserve">Víctimas en Justicia y Paz. </w:t>
      </w:r>
    </w:p>
    <w:p w14:paraId="5A568D2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4570E71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175DDE08"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71BA4BD"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DE DERECHO PÚBLICO Y PRIVADO</w:t>
      </w:r>
    </w:p>
    <w:p w14:paraId="4A8B933E"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679C8E4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General de Derecho Público y Privado. Laboral – Civil Familia – Administrativo – Restitución de tierras – Extinción de dominio y centro de conciliación.</w:t>
      </w:r>
    </w:p>
    <w:p w14:paraId="7C0B5B69"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ABEC3A1"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Restitución de tierras y civil familia</w:t>
      </w:r>
    </w:p>
    <w:p w14:paraId="6363D453"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7D5500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Administrativo</w:t>
      </w:r>
    </w:p>
    <w:p w14:paraId="1D6B7775"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3ED27A5A"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Laboral</w:t>
      </w:r>
    </w:p>
    <w:p w14:paraId="2BACA70A"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1990E40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p>
    <w:p w14:paraId="6688BFA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272C4A39" w14:textId="77777777" w:rsidR="005C79FE" w:rsidRDefault="005C79FE" w:rsidP="00A42B79">
      <w:pPr>
        <w:tabs>
          <w:tab w:val="left" w:pos="-720"/>
          <w:tab w:val="left" w:pos="0"/>
        </w:tabs>
        <w:suppressAutoHyphens/>
        <w:jc w:val="both"/>
        <w:rPr>
          <w:rFonts w:ascii="Trebuchet MS" w:hAnsi="Trebuchet MS" w:cs="Arial"/>
          <w:b/>
          <w:i/>
          <w:sz w:val="22"/>
          <w:szCs w:val="22"/>
        </w:rPr>
      </w:pPr>
      <w:r w:rsidRPr="00FF66FF">
        <w:rPr>
          <w:rFonts w:ascii="Trebuchet MS" w:hAnsi="Trebuchet MS" w:cs="Arial"/>
          <w:b/>
          <w:i/>
          <w:sz w:val="22"/>
          <w:szCs w:val="22"/>
        </w:rPr>
        <w:t>ÁREA ESPECIAL</w:t>
      </w:r>
    </w:p>
    <w:p w14:paraId="6928322A" w14:textId="77777777" w:rsidR="005C79FE" w:rsidRPr="00FF66FF" w:rsidRDefault="005C79FE" w:rsidP="00A42B79">
      <w:pPr>
        <w:tabs>
          <w:tab w:val="left" w:pos="-720"/>
          <w:tab w:val="left" w:pos="0"/>
        </w:tabs>
        <w:suppressAutoHyphens/>
        <w:jc w:val="both"/>
        <w:rPr>
          <w:rFonts w:ascii="Trebuchet MS" w:hAnsi="Trebuchet MS" w:cs="Arial"/>
          <w:b/>
          <w:i/>
          <w:sz w:val="22"/>
          <w:szCs w:val="22"/>
        </w:rPr>
      </w:pPr>
    </w:p>
    <w:p w14:paraId="46195DB5"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Promiscuo: Sistema Penal Mixto – Sistema Penal Oral Acusatorio – Postulados Justicia y Paz – Responsabilidad Penal de Adolescentes – Desmovilizados – Civil Familia – Laboral – Administrativo – Restitución de Tierras – Extinción de Dominio – Centro de Conciliación</w:t>
      </w:r>
      <w:r>
        <w:rPr>
          <w:rFonts w:ascii="Trebuchet MS" w:hAnsi="Trebuchet MS" w:cs="Arial"/>
          <w:sz w:val="22"/>
          <w:szCs w:val="22"/>
        </w:rPr>
        <w:t>.</w:t>
      </w:r>
    </w:p>
    <w:p w14:paraId="562CCA89"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F62C52F"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Minorías Étnicas</w:t>
      </w:r>
      <w:r>
        <w:rPr>
          <w:rFonts w:ascii="Trebuchet MS" w:hAnsi="Trebuchet MS" w:cs="Arial"/>
          <w:sz w:val="22"/>
          <w:szCs w:val="22"/>
        </w:rPr>
        <w:t>.</w:t>
      </w:r>
    </w:p>
    <w:p w14:paraId="5B3366A0"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DF4FE10"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Programa Coordinación Académica</w:t>
      </w:r>
      <w:r>
        <w:rPr>
          <w:rFonts w:ascii="Trebuchet MS" w:hAnsi="Trebuchet MS" w:cs="Arial"/>
          <w:sz w:val="22"/>
          <w:szCs w:val="22"/>
        </w:rPr>
        <w:t>.</w:t>
      </w:r>
    </w:p>
    <w:p w14:paraId="1AC381E8"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95B6FCE"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w:t>
      </w:r>
      <w:r w:rsidRPr="00FF66FF">
        <w:rPr>
          <w:rFonts w:ascii="Trebuchet MS" w:hAnsi="Trebuchet MS" w:cs="Arial"/>
          <w:sz w:val="22"/>
          <w:szCs w:val="22"/>
        </w:rPr>
        <w:tab/>
        <w:t>Otros que demande el servicio de Defensoría Pública</w:t>
      </w:r>
      <w:r>
        <w:rPr>
          <w:rFonts w:ascii="Trebuchet MS" w:hAnsi="Trebuchet MS" w:cs="Arial"/>
          <w:sz w:val="22"/>
          <w:szCs w:val="22"/>
        </w:rPr>
        <w:t>.</w:t>
      </w:r>
    </w:p>
    <w:p w14:paraId="23DD1977"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7426A5B8"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Una vez expedidos estos actos administrativos y aquellos a través de los cuales se determinaron los distritos, circuitos judiciales y municipios de las Jurisdicciones Ordinaria y de lo Contencioso Administrativo, así como las sedes y unidades militares a los despachos judiciales de la jurisdicción Penal Militar y Policial de primera instancia (Res. N°1009 de 2018, 049, 050 y 051 de 2019), se realizaron estudios técnicos de cargas procesales atendiendo cada una de estas variables, a fin de establecer el número de defensores públicos con los cuales se garantizaría la cobertura del servicio en todo el territorio nacional y con ello hacer un ejercicio de contratación planeado y ajustado a la demanda del servicio así como a los postulados de la contratación estatal colombiana.</w:t>
      </w:r>
    </w:p>
    <w:p w14:paraId="09B08C97"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550E435D" w14:textId="77777777"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lastRenderedPageBreak/>
        <w:t>Dicho estudio arrojó como resultado que se requerían un total de 3.632 defensores</w:t>
      </w:r>
      <w:r>
        <w:rPr>
          <w:rFonts w:ascii="Trebuchet MS" w:hAnsi="Trebuchet MS" w:cs="Arial"/>
          <w:sz w:val="22"/>
          <w:szCs w:val="22"/>
        </w:rPr>
        <w:t xml:space="preserve"> públicos en el territorio nacional</w:t>
      </w:r>
      <w:r w:rsidRPr="00FF66FF">
        <w:rPr>
          <w:rFonts w:ascii="Trebuchet MS" w:hAnsi="Trebuchet MS" w:cs="Arial"/>
          <w:sz w:val="22"/>
          <w:szCs w:val="22"/>
        </w:rPr>
        <w:t>, discriminados por categoría, programa, distrito o circuito judicial y fue así como sobre la base del mismo se dio inicio al proceso de selección de defensores públicos, con la resolución No 052</w:t>
      </w:r>
      <w:r>
        <w:rPr>
          <w:rFonts w:ascii="Trebuchet MS" w:hAnsi="Trebuchet MS" w:cs="Arial"/>
          <w:sz w:val="22"/>
          <w:szCs w:val="22"/>
        </w:rPr>
        <w:t xml:space="preserve"> de 2019</w:t>
      </w:r>
      <w:r w:rsidRPr="00FF66FF">
        <w:rPr>
          <w:rFonts w:ascii="Trebuchet MS" w:hAnsi="Trebuchet MS" w:cs="Arial"/>
          <w:sz w:val="22"/>
          <w:szCs w:val="22"/>
        </w:rPr>
        <w:t xml:space="preserve"> y su respectivo anexo</w:t>
      </w:r>
      <w:r>
        <w:rPr>
          <w:rFonts w:ascii="Trebuchet MS" w:hAnsi="Trebuchet MS" w:cs="Arial"/>
          <w:sz w:val="22"/>
          <w:szCs w:val="22"/>
        </w:rPr>
        <w:t>.</w:t>
      </w:r>
    </w:p>
    <w:p w14:paraId="1F3B1DB4" w14:textId="77777777" w:rsidR="005C79FE" w:rsidRDefault="005C79FE" w:rsidP="00A42B79">
      <w:pPr>
        <w:tabs>
          <w:tab w:val="left" w:pos="-720"/>
          <w:tab w:val="left" w:pos="0"/>
        </w:tabs>
        <w:suppressAutoHyphens/>
        <w:jc w:val="both"/>
        <w:rPr>
          <w:rFonts w:ascii="Trebuchet MS" w:hAnsi="Trebuchet MS" w:cs="Arial"/>
          <w:sz w:val="22"/>
          <w:szCs w:val="22"/>
        </w:rPr>
      </w:pPr>
    </w:p>
    <w:p w14:paraId="39EF50D7" w14:textId="77777777" w:rsidR="005C79FE" w:rsidRDefault="005C79FE" w:rsidP="00A42B79">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Así mismo y en el marco del proceso referido, se expidió la resolución No 084 del año 2019, en la que se le otorgó efectos jurídicos a la lista definitiva de resultados, de la siguiente manera:</w:t>
      </w:r>
    </w:p>
    <w:p w14:paraId="2CFD28C4" w14:textId="77777777" w:rsidR="005C79FE" w:rsidRDefault="005C79FE" w:rsidP="00A42B79">
      <w:pPr>
        <w:tabs>
          <w:tab w:val="left" w:pos="-720"/>
          <w:tab w:val="left" w:pos="0"/>
        </w:tabs>
        <w:suppressAutoHyphens/>
        <w:jc w:val="both"/>
        <w:rPr>
          <w:rFonts w:ascii="Trebuchet MS" w:hAnsi="Trebuchet MS" w:cs="Arial"/>
          <w:sz w:val="22"/>
          <w:szCs w:val="22"/>
        </w:rPr>
      </w:pPr>
    </w:p>
    <w:p w14:paraId="0711A6D2" w14:textId="77777777" w:rsidR="005C79FE" w:rsidRDefault="005C79FE" w:rsidP="00F41F57">
      <w:pPr>
        <w:tabs>
          <w:tab w:val="left" w:pos="-720"/>
          <w:tab w:val="left" w:pos="0"/>
        </w:tabs>
        <w:suppressAutoHyphens/>
        <w:jc w:val="both"/>
        <w:rPr>
          <w:rFonts w:ascii="Trebuchet MS" w:hAnsi="Trebuchet MS" w:cs="Arial"/>
          <w:i/>
          <w:sz w:val="22"/>
          <w:szCs w:val="22"/>
        </w:rPr>
      </w:pPr>
      <w:r w:rsidRPr="00F41F57">
        <w:rPr>
          <w:rFonts w:ascii="Trebuchet MS" w:hAnsi="Trebuchet MS" w:cs="Arial"/>
          <w:i/>
          <w:sz w:val="22"/>
          <w:szCs w:val="22"/>
        </w:rPr>
        <w:t>“(…) ARTÍCULO 1. Modificar el título final “Vigencia de la lista” del anexo de la Resolución No. 052 de 2019,  el cual quedará así: VIGENCIA DE LA LISTA DEFINITIVA  DE RESULTADOS. La lista definitiva de resultados tendrá una vigencia de tres (3) años, contados a partir del día siguiente de su publicación en la página web www.selecciondefensorespublicos.com, de  la  cual  se  seleccionarán  los  defensores públicos  en estricto   orden  descendente de calificación,  hasta  completar  las plazas ofertadas en todo el país, por programa,  distrito  o circuito  y categoría.</w:t>
      </w:r>
    </w:p>
    <w:p w14:paraId="4B3981EE" w14:textId="77777777" w:rsidR="005C79FE" w:rsidRPr="00F41F57" w:rsidRDefault="005C79FE" w:rsidP="00F41F57">
      <w:pPr>
        <w:tabs>
          <w:tab w:val="left" w:pos="-720"/>
          <w:tab w:val="left" w:pos="0"/>
        </w:tabs>
        <w:suppressAutoHyphens/>
        <w:jc w:val="both"/>
        <w:rPr>
          <w:rFonts w:ascii="Trebuchet MS" w:hAnsi="Trebuchet MS" w:cs="Arial"/>
          <w:i/>
          <w:sz w:val="22"/>
          <w:szCs w:val="22"/>
        </w:rPr>
      </w:pPr>
    </w:p>
    <w:p w14:paraId="783A77C6" w14:textId="77777777" w:rsidR="005C79FE" w:rsidRDefault="005C79FE" w:rsidP="00F41F57">
      <w:pPr>
        <w:tabs>
          <w:tab w:val="left" w:pos="-720"/>
          <w:tab w:val="left" w:pos="0"/>
        </w:tabs>
        <w:suppressAutoHyphens/>
        <w:jc w:val="both"/>
        <w:rPr>
          <w:rFonts w:ascii="Trebuchet MS" w:hAnsi="Trebuchet MS" w:cs="Arial"/>
          <w:sz w:val="22"/>
          <w:szCs w:val="22"/>
        </w:rPr>
      </w:pPr>
      <w:r w:rsidRPr="00F41F57">
        <w:rPr>
          <w:rFonts w:ascii="Trebuchet MS" w:hAnsi="Trebuchet MS" w:cs="Arial"/>
          <w:b/>
          <w:i/>
          <w:sz w:val="22"/>
          <w:szCs w:val="22"/>
          <w:u w:val="single"/>
        </w:rPr>
        <w:t>Quienes no  alcanzaron  a  ocupar  las plazas  ofertadas,   conformarán  un  listado  de interesados,  del que trata el numeral 6 del artículo  17 del Decreto Ley 025 de 2014, del cual la Defensoría del Pueblo seleccionará en lo sucesivo a los defensores públicos, por necesidades del servicio,  en estricto orden descendente de calificaciones, por programa, distrito  o circuito  y categoría, hasta el fenecimiento  del término de vigencia de la lista definitiva de resultados</w:t>
      </w:r>
      <w:r w:rsidRPr="00F41F57">
        <w:rPr>
          <w:rFonts w:ascii="Trebuchet MS" w:hAnsi="Trebuchet MS" w:cs="Arial"/>
          <w:i/>
          <w:sz w:val="22"/>
          <w:szCs w:val="22"/>
        </w:rPr>
        <w:t xml:space="preserve"> (…)”.</w:t>
      </w:r>
      <w:r>
        <w:rPr>
          <w:rFonts w:ascii="Trebuchet MS" w:hAnsi="Trebuchet MS" w:cs="Arial"/>
          <w:sz w:val="22"/>
          <w:szCs w:val="22"/>
        </w:rPr>
        <w:t>(Subrayado y negrilla fuera de texto)</w:t>
      </w:r>
    </w:p>
    <w:p w14:paraId="7611F1D8" w14:textId="77777777" w:rsidR="005C79FE" w:rsidRDefault="005C79FE" w:rsidP="00F41F57">
      <w:pPr>
        <w:tabs>
          <w:tab w:val="left" w:pos="-720"/>
          <w:tab w:val="left" w:pos="0"/>
        </w:tabs>
        <w:suppressAutoHyphens/>
        <w:jc w:val="both"/>
        <w:rPr>
          <w:rFonts w:ascii="Trebuchet MS" w:hAnsi="Trebuchet MS" w:cs="Arial"/>
          <w:sz w:val="22"/>
          <w:szCs w:val="22"/>
        </w:rPr>
      </w:pPr>
    </w:p>
    <w:p w14:paraId="43FA9A23" w14:textId="37C1B5FF" w:rsidR="0045668D" w:rsidRPr="0045668D" w:rsidRDefault="0045668D" w:rsidP="0045668D">
      <w:pPr>
        <w:tabs>
          <w:tab w:val="left" w:pos="-720"/>
          <w:tab w:val="left" w:pos="0"/>
        </w:tabs>
        <w:suppressAutoHyphens/>
        <w:jc w:val="both"/>
        <w:rPr>
          <w:rFonts w:ascii="Trebuchet MS" w:hAnsi="Trebuchet MS" w:cs="Arial"/>
          <w:sz w:val="22"/>
          <w:szCs w:val="22"/>
        </w:rPr>
      </w:pPr>
      <w:r w:rsidRPr="0045668D">
        <w:rPr>
          <w:rFonts w:ascii="Trebuchet MS" w:hAnsi="Trebuchet MS" w:cs="Arial"/>
          <w:sz w:val="22"/>
          <w:szCs w:val="22"/>
        </w:rPr>
        <w:t xml:space="preserve">Que a la fecha en la que se emite </w:t>
      </w:r>
      <w:r>
        <w:rPr>
          <w:rFonts w:ascii="Trebuchet MS" w:hAnsi="Trebuchet MS" w:cs="Arial"/>
          <w:sz w:val="22"/>
          <w:szCs w:val="22"/>
        </w:rPr>
        <w:t>el presente estudio previo</w:t>
      </w:r>
      <w:r w:rsidRPr="0045668D">
        <w:rPr>
          <w:rFonts w:ascii="Trebuchet MS" w:hAnsi="Trebuchet MS" w:cs="Arial"/>
          <w:sz w:val="22"/>
          <w:szCs w:val="22"/>
        </w:rPr>
        <w:t>, la Defensoría del Pueblo ha advertido que se encuentra agotado el listado de interesados conformado en virtud de la resolución No 084 de 2019, en lo que respecta a la categoría y programa requerido, en tanto no se tiene profesional del derecho para ocupar dicha plaza y aquellos que se encuentran incluidos en tal listado no han aceptado las ofertas efectuadas para ocuparla.</w:t>
      </w:r>
    </w:p>
    <w:p w14:paraId="7FF81005" w14:textId="77777777" w:rsidR="0045668D" w:rsidRPr="0045668D" w:rsidRDefault="0045668D" w:rsidP="0045668D">
      <w:pPr>
        <w:tabs>
          <w:tab w:val="left" w:pos="-720"/>
          <w:tab w:val="left" w:pos="0"/>
        </w:tabs>
        <w:suppressAutoHyphens/>
        <w:jc w:val="both"/>
        <w:rPr>
          <w:rFonts w:ascii="Trebuchet MS" w:hAnsi="Trebuchet MS" w:cs="Arial"/>
          <w:sz w:val="22"/>
          <w:szCs w:val="22"/>
        </w:rPr>
      </w:pPr>
    </w:p>
    <w:p w14:paraId="774006BF" w14:textId="0765DE77" w:rsidR="005C79FE" w:rsidRDefault="0045668D" w:rsidP="0045668D">
      <w:pPr>
        <w:tabs>
          <w:tab w:val="left" w:pos="-720"/>
          <w:tab w:val="left" w:pos="0"/>
        </w:tabs>
        <w:suppressAutoHyphens/>
        <w:jc w:val="both"/>
        <w:rPr>
          <w:rFonts w:ascii="Trebuchet MS" w:hAnsi="Trebuchet MS" w:cs="Arial"/>
          <w:sz w:val="22"/>
          <w:szCs w:val="22"/>
        </w:rPr>
      </w:pPr>
      <w:r w:rsidRPr="0045668D">
        <w:rPr>
          <w:rFonts w:ascii="Trebuchet MS" w:hAnsi="Trebuchet MS" w:cs="Arial"/>
          <w:sz w:val="22"/>
          <w:szCs w:val="22"/>
        </w:rPr>
        <w:t>Que teniendo en cuenta que a la fecha, persiste la necesidad de contratar profesionales del derecho para que en calidad de defensores públicos garanticen la “</w:t>
      </w:r>
      <w:r w:rsidRPr="0045668D">
        <w:rPr>
          <w:rFonts w:ascii="Trebuchet MS" w:hAnsi="Trebuchet MS" w:cs="Arial"/>
          <w:i/>
          <w:iCs/>
          <w:sz w:val="22"/>
          <w:szCs w:val="22"/>
        </w:rPr>
        <w:t>prestación de servicios profesionales de abogado para la representación judicial o extrajudicial de los usuarios del servicio nacional de defensoría pública y la promoción, defensa, ejercicio y divulgación de los derechos humanos”</w:t>
      </w:r>
      <w:r w:rsidRPr="0045668D">
        <w:rPr>
          <w:rFonts w:ascii="Trebuchet MS" w:hAnsi="Trebuchet MS" w:cs="Arial"/>
          <w:sz w:val="22"/>
          <w:szCs w:val="22"/>
        </w:rPr>
        <w:t>, la Defensoría del Pueblo seleccionará los mismos en cumplimiento de lo dispuesto en las resoluciones 939 y 1281 de 2018, en especial de lo dispuesto en la resolución No 1123 del año 2019.</w:t>
      </w:r>
    </w:p>
    <w:p w14:paraId="6A141F0B" w14:textId="77777777" w:rsidR="0045668D" w:rsidRPr="00FF66FF" w:rsidRDefault="0045668D" w:rsidP="0045668D">
      <w:pPr>
        <w:tabs>
          <w:tab w:val="left" w:pos="-720"/>
          <w:tab w:val="left" w:pos="0"/>
        </w:tabs>
        <w:suppressAutoHyphens/>
        <w:jc w:val="both"/>
        <w:rPr>
          <w:rFonts w:ascii="Trebuchet MS" w:hAnsi="Trebuchet MS" w:cs="Arial"/>
          <w:sz w:val="22"/>
          <w:szCs w:val="22"/>
        </w:rPr>
      </w:pPr>
    </w:p>
    <w:p w14:paraId="6E4FCFE9" w14:textId="50E18B2D" w:rsidR="005C79FE" w:rsidRDefault="005C79FE" w:rsidP="00A42B79">
      <w:pPr>
        <w:tabs>
          <w:tab w:val="left" w:pos="-720"/>
          <w:tab w:val="left" w:pos="0"/>
        </w:tabs>
        <w:suppressAutoHyphens/>
        <w:jc w:val="both"/>
        <w:rPr>
          <w:rFonts w:ascii="Trebuchet MS" w:hAnsi="Trebuchet MS" w:cs="Arial"/>
          <w:sz w:val="22"/>
          <w:szCs w:val="22"/>
        </w:rPr>
      </w:pPr>
      <w:r w:rsidRPr="00FF66FF">
        <w:rPr>
          <w:rFonts w:ascii="Trebuchet MS" w:hAnsi="Trebuchet MS" w:cs="Arial"/>
          <w:sz w:val="22"/>
          <w:szCs w:val="22"/>
        </w:rPr>
        <w:t>Así las cosas y con el propósito de garantizar la prestación continua e ininterrumpida del servicio de defensoría pública, se necesita contratar los servicios de Un (1) profesional en derecho para asumir la representación judicial o extrajudicial de los usuarios de dicho servicio</w:t>
      </w:r>
      <w:r>
        <w:rPr>
          <w:rFonts w:ascii="Trebuchet MS" w:hAnsi="Trebuchet MS" w:cs="Arial"/>
          <w:sz w:val="22"/>
          <w:szCs w:val="22"/>
        </w:rPr>
        <w:t>, en la categoría de</w:t>
      </w:r>
      <w:r w:rsidRPr="00FF66FF">
        <w:rPr>
          <w:rFonts w:ascii="Trebuchet MS" w:hAnsi="Trebuchet MS" w:cs="Arial"/>
          <w:sz w:val="22"/>
          <w:szCs w:val="22"/>
        </w:rPr>
        <w:t xml:space="preserve"> </w:t>
      </w:r>
      <w:r w:rsidR="006034D4">
        <w:rPr>
          <w:rFonts w:ascii="Trebuchet MS" w:hAnsi="Trebuchet MS" w:cs="Arial"/>
          <w:sz w:val="22"/>
          <w:szCs w:val="22"/>
        </w:rPr>
        <w:t>DEFENSORES PÚBLICOS ANTE LOS JUECES PENALES DEL CIRCUITO, CIRCUITO ESPECIALIZADO Y PENAL MILITAR</w:t>
      </w:r>
      <w:r w:rsidR="003E1CCB" w:rsidRPr="0030551C">
        <w:rPr>
          <w:rFonts w:ascii="Trebuchet MS" w:hAnsi="Trebuchet MS" w:cs="Arial"/>
          <w:sz w:val="22"/>
          <w:szCs w:val="22"/>
        </w:rPr>
        <w:t xml:space="preserve"> </w:t>
      </w:r>
      <w:r w:rsidRPr="003A0F14">
        <w:rPr>
          <w:rFonts w:ascii="Trebuchet MS" w:hAnsi="Trebuchet MS" w:cs="Arial"/>
          <w:sz w:val="22"/>
          <w:szCs w:val="22"/>
        </w:rPr>
        <w:t xml:space="preserve">en el programa </w:t>
      </w:r>
      <w:r w:rsidR="006034D4">
        <w:rPr>
          <w:rFonts w:ascii="Trebuchet MS" w:hAnsi="Trebuchet MS" w:cs="Arial"/>
          <w:sz w:val="22"/>
          <w:szCs w:val="22"/>
        </w:rPr>
        <w:t>PENAL GENERAL</w:t>
      </w:r>
      <w:r w:rsidRPr="003A0F14">
        <w:rPr>
          <w:rFonts w:ascii="Trebuchet MS" w:hAnsi="Trebuchet MS" w:cs="Arial"/>
          <w:sz w:val="22"/>
          <w:szCs w:val="22"/>
        </w:rPr>
        <w:t>.</w:t>
      </w:r>
      <w:r>
        <w:rPr>
          <w:rFonts w:ascii="Trebuchet MS" w:hAnsi="Trebuchet MS" w:cs="Arial"/>
          <w:sz w:val="22"/>
          <w:szCs w:val="22"/>
        </w:rPr>
        <w:t xml:space="preserve"> </w:t>
      </w:r>
    </w:p>
    <w:p w14:paraId="06E807AC" w14:textId="77777777" w:rsidR="005C79FE" w:rsidRPr="00FF66FF" w:rsidRDefault="005C79FE" w:rsidP="00A42B79">
      <w:pPr>
        <w:tabs>
          <w:tab w:val="left" w:pos="-720"/>
          <w:tab w:val="left" w:pos="0"/>
        </w:tabs>
        <w:suppressAutoHyphens/>
        <w:jc w:val="both"/>
        <w:rPr>
          <w:rFonts w:ascii="Trebuchet MS" w:hAnsi="Trebuchet MS" w:cs="Arial"/>
          <w:sz w:val="22"/>
          <w:szCs w:val="22"/>
        </w:rPr>
      </w:pPr>
    </w:p>
    <w:p w14:paraId="0E7B05DD" w14:textId="39E5D43B" w:rsidR="005C79FE" w:rsidRPr="00FF66FF" w:rsidRDefault="005C79FE" w:rsidP="00A42B79">
      <w:pPr>
        <w:tabs>
          <w:tab w:val="left" w:pos="-720"/>
          <w:tab w:val="left" w:pos="0"/>
        </w:tabs>
        <w:suppressAutoHyphens/>
        <w:jc w:val="both"/>
        <w:rPr>
          <w:rFonts w:ascii="Trebuchet MS" w:hAnsi="Trebuchet MS" w:cs="Arial"/>
          <w:iCs/>
          <w:sz w:val="22"/>
          <w:szCs w:val="22"/>
          <w:highlight w:val="yellow"/>
        </w:rPr>
      </w:pPr>
      <w:r w:rsidRPr="00FF66FF">
        <w:rPr>
          <w:rFonts w:ascii="Trebuchet MS" w:hAnsi="Trebuchet MS" w:cs="Arial"/>
          <w:sz w:val="22"/>
          <w:szCs w:val="22"/>
        </w:rPr>
        <w:t>La anterior contratación se encuentra incluida en el Plan de Adq</w:t>
      </w:r>
      <w:r w:rsidR="00985868">
        <w:rPr>
          <w:rFonts w:ascii="Trebuchet MS" w:hAnsi="Trebuchet MS" w:cs="Arial"/>
          <w:sz w:val="22"/>
          <w:szCs w:val="22"/>
        </w:rPr>
        <w:t>uisiciones para la vigencia 2020</w:t>
      </w:r>
      <w:r w:rsidRPr="00FF66FF">
        <w:rPr>
          <w:rFonts w:ascii="Trebuchet MS" w:hAnsi="Trebuchet MS" w:cs="Arial"/>
          <w:sz w:val="22"/>
          <w:szCs w:val="22"/>
        </w:rPr>
        <w:t>.</w:t>
      </w:r>
    </w:p>
    <w:p w14:paraId="209CA17D" w14:textId="0F2C2D9B" w:rsidR="005C79FE" w:rsidRDefault="005C79FE" w:rsidP="000E4D71">
      <w:pPr>
        <w:tabs>
          <w:tab w:val="left" w:pos="-720"/>
          <w:tab w:val="left" w:pos="0"/>
        </w:tabs>
        <w:suppressAutoHyphens/>
        <w:jc w:val="both"/>
        <w:rPr>
          <w:rFonts w:ascii="Trebuchet MS" w:hAnsi="Trebuchet MS" w:cs="Arial"/>
          <w:b/>
          <w:sz w:val="22"/>
          <w:szCs w:val="22"/>
        </w:rPr>
      </w:pPr>
    </w:p>
    <w:p w14:paraId="2CDE43CA" w14:textId="77777777" w:rsidR="0005019B" w:rsidRPr="008C37C4" w:rsidRDefault="0005019B" w:rsidP="000E4D71">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6B0C6DF6" w14:textId="77777777" w:rsidR="005C79FE" w:rsidRDefault="005C79FE" w:rsidP="000E4D71">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6AA571A9"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lastRenderedPageBreak/>
        <w:t xml:space="preserve">   </w:t>
      </w:r>
    </w:p>
    <w:p w14:paraId="680646BF"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3. OBLIGACIONES DEL CONTRATISTA:</w:t>
      </w:r>
    </w:p>
    <w:p w14:paraId="53D4EBDF" w14:textId="77777777" w:rsidR="005C79FE" w:rsidRDefault="005C79FE" w:rsidP="000E4D71">
      <w:pPr>
        <w:tabs>
          <w:tab w:val="left" w:pos="-720"/>
          <w:tab w:val="left" w:pos="0"/>
        </w:tabs>
        <w:suppressAutoHyphens/>
        <w:jc w:val="both"/>
        <w:rPr>
          <w:rFonts w:ascii="Trebuchet MS" w:hAnsi="Trebuchet MS" w:cs="Arial"/>
          <w:b/>
          <w:bCs/>
          <w:sz w:val="22"/>
          <w:szCs w:val="22"/>
          <w:u w:val="single"/>
        </w:rPr>
      </w:pPr>
    </w:p>
    <w:p w14:paraId="2A69A5BA" w14:textId="580CD7A2" w:rsidR="005C79FE"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w:t>
      </w:r>
      <w:r w:rsidR="00BB45A8" w:rsidRPr="007A2B6E">
        <w:rPr>
          <w:rFonts w:ascii="Trebuchet MS" w:hAnsi="Trebuchet MS" w:cs="Arial"/>
          <w:bCs/>
          <w:sz w:val="22"/>
          <w:szCs w:val="22"/>
        </w:rPr>
        <w:t>Constituir y publicar en la plataforma del SECOP II la garantía única exigida en el contrato.</w:t>
      </w:r>
      <w:r w:rsidR="00BB45A8">
        <w:rPr>
          <w:rFonts w:ascii="Trebuchet MS" w:hAnsi="Trebuchet MS" w:cs="Arial"/>
          <w:bCs/>
          <w:sz w:val="22"/>
          <w:szCs w:val="22"/>
        </w:rPr>
        <w:t xml:space="preserve"> </w:t>
      </w:r>
      <w:r>
        <w:rPr>
          <w:rFonts w:ascii="Trebuchet MS" w:hAnsi="Trebuchet MS" w:cs="Arial"/>
          <w:bCs/>
          <w:sz w:val="22"/>
          <w:szCs w:val="22"/>
        </w:rPr>
        <w:t xml:space="preserve">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w:t>
      </w:r>
      <w:r w:rsidR="00BB45A8">
        <w:rPr>
          <w:rFonts w:ascii="Trebuchet MS" w:hAnsi="Trebuchet MS" w:cs="Arial"/>
          <w:bCs/>
          <w:sz w:val="22"/>
          <w:szCs w:val="22"/>
        </w:rPr>
        <w:t xml:space="preserve"> E</w:t>
      </w:r>
      <w:r w:rsidR="00BB45A8" w:rsidRPr="007A2B6E">
        <w:rPr>
          <w:rFonts w:ascii="Trebuchet MS" w:hAnsi="Trebuchet MS" w:cs="Arial"/>
          <w:bCs/>
          <w:sz w:val="22"/>
          <w:szCs w:val="22"/>
        </w:rPr>
        <w:t xml:space="preserve">nviar y publicar en la plataforma del SECOP II el formulario de Informe de Contratistas (Descargable del Mapa de Procesos de la Entidad) y los documentos requeridos. </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w:t>
      </w:r>
      <w:r w:rsidR="00BB45A8" w:rsidRPr="007A2B6E">
        <w:rPr>
          <w:rFonts w:ascii="Trebuchet MS" w:hAnsi="Trebuchet MS" w:cs="Arial"/>
          <w:bCs/>
          <w:sz w:val="22"/>
          <w:szCs w:val="22"/>
        </w:rPr>
        <w:t>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w:t>
      </w:r>
      <w:r w:rsidR="00BB45A8">
        <w:rPr>
          <w:rFonts w:ascii="Trebuchet MS" w:hAnsi="Trebuchet MS" w:cs="Arial"/>
          <w:bCs/>
          <w:sz w:val="22"/>
          <w:szCs w:val="22"/>
        </w:rPr>
        <w:t xml:space="preserve"> 3.1.6.) </w:t>
      </w:r>
      <w:r w:rsidR="00BB45A8" w:rsidRPr="007A2B6E">
        <w:rPr>
          <w:rFonts w:ascii="Trebuchet MS" w:hAnsi="Trebuchet MS" w:cs="Arial"/>
          <w:bCs/>
          <w:sz w:val="22"/>
          <w:szCs w:val="22"/>
        </w:rPr>
        <w:t>Publicar en la plataforma del SECOP II el informe final de las actividades ejecutadas.</w:t>
      </w:r>
      <w:r w:rsidR="00BB45A8">
        <w:rPr>
          <w:rFonts w:ascii="Trebuchet MS" w:hAnsi="Trebuchet MS" w:cs="Arial"/>
          <w:bCs/>
          <w:sz w:val="22"/>
          <w:szCs w:val="22"/>
        </w:rPr>
        <w:t xml:space="preserve"> 3.1.7.) </w:t>
      </w:r>
      <w:r w:rsidRPr="0028466D">
        <w:rPr>
          <w:rFonts w:ascii="Trebuchet MS" w:hAnsi="Trebuchet MS" w:cs="Arial"/>
          <w:bCs/>
          <w:sz w:val="22"/>
          <w:szCs w:val="22"/>
        </w:rPr>
        <w:t xml:space="preserve">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sidR="00BB45A8">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sidR="00BB45A8">
        <w:rPr>
          <w:rFonts w:ascii="Trebuchet MS" w:hAnsi="Trebuchet MS" w:cs="Arial"/>
          <w:bCs/>
          <w:sz w:val="22"/>
          <w:szCs w:val="22"/>
        </w:rPr>
        <w:t>9</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sidR="00BB45A8">
        <w:rPr>
          <w:rFonts w:ascii="Trebuchet MS" w:hAnsi="Trebuchet MS" w:cs="Arial"/>
          <w:bCs/>
          <w:sz w:val="22"/>
          <w:szCs w:val="22"/>
        </w:rPr>
        <w:t>10</w:t>
      </w:r>
      <w:r w:rsidRPr="0028466D">
        <w:rPr>
          <w:rFonts w:ascii="Trebuchet MS" w:hAnsi="Trebuchet MS" w:cs="Arial"/>
          <w:bCs/>
          <w:sz w:val="22"/>
          <w:szCs w:val="22"/>
        </w:rPr>
        <w:t xml:space="preserve">) </w:t>
      </w:r>
      <w:r>
        <w:rPr>
          <w:rFonts w:ascii="Trebuchet MS" w:hAnsi="Trebuchet MS" w:cs="Arial"/>
          <w:bCs/>
          <w:sz w:val="22"/>
          <w:szCs w:val="22"/>
        </w:rPr>
        <w:t>Rendir los informes requeridos por el Supervisor, Defensor del Pueblo Regional o Dirección Nacional de Defensoría Pública, de manera oportuna, con inf</w:t>
      </w:r>
      <w:r w:rsidR="00BB45A8">
        <w:rPr>
          <w:rFonts w:ascii="Trebuchet MS" w:hAnsi="Trebuchet MS" w:cs="Arial"/>
          <w:bCs/>
          <w:sz w:val="22"/>
          <w:szCs w:val="22"/>
        </w:rPr>
        <w:t>ormación veraz y completa. 3.1.11</w:t>
      </w:r>
      <w:r>
        <w:rPr>
          <w:rFonts w:ascii="Trebuchet MS" w:hAnsi="Trebuchet MS" w:cs="Arial"/>
          <w:bCs/>
          <w:sz w:val="22"/>
          <w:szCs w:val="22"/>
        </w:rPr>
        <w:t xml:space="preserve">.)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sidR="00BB45A8">
        <w:rPr>
          <w:rFonts w:ascii="Trebuchet MS" w:hAnsi="Trebuchet MS" w:cs="Arial"/>
          <w:bCs/>
          <w:sz w:val="22"/>
          <w:szCs w:val="22"/>
        </w:rPr>
        <w:t>12</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sidR="00BB45A8">
        <w:rPr>
          <w:rFonts w:ascii="Trebuchet MS" w:hAnsi="Trebuchet MS" w:cs="Arial"/>
          <w:bCs/>
          <w:sz w:val="22"/>
          <w:szCs w:val="22"/>
        </w:rPr>
        <w:t>.</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w:t>
      </w:r>
      <w:r w:rsidR="00BB45A8">
        <w:rPr>
          <w:rFonts w:ascii="Trebuchet MS" w:hAnsi="Trebuchet MS" w:cs="Arial"/>
          <w:bCs/>
          <w:sz w:val="22"/>
          <w:szCs w:val="22"/>
        </w:rPr>
        <w:t>3</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w:t>
      </w:r>
      <w:r w:rsidR="00BB45A8">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3.1.1</w:t>
      </w:r>
      <w:r w:rsidR="00BB45A8">
        <w:rPr>
          <w:rFonts w:ascii="Trebuchet MS" w:hAnsi="Trebuchet MS" w:cs="Arial"/>
          <w:bCs/>
          <w:sz w:val="22"/>
          <w:szCs w:val="22"/>
        </w:rPr>
        <w:t>5</w:t>
      </w:r>
      <w:r>
        <w:rPr>
          <w:rFonts w:ascii="Trebuchet MS" w:hAnsi="Trebuchet MS" w:cs="Arial"/>
          <w:bCs/>
          <w:sz w:val="22"/>
          <w:szCs w:val="22"/>
        </w:rPr>
        <w:t>) Realizar los aportes al sistema de seguridad social y/o autorizar a la Defensoría para que se realicen las respectivas retenciones y pagos en los términos establecido</w:t>
      </w:r>
      <w:r w:rsidR="00BB45A8">
        <w:rPr>
          <w:rFonts w:ascii="Trebuchet MS" w:hAnsi="Trebuchet MS" w:cs="Arial"/>
          <w:bCs/>
          <w:sz w:val="22"/>
          <w:szCs w:val="22"/>
        </w:rPr>
        <w:t>s en las normas vigentes. 3.1.16</w:t>
      </w:r>
      <w:r>
        <w:rPr>
          <w:rFonts w:ascii="Trebuchet MS" w:hAnsi="Trebuchet MS" w:cs="Arial"/>
          <w:bCs/>
          <w:sz w:val="22"/>
          <w:szCs w:val="22"/>
        </w:rPr>
        <w:t xml:space="preserve">)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sidR="00BB45A8">
        <w:rPr>
          <w:rFonts w:ascii="Trebuchet MS" w:hAnsi="Trebuchet MS" w:cs="Arial"/>
          <w:bCs/>
          <w:sz w:val="22"/>
          <w:szCs w:val="22"/>
        </w:rPr>
        <w:t xml:space="preserve"> 3.1.17</w:t>
      </w:r>
      <w:r>
        <w:rPr>
          <w:rFonts w:ascii="Trebuchet MS" w:hAnsi="Trebuchet MS" w:cs="Arial"/>
          <w:bCs/>
          <w:sz w:val="22"/>
          <w:szCs w:val="22"/>
        </w:rPr>
        <w:t>)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w:t>
      </w:r>
      <w:r w:rsidRPr="00144867">
        <w:rPr>
          <w:rFonts w:ascii="Trebuchet MS" w:hAnsi="Trebuchet MS" w:cs="Arial"/>
          <w:bCs/>
          <w:sz w:val="22"/>
          <w:szCs w:val="22"/>
        </w:rPr>
        <w:lastRenderedPageBreak/>
        <w:t xml:space="preserve">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320790A3" w14:textId="77777777" w:rsidR="005C79FE" w:rsidRDefault="005C79FE" w:rsidP="000E4D71">
      <w:pPr>
        <w:tabs>
          <w:tab w:val="left" w:pos="-720"/>
          <w:tab w:val="left" w:pos="0"/>
        </w:tabs>
        <w:suppressAutoHyphens/>
        <w:jc w:val="both"/>
        <w:rPr>
          <w:rFonts w:ascii="Trebuchet MS" w:hAnsi="Trebuchet MS" w:cs="Arial"/>
          <w:sz w:val="22"/>
          <w:szCs w:val="22"/>
        </w:rPr>
      </w:pPr>
    </w:p>
    <w:p w14:paraId="67447C4D"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4. FUNDAMENTOS JURÍDICOS DE LA MODALIDAD DE SELECCIÓN:</w:t>
      </w:r>
    </w:p>
    <w:p w14:paraId="496193E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3F74D1E6" w14:textId="77777777" w:rsidR="005C79FE" w:rsidRPr="00507869"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En lo que respecta a los fundamentos jurídicos de la modalidad de selección de los Defensores Públicos, se precisa importante traer a colación el artículo 26 de la ley 941 de 2005 “</w:t>
      </w:r>
      <w:r w:rsidRPr="007376AD">
        <w:rPr>
          <w:rFonts w:ascii="Trebuchet MS" w:hAnsi="Trebuchet MS" w:cs="Arial"/>
          <w:i/>
          <w:sz w:val="22"/>
          <w:szCs w:val="22"/>
        </w:rPr>
        <w:t>por la cual se organiza el Sistema</w:t>
      </w:r>
      <w:r>
        <w:rPr>
          <w:rFonts w:ascii="Trebuchet MS" w:hAnsi="Trebuchet MS" w:cs="Arial"/>
          <w:i/>
          <w:sz w:val="22"/>
          <w:szCs w:val="22"/>
        </w:rPr>
        <w:t xml:space="preserve"> Nacional de Defensoría Pública” </w:t>
      </w:r>
      <w:r>
        <w:rPr>
          <w:rFonts w:ascii="Trebuchet MS" w:hAnsi="Trebuchet MS" w:cs="Arial"/>
          <w:sz w:val="22"/>
          <w:szCs w:val="22"/>
        </w:rPr>
        <w:t>el cual expresamente establece: “</w:t>
      </w:r>
      <w:r w:rsidRPr="007376AD">
        <w:rPr>
          <w:rFonts w:ascii="Trebuchet MS" w:hAnsi="Trebuchet MS" w:cs="Arial"/>
          <w:b/>
          <w:i/>
          <w:sz w:val="22"/>
          <w:szCs w:val="22"/>
          <w:u w:val="single"/>
        </w:rPr>
        <w:t>Son los abogados vinculados al servicio de Defensoría Pública que administra la Defensoría del Pueblo</w:t>
      </w:r>
      <w:r w:rsidRPr="007376AD">
        <w:rPr>
          <w:rFonts w:ascii="Trebuchet MS" w:hAnsi="Trebuchet MS" w:cs="Arial"/>
          <w:i/>
          <w:sz w:val="22"/>
          <w:szCs w:val="22"/>
        </w:rPr>
        <w:t xml:space="preserve">, previo el cumplimiento de los requisitos, </w:t>
      </w:r>
      <w:r w:rsidRPr="00507869">
        <w:rPr>
          <w:rFonts w:ascii="Trebuchet MS" w:hAnsi="Trebuchet MS" w:cs="Arial"/>
          <w:b/>
          <w:i/>
          <w:sz w:val="22"/>
          <w:szCs w:val="22"/>
          <w:u w:val="single"/>
        </w:rPr>
        <w:t>mediante la figura del contrato de prestación de servicios profesionales</w:t>
      </w:r>
      <w:r w:rsidRPr="007376AD">
        <w:rPr>
          <w:rFonts w:ascii="Trebuchet MS" w:hAnsi="Trebuchet MS" w:cs="Arial"/>
          <w:i/>
          <w:sz w:val="22"/>
          <w:szCs w:val="22"/>
        </w:rPr>
        <w:t>, para proveer la asistencia técnica y la representación judicial en favor de aquellas personas que se encuentren en las condiciones previstas en el artículo 2o de la presente ley, de acuerdo con las normas previstas en el Estatuto de Contr</w:t>
      </w:r>
      <w:r>
        <w:rPr>
          <w:rFonts w:ascii="Trebuchet MS" w:hAnsi="Trebuchet MS" w:cs="Arial"/>
          <w:i/>
          <w:sz w:val="22"/>
          <w:szCs w:val="22"/>
        </w:rPr>
        <w:t xml:space="preserve">atación Estatal (…)” </w:t>
      </w:r>
      <w:r>
        <w:rPr>
          <w:rFonts w:ascii="Trebuchet MS" w:hAnsi="Trebuchet MS" w:cs="Arial"/>
          <w:sz w:val="22"/>
          <w:szCs w:val="22"/>
        </w:rPr>
        <w:t xml:space="preserve">Negrilla y subraya fuera de texto. </w:t>
      </w:r>
    </w:p>
    <w:p w14:paraId="7FA5467B" w14:textId="77777777" w:rsidR="005C79FE" w:rsidRDefault="005C79FE" w:rsidP="000E4D71">
      <w:pPr>
        <w:tabs>
          <w:tab w:val="left" w:pos="-720"/>
          <w:tab w:val="left" w:pos="0"/>
        </w:tabs>
        <w:suppressAutoHyphens/>
        <w:jc w:val="both"/>
        <w:rPr>
          <w:rFonts w:ascii="Trebuchet MS" w:hAnsi="Trebuchet MS" w:cs="Arial"/>
          <w:sz w:val="22"/>
          <w:szCs w:val="22"/>
        </w:rPr>
      </w:pPr>
    </w:p>
    <w:p w14:paraId="028DEC66"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Sobre este particular, conviene manifestar que en Colombia, l</w:t>
      </w:r>
      <w:r w:rsidRPr="008C37C4">
        <w:rPr>
          <w:rFonts w:ascii="Trebuchet MS" w:hAnsi="Trebuchet MS" w:cs="Arial"/>
          <w:sz w:val="22"/>
          <w:szCs w:val="22"/>
        </w:rPr>
        <w:t xml:space="preserve">a Contratación para la prestación de servicios profesionales y de apoyo a la gestión, se encuentra estipulada en el literal h) del numeral 4 del artículo 2° de la Ley 1150 de 2007 y </w:t>
      </w:r>
      <w:r>
        <w:rPr>
          <w:rFonts w:ascii="Trebuchet MS" w:hAnsi="Trebuchet MS" w:cs="Arial"/>
          <w:sz w:val="22"/>
          <w:szCs w:val="22"/>
        </w:rPr>
        <w:t>en</w:t>
      </w:r>
      <w:r w:rsidRPr="008C37C4">
        <w:rPr>
          <w:rFonts w:ascii="Trebuchet MS" w:hAnsi="Trebuchet MS" w:cs="Arial"/>
          <w:sz w:val="22"/>
          <w:szCs w:val="22"/>
        </w:rPr>
        <w:t xml:space="preserve"> el artículo 2.2.1.2.1.4.9 del Decreto 1082 de 2015</w:t>
      </w:r>
      <w:r>
        <w:rPr>
          <w:rFonts w:ascii="Trebuchet MS" w:hAnsi="Trebuchet MS" w:cs="Arial"/>
          <w:sz w:val="22"/>
          <w:szCs w:val="22"/>
        </w:rPr>
        <w:t xml:space="preserve"> </w:t>
      </w:r>
      <w:r w:rsidRPr="00507869">
        <w:rPr>
          <w:rFonts w:ascii="Trebuchet MS" w:hAnsi="Trebuchet MS" w:cs="Arial"/>
          <w:i/>
          <w:sz w:val="22"/>
          <w:szCs w:val="22"/>
        </w:rPr>
        <w:t>“por medio del cual se expide el decreto único reglamentario del sector administrativo de planeación nacional</w:t>
      </w:r>
      <w:r>
        <w:rPr>
          <w:rFonts w:ascii="Trebuchet MS" w:hAnsi="Trebuchet MS" w:cs="Arial"/>
          <w:i/>
          <w:sz w:val="22"/>
          <w:szCs w:val="22"/>
        </w:rPr>
        <w:t>”</w:t>
      </w:r>
      <w:r w:rsidRPr="008C37C4">
        <w:rPr>
          <w:rFonts w:ascii="Trebuchet MS" w:hAnsi="Trebuchet MS" w:cs="Arial"/>
          <w:sz w:val="22"/>
          <w:szCs w:val="22"/>
        </w:rPr>
        <w:t xml:space="preserve">, </w:t>
      </w:r>
      <w:r>
        <w:rPr>
          <w:rFonts w:ascii="Trebuchet MS" w:hAnsi="Trebuchet MS" w:cs="Arial"/>
          <w:sz w:val="22"/>
          <w:szCs w:val="22"/>
        </w:rPr>
        <w:t xml:space="preserve">el cual </w:t>
      </w:r>
      <w:r w:rsidRPr="008C37C4">
        <w:rPr>
          <w:rFonts w:ascii="Trebuchet MS" w:hAnsi="Trebuchet MS" w:cs="Arial"/>
          <w:sz w:val="22"/>
          <w:szCs w:val="22"/>
        </w:rPr>
        <w:t xml:space="preserve">establece lo siguiente: </w:t>
      </w:r>
    </w:p>
    <w:p w14:paraId="19B2C785"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A9CF136"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w:t>
      </w:r>
      <w:r w:rsidRPr="008C37C4">
        <w:rPr>
          <w:rFonts w:ascii="Trebuchet MS" w:hAnsi="Trebuchet MS" w:cs="Arial"/>
          <w:i/>
          <w:sz w:val="22"/>
          <w:szCs w:val="22"/>
        </w:rPr>
        <w:t>Las Entidades Estatales pueden contratar bajo la modalidad de contratación directa la prestación de servicios profesionales y de apoyo a la gestión con la persona natural o jurídica que esté en capacidad de ejecutar el objeto del contrato</w:t>
      </w:r>
      <w:r>
        <w:rPr>
          <w:rFonts w:ascii="Trebuchet MS" w:hAnsi="Trebuchet MS" w:cs="Arial"/>
          <w:i/>
          <w:sz w:val="22"/>
          <w:szCs w:val="22"/>
        </w:rPr>
        <w:t xml:space="preserve"> </w:t>
      </w:r>
      <w:r w:rsidRPr="00C01DC7">
        <w:rPr>
          <w:rFonts w:ascii="Trebuchet MS" w:hAnsi="Trebuchet MS" w:cs="Arial"/>
          <w:i/>
          <w:sz w:val="22"/>
          <w:szCs w:val="22"/>
        </w:rPr>
        <w:t xml:space="preserve">siempre y cuando la Entidad Estatal verifique la idoneidad o experiencia requerida y relacionada con el área de que se trate </w:t>
      </w:r>
      <w:r>
        <w:rPr>
          <w:rFonts w:ascii="Trebuchet MS" w:hAnsi="Trebuchet MS" w:cs="Arial"/>
          <w:i/>
          <w:sz w:val="22"/>
          <w:szCs w:val="22"/>
        </w:rPr>
        <w:t>(</w:t>
      </w:r>
      <w:r w:rsidRPr="008C37C4">
        <w:rPr>
          <w:rFonts w:ascii="Trebuchet MS" w:hAnsi="Trebuchet MS" w:cs="Arial"/>
          <w:sz w:val="22"/>
          <w:szCs w:val="22"/>
        </w:rPr>
        <w:t>…</w:t>
      </w:r>
      <w:r w:rsidRPr="00C01DC7">
        <w:rPr>
          <w:rFonts w:ascii="Trebuchet MS" w:hAnsi="Trebuchet MS" w:cs="Arial"/>
          <w:i/>
          <w:sz w:val="22"/>
          <w:szCs w:val="22"/>
        </w:rPr>
        <w:t>)</w:t>
      </w:r>
      <w:r w:rsidRPr="008C37C4">
        <w:rPr>
          <w:rFonts w:ascii="Trebuchet MS" w:hAnsi="Trebuchet MS" w:cs="Arial"/>
          <w:sz w:val="22"/>
          <w:szCs w:val="22"/>
        </w:rPr>
        <w:t>”.</w:t>
      </w:r>
    </w:p>
    <w:p w14:paraId="71DEA8CA"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05FE371C" w14:textId="7777777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De acuerdo a lo anterior, y de conformidad con lo dispuesto en la Ley 1150 de 2007 y sus decretos reglamentarios, en materia de prestación de servicios profesionales, la entidad estatal está facultada para contratar directamente con la persona natural o </w:t>
      </w:r>
      <w:r w:rsidRPr="008C37C4">
        <w:rPr>
          <w:rFonts w:ascii="Trebuchet MS" w:hAnsi="Trebuchet MS" w:cs="Arial"/>
          <w:sz w:val="22"/>
          <w:szCs w:val="22"/>
        </w:rPr>
        <w:lastRenderedPageBreak/>
        <w:t>jurídica que esté en capacidad de ejecutar el objeto del contrato y que haya demostrado la idoneidad y experiencia directamente relacion</w:t>
      </w:r>
      <w:r>
        <w:rPr>
          <w:rFonts w:ascii="Trebuchet MS" w:hAnsi="Trebuchet MS" w:cs="Arial"/>
          <w:sz w:val="22"/>
          <w:szCs w:val="22"/>
        </w:rPr>
        <w:t>ada con el área de que se trate</w:t>
      </w:r>
      <w:r w:rsidRPr="008C37C4">
        <w:rPr>
          <w:rFonts w:ascii="Trebuchet MS" w:hAnsi="Trebuchet MS" w:cs="Arial"/>
          <w:sz w:val="22"/>
          <w:szCs w:val="22"/>
        </w:rPr>
        <w:t xml:space="preserve">. </w:t>
      </w:r>
    </w:p>
    <w:p w14:paraId="0494EC0A" w14:textId="77777777" w:rsidR="005C79FE" w:rsidRDefault="005C79FE" w:rsidP="000E4D71">
      <w:pPr>
        <w:tabs>
          <w:tab w:val="left" w:pos="-720"/>
          <w:tab w:val="left" w:pos="0"/>
        </w:tabs>
        <w:suppressAutoHyphens/>
        <w:jc w:val="both"/>
        <w:rPr>
          <w:rFonts w:ascii="Trebuchet MS" w:hAnsi="Trebuchet MS" w:cs="Arial"/>
          <w:sz w:val="22"/>
          <w:szCs w:val="22"/>
        </w:rPr>
      </w:pPr>
    </w:p>
    <w:p w14:paraId="602FFE51" w14:textId="77777777" w:rsidR="005C79FE" w:rsidRDefault="005C79FE" w:rsidP="000E4D71">
      <w:pPr>
        <w:tabs>
          <w:tab w:val="left" w:pos="-720"/>
          <w:tab w:val="left" w:pos="0"/>
        </w:tabs>
        <w:suppressAutoHyphens/>
        <w:jc w:val="both"/>
        <w:rPr>
          <w:rFonts w:ascii="Trebuchet MS" w:hAnsi="Trebuchet MS" w:cs="Arial"/>
          <w:sz w:val="22"/>
          <w:szCs w:val="22"/>
        </w:rPr>
      </w:pPr>
      <w:r>
        <w:rPr>
          <w:rFonts w:ascii="Trebuchet MS" w:hAnsi="Trebuchet MS" w:cs="Arial"/>
          <w:sz w:val="22"/>
          <w:szCs w:val="22"/>
        </w:rPr>
        <w:t>En este sentido y con el propósito de acreditar la experiencia e idoneidad de los contratistas que en calidad de defensores públicos, entrarían a prestar el servicio de defensoría pública en el territorio nacional, la Defensoría del pueblo adelantó un proceso de selección de defensores públicos al cual dio apertura mediante resolución N° 052 de 2019, cuyo parágrafo del artículo 2°, expresamente dispuso:</w:t>
      </w:r>
    </w:p>
    <w:p w14:paraId="2C3C5C98" w14:textId="77777777" w:rsidR="005C79FE" w:rsidRDefault="005C79FE" w:rsidP="000E4D71">
      <w:pPr>
        <w:tabs>
          <w:tab w:val="left" w:pos="-720"/>
          <w:tab w:val="left" w:pos="0"/>
        </w:tabs>
        <w:suppressAutoHyphens/>
        <w:jc w:val="both"/>
        <w:rPr>
          <w:rFonts w:ascii="Trebuchet MS" w:hAnsi="Trebuchet MS" w:cs="Arial"/>
          <w:sz w:val="22"/>
          <w:szCs w:val="22"/>
        </w:rPr>
      </w:pPr>
    </w:p>
    <w:p w14:paraId="22B8EDAA" w14:textId="77777777" w:rsidR="005C79FE" w:rsidRPr="00E10640" w:rsidRDefault="005C79FE" w:rsidP="000E4D71">
      <w:pPr>
        <w:tabs>
          <w:tab w:val="left" w:pos="-720"/>
          <w:tab w:val="left" w:pos="0"/>
        </w:tabs>
        <w:suppressAutoHyphens/>
        <w:jc w:val="both"/>
        <w:rPr>
          <w:rFonts w:ascii="Trebuchet MS" w:hAnsi="Trebuchet MS" w:cs="Arial"/>
          <w:i/>
          <w:sz w:val="22"/>
          <w:szCs w:val="22"/>
        </w:rPr>
      </w:pPr>
      <w:r w:rsidRPr="00E10640">
        <w:rPr>
          <w:rFonts w:ascii="Trebuchet MS" w:hAnsi="Trebuchet MS" w:cs="Arial"/>
          <w:i/>
          <w:sz w:val="22"/>
          <w:szCs w:val="22"/>
        </w:rPr>
        <w:t xml:space="preserve">“Para todos los efectos legales, el presente proceso de selección no desnaturaliza la contratación directa de los defensores públicos, cuya vinculación de surte mediante contrato de prestación de servicios profesionales de acuerdo con lo establecido en la ley” </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43B59077"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5. PRESUPUESTO OFICIAL ESTIMADO Y LA JUSTIFICACIÓN DEL MISMO:</w:t>
      </w:r>
    </w:p>
    <w:p w14:paraId="2773EFF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5C88156" w14:textId="6B8EEFD0"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6034D4">
        <w:rPr>
          <w:rFonts w:ascii="Trebuchet MS" w:hAnsi="Trebuchet MS" w:cs="Arial"/>
          <w:sz w:val="22"/>
          <w:szCs w:val="22"/>
        </w:rPr>
        <w:t>CUARENTA Y DOS MILLONES SETECIENTOS CINCUENTA MIL M/CTE</w:t>
      </w:r>
      <w:r w:rsidR="002422DA">
        <w:rPr>
          <w:rFonts w:ascii="Trebuchet MS" w:hAnsi="Trebuchet MS" w:cs="Arial"/>
          <w:sz w:val="22"/>
          <w:szCs w:val="22"/>
        </w:rPr>
        <w:t xml:space="preserve"> (</w:t>
      </w:r>
      <w:r w:rsidR="006034D4">
        <w:rPr>
          <w:rFonts w:ascii="Trebuchet MS" w:hAnsi="Trebuchet MS" w:cs="Arial"/>
          <w:sz w:val="22"/>
          <w:szCs w:val="22"/>
        </w:rPr>
        <w:t>$ 42.750.000,00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pPr w:leftFromText="141" w:rightFromText="141" w:vertAnchor="text"/>
        <w:tblW w:w="8844" w:type="dxa"/>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Look w:val="04A0" w:firstRow="1" w:lastRow="0" w:firstColumn="1" w:lastColumn="0" w:noHBand="0" w:noVBand="1"/>
      </w:tblPr>
      <w:tblGrid>
        <w:gridCol w:w="3454"/>
        <w:gridCol w:w="5390"/>
      </w:tblGrid>
      <w:tr w:rsidR="005417C4" w14:paraId="11C32BB4" w14:textId="77777777" w:rsidTr="0005019B">
        <w:trPr>
          <w:trHeight w:val="52"/>
        </w:trPr>
        <w:tc>
          <w:tcPr>
            <w:tcW w:w="3454" w:type="dxa"/>
            <w:shd w:val="clear" w:color="auto" w:fill="D9D9D9"/>
            <w:vAlign w:val="center"/>
            <w:hideMark/>
          </w:tcPr>
          <w:p w14:paraId="644B8558" w14:textId="77777777" w:rsidR="005417C4" w:rsidRDefault="005417C4">
            <w:pPr>
              <w:pStyle w:val="NormalWeb"/>
              <w:spacing w:before="0" w:beforeAutospacing="0" w:after="0" w:afterAutospacing="0"/>
              <w:jc w:val="center"/>
              <w:rPr>
                <w:rFonts w:ascii="Cambria" w:hAnsi="Cambria"/>
                <w:sz w:val="24"/>
                <w:szCs w:val="24"/>
                <w:lang w:eastAsia="en-US"/>
              </w:rPr>
            </w:pPr>
            <w:r>
              <w:rPr>
                <w:rFonts w:ascii="Trebuchet MS" w:hAnsi="Trebuchet MS"/>
                <w:b/>
                <w:bCs/>
                <w:lang w:eastAsia="en-US"/>
              </w:rPr>
              <w:t>Vigencia</w:t>
            </w:r>
          </w:p>
        </w:tc>
        <w:tc>
          <w:tcPr>
            <w:tcW w:w="5390" w:type="dxa"/>
            <w:shd w:val="clear" w:color="auto" w:fill="D9D9D9"/>
            <w:vAlign w:val="center"/>
            <w:hideMark/>
          </w:tcPr>
          <w:p w14:paraId="40477E40" w14:textId="77777777" w:rsidR="005417C4" w:rsidRDefault="005417C4">
            <w:pPr>
              <w:pStyle w:val="NormalWeb"/>
              <w:spacing w:before="0" w:beforeAutospacing="0" w:after="0" w:afterAutospacing="0"/>
              <w:jc w:val="center"/>
              <w:rPr>
                <w:rFonts w:ascii="Cambria" w:hAnsi="Cambria"/>
                <w:sz w:val="24"/>
                <w:szCs w:val="24"/>
                <w:lang w:eastAsia="en-US"/>
              </w:rPr>
            </w:pPr>
            <w:r>
              <w:rPr>
                <w:rFonts w:ascii="Trebuchet MS" w:hAnsi="Trebuchet MS"/>
                <w:b/>
                <w:bCs/>
                <w:lang w:eastAsia="en-US"/>
              </w:rPr>
              <w:t>Certificado de Disponibilidad Presupuestal - CDP</w:t>
            </w:r>
          </w:p>
        </w:tc>
      </w:tr>
      <w:tr w:rsidR="005417C4" w14:paraId="38ACA83B" w14:textId="77777777" w:rsidTr="0005019B">
        <w:trPr>
          <w:trHeight w:val="52"/>
        </w:trPr>
        <w:tc>
          <w:tcPr>
            <w:tcW w:w="3454" w:type="dxa"/>
            <w:vAlign w:val="center"/>
            <w:hideMark/>
          </w:tcPr>
          <w:p w14:paraId="077052B0" w14:textId="7F30ABB2" w:rsidR="005417C4" w:rsidRDefault="00985868">
            <w:pPr>
              <w:pStyle w:val="NormalWeb"/>
              <w:spacing w:before="0" w:beforeAutospacing="0" w:after="0" w:afterAutospacing="0"/>
              <w:jc w:val="center"/>
              <w:rPr>
                <w:rFonts w:ascii="Cambria" w:hAnsi="Cambria"/>
                <w:sz w:val="24"/>
                <w:szCs w:val="24"/>
                <w:lang w:eastAsia="en-US"/>
              </w:rPr>
            </w:pPr>
            <w:r>
              <w:rPr>
                <w:rFonts w:ascii="Trebuchet MS" w:hAnsi="Trebuchet MS"/>
                <w:lang w:eastAsia="en-US"/>
              </w:rPr>
              <w:t>2020</w:t>
            </w:r>
          </w:p>
        </w:tc>
        <w:tc>
          <w:tcPr>
            <w:tcW w:w="5390" w:type="dxa"/>
            <w:shd w:val="clear" w:color="auto" w:fill="auto"/>
            <w:vAlign w:val="center"/>
            <w:hideMark/>
          </w:tcPr>
          <w:p w14:paraId="7B20E98C" w14:textId="129C127D" w:rsidR="005417C4" w:rsidRDefault="005417C4">
            <w:pPr>
              <w:pStyle w:val="NormalWeb"/>
              <w:spacing w:before="0" w:beforeAutospacing="0" w:after="0" w:afterAutospacing="0"/>
              <w:jc w:val="center"/>
              <w:rPr>
                <w:rFonts w:ascii="Cambria" w:hAnsi="Cambria"/>
                <w:sz w:val="24"/>
                <w:szCs w:val="24"/>
                <w:lang w:eastAsia="en-US"/>
              </w:rPr>
            </w:pPr>
            <w:r>
              <w:rPr>
                <w:rFonts w:ascii="Trebuchet MS" w:hAnsi="Trebuchet MS"/>
                <w:lang w:eastAsia="en-US"/>
              </w:rPr>
              <w:t xml:space="preserve">SIIF No </w:t>
            </w:r>
            <w:r w:rsidR="006034D4">
              <w:rPr>
                <w:rFonts w:ascii="Trebuchet MS" w:hAnsi="Trebuchet MS" w:cs="Arial"/>
                <w:noProof/>
              </w:rPr>
              <w:t>50920</w:t>
            </w:r>
            <w:r w:rsidRPr="00FB6B65">
              <w:rPr>
                <w:rFonts w:ascii="Trebuchet MS" w:hAnsi="Trebuchet MS" w:cs="Arial"/>
              </w:rPr>
              <w:t xml:space="preserve"> </w:t>
            </w:r>
            <w:r w:rsidRPr="005417C4">
              <w:rPr>
                <w:rFonts w:ascii="Trebuchet MS" w:hAnsi="Trebuchet MS"/>
                <w:lang w:val="es-ES_tradnl" w:eastAsia="en-US"/>
              </w:rPr>
              <w:t>del</w:t>
            </w:r>
            <w:r>
              <w:rPr>
                <w:rFonts w:ascii="Trebuchet MS" w:hAnsi="Trebuchet MS"/>
                <w:lang w:val="es-ES_tradnl" w:eastAsia="en-US"/>
              </w:rPr>
              <w:t xml:space="preserve"> </w:t>
            </w:r>
            <w:r w:rsidR="006034D4">
              <w:rPr>
                <w:rFonts w:ascii="Trebuchet MS" w:hAnsi="Trebuchet MS" w:cs="Arial"/>
              </w:rPr>
              <w:t>19-03-2020</w:t>
            </w:r>
            <w:r>
              <w:rPr>
                <w:rFonts w:ascii="Trebuchet MS" w:hAnsi="Trebuchet MS" w:cs="Arial"/>
              </w:rPr>
              <w:t xml:space="preserve"> </w:t>
            </w:r>
            <w:r>
              <w:rPr>
                <w:rFonts w:ascii="Trebuchet MS" w:hAnsi="Trebuchet MS"/>
                <w:lang w:val="es-ES_tradnl" w:eastAsia="en-US"/>
              </w:rPr>
              <w:t>(MM/DD/AAAA)</w:t>
            </w:r>
          </w:p>
        </w:tc>
      </w:tr>
    </w:tbl>
    <w:p w14:paraId="2FF36D5F" w14:textId="77777777" w:rsidR="005417C4" w:rsidRDefault="005417C4" w:rsidP="000E4D71">
      <w:pPr>
        <w:tabs>
          <w:tab w:val="left" w:pos="-720"/>
          <w:tab w:val="left" w:pos="0"/>
        </w:tabs>
        <w:suppressAutoHyphens/>
        <w:jc w:val="both"/>
        <w:rPr>
          <w:rFonts w:ascii="Trebuchet MS" w:hAnsi="Trebuchet MS" w:cs="Arial"/>
          <w:sz w:val="22"/>
          <w:szCs w:val="22"/>
        </w:rPr>
      </w:pPr>
    </w:p>
    <w:p w14:paraId="61FDD9DB" w14:textId="77777777" w:rsidR="005C79FE" w:rsidRDefault="005C79FE" w:rsidP="000E4D71">
      <w:pPr>
        <w:tabs>
          <w:tab w:val="left" w:pos="-720"/>
          <w:tab w:val="left" w:pos="0"/>
        </w:tabs>
        <w:suppressAutoHyphens/>
        <w:jc w:val="both"/>
        <w:rPr>
          <w:rFonts w:ascii="Trebuchet MS" w:hAnsi="Trebuchet MS" w:cs="Arial"/>
          <w:sz w:val="22"/>
          <w:szCs w:val="22"/>
        </w:rPr>
      </w:pPr>
    </w:p>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34AC84A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5968B348" w14:textId="6D7E0B5F" w:rsidR="005C79FE" w:rsidRDefault="005C79FE" w:rsidP="000E4D71">
      <w:pPr>
        <w:tabs>
          <w:tab w:val="left" w:pos="-720"/>
          <w:tab w:val="left" w:pos="0"/>
        </w:tabs>
        <w:suppressAutoHyphens/>
        <w:jc w:val="both"/>
        <w:rPr>
          <w:rFonts w:ascii="Trebuchet MS" w:hAnsi="Trebuchet MS" w:cs="Arial"/>
          <w:sz w:val="22"/>
          <w:szCs w:val="22"/>
        </w:rPr>
      </w:pPr>
      <w:r w:rsidRPr="002E393B">
        <w:rPr>
          <w:rFonts w:ascii="Trebuchet MS" w:hAnsi="Trebuchet MS" w:cs="Arial"/>
          <w:sz w:val="22"/>
          <w:szCs w:val="22"/>
        </w:rPr>
        <w:t xml:space="preserve">La DEFENSORÍA pagará el valor del contrato por conducto de la Subdirección Financiera por mes calendario vencido a razón de </w:t>
      </w:r>
      <w:r w:rsidR="006034D4">
        <w:rPr>
          <w:rFonts w:ascii="Trebuchet MS" w:hAnsi="Trebuchet MS" w:cs="Arial"/>
          <w:sz w:val="22"/>
          <w:szCs w:val="22"/>
        </w:rPr>
        <w:t>CUATRO MILLONES QUINIENTOS MIL M/CTE</w:t>
      </w:r>
      <w:r w:rsidR="00C8383F">
        <w:rPr>
          <w:rFonts w:ascii="Trebuchet MS" w:hAnsi="Trebuchet MS" w:cs="Arial"/>
          <w:sz w:val="22"/>
          <w:szCs w:val="22"/>
        </w:rPr>
        <w:t xml:space="preserve"> </w:t>
      </w:r>
      <w:r w:rsidR="000C7748" w:rsidRPr="009341C2">
        <w:rPr>
          <w:rFonts w:ascii="Trebuchet MS" w:hAnsi="Trebuchet MS" w:cs="Arial"/>
          <w:sz w:val="22"/>
          <w:szCs w:val="22"/>
        </w:rPr>
        <w:t>(</w:t>
      </w:r>
      <w:r w:rsidR="006034D4">
        <w:rPr>
          <w:rFonts w:ascii="Trebuchet MS" w:hAnsi="Trebuchet MS" w:cs="Arial"/>
          <w:sz w:val="22"/>
          <w:szCs w:val="22"/>
        </w:rPr>
        <w:t>$ 4.500.000,00</w:t>
      </w:r>
      <w:r w:rsidRPr="00C329A3">
        <w:rPr>
          <w:rFonts w:ascii="Trebuchet MS" w:hAnsi="Trebuchet MS" w:cs="Arial"/>
          <w:sz w:val="22"/>
          <w:szCs w:val="22"/>
        </w:rPr>
        <w:t>) incluidos todos los impuestos a que haya lugar. En todo caso, el primer pago se liquidará proporcionalmen</w:t>
      </w:r>
      <w:r w:rsidRPr="002E393B">
        <w:rPr>
          <w:rFonts w:ascii="Trebuchet MS" w:hAnsi="Trebuchet MS" w:cs="Arial"/>
          <w:sz w:val="22"/>
          <w:szCs w:val="22"/>
        </w:rPr>
        <w:t>te al tiempo efectivamente ejecutado de acuerdo con la fecha definida en el acta de inicio. El pago de los honorarios está sujeto a la prestación efectiva del servicio, lo que se acredita con la entrega personal del informe al supervisor del contrato para la certificación de honorarios del periodo que corresponda y a la aprobación del Plan Anual de Caja - PAC.</w:t>
      </w:r>
    </w:p>
    <w:p w14:paraId="20B2C419" w14:textId="77777777" w:rsidR="005C79FE" w:rsidRDefault="005C79FE" w:rsidP="000E4D71">
      <w:pPr>
        <w:tabs>
          <w:tab w:val="left" w:pos="-720"/>
          <w:tab w:val="left" w:pos="0"/>
        </w:tabs>
        <w:suppressAutoHyphens/>
        <w:jc w:val="both"/>
        <w:rPr>
          <w:rFonts w:ascii="Trebuchet MS" w:hAnsi="Trebuchet MS" w:cs="Arial"/>
          <w:sz w:val="22"/>
          <w:szCs w:val="22"/>
        </w:rPr>
      </w:pPr>
    </w:p>
    <w:p w14:paraId="0519BEFD"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Pr="008C37C4">
        <w:rPr>
          <w:rFonts w:ascii="Trebuchet MS" w:hAnsi="Trebuchet MS" w:cs="Arial"/>
          <w:b/>
          <w:sz w:val="22"/>
          <w:szCs w:val="22"/>
        </w:rPr>
        <w:t>. CRITERIOS DE SELECCIÓN DEL DEFENSOR PÚBLICO</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77777777"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TIPIFICACIÓN, ESTIMACIÓN Y ASIGNACIÓN DE RIESGOS PREVISIBLES:</w:t>
      </w:r>
    </w:p>
    <w:p w14:paraId="3B602E90"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3E72D11" w14:textId="77777777"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06B8CE74"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7AD4F38E"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highlight w:val="yellow"/>
        </w:rPr>
        <w:t xml:space="preserve">   </w:t>
      </w:r>
    </w:p>
    <w:p w14:paraId="5690905C"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02FF0A58"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0D3C7B2F"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644E69CE"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2F3DE95B"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752E1754" w14:textId="77777777" w:rsidR="005C79FE" w:rsidRDefault="005C79FE" w:rsidP="000E4D71">
      <w:pPr>
        <w:tabs>
          <w:tab w:val="left" w:pos="-720"/>
          <w:tab w:val="left" w:pos="0"/>
        </w:tabs>
        <w:suppressAutoHyphens/>
        <w:jc w:val="both"/>
        <w:rPr>
          <w:rFonts w:ascii="Trebuchet MS" w:hAnsi="Trebuchet MS" w:cs="Arial"/>
          <w:sz w:val="22"/>
          <w:szCs w:val="22"/>
          <w:highlight w:val="yellow"/>
        </w:rPr>
      </w:pPr>
    </w:p>
    <w:p w14:paraId="0441F877"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p>
    <w:p w14:paraId="71E5A5F3" w14:textId="77777777" w:rsidR="005C79FE" w:rsidRPr="008C37C4" w:rsidRDefault="005C79FE" w:rsidP="000E4D71">
      <w:pPr>
        <w:jc w:val="center"/>
        <w:rPr>
          <w:rFonts w:ascii="Trebuchet MS" w:hAnsi="Trebuchet MS" w:cs="Arial"/>
          <w:b/>
          <w:sz w:val="22"/>
          <w:szCs w:val="22"/>
          <w:u w:val="single"/>
        </w:rPr>
      </w:pPr>
      <w:r w:rsidRPr="008C37C4">
        <w:rPr>
          <w:rFonts w:ascii="Trebuchet MS" w:hAnsi="Trebuchet MS" w:cs="Arial"/>
          <w:b/>
          <w:sz w:val="22"/>
          <w:szCs w:val="22"/>
          <w:u w:val="single"/>
        </w:rPr>
        <w:t>Matriz de Riesgos</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5C79FE" w:rsidRPr="00476C14" w14:paraId="164C3D0E" w14:textId="77777777" w:rsidTr="003A0F14">
        <w:trPr>
          <w:trHeight w:val="1142"/>
          <w:tblHeader/>
        </w:trPr>
        <w:tc>
          <w:tcPr>
            <w:tcW w:w="141" w:type="pct"/>
            <w:vMerge w:val="restart"/>
            <w:shd w:val="clear" w:color="000000" w:fill="4E4D4D"/>
            <w:vAlign w:val="center"/>
            <w:hideMark/>
          </w:tcPr>
          <w:p w14:paraId="121C4860"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62115055"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4D43B554"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3990394C"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6CF2F405" w14:textId="77777777" w:rsidR="005C79FE" w:rsidRPr="00476C14" w:rsidRDefault="005C79FE" w:rsidP="003A0F14">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3F8854BC"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6C277FF1"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26443FA"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B909860"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15326A74"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A2A93DF" w14:textId="77777777" w:rsidR="005C79FE" w:rsidRPr="00476C14" w:rsidRDefault="005C79FE" w:rsidP="003A0F14">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5E77A089"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2E568F66"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9C7F78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1770983E"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558D48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2834AE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0828993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188A8CE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5C79FE" w:rsidRPr="00476C14" w14:paraId="72855C24" w14:textId="77777777" w:rsidTr="003A0F14">
        <w:trPr>
          <w:trHeight w:val="975"/>
          <w:tblHeader/>
        </w:trPr>
        <w:tc>
          <w:tcPr>
            <w:tcW w:w="141" w:type="pct"/>
            <w:vMerge/>
            <w:vAlign w:val="center"/>
            <w:hideMark/>
          </w:tcPr>
          <w:p w14:paraId="05CF1257"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73FF355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0AD80F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B38D55A"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95" w:type="pct"/>
            <w:vMerge/>
            <w:vAlign w:val="center"/>
            <w:hideMark/>
          </w:tcPr>
          <w:p w14:paraId="0E5DA6D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373" w:type="pct"/>
            <w:vMerge/>
            <w:vAlign w:val="center"/>
            <w:hideMark/>
          </w:tcPr>
          <w:p w14:paraId="39D5D148" w14:textId="77777777" w:rsidR="005C79FE" w:rsidRPr="00476C14" w:rsidRDefault="005C79FE" w:rsidP="003A0F14">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ACA8ED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7D5FC1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5733A942"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73F132B3"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0732E22F"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461BE0F1"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537" w:type="pct"/>
            <w:vMerge/>
            <w:vAlign w:val="center"/>
            <w:hideMark/>
          </w:tcPr>
          <w:p w14:paraId="36915C69" w14:textId="77777777" w:rsidR="005C79FE" w:rsidRPr="00476C14" w:rsidRDefault="005C79FE" w:rsidP="003A0F14">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0193005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7F80B50F"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07AF0E25"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61BE4CA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5C905B4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78" w:type="pct"/>
            <w:vMerge/>
            <w:vAlign w:val="center"/>
            <w:hideMark/>
          </w:tcPr>
          <w:p w14:paraId="290A386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28" w:type="pct"/>
            <w:vMerge/>
            <w:vAlign w:val="center"/>
            <w:hideMark/>
          </w:tcPr>
          <w:p w14:paraId="082305E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411" w:type="pct"/>
            <w:vMerge/>
            <w:vAlign w:val="center"/>
            <w:hideMark/>
          </w:tcPr>
          <w:p w14:paraId="42A5A4F7"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67B666DA"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B94B23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5C79FE" w:rsidRPr="00476C14" w14:paraId="299B45A1" w14:textId="77777777" w:rsidTr="003A0F14">
        <w:trPr>
          <w:trHeight w:val="464"/>
        </w:trPr>
        <w:tc>
          <w:tcPr>
            <w:tcW w:w="141" w:type="pct"/>
            <w:vMerge/>
            <w:vAlign w:val="center"/>
            <w:hideMark/>
          </w:tcPr>
          <w:p w14:paraId="012CB676"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B60773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EC9D16C"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0F73DED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95" w:type="pct"/>
            <w:vMerge/>
            <w:vAlign w:val="center"/>
            <w:hideMark/>
          </w:tcPr>
          <w:p w14:paraId="6B3780BA"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373" w:type="pct"/>
            <w:vMerge/>
            <w:vAlign w:val="center"/>
            <w:hideMark/>
          </w:tcPr>
          <w:p w14:paraId="4B5259BE" w14:textId="77777777" w:rsidR="005C79FE" w:rsidRPr="00476C14" w:rsidRDefault="005C79FE" w:rsidP="003A0F14">
            <w:pPr>
              <w:jc w:val="center"/>
              <w:rPr>
                <w:rFonts w:ascii="Trebuchet MS" w:eastAsia="Times New Roman" w:hAnsi="Trebuchet MS" w:cs="Arial"/>
                <w:color w:val="FFFFFF"/>
                <w:sz w:val="10"/>
                <w:szCs w:val="10"/>
                <w:lang w:val="es-CO" w:eastAsia="es-CO"/>
              </w:rPr>
            </w:pPr>
          </w:p>
        </w:tc>
        <w:tc>
          <w:tcPr>
            <w:tcW w:w="406" w:type="pct"/>
            <w:vMerge/>
            <w:vAlign w:val="center"/>
            <w:hideMark/>
          </w:tcPr>
          <w:p w14:paraId="31499B20"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6FD0F0F1"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DB830FB"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5E3BE885"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3B542044" w14:textId="77777777" w:rsidR="005C79FE" w:rsidRPr="00476C14" w:rsidRDefault="005C79FE" w:rsidP="003A0F14">
            <w:pPr>
              <w:rPr>
                <w:rFonts w:ascii="Trebuchet MS" w:eastAsia="Times New Roman" w:hAnsi="Trebuchet MS" w:cs="Arial"/>
                <w:color w:val="FFFFFF"/>
                <w:sz w:val="10"/>
                <w:szCs w:val="10"/>
                <w:lang w:val="es-CO" w:eastAsia="es-CO"/>
              </w:rPr>
            </w:pPr>
          </w:p>
        </w:tc>
        <w:tc>
          <w:tcPr>
            <w:tcW w:w="141" w:type="pct"/>
            <w:vMerge/>
            <w:vAlign w:val="center"/>
            <w:hideMark/>
          </w:tcPr>
          <w:p w14:paraId="2566A466"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537" w:type="pct"/>
            <w:vMerge/>
            <w:vAlign w:val="center"/>
            <w:hideMark/>
          </w:tcPr>
          <w:p w14:paraId="6DBDB2C5" w14:textId="77777777" w:rsidR="005C79FE" w:rsidRPr="00476C14" w:rsidRDefault="005C79FE" w:rsidP="003A0F14">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18027F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1" w:type="pct"/>
            <w:vMerge/>
            <w:vAlign w:val="center"/>
            <w:hideMark/>
          </w:tcPr>
          <w:p w14:paraId="4C8A77C3"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1" w:type="pct"/>
            <w:vMerge/>
            <w:vAlign w:val="center"/>
            <w:hideMark/>
          </w:tcPr>
          <w:p w14:paraId="77215ACA"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43" w:type="pct"/>
            <w:vMerge/>
            <w:vAlign w:val="center"/>
            <w:hideMark/>
          </w:tcPr>
          <w:p w14:paraId="55A4E740"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00" w:type="pct"/>
            <w:vMerge/>
            <w:vAlign w:val="center"/>
            <w:hideMark/>
          </w:tcPr>
          <w:p w14:paraId="3248636F"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178" w:type="pct"/>
            <w:vMerge/>
            <w:vAlign w:val="center"/>
            <w:hideMark/>
          </w:tcPr>
          <w:p w14:paraId="1E1B635B"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228" w:type="pct"/>
            <w:vMerge/>
            <w:vAlign w:val="center"/>
            <w:hideMark/>
          </w:tcPr>
          <w:p w14:paraId="1BBF5F38"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411" w:type="pct"/>
            <w:vMerge/>
            <w:vAlign w:val="center"/>
            <w:hideMark/>
          </w:tcPr>
          <w:p w14:paraId="17B4B3EC"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9" w:type="pct"/>
            <w:vMerge/>
            <w:vAlign w:val="center"/>
            <w:hideMark/>
          </w:tcPr>
          <w:p w14:paraId="0A6730A4" w14:textId="77777777" w:rsidR="005C79FE" w:rsidRPr="00476C14" w:rsidRDefault="005C79FE" w:rsidP="003A0F14">
            <w:pPr>
              <w:rPr>
                <w:rFonts w:ascii="Trebuchet MS" w:eastAsia="Times New Roman" w:hAnsi="Trebuchet MS" w:cs="Arial"/>
                <w:color w:val="000000"/>
                <w:sz w:val="10"/>
                <w:szCs w:val="10"/>
                <w:lang w:val="es-CO" w:eastAsia="es-CO"/>
              </w:rPr>
            </w:pPr>
          </w:p>
        </w:tc>
        <w:tc>
          <w:tcPr>
            <w:tcW w:w="318" w:type="pct"/>
            <w:vMerge/>
            <w:vAlign w:val="center"/>
            <w:hideMark/>
          </w:tcPr>
          <w:p w14:paraId="33C1B721" w14:textId="77777777" w:rsidR="005C79FE" w:rsidRPr="00476C14" w:rsidRDefault="005C79FE" w:rsidP="003A0F14">
            <w:pPr>
              <w:rPr>
                <w:rFonts w:ascii="Trebuchet MS" w:eastAsia="Times New Roman" w:hAnsi="Trebuchet MS" w:cs="Arial"/>
                <w:color w:val="000000"/>
                <w:sz w:val="10"/>
                <w:szCs w:val="10"/>
                <w:lang w:val="es-CO" w:eastAsia="es-CO"/>
              </w:rPr>
            </w:pPr>
          </w:p>
        </w:tc>
      </w:tr>
      <w:tr w:rsidR="005C79FE" w:rsidRPr="00476C14" w14:paraId="630FCA42" w14:textId="77777777" w:rsidTr="003A0F14">
        <w:trPr>
          <w:trHeight w:val="392"/>
        </w:trPr>
        <w:tc>
          <w:tcPr>
            <w:tcW w:w="141" w:type="pct"/>
            <w:textDirection w:val="btLr"/>
            <w:vAlign w:val="center"/>
          </w:tcPr>
          <w:p w14:paraId="44CB06C2"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3BCF0F1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11823A8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4C0AF7D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BD408C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7061307A"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5B8D9A07"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625AD2FC"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515D029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783903B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E4F76E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0991D224"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3A376E78"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7B95BEB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3AC188F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2DB0E89D"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6D8AA4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10A089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28F860C0" w14:textId="77777777" w:rsidR="005C79FE" w:rsidRPr="00476C14" w:rsidRDefault="005C79FE" w:rsidP="003A0F14">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5BA45BC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4B619358"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95E7DB1"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3908F0A1"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270417BF"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64BD1D4A" w14:textId="77777777" w:rsidTr="003A0F14">
        <w:trPr>
          <w:trHeight w:val="2679"/>
        </w:trPr>
        <w:tc>
          <w:tcPr>
            <w:tcW w:w="141" w:type="pct"/>
            <w:textDirection w:val="btLr"/>
            <w:vAlign w:val="center"/>
          </w:tcPr>
          <w:p w14:paraId="6FCF37F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1FCF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107205C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154040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0F2C2404"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2B6E7743"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47E20118"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4450DD4F"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6D46EAED"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54AF6E0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691CB39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0D23B3A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DAEEB4D"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2A85AB36"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505FFF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3239C6A1"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6D85D9C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4301094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19CDBC0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04B39DE8"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9BD91B0"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788B06EB"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08955A7D"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475C6599" w14:textId="77777777" w:rsidTr="003A0F14">
        <w:trPr>
          <w:trHeight w:val="283"/>
        </w:trPr>
        <w:tc>
          <w:tcPr>
            <w:tcW w:w="141" w:type="pct"/>
            <w:textDirection w:val="btLr"/>
            <w:vAlign w:val="center"/>
          </w:tcPr>
          <w:p w14:paraId="46197C5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AC41B5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305A2E4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0EAF1B5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EB78FA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130EA701"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342980CB"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373EC4C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7E0F3E9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29E0E0DA"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331ED57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40EF76D7"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3DAEFCAF"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D209299" w14:textId="77777777" w:rsidR="005C79FE" w:rsidRPr="00476C14" w:rsidRDefault="005C79FE" w:rsidP="003A0F14">
            <w:pPr>
              <w:ind w:left="31"/>
              <w:jc w:val="both"/>
              <w:rPr>
                <w:rFonts w:ascii="Trebuchet MS" w:eastAsia="Times New Roman" w:hAnsi="Trebuchet MS" w:cs="Arial"/>
                <w:sz w:val="10"/>
                <w:szCs w:val="10"/>
                <w:lang w:val="es-CO" w:eastAsia="es-CO"/>
              </w:rPr>
            </w:pPr>
          </w:p>
        </w:tc>
        <w:tc>
          <w:tcPr>
            <w:tcW w:w="141" w:type="pct"/>
            <w:textDirection w:val="btLr"/>
            <w:vAlign w:val="center"/>
          </w:tcPr>
          <w:p w14:paraId="65A4ED4B"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3303DE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CC275D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7B30A80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4AB1858"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02D1AEEE"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41309476"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BC4EF4"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762DE08C"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90C4914" w14:textId="77777777" w:rsidR="005C79FE" w:rsidRPr="00476C14" w:rsidRDefault="005C79FE" w:rsidP="003A0F14">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5C79FE" w:rsidRPr="00476C14" w14:paraId="6A66698F" w14:textId="77777777" w:rsidTr="003A0F14">
        <w:trPr>
          <w:trHeight w:val="2679"/>
        </w:trPr>
        <w:tc>
          <w:tcPr>
            <w:tcW w:w="141" w:type="pct"/>
            <w:textDirection w:val="btLr"/>
            <w:vAlign w:val="center"/>
          </w:tcPr>
          <w:p w14:paraId="3EB2768C"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5F7ABC23" w14:textId="77777777" w:rsidR="005C79FE" w:rsidRPr="00476C14" w:rsidRDefault="005C79FE" w:rsidP="003A0F14">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2907E68"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7C4E20A3"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C470AA5"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2C704F68"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6BA31F19"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6BECE582"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7A2DADED"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4576471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65934AFF"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5EB11790" w14:textId="77777777" w:rsidR="005C79FE" w:rsidRPr="00476C14" w:rsidRDefault="005C79FE" w:rsidP="003A0F14">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4AE1E3FA" w14:textId="77777777" w:rsidR="005C79FE" w:rsidRPr="00476C14" w:rsidRDefault="005C79FE" w:rsidP="003A0F14">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56F3C08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602E5C5A"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D99C9F3"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3FE566A3"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5E9F62B0"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p>
          <w:p w14:paraId="2399F439"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643AF2F7" w14:textId="77777777" w:rsidR="005C79FE" w:rsidRPr="00476C14" w:rsidRDefault="005C79FE" w:rsidP="003A0F14">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4487D9C7"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ABA7E49"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F8B8BF0"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378452BA" w14:textId="77777777" w:rsidR="005C79FE" w:rsidRPr="00476C14" w:rsidRDefault="005C79FE" w:rsidP="003A0F14">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75EC716E" w14:textId="1524B69D" w:rsidR="005C79FE" w:rsidRDefault="005C79FE" w:rsidP="000E4D71">
      <w:pPr>
        <w:pStyle w:val="P27"/>
        <w:jc w:val="both"/>
        <w:rPr>
          <w:rFonts w:ascii="Trebuchet MS" w:hAnsi="Trebuchet MS" w:cs="Arial"/>
          <w:szCs w:val="22"/>
        </w:rPr>
      </w:pPr>
    </w:p>
    <w:p w14:paraId="3C7E566A" w14:textId="55C5EEE2" w:rsidR="0005019B" w:rsidRDefault="0005019B" w:rsidP="000E4D71">
      <w:pPr>
        <w:pStyle w:val="P27"/>
        <w:jc w:val="both"/>
        <w:rPr>
          <w:rFonts w:ascii="Trebuchet MS" w:hAnsi="Trebuchet MS" w:cs="Arial"/>
          <w:szCs w:val="22"/>
        </w:rPr>
      </w:pPr>
    </w:p>
    <w:p w14:paraId="256A2DCB" w14:textId="77777777" w:rsidR="0005019B" w:rsidRPr="008C37C4" w:rsidRDefault="0005019B" w:rsidP="000E4D71">
      <w:pPr>
        <w:pStyle w:val="P27"/>
        <w:jc w:val="both"/>
        <w:rPr>
          <w:rFonts w:ascii="Trebuchet MS" w:hAnsi="Trebuchet MS" w:cs="Arial"/>
          <w:szCs w:val="22"/>
        </w:rPr>
      </w:pPr>
    </w:p>
    <w:p w14:paraId="0AC88B0A" w14:textId="4005557B"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lastRenderedPageBreak/>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258B8646" w14:textId="77777777" w:rsidR="005C79FE" w:rsidRDefault="005C79FE" w:rsidP="000E4D71">
      <w:pPr>
        <w:pStyle w:val="P27"/>
        <w:jc w:val="both"/>
        <w:rPr>
          <w:rFonts w:ascii="Trebuchet MS" w:hAnsi="Trebuchet MS" w:cs="Arial"/>
          <w:szCs w:val="22"/>
        </w:rPr>
      </w:pPr>
    </w:p>
    <w:p w14:paraId="74AAF395" w14:textId="77777777" w:rsidR="005C79FE" w:rsidRPr="008C37C4" w:rsidRDefault="005C79FE" w:rsidP="000E4D71">
      <w:pPr>
        <w:pStyle w:val="P27"/>
        <w:jc w:val="both"/>
        <w:rPr>
          <w:rFonts w:ascii="Trebuchet MS" w:hAnsi="Trebuchet MS" w:cs="Arial"/>
          <w:szCs w:val="22"/>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432D0DD6" w14:textId="680DA827" w:rsidR="005C79FE" w:rsidRPr="008C37C4" w:rsidRDefault="005C79FE" w:rsidP="000E4D71">
      <w:pPr>
        <w:pStyle w:val="P27"/>
        <w:jc w:val="both"/>
        <w:rPr>
          <w:rFonts w:ascii="Trebuchet MS" w:hAnsi="Trebuchet MS" w:cs="Arial"/>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ED0E93">
        <w:rPr>
          <w:rFonts w:ascii="Trebuchet MS" w:hAnsi="Trebuchet MS" w:cs="Arial"/>
          <w:b w:val="0"/>
          <w:szCs w:val="22"/>
        </w:rPr>
        <w:t>20</w:t>
      </w:r>
      <w:r w:rsidRPr="00B56D82">
        <w:rPr>
          <w:rFonts w:ascii="Trebuchet MS" w:hAnsi="Trebuchet MS" w:cs="Arial"/>
          <w:b w:val="0"/>
          <w:szCs w:val="22"/>
        </w:rPr>
        <w:t>, contados a partir de la suscripción del acta de inicio de actividades, previo registro presupuestal correspondiente y aprobación de la garantía única por parte del Defensor del Pueblo Regional o quien haga sus veces</w:t>
      </w:r>
      <w:r w:rsidR="00824BCD" w:rsidRPr="00824BCD">
        <w:t xml:space="preserve"> </w:t>
      </w:r>
      <w:r w:rsidR="00824BCD" w:rsidRPr="00824BCD">
        <w:rPr>
          <w:rFonts w:ascii="Trebuchet MS" w:hAnsi="Trebuchet MS" w:cs="Arial"/>
          <w:b w:val="0"/>
          <w:szCs w:val="22"/>
        </w:rPr>
        <w:t>La vigencia será la del plazo de e</w:t>
      </w:r>
      <w:r w:rsidR="00824BCD">
        <w:rPr>
          <w:rFonts w:ascii="Trebuchet MS" w:hAnsi="Trebuchet MS" w:cs="Arial"/>
          <w:b w:val="0"/>
          <w:szCs w:val="22"/>
        </w:rPr>
        <w:t>jecución y cuatro (4) meses más.</w:t>
      </w:r>
    </w:p>
    <w:p w14:paraId="3278A7BB" w14:textId="77777777" w:rsidR="005C79FE" w:rsidRPr="008C37C4" w:rsidRDefault="005C79FE"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53C82645" w14:textId="77777777" w:rsidR="005C79FE" w:rsidRPr="008C37C4" w:rsidRDefault="005C79FE" w:rsidP="000E4D71">
      <w:pPr>
        <w:pStyle w:val="P25"/>
        <w:jc w:val="both"/>
        <w:rPr>
          <w:rFonts w:ascii="Trebuchet MS" w:hAnsi="Trebuchet MS" w:cs="Arial"/>
          <w:szCs w:val="22"/>
        </w:rPr>
      </w:pPr>
    </w:p>
    <w:p w14:paraId="40710307" w14:textId="4F10D149"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6034D4">
        <w:rPr>
          <w:rFonts w:ascii="Trebuchet MS" w:hAnsi="Trebuchet MS" w:cs="Arial"/>
          <w:b w:val="0"/>
          <w:szCs w:val="22"/>
        </w:rPr>
        <w:t>CIRCUITO SAMANIEGO</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6034D4">
        <w:rPr>
          <w:rFonts w:ascii="Trebuchet MS" w:hAnsi="Trebuchet MS" w:cs="Arial"/>
          <w:b w:val="0"/>
          <w:szCs w:val="22"/>
        </w:rPr>
        <w:t>NARIÑO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38D2B1A4"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05F5B567" w14:textId="77777777" w:rsidR="005C79FE" w:rsidRPr="008C37C4" w:rsidRDefault="005C79FE" w:rsidP="000E4D71">
      <w:pPr>
        <w:pStyle w:val="P28"/>
        <w:jc w:val="left"/>
        <w:rPr>
          <w:rFonts w:ascii="Trebuchet MS" w:hAnsi="Trebuchet MS" w:cs="Arial"/>
          <w:szCs w:val="22"/>
        </w:rPr>
      </w:pPr>
    </w:p>
    <w:p w14:paraId="3E3CD535" w14:textId="77777777" w:rsidR="005C79FE" w:rsidRDefault="005C79FE"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2E35D0DF" w:rsidR="003B33B3" w:rsidRDefault="00335995"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619AC45D" wp14:editId="0696C741">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0" w:name="_GoBack"/>
      <w:bookmarkEnd w:id="0"/>
    </w:p>
    <w:p w14:paraId="2ABA2F55" w14:textId="77777777" w:rsidR="005C79FE" w:rsidRPr="008C37C4" w:rsidRDefault="005C79FE" w:rsidP="000E4D71">
      <w:pPr>
        <w:pStyle w:val="P28"/>
        <w:rPr>
          <w:rFonts w:ascii="Trebuchet MS" w:hAnsi="Trebuchet MS" w:cs="Arial"/>
          <w:szCs w:val="22"/>
        </w:rPr>
      </w:pPr>
      <w:r w:rsidRPr="008C37C4">
        <w:rPr>
          <w:rFonts w:ascii="Trebuchet MS" w:hAnsi="Trebuchet MS" w:cs="Arial"/>
          <w:szCs w:val="22"/>
        </w:rPr>
        <w:t>ALBEIS JAMES FUENTES PIMIENTA</w:t>
      </w:r>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7878064F" w14:textId="77777777" w:rsidR="005C79FE" w:rsidRPr="00476C14" w:rsidRDefault="005C79FE" w:rsidP="000E4D71">
      <w:pPr>
        <w:pStyle w:val="P28"/>
        <w:jc w:val="left"/>
        <w:rPr>
          <w:rFonts w:ascii="Trebuchet MS" w:eastAsia="MS Mincho" w:hAnsi="Trebuchet MS" w:cs="Arial"/>
          <w:b w:val="0"/>
          <w:sz w:val="12"/>
          <w:szCs w:val="12"/>
          <w:lang w:val="es-ES_tradnl" w:eastAsia="en-US"/>
        </w:rPr>
      </w:pPr>
      <w:r w:rsidRPr="00476C14">
        <w:rPr>
          <w:rFonts w:ascii="Trebuchet MS" w:eastAsia="MS Mincho" w:hAnsi="Trebuchet MS" w:cs="Arial"/>
          <w:b w:val="0"/>
          <w:sz w:val="12"/>
          <w:szCs w:val="12"/>
          <w:lang w:val="es-ES_tradnl" w:eastAsia="en-US"/>
        </w:rPr>
        <w:t xml:space="preserve">Revisó: </w:t>
      </w:r>
      <w:r>
        <w:rPr>
          <w:rFonts w:ascii="Trebuchet MS" w:eastAsia="MS Mincho" w:hAnsi="Trebuchet MS" w:cs="Arial"/>
          <w:b w:val="0"/>
          <w:sz w:val="12"/>
          <w:szCs w:val="12"/>
          <w:lang w:val="es-ES_tradnl" w:eastAsia="en-US"/>
        </w:rPr>
        <w:t>Victoria Maduro Goenaga</w:t>
      </w:r>
      <w:r w:rsidRPr="00476C14">
        <w:rPr>
          <w:rFonts w:ascii="Trebuchet MS" w:eastAsia="MS Mincho" w:hAnsi="Trebuchet MS" w:cs="Arial"/>
          <w:b w:val="0"/>
          <w:sz w:val="12"/>
          <w:szCs w:val="12"/>
          <w:lang w:val="es-ES_tradnl" w:eastAsia="en-US"/>
        </w:rPr>
        <w:t>, Responsable de Grupo de Registro y Selección de Operadores - DNDP</w:t>
      </w:r>
    </w:p>
    <w:p w14:paraId="266D47D5" w14:textId="33A23BE1" w:rsidR="005C79FE" w:rsidRDefault="005C79FE" w:rsidP="005417C4">
      <w:pPr>
        <w:pStyle w:val="P28"/>
        <w:jc w:val="left"/>
      </w:pPr>
      <w:r w:rsidRPr="00476C14">
        <w:rPr>
          <w:rFonts w:ascii="Trebuchet MS" w:eastAsia="MS Mincho" w:hAnsi="Trebuchet MS" w:cs="Arial"/>
          <w:b w:val="0"/>
          <w:sz w:val="12"/>
          <w:szCs w:val="12"/>
          <w:lang w:val="es-ES_tradnl" w:eastAsia="en-US"/>
        </w:rPr>
        <w:t>Archivado en: Carpeta contratos</w:t>
      </w:r>
    </w:p>
    <w:sectPr w:rsidR="005C79FE" w:rsidSect="005C79FE">
      <w:headerReference w:type="even" r:id="rId8"/>
      <w:headerReference w:type="default" r:id="rId9"/>
      <w:footerReference w:type="even" r:id="rId10"/>
      <w:footerReference w:type="default" r:id="rId11"/>
      <w:headerReference w:type="first" r:id="rId12"/>
      <w:footerReference w:type="first" r:id="rId13"/>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7EBA9D" w14:textId="77777777" w:rsidR="00BD4B37" w:rsidRDefault="00BD4B37">
      <w:r>
        <w:separator/>
      </w:r>
    </w:p>
  </w:endnote>
  <w:endnote w:type="continuationSeparator" w:id="0">
    <w:p w14:paraId="539C7FDB" w14:textId="77777777" w:rsidR="00BD4B37" w:rsidRDefault="00BD4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8DD6F" w14:textId="77777777" w:rsidR="006034D4" w:rsidRDefault="006034D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FC2BC" w14:textId="77777777" w:rsidR="006034D4" w:rsidRDefault="006034D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B9FA3" w14:textId="77777777" w:rsidR="006034D4" w:rsidRDefault="006034D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30DCD" w14:textId="77777777" w:rsidR="00BD4B37" w:rsidRDefault="00BD4B37">
      <w:r>
        <w:separator/>
      </w:r>
    </w:p>
  </w:footnote>
  <w:footnote w:type="continuationSeparator" w:id="0">
    <w:p w14:paraId="14BCDE08" w14:textId="77777777" w:rsidR="00BD4B37" w:rsidRDefault="00BD4B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8D1E71" w14:textId="77777777" w:rsidR="006034D4" w:rsidRDefault="006034D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C15419"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C15419" w:rsidRPr="000913A3" w:rsidRDefault="00C15419"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C15419" w:rsidRPr="000913A3" w:rsidRDefault="00C15419"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C15419"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C15419" w:rsidRPr="000913A3" w:rsidRDefault="00C15419"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C15419" w:rsidRPr="000913A3" w:rsidRDefault="00C15419"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C15419" w:rsidRPr="000913A3" w:rsidRDefault="00C15419"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C15419"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C15419" w:rsidRPr="000913A3" w:rsidRDefault="00C15419"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C15419" w:rsidRPr="000913A3" w:rsidRDefault="00C15419"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C15419" w:rsidRPr="000913A3" w:rsidRDefault="00C15419"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C15419" w:rsidRDefault="00C15419">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78925" w14:textId="77777777" w:rsidR="006034D4" w:rsidRDefault="006034D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332DF"/>
    <w:rsid w:val="0005019B"/>
    <w:rsid w:val="000628B8"/>
    <w:rsid w:val="000951A5"/>
    <w:rsid w:val="000A3943"/>
    <w:rsid w:val="000B5690"/>
    <w:rsid w:val="000C7748"/>
    <w:rsid w:val="000E4C22"/>
    <w:rsid w:val="000E4D71"/>
    <w:rsid w:val="00101605"/>
    <w:rsid w:val="00130439"/>
    <w:rsid w:val="00150468"/>
    <w:rsid w:val="001A1757"/>
    <w:rsid w:val="001A3A71"/>
    <w:rsid w:val="001E764C"/>
    <w:rsid w:val="00204A34"/>
    <w:rsid w:val="00217F91"/>
    <w:rsid w:val="002422DA"/>
    <w:rsid w:val="00263E8F"/>
    <w:rsid w:val="00264445"/>
    <w:rsid w:val="002822CA"/>
    <w:rsid w:val="002B6AED"/>
    <w:rsid w:val="002E393B"/>
    <w:rsid w:val="003201C6"/>
    <w:rsid w:val="0032647F"/>
    <w:rsid w:val="00335995"/>
    <w:rsid w:val="00341C14"/>
    <w:rsid w:val="00371E30"/>
    <w:rsid w:val="00383BEF"/>
    <w:rsid w:val="003A0F14"/>
    <w:rsid w:val="003B33B3"/>
    <w:rsid w:val="003E1CCB"/>
    <w:rsid w:val="003E4C3E"/>
    <w:rsid w:val="004134B7"/>
    <w:rsid w:val="00435B9E"/>
    <w:rsid w:val="00442A79"/>
    <w:rsid w:val="004502AA"/>
    <w:rsid w:val="0045668D"/>
    <w:rsid w:val="00463F7B"/>
    <w:rsid w:val="004F49CF"/>
    <w:rsid w:val="00507869"/>
    <w:rsid w:val="005417C4"/>
    <w:rsid w:val="00543FD1"/>
    <w:rsid w:val="00584CF9"/>
    <w:rsid w:val="00597990"/>
    <w:rsid w:val="005C10B7"/>
    <w:rsid w:val="005C6EB6"/>
    <w:rsid w:val="005C79FE"/>
    <w:rsid w:val="005D1E32"/>
    <w:rsid w:val="005E493B"/>
    <w:rsid w:val="006034D4"/>
    <w:rsid w:val="006208BE"/>
    <w:rsid w:val="00653416"/>
    <w:rsid w:val="00666F4E"/>
    <w:rsid w:val="006E2FBF"/>
    <w:rsid w:val="006E4B10"/>
    <w:rsid w:val="00707ACD"/>
    <w:rsid w:val="007238C2"/>
    <w:rsid w:val="00723F05"/>
    <w:rsid w:val="007376AD"/>
    <w:rsid w:val="00793404"/>
    <w:rsid w:val="00824BCD"/>
    <w:rsid w:val="008438A8"/>
    <w:rsid w:val="00861DB5"/>
    <w:rsid w:val="00886110"/>
    <w:rsid w:val="00920F74"/>
    <w:rsid w:val="0097045E"/>
    <w:rsid w:val="00985868"/>
    <w:rsid w:val="009C5B24"/>
    <w:rsid w:val="009D3C25"/>
    <w:rsid w:val="009E2B5F"/>
    <w:rsid w:val="009E5001"/>
    <w:rsid w:val="00A27BF8"/>
    <w:rsid w:val="00A42B79"/>
    <w:rsid w:val="00A6786E"/>
    <w:rsid w:val="00AB4B53"/>
    <w:rsid w:val="00AC0FDD"/>
    <w:rsid w:val="00AD5153"/>
    <w:rsid w:val="00B56D82"/>
    <w:rsid w:val="00BB3A43"/>
    <w:rsid w:val="00BB45A8"/>
    <w:rsid w:val="00BC6ABF"/>
    <w:rsid w:val="00BD0CB6"/>
    <w:rsid w:val="00BD4B37"/>
    <w:rsid w:val="00BF581D"/>
    <w:rsid w:val="00C01DC7"/>
    <w:rsid w:val="00C05F84"/>
    <w:rsid w:val="00C153A2"/>
    <w:rsid w:val="00C15419"/>
    <w:rsid w:val="00C212C7"/>
    <w:rsid w:val="00C27233"/>
    <w:rsid w:val="00C329A3"/>
    <w:rsid w:val="00C412BB"/>
    <w:rsid w:val="00C8383F"/>
    <w:rsid w:val="00C954F0"/>
    <w:rsid w:val="00CB7AD9"/>
    <w:rsid w:val="00CC1E8B"/>
    <w:rsid w:val="00CE44A9"/>
    <w:rsid w:val="00CE4A12"/>
    <w:rsid w:val="00D13153"/>
    <w:rsid w:val="00D50E7B"/>
    <w:rsid w:val="00D511FB"/>
    <w:rsid w:val="00D57F32"/>
    <w:rsid w:val="00D649A7"/>
    <w:rsid w:val="00D77D64"/>
    <w:rsid w:val="00DB1104"/>
    <w:rsid w:val="00DD3E34"/>
    <w:rsid w:val="00DE0752"/>
    <w:rsid w:val="00E03CCA"/>
    <w:rsid w:val="00E03CE9"/>
    <w:rsid w:val="00E10640"/>
    <w:rsid w:val="00E32E4E"/>
    <w:rsid w:val="00E55F69"/>
    <w:rsid w:val="00E57080"/>
    <w:rsid w:val="00E63DB2"/>
    <w:rsid w:val="00E75D68"/>
    <w:rsid w:val="00E9022F"/>
    <w:rsid w:val="00EA4D28"/>
    <w:rsid w:val="00EB6417"/>
    <w:rsid w:val="00ED0E93"/>
    <w:rsid w:val="00EE1D3D"/>
    <w:rsid w:val="00F12AB5"/>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semiHidden/>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6034D4"/>
    <w:pPr>
      <w:tabs>
        <w:tab w:val="center" w:pos="4680"/>
        <w:tab w:val="right" w:pos="9360"/>
      </w:tabs>
    </w:pPr>
  </w:style>
  <w:style w:type="character" w:customStyle="1" w:styleId="PiedepginaCar">
    <w:name w:val="Pie de página Car"/>
    <w:basedOn w:val="Fuentedeprrafopredeter"/>
    <w:link w:val="Piedepgina"/>
    <w:uiPriority w:val="99"/>
    <w:rsid w:val="006034D4"/>
    <w:rPr>
      <w:rFonts w:ascii="Cambria" w:eastAsia="MS Mincho" w:hAnsi="Cambria"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4866</Words>
  <Characters>27742</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4</cp:revision>
  <cp:lastPrinted>2019-08-16T19:47:00Z</cp:lastPrinted>
  <dcterms:created xsi:type="dcterms:W3CDTF">2020-02-20T21:16:00Z</dcterms:created>
  <dcterms:modified xsi:type="dcterms:W3CDTF">2020-04-21T21:06:00Z</dcterms:modified>
</cp:coreProperties>
</file>