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D06AD7" w:rsidRDefault="00C64C07" w:rsidP="008E093C">
      <w:pPr>
        <w:autoSpaceDE w:val="0"/>
        <w:autoSpaceDN w:val="0"/>
        <w:adjustRightInd w:val="0"/>
        <w:ind w:left="2124" w:hanging="2124"/>
        <w:jc w:val="center"/>
        <w:rPr>
          <w:rFonts w:ascii="Arial Narrow" w:hAnsi="Arial Narrow" w:cs="Arial"/>
          <w:b/>
          <w:sz w:val="22"/>
          <w:szCs w:val="22"/>
        </w:rPr>
      </w:pPr>
      <w:r w:rsidRPr="00D06AD7">
        <w:rPr>
          <w:rFonts w:ascii="Arial Narrow" w:hAnsi="Arial Narrow" w:cs="Arial"/>
          <w:b/>
          <w:bCs/>
          <w:sz w:val="22"/>
          <w:szCs w:val="22"/>
          <w:lang w:val="es-ES"/>
        </w:rPr>
        <w:t xml:space="preserve">ESTUDIOS Y DOCUMENTOS PREVIOS </w:t>
      </w:r>
      <w:r w:rsidRPr="00D06AD7">
        <w:rPr>
          <w:rFonts w:ascii="Arial Narrow" w:hAnsi="Arial Narrow" w:cs="Arial"/>
          <w:b/>
          <w:sz w:val="22"/>
          <w:szCs w:val="22"/>
        </w:rPr>
        <w:t>Y ANÁLISIS DEL SECTOR</w:t>
      </w:r>
    </w:p>
    <w:p w14:paraId="7D401FD9" w14:textId="77777777" w:rsidR="00415F4B" w:rsidRPr="00D06AD7" w:rsidRDefault="00415F4B" w:rsidP="00C64C07">
      <w:pPr>
        <w:autoSpaceDE w:val="0"/>
        <w:autoSpaceDN w:val="0"/>
        <w:adjustRightInd w:val="0"/>
        <w:jc w:val="center"/>
        <w:rPr>
          <w:rFonts w:ascii="Arial Narrow" w:hAnsi="Arial Narrow" w:cs="Arial"/>
          <w:b/>
          <w:sz w:val="22"/>
          <w:szCs w:val="22"/>
        </w:rPr>
      </w:pPr>
    </w:p>
    <w:p w14:paraId="2012C6C3" w14:textId="68EC18D3" w:rsidR="00646C9C" w:rsidRPr="00D06AD7" w:rsidRDefault="001E2D8D" w:rsidP="00C64C07">
      <w:pPr>
        <w:autoSpaceDE w:val="0"/>
        <w:autoSpaceDN w:val="0"/>
        <w:adjustRightInd w:val="0"/>
        <w:jc w:val="center"/>
        <w:rPr>
          <w:rFonts w:ascii="Arial Narrow" w:hAnsi="Arial Narrow" w:cs="Arial"/>
          <w:b/>
          <w:sz w:val="22"/>
          <w:szCs w:val="22"/>
        </w:rPr>
      </w:pPr>
      <w:r w:rsidRPr="00CC0E39">
        <w:rPr>
          <w:rFonts w:ascii="Arial Narrow" w:hAnsi="Arial Narrow" w:cs="Arial"/>
          <w:b/>
          <w:sz w:val="22"/>
          <w:szCs w:val="22"/>
        </w:rPr>
        <w:t>IP</w:t>
      </w:r>
      <w:r w:rsidR="001E08E2" w:rsidRPr="00CC0E39">
        <w:rPr>
          <w:rFonts w:ascii="Arial Narrow" w:hAnsi="Arial Narrow" w:cs="Arial"/>
          <w:b/>
          <w:sz w:val="22"/>
          <w:szCs w:val="22"/>
        </w:rPr>
        <w:t>-</w:t>
      </w:r>
      <w:r w:rsidR="00CC0E39" w:rsidRPr="00CC0E39">
        <w:rPr>
          <w:rFonts w:ascii="Arial Narrow" w:hAnsi="Arial Narrow" w:cs="Arial"/>
          <w:b/>
          <w:sz w:val="22"/>
          <w:szCs w:val="22"/>
        </w:rPr>
        <w:t>DT</w:t>
      </w:r>
      <w:r w:rsidR="001E08E2" w:rsidRPr="00CC0E39">
        <w:rPr>
          <w:rFonts w:ascii="Arial Narrow" w:hAnsi="Arial Narrow" w:cs="Arial"/>
          <w:b/>
          <w:sz w:val="22"/>
          <w:szCs w:val="22"/>
        </w:rPr>
        <w:t>-</w:t>
      </w:r>
      <w:r w:rsidR="00CC0E39" w:rsidRPr="00CC0E39">
        <w:rPr>
          <w:rFonts w:ascii="Arial Narrow" w:hAnsi="Arial Narrow" w:cs="Arial"/>
          <w:b/>
          <w:sz w:val="22"/>
          <w:szCs w:val="22"/>
        </w:rPr>
        <w:t>CAL</w:t>
      </w:r>
      <w:r w:rsidR="001E08E2" w:rsidRPr="00CC0E39">
        <w:rPr>
          <w:rFonts w:ascii="Arial Narrow" w:hAnsi="Arial Narrow" w:cs="Arial"/>
          <w:b/>
          <w:sz w:val="22"/>
          <w:szCs w:val="22"/>
        </w:rPr>
        <w:t>-</w:t>
      </w:r>
      <w:r w:rsidR="00CC0E39" w:rsidRPr="00CC0E39">
        <w:rPr>
          <w:rFonts w:ascii="Arial Narrow" w:hAnsi="Arial Narrow" w:cs="Arial"/>
          <w:b/>
          <w:sz w:val="22"/>
          <w:szCs w:val="22"/>
        </w:rPr>
        <w:t>00</w:t>
      </w:r>
      <w:r w:rsidR="00186E08">
        <w:rPr>
          <w:rFonts w:ascii="Arial Narrow" w:hAnsi="Arial Narrow" w:cs="Arial"/>
          <w:b/>
          <w:sz w:val="22"/>
          <w:szCs w:val="22"/>
        </w:rPr>
        <w:t>6</w:t>
      </w:r>
      <w:r w:rsidR="001E08E2" w:rsidRPr="00CC0E39">
        <w:rPr>
          <w:rFonts w:ascii="Arial Narrow" w:hAnsi="Arial Narrow" w:cs="Arial"/>
          <w:b/>
          <w:sz w:val="22"/>
          <w:szCs w:val="22"/>
        </w:rPr>
        <w:t>-</w:t>
      </w:r>
      <w:r w:rsidR="0032249B" w:rsidRPr="00CC0E39">
        <w:rPr>
          <w:rFonts w:ascii="Arial Narrow" w:hAnsi="Arial Narrow" w:cs="Arial"/>
          <w:b/>
          <w:sz w:val="22"/>
          <w:szCs w:val="22"/>
        </w:rPr>
        <w:t>202</w:t>
      </w:r>
      <w:r w:rsidR="00781215" w:rsidRPr="00CC0E39">
        <w:rPr>
          <w:rFonts w:ascii="Arial Narrow" w:hAnsi="Arial Narrow" w:cs="Arial"/>
          <w:b/>
          <w:sz w:val="22"/>
          <w:szCs w:val="22"/>
        </w:rPr>
        <w:t>4</w:t>
      </w:r>
    </w:p>
    <w:p w14:paraId="0B5FF54B" w14:textId="77777777" w:rsidR="00415F4B" w:rsidRPr="00D06AD7" w:rsidRDefault="00415F4B" w:rsidP="00C64C07">
      <w:pPr>
        <w:autoSpaceDE w:val="0"/>
        <w:autoSpaceDN w:val="0"/>
        <w:adjustRightInd w:val="0"/>
        <w:jc w:val="center"/>
        <w:rPr>
          <w:rFonts w:ascii="Arial Narrow" w:hAnsi="Arial Narrow" w:cs="Arial"/>
          <w:b/>
          <w:bCs/>
          <w:sz w:val="22"/>
          <w:szCs w:val="22"/>
          <w:lang w:val="es-ES"/>
        </w:rPr>
      </w:pPr>
    </w:p>
    <w:p w14:paraId="37AFBA92" w14:textId="77777777" w:rsidR="00964312" w:rsidRPr="00D06AD7" w:rsidRDefault="00964312" w:rsidP="00964312">
      <w:pPr>
        <w:contextualSpacing/>
        <w:jc w:val="center"/>
        <w:rPr>
          <w:rFonts w:ascii="Arial Narrow" w:eastAsia="Cambria" w:hAnsi="Arial Narrow" w:cs="Arial"/>
          <w:b/>
          <w:sz w:val="22"/>
          <w:szCs w:val="22"/>
          <w:lang w:val="es-ES_tradnl" w:eastAsia="en-US"/>
        </w:rPr>
      </w:pPr>
    </w:p>
    <w:p w14:paraId="78E19F80" w14:textId="4012A6B4" w:rsidR="001E53B7" w:rsidRPr="00123B5A" w:rsidRDefault="00123B5A" w:rsidP="00C64C07">
      <w:pPr>
        <w:jc w:val="center"/>
        <w:rPr>
          <w:rFonts w:ascii="Arial Narrow" w:hAnsi="Arial Narrow" w:cs="Arial"/>
          <w:b/>
          <w:bCs/>
          <w:sz w:val="22"/>
          <w:szCs w:val="22"/>
          <w:lang w:val="es-ES"/>
        </w:rPr>
      </w:pPr>
      <w:r w:rsidRPr="00123B5A">
        <w:rPr>
          <w:rFonts w:ascii="Arial Narrow" w:hAnsi="Arial Narrow" w:cs="Arial"/>
          <w:b/>
          <w:bCs/>
          <w:sz w:val="22"/>
          <w:szCs w:val="22"/>
          <w:lang w:val="es-ES"/>
        </w:rPr>
        <w:t xml:space="preserve">“CONTRATAR LOS SERVICIOS PARA EL LEVANTAMIENTO TOPOGRÁFICO DE LOS PROYECTOS DE LAS VÍAS REGIONALES EN EL MARCO DEL PROGRAMA CAMINOS COMUNITARIOS DE LA PAZ TOTAL A CARGO DE LA DIRECCIÓN TERRITORIAL </w:t>
      </w:r>
      <w:r w:rsidR="00CC0E39">
        <w:rPr>
          <w:rFonts w:ascii="Arial Narrow" w:hAnsi="Arial Narrow" w:cs="Arial"/>
          <w:b/>
          <w:bCs/>
          <w:sz w:val="22"/>
          <w:szCs w:val="22"/>
          <w:lang w:val="es-ES"/>
        </w:rPr>
        <w:t>CALDAS</w:t>
      </w:r>
      <w:r w:rsidRPr="00123B5A">
        <w:rPr>
          <w:rFonts w:ascii="Arial Narrow" w:hAnsi="Arial Narrow" w:cs="Arial"/>
          <w:b/>
          <w:bCs/>
          <w:sz w:val="22"/>
          <w:szCs w:val="22"/>
          <w:lang w:val="es-ES"/>
        </w:rPr>
        <w:t>”</w:t>
      </w:r>
    </w:p>
    <w:p w14:paraId="728C9604" w14:textId="77777777" w:rsidR="00781215" w:rsidRPr="00D06AD7" w:rsidRDefault="00781215" w:rsidP="00C64C07">
      <w:pPr>
        <w:jc w:val="center"/>
        <w:rPr>
          <w:rFonts w:ascii="Arial Narrow" w:hAnsi="Arial Narrow" w:cs="Arial"/>
          <w:sz w:val="22"/>
          <w:szCs w:val="22"/>
          <w:lang w:val="x-none"/>
        </w:rPr>
      </w:pPr>
    </w:p>
    <w:p w14:paraId="51AF9041" w14:textId="77777777" w:rsidR="00C64C07" w:rsidRPr="00D06AD7" w:rsidRDefault="00C64C07">
      <w:pPr>
        <w:pStyle w:val="Listavistosa-nfasis11"/>
        <w:numPr>
          <w:ilvl w:val="0"/>
          <w:numId w:val="1"/>
        </w:numPr>
        <w:jc w:val="center"/>
        <w:rPr>
          <w:rFonts w:ascii="Arial Narrow" w:hAnsi="Arial Narrow" w:cs="Arial"/>
          <w:b/>
          <w:sz w:val="22"/>
          <w:szCs w:val="22"/>
        </w:rPr>
      </w:pPr>
      <w:r w:rsidRPr="00D06AD7">
        <w:rPr>
          <w:rFonts w:ascii="Arial Narrow" w:hAnsi="Arial Narrow" w:cs="Arial"/>
          <w:b/>
          <w:sz w:val="22"/>
          <w:szCs w:val="22"/>
        </w:rPr>
        <w:t xml:space="preserve">   DESCRIPCIÓN DE LA NECESIDAD.</w:t>
      </w:r>
    </w:p>
    <w:p w14:paraId="3DE4603E" w14:textId="2025287F" w:rsidR="00A5623F" w:rsidRPr="00D06AD7" w:rsidRDefault="00A5623F" w:rsidP="00A5623F">
      <w:pPr>
        <w:pStyle w:val="Listavistosa-nfasis11"/>
        <w:tabs>
          <w:tab w:val="left" w:pos="6958"/>
        </w:tabs>
        <w:ind w:left="0"/>
        <w:jc w:val="both"/>
        <w:rPr>
          <w:rFonts w:ascii="Arial Narrow" w:eastAsia="Calibri" w:hAnsi="Arial Narrow" w:cs="Arial"/>
          <w:bCs/>
          <w:sz w:val="22"/>
          <w:szCs w:val="22"/>
          <w:lang w:val="es-ES"/>
        </w:rPr>
      </w:pPr>
    </w:p>
    <w:p w14:paraId="7C00F9E6" w14:textId="77777777"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El Gobierno nacional a través del Instituto Nacional de vías, implementó el programa de La paz total y la justicia social, el cual empieza desde el diálogo y la concertación con las comunidades para construir desde y para la ciudadanía, contando con el acompañamiento técnico, administrativo y contable del INVIAS desde sus Direcciones Territoriales.</w:t>
      </w:r>
    </w:p>
    <w:p w14:paraId="1448A057"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4C7FE676" w14:textId="77777777"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Con el programa Caminos Comunitarios de la Paz Total, las comunidades, juntas y organismos tendrán un papel fundamental, teniendo en cuenta que participarán en la identificación de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 regionales.</w:t>
      </w:r>
    </w:p>
    <w:p w14:paraId="330A245E"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61B92B16" w14:textId="77777777"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Es de mencionar, que es obligación de la administración pública, adelantar todos sus procesos con observancia de los principios orientadores de economía, celeridad, eficiencia, imparcialidad, publicidad, moralidad e igualdad, toda vez que la función pública se encuentra al servicio de los intereses generales, con el fin de cumplir los fines del Estado.</w:t>
      </w:r>
    </w:p>
    <w:p w14:paraId="5DC3A0CE"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17B6CC40" w14:textId="36D72787"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 xml:space="preserve">Por lo anterior, el Instituto Nacional de Vías, requiere obtener la información </w:t>
      </w:r>
      <w:r w:rsidR="0079135B">
        <w:rPr>
          <w:rFonts w:ascii="Arial Narrow" w:eastAsia="Calibri" w:hAnsi="Arial Narrow" w:cs="Arial"/>
          <w:bCs/>
          <w:sz w:val="22"/>
          <w:szCs w:val="22"/>
          <w:lang w:val="es-ES" w:eastAsia="en-US"/>
        </w:rPr>
        <w:t xml:space="preserve">técnica </w:t>
      </w:r>
      <w:r w:rsidRPr="00D06AD7">
        <w:rPr>
          <w:rFonts w:ascii="Arial Narrow" w:eastAsia="Calibri" w:hAnsi="Arial Narrow" w:cs="Arial"/>
          <w:bCs/>
          <w:sz w:val="22"/>
          <w:szCs w:val="22"/>
          <w:lang w:val="es-ES" w:eastAsia="en-US"/>
        </w:rPr>
        <w:t xml:space="preserve">adecuada y completa para el desarrollo de las actividades </w:t>
      </w:r>
      <w:r w:rsidR="00E24738">
        <w:rPr>
          <w:rFonts w:ascii="Arial Narrow" w:eastAsia="Calibri" w:hAnsi="Arial Narrow" w:cs="Arial"/>
          <w:bCs/>
          <w:sz w:val="22"/>
          <w:szCs w:val="22"/>
          <w:lang w:val="es-ES" w:eastAsia="en-US"/>
        </w:rPr>
        <w:t xml:space="preserve">y obras que se ejecutarán </w:t>
      </w:r>
      <w:r w:rsidR="00311469">
        <w:rPr>
          <w:rFonts w:ascii="Arial Narrow" w:eastAsia="Calibri" w:hAnsi="Arial Narrow" w:cs="Arial"/>
          <w:bCs/>
          <w:sz w:val="22"/>
          <w:szCs w:val="22"/>
          <w:lang w:val="es-ES" w:eastAsia="en-US"/>
        </w:rPr>
        <w:t xml:space="preserve">en el marco </w:t>
      </w:r>
      <w:r w:rsidRPr="00D06AD7">
        <w:rPr>
          <w:rFonts w:ascii="Arial Narrow" w:eastAsia="Calibri" w:hAnsi="Arial Narrow" w:cs="Arial"/>
          <w:bCs/>
          <w:sz w:val="22"/>
          <w:szCs w:val="22"/>
          <w:lang w:val="es-ES" w:eastAsia="en-US"/>
        </w:rPr>
        <w:t xml:space="preserve">de </w:t>
      </w:r>
      <w:r w:rsidR="00311469">
        <w:rPr>
          <w:rFonts w:ascii="Arial Narrow" w:eastAsia="Calibri" w:hAnsi="Arial Narrow" w:cs="Arial"/>
          <w:bCs/>
          <w:sz w:val="22"/>
          <w:szCs w:val="22"/>
          <w:lang w:val="es-ES" w:eastAsia="en-US"/>
        </w:rPr>
        <w:t xml:space="preserve">los </w:t>
      </w:r>
      <w:r w:rsidRPr="00D06AD7">
        <w:rPr>
          <w:rFonts w:ascii="Arial Narrow" w:eastAsia="Calibri" w:hAnsi="Arial Narrow" w:cs="Arial"/>
          <w:bCs/>
          <w:sz w:val="22"/>
          <w:szCs w:val="22"/>
          <w:lang w:val="es-ES" w:eastAsia="en-US"/>
        </w:rPr>
        <w:t xml:space="preserve">convenios solidarios con los diferentes organismos de acción comunal </w:t>
      </w:r>
      <w:r w:rsidR="007D39F2">
        <w:rPr>
          <w:rFonts w:ascii="Arial Narrow" w:eastAsia="Calibri" w:hAnsi="Arial Narrow" w:cs="Arial"/>
          <w:bCs/>
          <w:sz w:val="22"/>
          <w:szCs w:val="22"/>
          <w:lang w:val="es-ES" w:eastAsia="en-US"/>
        </w:rPr>
        <w:t xml:space="preserve">y/o comunidades étnicas en jurisdicción </w:t>
      </w:r>
      <w:r w:rsidRPr="00D06AD7">
        <w:rPr>
          <w:rFonts w:ascii="Arial Narrow" w:eastAsia="Calibri" w:hAnsi="Arial Narrow" w:cs="Arial"/>
          <w:bCs/>
          <w:sz w:val="22"/>
          <w:szCs w:val="22"/>
          <w:lang w:val="es-ES" w:eastAsia="en-US"/>
        </w:rPr>
        <w:t>de</w:t>
      </w:r>
      <w:r w:rsidR="007D39F2">
        <w:rPr>
          <w:rFonts w:ascii="Arial Narrow" w:eastAsia="Calibri" w:hAnsi="Arial Narrow" w:cs="Arial"/>
          <w:bCs/>
          <w:sz w:val="22"/>
          <w:szCs w:val="22"/>
          <w:lang w:val="es-ES" w:eastAsia="en-US"/>
        </w:rPr>
        <w:t xml:space="preserve"> la Dirección </w:t>
      </w:r>
      <w:r w:rsidR="007D39F2" w:rsidRPr="00CC0E39">
        <w:rPr>
          <w:rFonts w:ascii="Arial Narrow" w:eastAsia="Calibri" w:hAnsi="Arial Narrow" w:cs="Arial"/>
          <w:bCs/>
          <w:sz w:val="22"/>
          <w:szCs w:val="22"/>
          <w:lang w:val="es-ES" w:eastAsia="en-US"/>
        </w:rPr>
        <w:t>Territorial</w:t>
      </w:r>
      <w:r w:rsidRPr="00CC0E39">
        <w:rPr>
          <w:rFonts w:ascii="Arial Narrow" w:eastAsia="Calibri" w:hAnsi="Arial Narrow" w:cs="Arial"/>
          <w:bCs/>
          <w:sz w:val="22"/>
          <w:szCs w:val="22"/>
          <w:lang w:val="es-ES" w:eastAsia="en-US"/>
        </w:rPr>
        <w:t xml:space="preserve"> </w:t>
      </w:r>
      <w:r w:rsidR="00CC0E39" w:rsidRPr="00CC0E39">
        <w:rPr>
          <w:rFonts w:ascii="Arial Narrow" w:eastAsia="Calibri" w:hAnsi="Arial Narrow" w:cs="Arial"/>
          <w:bCs/>
          <w:sz w:val="22"/>
          <w:szCs w:val="22"/>
          <w:lang w:val="es-ES" w:eastAsia="en-US"/>
        </w:rPr>
        <w:t>Caldas</w:t>
      </w:r>
      <w:r w:rsidRPr="00CC0E39">
        <w:rPr>
          <w:rFonts w:ascii="Arial Narrow" w:eastAsia="Calibri" w:hAnsi="Arial Narrow" w:cs="Arial"/>
          <w:bCs/>
          <w:sz w:val="22"/>
          <w:szCs w:val="22"/>
          <w:lang w:val="es-ES" w:eastAsia="en-US"/>
        </w:rPr>
        <w:t>.</w:t>
      </w:r>
      <w:r w:rsidRPr="00D06AD7">
        <w:rPr>
          <w:rFonts w:ascii="Arial Narrow" w:eastAsia="Calibri" w:hAnsi="Arial Narrow" w:cs="Arial"/>
          <w:bCs/>
          <w:sz w:val="22"/>
          <w:szCs w:val="22"/>
          <w:lang w:val="es-ES" w:eastAsia="en-US"/>
        </w:rPr>
        <w:t xml:space="preserve"> </w:t>
      </w:r>
    </w:p>
    <w:p w14:paraId="67B1813C"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5AC6843F" w14:textId="39BFC5A2"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 xml:space="preserve">El resultado a obtener de la presente invitación pública, </w:t>
      </w:r>
      <w:r w:rsidR="00311469">
        <w:rPr>
          <w:rFonts w:ascii="Arial Narrow" w:eastAsia="Calibri" w:hAnsi="Arial Narrow" w:cs="Arial"/>
          <w:bCs/>
          <w:sz w:val="22"/>
          <w:szCs w:val="22"/>
          <w:lang w:val="es-ES" w:eastAsia="en-US"/>
        </w:rPr>
        <w:t>son los estudios de topografía con</w:t>
      </w:r>
      <w:r w:rsidR="00311469" w:rsidRPr="00D06AD7">
        <w:rPr>
          <w:rFonts w:ascii="Arial Narrow" w:eastAsia="Calibri" w:hAnsi="Arial Narrow" w:cs="Arial"/>
          <w:bCs/>
          <w:sz w:val="22"/>
          <w:szCs w:val="22"/>
          <w:lang w:val="es-ES" w:eastAsia="en-US"/>
        </w:rPr>
        <w:t xml:space="preserve"> </w:t>
      </w:r>
      <w:r w:rsidRPr="00D06AD7">
        <w:rPr>
          <w:rFonts w:ascii="Arial Narrow" w:eastAsia="Calibri" w:hAnsi="Arial Narrow" w:cs="Arial"/>
          <w:bCs/>
          <w:sz w:val="22"/>
          <w:szCs w:val="22"/>
          <w:lang w:val="es-ES" w:eastAsia="en-US"/>
        </w:rPr>
        <w:t xml:space="preserve">la representación gráfica de del terreno e planimetría, altimetría y datos de las redes secas e hidrosanitarias existentes, bajo las especificaciones técnicas, contenidas en el presente documento, para tener en cuenta la elaboración de los estudios topográficos requeridos por la Dirección </w:t>
      </w:r>
      <w:r w:rsidRPr="00CC0E39">
        <w:rPr>
          <w:rFonts w:ascii="Arial Narrow" w:eastAsia="Calibri" w:hAnsi="Arial Narrow" w:cs="Arial"/>
          <w:bCs/>
          <w:sz w:val="22"/>
          <w:szCs w:val="22"/>
          <w:lang w:val="es-ES" w:eastAsia="en-US"/>
        </w:rPr>
        <w:t xml:space="preserve">Territorial </w:t>
      </w:r>
      <w:r w:rsidR="00CC0E39" w:rsidRPr="00CC0E39">
        <w:rPr>
          <w:rFonts w:ascii="Arial Narrow" w:eastAsia="Calibri" w:hAnsi="Arial Narrow" w:cs="Arial"/>
          <w:bCs/>
          <w:sz w:val="22"/>
          <w:szCs w:val="22"/>
          <w:lang w:val="es-ES" w:eastAsia="en-US"/>
        </w:rPr>
        <w:t>Caldas</w:t>
      </w:r>
      <w:r w:rsidRPr="00CC0E39">
        <w:rPr>
          <w:rFonts w:ascii="Arial Narrow" w:eastAsia="Calibri" w:hAnsi="Arial Narrow" w:cs="Arial"/>
          <w:bCs/>
          <w:sz w:val="22"/>
          <w:szCs w:val="22"/>
          <w:lang w:val="es-ES" w:eastAsia="en-US"/>
        </w:rPr>
        <w:t>.</w:t>
      </w:r>
    </w:p>
    <w:p w14:paraId="69CCB284"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0CCC4C4B" w14:textId="4B7B3C9E" w:rsidR="00781215" w:rsidRPr="00D06AD7" w:rsidRDefault="00781215" w:rsidP="00781215">
      <w:pPr>
        <w:contextualSpacing/>
        <w:jc w:val="both"/>
        <w:rPr>
          <w:rFonts w:ascii="Arial Narrow" w:eastAsia="Calibri" w:hAnsi="Arial Narrow" w:cs="Arial"/>
          <w:bCs/>
          <w:sz w:val="22"/>
          <w:szCs w:val="22"/>
          <w:lang w:val="es-ES" w:eastAsia="en-US"/>
        </w:rPr>
      </w:pPr>
      <w:r w:rsidRPr="00D06AD7">
        <w:rPr>
          <w:rFonts w:ascii="Arial Narrow" w:eastAsia="Calibri" w:hAnsi="Arial Narrow" w:cs="Arial"/>
          <w:bCs/>
          <w:sz w:val="22"/>
          <w:szCs w:val="22"/>
          <w:lang w:val="es-ES" w:eastAsia="en-US"/>
        </w:rPr>
        <w:t xml:space="preserve">Ante este imperativo legal, la entidad encuentra necesario y conveniente adelantar un proceso de selección para la escogencia de la persona que realizará las </w:t>
      </w:r>
      <w:r w:rsidR="003E1F7D">
        <w:rPr>
          <w:rFonts w:ascii="Arial Narrow" w:eastAsia="Calibri" w:hAnsi="Arial Narrow" w:cs="Arial"/>
          <w:bCs/>
          <w:sz w:val="22"/>
          <w:szCs w:val="22"/>
          <w:lang w:val="es-ES" w:eastAsia="en-US"/>
        </w:rPr>
        <w:t xml:space="preserve">mencionadas </w:t>
      </w:r>
      <w:r w:rsidRPr="00D06AD7">
        <w:rPr>
          <w:rFonts w:ascii="Arial Narrow" w:eastAsia="Calibri" w:hAnsi="Arial Narrow" w:cs="Arial"/>
          <w:bCs/>
          <w:sz w:val="22"/>
          <w:szCs w:val="22"/>
          <w:lang w:val="es-ES" w:eastAsia="en-US"/>
        </w:rPr>
        <w:t>labores de consultoría.</w:t>
      </w:r>
    </w:p>
    <w:p w14:paraId="14977FD6" w14:textId="77777777" w:rsidR="00781215" w:rsidRPr="00D06AD7" w:rsidRDefault="00781215" w:rsidP="00781215">
      <w:pPr>
        <w:contextualSpacing/>
        <w:jc w:val="both"/>
        <w:rPr>
          <w:rFonts w:ascii="Arial Narrow" w:eastAsia="Calibri" w:hAnsi="Arial Narrow" w:cs="Arial"/>
          <w:bCs/>
          <w:sz w:val="22"/>
          <w:szCs w:val="22"/>
          <w:lang w:val="es-ES" w:eastAsia="en-US"/>
        </w:rPr>
      </w:pPr>
    </w:p>
    <w:p w14:paraId="04D3322A" w14:textId="77777777" w:rsidR="00C64C07" w:rsidRPr="00D06AD7" w:rsidRDefault="00C64C07" w:rsidP="00C64C07">
      <w:pPr>
        <w:autoSpaceDE w:val="0"/>
        <w:autoSpaceDN w:val="0"/>
        <w:adjustRightInd w:val="0"/>
        <w:jc w:val="both"/>
        <w:outlineLvl w:val="0"/>
        <w:rPr>
          <w:rFonts w:ascii="Arial Narrow" w:hAnsi="Arial Narrow" w:cs="Arial"/>
          <w:sz w:val="22"/>
          <w:szCs w:val="22"/>
        </w:rPr>
      </w:pPr>
    </w:p>
    <w:p w14:paraId="35382523" w14:textId="77777777" w:rsidR="00C64C07" w:rsidRPr="00D06AD7" w:rsidRDefault="00C64C07" w:rsidP="00EC17FC">
      <w:pPr>
        <w:numPr>
          <w:ilvl w:val="1"/>
          <w:numId w:val="14"/>
        </w:numPr>
        <w:autoSpaceDE w:val="0"/>
        <w:autoSpaceDN w:val="0"/>
        <w:adjustRightInd w:val="0"/>
        <w:jc w:val="both"/>
        <w:rPr>
          <w:rFonts w:ascii="Arial Narrow" w:eastAsia="Calibri" w:hAnsi="Arial Narrow" w:cs="Arial"/>
          <w:b/>
          <w:bCs/>
          <w:sz w:val="22"/>
          <w:szCs w:val="22"/>
          <w:lang w:val="es-ES"/>
        </w:rPr>
      </w:pPr>
      <w:r w:rsidRPr="00D06AD7">
        <w:rPr>
          <w:rFonts w:ascii="Arial Narrow" w:eastAsia="Calibri" w:hAnsi="Arial Narrow" w:cs="Arial"/>
          <w:b/>
          <w:bCs/>
          <w:sz w:val="22"/>
          <w:szCs w:val="22"/>
          <w:lang w:val="es-ES"/>
        </w:rPr>
        <w:t>OBJETIVO</w:t>
      </w:r>
    </w:p>
    <w:p w14:paraId="45F58C2D" w14:textId="77777777" w:rsidR="00C64C07" w:rsidRPr="00D06AD7" w:rsidRDefault="00C64C07" w:rsidP="00C64C07">
      <w:pPr>
        <w:autoSpaceDE w:val="0"/>
        <w:autoSpaceDN w:val="0"/>
        <w:adjustRightInd w:val="0"/>
        <w:jc w:val="both"/>
        <w:rPr>
          <w:rFonts w:ascii="Arial Narrow" w:eastAsia="Calibri" w:hAnsi="Arial Narrow" w:cs="Arial"/>
          <w:bCs/>
          <w:sz w:val="22"/>
          <w:szCs w:val="22"/>
          <w:lang w:val="es-ES"/>
        </w:rPr>
      </w:pPr>
    </w:p>
    <w:p w14:paraId="78EEE0A0" w14:textId="24A24CB1" w:rsidR="00DE43E4" w:rsidRPr="00123B5A" w:rsidRDefault="00781215" w:rsidP="00DE43E4">
      <w:pPr>
        <w:jc w:val="both"/>
        <w:rPr>
          <w:rFonts w:ascii="Arial Narrow" w:hAnsi="Arial Narrow" w:cs="Arial"/>
          <w:b/>
          <w:bCs/>
          <w:sz w:val="22"/>
          <w:szCs w:val="22"/>
          <w:lang w:val="es-ES"/>
        </w:rPr>
      </w:pPr>
      <w:r w:rsidRPr="00DE43E4">
        <w:rPr>
          <w:rFonts w:ascii="Arial Narrow" w:eastAsia="Calibri" w:hAnsi="Arial Narrow" w:cs="Arial"/>
          <w:bCs/>
          <w:sz w:val="22"/>
          <w:szCs w:val="22"/>
          <w:lang w:val="es-ES" w:eastAsia="en-US"/>
        </w:rPr>
        <w:t xml:space="preserve">El Proyecto a contratar </w:t>
      </w:r>
      <w:r w:rsidR="002001B3" w:rsidRPr="00DE43E4">
        <w:rPr>
          <w:rFonts w:ascii="Arial Narrow" w:eastAsia="Calibri" w:hAnsi="Arial Narrow" w:cs="Arial"/>
          <w:bCs/>
          <w:sz w:val="22"/>
          <w:szCs w:val="22"/>
          <w:lang w:val="es-ES" w:eastAsia="en-US"/>
        </w:rPr>
        <w:t>es</w:t>
      </w:r>
      <w:r w:rsidRPr="00D06AD7">
        <w:rPr>
          <w:rFonts w:cs="Arial"/>
          <w:sz w:val="22"/>
          <w:szCs w:val="22"/>
        </w:rPr>
        <w:t>:</w:t>
      </w:r>
      <w:r w:rsidR="001E2D8D" w:rsidRPr="00D06AD7">
        <w:rPr>
          <w:rFonts w:eastAsia="Calibri" w:cs="Arial"/>
          <w:sz w:val="22"/>
          <w:szCs w:val="22"/>
          <w:lang w:val="es-ES_tradnl"/>
        </w:rPr>
        <w:t xml:space="preserve"> </w:t>
      </w:r>
      <w:r w:rsidR="00DE43E4" w:rsidRPr="00123B5A">
        <w:rPr>
          <w:rFonts w:ascii="Arial Narrow" w:hAnsi="Arial Narrow" w:cs="Arial"/>
          <w:b/>
          <w:bCs/>
          <w:sz w:val="22"/>
          <w:szCs w:val="22"/>
          <w:lang w:val="es-ES"/>
        </w:rPr>
        <w:t xml:space="preserve">“CONTRATAR LOS SERVICIOS PARA EL LEVANTAMIENTO TOPOGRÁFICO DE LOS PROYECTOS DE LAS VÍAS REGIONALES EN EL MARCO DEL PROGRAMA CAMINOS COMUNITARIOS DE LA PAZ TOTAL A CARGO DE LA DIRECCIÓN TERRITORIAL </w:t>
      </w:r>
      <w:r w:rsidR="00CC0E39">
        <w:rPr>
          <w:rFonts w:ascii="Arial Narrow" w:hAnsi="Arial Narrow" w:cs="Arial"/>
          <w:b/>
          <w:bCs/>
          <w:sz w:val="22"/>
          <w:szCs w:val="22"/>
          <w:lang w:val="es-ES"/>
        </w:rPr>
        <w:t>CALDAS</w:t>
      </w:r>
      <w:r w:rsidR="00DE43E4" w:rsidRPr="00123B5A">
        <w:rPr>
          <w:rFonts w:ascii="Arial Narrow" w:hAnsi="Arial Narrow" w:cs="Arial"/>
          <w:b/>
          <w:bCs/>
          <w:sz w:val="22"/>
          <w:szCs w:val="22"/>
          <w:lang w:val="es-ES"/>
        </w:rPr>
        <w:t>”</w:t>
      </w:r>
      <w:r w:rsidR="00DE43E4">
        <w:rPr>
          <w:rFonts w:ascii="Arial Narrow" w:hAnsi="Arial Narrow" w:cs="Arial"/>
          <w:b/>
          <w:bCs/>
          <w:sz w:val="22"/>
          <w:szCs w:val="22"/>
          <w:lang w:val="es-ES"/>
        </w:rPr>
        <w:t>.</w:t>
      </w:r>
    </w:p>
    <w:p w14:paraId="35A25068" w14:textId="7F2C44BF" w:rsidR="007D39F2" w:rsidRPr="00DE43E4" w:rsidRDefault="007D39F2" w:rsidP="007D39F2">
      <w:pPr>
        <w:pStyle w:val="InviasNormal"/>
        <w:spacing w:before="0" w:after="0"/>
        <w:rPr>
          <w:rFonts w:eastAsia="Cambria" w:cs="Arial"/>
          <w:b/>
          <w:sz w:val="22"/>
          <w:szCs w:val="22"/>
          <w:lang w:val="es-ES" w:eastAsia="en-US"/>
        </w:rPr>
      </w:pPr>
    </w:p>
    <w:p w14:paraId="5F8DF7FD" w14:textId="2EF36F10" w:rsidR="00781215" w:rsidRPr="00D06AD7" w:rsidRDefault="00781215" w:rsidP="00781215">
      <w:pPr>
        <w:pStyle w:val="InviasNormal"/>
        <w:spacing w:before="0" w:after="0"/>
        <w:rPr>
          <w:rFonts w:eastAsia="Calibri" w:cs="Arial"/>
          <w:sz w:val="22"/>
          <w:szCs w:val="22"/>
          <w:lang w:val="es-ES_tradnl"/>
        </w:rPr>
      </w:pPr>
    </w:p>
    <w:p w14:paraId="0AB04B45" w14:textId="77777777" w:rsidR="00781215" w:rsidRPr="00D06AD7" w:rsidRDefault="00781215" w:rsidP="00781215">
      <w:pPr>
        <w:autoSpaceDE w:val="0"/>
        <w:autoSpaceDN w:val="0"/>
        <w:adjustRightInd w:val="0"/>
        <w:jc w:val="both"/>
        <w:rPr>
          <w:rFonts w:ascii="Arial Narrow" w:hAnsi="Arial Narrow" w:cs="Arial"/>
          <w:sz w:val="22"/>
          <w:szCs w:val="22"/>
        </w:rPr>
      </w:pPr>
    </w:p>
    <w:p w14:paraId="646F8258" w14:textId="65CE1EF9" w:rsidR="00781215" w:rsidRPr="00D06AD7" w:rsidRDefault="00781215" w:rsidP="00781215">
      <w:pPr>
        <w:autoSpaceDE w:val="0"/>
        <w:autoSpaceDN w:val="0"/>
        <w:adjustRightInd w:val="0"/>
        <w:jc w:val="both"/>
        <w:rPr>
          <w:rFonts w:ascii="Arial Narrow" w:hAnsi="Arial Narrow" w:cs="Arial"/>
          <w:sz w:val="22"/>
          <w:szCs w:val="22"/>
        </w:rPr>
      </w:pPr>
      <w:r w:rsidRPr="00D06AD7">
        <w:rPr>
          <w:rFonts w:ascii="Arial Narrow" w:hAnsi="Arial Narrow" w:cs="Arial"/>
          <w:sz w:val="22"/>
          <w:szCs w:val="22"/>
        </w:rPr>
        <w:lastRenderedPageBreak/>
        <w:t>Las actividades a ejecutar en el contrato de CONSULTORIA DE ESTUDIOS están establecidas en el Anexo técnico, manuales de diseño, normatividad vigente y demás documentos que forman parte del presente proceso, así como la invitación pública y la Cartilla de obras menores de drenaje y Estructuras viales.</w:t>
      </w:r>
    </w:p>
    <w:p w14:paraId="780F79BA" w14:textId="68B76AED" w:rsidR="00F14A80" w:rsidRPr="00D06AD7" w:rsidRDefault="00F14A80" w:rsidP="00781215">
      <w:pPr>
        <w:pStyle w:val="InviasNormal"/>
        <w:spacing w:before="0" w:after="0"/>
        <w:rPr>
          <w:rFonts w:eastAsia="Cambria" w:cs="Arial"/>
          <w:b/>
          <w:sz w:val="22"/>
          <w:szCs w:val="22"/>
          <w:lang w:val="es-ES_tradnl" w:eastAsia="en-US"/>
        </w:rPr>
      </w:pPr>
      <w:r w:rsidRPr="00D06AD7">
        <w:rPr>
          <w:rFonts w:eastAsia="Calibri" w:cs="Arial"/>
          <w:sz w:val="22"/>
          <w:szCs w:val="22"/>
          <w:lang w:val="es-ES_tradnl"/>
        </w:rPr>
        <w:t xml:space="preserve"> </w:t>
      </w:r>
    </w:p>
    <w:p w14:paraId="04BDDD8B" w14:textId="77777777" w:rsidR="004C728B" w:rsidRPr="00D06AD7" w:rsidRDefault="004C728B" w:rsidP="00C64C07">
      <w:pPr>
        <w:autoSpaceDE w:val="0"/>
        <w:autoSpaceDN w:val="0"/>
        <w:adjustRightInd w:val="0"/>
        <w:jc w:val="both"/>
        <w:rPr>
          <w:rFonts w:ascii="Arial Narrow" w:eastAsia="Calibri" w:hAnsi="Arial Narrow" w:cs="Arial"/>
          <w:b/>
          <w:bCs/>
          <w:sz w:val="22"/>
          <w:szCs w:val="22"/>
        </w:rPr>
      </w:pPr>
    </w:p>
    <w:p w14:paraId="02E8D279" w14:textId="77777777" w:rsidR="00C64C07" w:rsidRPr="00D06AD7" w:rsidRDefault="00C64C07" w:rsidP="00EC17FC">
      <w:pPr>
        <w:numPr>
          <w:ilvl w:val="1"/>
          <w:numId w:val="14"/>
        </w:numPr>
        <w:autoSpaceDE w:val="0"/>
        <w:autoSpaceDN w:val="0"/>
        <w:adjustRightInd w:val="0"/>
        <w:jc w:val="both"/>
        <w:rPr>
          <w:rFonts w:ascii="Arial Narrow" w:eastAsia="Calibri" w:hAnsi="Arial Narrow" w:cs="Arial"/>
          <w:b/>
          <w:bCs/>
          <w:sz w:val="22"/>
          <w:szCs w:val="22"/>
          <w:lang w:val="es-ES"/>
        </w:rPr>
      </w:pPr>
      <w:r w:rsidRPr="00D06AD7">
        <w:rPr>
          <w:rFonts w:ascii="Arial Narrow" w:eastAsia="Calibri" w:hAnsi="Arial Narrow" w:cs="Arial"/>
          <w:b/>
          <w:bCs/>
          <w:sz w:val="22"/>
          <w:szCs w:val="22"/>
          <w:lang w:val="es-ES"/>
        </w:rPr>
        <w:t>PLAN PROYECTO O GESTION</w:t>
      </w:r>
    </w:p>
    <w:p w14:paraId="38DF2F8B" w14:textId="77777777" w:rsidR="00C64C07" w:rsidRPr="00D06AD7" w:rsidRDefault="00C64C07" w:rsidP="00C64C07">
      <w:pPr>
        <w:autoSpaceDE w:val="0"/>
        <w:autoSpaceDN w:val="0"/>
        <w:adjustRightInd w:val="0"/>
        <w:jc w:val="both"/>
        <w:rPr>
          <w:rFonts w:ascii="Arial Narrow" w:eastAsia="Calibri" w:hAnsi="Arial Narrow" w:cs="Arial"/>
          <w:bCs/>
          <w:sz w:val="22"/>
          <w:szCs w:val="22"/>
          <w:lang w:val="es-ES"/>
        </w:rPr>
      </w:pPr>
    </w:p>
    <w:p w14:paraId="6F73B02E" w14:textId="4B31905F" w:rsidR="00B36557" w:rsidRPr="00D06AD7" w:rsidRDefault="00C64C07" w:rsidP="00C64C07">
      <w:pPr>
        <w:pStyle w:val="Default"/>
        <w:jc w:val="both"/>
        <w:rPr>
          <w:rFonts w:ascii="Arial Narrow" w:hAnsi="Arial Narrow"/>
          <w:bCs/>
          <w:color w:val="auto"/>
          <w:sz w:val="22"/>
          <w:szCs w:val="22"/>
          <w:lang w:val="es-ES"/>
        </w:rPr>
      </w:pPr>
      <w:r w:rsidRPr="00D06AD7">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2A5D1BFF" w14:textId="77777777" w:rsidR="00975BFA" w:rsidRPr="00D06AD7" w:rsidRDefault="00975BFA" w:rsidP="00C64C07">
      <w:pPr>
        <w:pStyle w:val="Default"/>
        <w:jc w:val="both"/>
        <w:rPr>
          <w:rFonts w:ascii="Arial Narrow" w:hAnsi="Arial Narrow"/>
          <w:bCs/>
          <w:color w:val="auto"/>
          <w:sz w:val="22"/>
          <w:szCs w:val="22"/>
          <w:lang w:val="es-ES"/>
        </w:rPr>
      </w:pPr>
    </w:p>
    <w:p w14:paraId="31087E3D" w14:textId="7BF8F946" w:rsidR="0090132B" w:rsidRPr="00D06AD7" w:rsidRDefault="00C64C07" w:rsidP="00EC17FC">
      <w:pPr>
        <w:numPr>
          <w:ilvl w:val="1"/>
          <w:numId w:val="14"/>
        </w:numPr>
        <w:autoSpaceDE w:val="0"/>
        <w:autoSpaceDN w:val="0"/>
        <w:adjustRightInd w:val="0"/>
        <w:jc w:val="both"/>
        <w:rPr>
          <w:rFonts w:ascii="Arial Narrow" w:eastAsia="Calibri" w:hAnsi="Arial Narrow" w:cs="Arial"/>
          <w:b/>
          <w:bCs/>
          <w:sz w:val="22"/>
          <w:szCs w:val="22"/>
          <w:lang w:val="es-ES"/>
        </w:rPr>
      </w:pPr>
      <w:r w:rsidRPr="00D06AD7">
        <w:rPr>
          <w:rFonts w:ascii="Arial Narrow" w:eastAsia="Calibri" w:hAnsi="Arial Narrow" w:cs="Arial"/>
          <w:b/>
          <w:bCs/>
          <w:sz w:val="22"/>
          <w:szCs w:val="22"/>
          <w:lang w:val="es-ES"/>
        </w:rPr>
        <w:t>POLITICA</w:t>
      </w:r>
    </w:p>
    <w:p w14:paraId="3056899E" w14:textId="77777777" w:rsidR="00337F4C" w:rsidRPr="00D06AD7" w:rsidRDefault="00337F4C" w:rsidP="00337F4C">
      <w:pPr>
        <w:autoSpaceDE w:val="0"/>
        <w:autoSpaceDN w:val="0"/>
        <w:adjustRightInd w:val="0"/>
        <w:jc w:val="both"/>
        <w:rPr>
          <w:rFonts w:ascii="Arial Narrow" w:eastAsia="Calibri" w:hAnsi="Arial Narrow" w:cs="Arial"/>
          <w:b/>
          <w:bCs/>
          <w:sz w:val="22"/>
          <w:szCs w:val="22"/>
          <w:lang w:val="es-ES"/>
        </w:rPr>
      </w:pPr>
    </w:p>
    <w:p w14:paraId="1875EFAE" w14:textId="6274B152" w:rsidR="005F34C7" w:rsidRPr="00D06AD7" w:rsidRDefault="005F34C7" w:rsidP="005F34C7">
      <w:pPr>
        <w:pStyle w:val="Default"/>
        <w:jc w:val="both"/>
        <w:rPr>
          <w:rFonts w:ascii="Arial Narrow" w:hAnsi="Arial Narrow"/>
          <w:bCs/>
          <w:color w:val="auto"/>
          <w:sz w:val="22"/>
          <w:szCs w:val="22"/>
          <w:lang w:val="es-ES"/>
        </w:rPr>
      </w:pPr>
      <w:bookmarkStart w:id="0" w:name="_Hlk163816174"/>
      <w:r w:rsidRPr="00D06AD7">
        <w:rPr>
          <w:rFonts w:ascii="Arial Narrow" w:hAnsi="Arial Narrow"/>
          <w:bCs/>
          <w:color w:val="auto"/>
          <w:sz w:val="22"/>
          <w:szCs w:val="22"/>
          <w:lang w:val="es-ES"/>
        </w:rPr>
        <w:t xml:space="preserve">Por medio de la Ley 2294 de 2023 “Por el cual se expide el Plan Nacional de Desarrollo 2022-2026 “Colombia Potencia Mundial de la Vida” </w:t>
      </w:r>
      <w:r w:rsidR="0020778B">
        <w:rPr>
          <w:rFonts w:ascii="Arial Narrow" w:hAnsi="Arial Narrow"/>
          <w:bCs/>
          <w:color w:val="auto"/>
          <w:sz w:val="22"/>
          <w:szCs w:val="22"/>
          <w:lang w:val="es-ES"/>
        </w:rPr>
        <w:t xml:space="preserve">que </w:t>
      </w:r>
      <w:r w:rsidRPr="00D06AD7">
        <w:rPr>
          <w:rFonts w:ascii="Arial Narrow" w:hAnsi="Arial Narrow"/>
          <w:bCs/>
          <w:color w:val="auto"/>
          <w:sz w:val="22"/>
          <w:szCs w:val="22"/>
          <w:lang w:val="es-ES"/>
        </w:rPr>
        <w:t>tiene como objetivo sentar las bases para que el país se convierta en un líder de la protección de la vida a partir de la construcción de un nuevo contrato social que propicie la superación de injusticias y exclusiones históricas, la no repetición del conflicto, el cambio de nuestro relacionamiento con el ambiente y una transformación productiva sustentada en el conocimiento y en armonía con la naturaleza. Este proceso debe desembocar en la paz total, entendida como la búsqueda de una oportunidad para que todos podamos vivir una vida digna, basada en la justicia; es decir, en una cultura de la paz que reconoce el valor excelso de la vida en todas sus formas y que garantiza el cuidado de la casa común.</w:t>
      </w:r>
    </w:p>
    <w:bookmarkEnd w:id="0"/>
    <w:p w14:paraId="7F7895A3" w14:textId="77777777" w:rsidR="005F34C7" w:rsidRPr="00D06AD7" w:rsidRDefault="005F34C7" w:rsidP="005F34C7">
      <w:pPr>
        <w:pStyle w:val="Default"/>
        <w:ind w:left="360"/>
        <w:jc w:val="both"/>
        <w:rPr>
          <w:rFonts w:ascii="Arial Narrow" w:hAnsi="Arial Narrow"/>
          <w:bCs/>
          <w:color w:val="auto"/>
          <w:sz w:val="22"/>
          <w:szCs w:val="22"/>
          <w:lang w:val="es-ES"/>
        </w:rPr>
      </w:pPr>
    </w:p>
    <w:p w14:paraId="50118D98" w14:textId="77777777" w:rsidR="005F34C7" w:rsidRPr="00D06AD7" w:rsidRDefault="005F34C7" w:rsidP="005F34C7">
      <w:pPr>
        <w:pStyle w:val="Default"/>
        <w:jc w:val="both"/>
        <w:rPr>
          <w:rFonts w:ascii="Arial Narrow" w:hAnsi="Arial Narrow"/>
          <w:bCs/>
          <w:color w:val="auto"/>
          <w:sz w:val="22"/>
          <w:szCs w:val="22"/>
          <w:lang w:val="es-ES"/>
        </w:rPr>
      </w:pPr>
      <w:r w:rsidRPr="00D06AD7">
        <w:rPr>
          <w:rFonts w:ascii="Arial Narrow" w:hAnsi="Arial Narrow"/>
          <w:bCs/>
          <w:color w:val="auto"/>
          <w:sz w:val="22"/>
          <w:szCs w:val="22"/>
          <w:lang w:val="es-ES"/>
        </w:rPr>
        <w:t>El desarrollo, mantenimiento y fortalecimiento de los corredores de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4C71D1F7" w14:textId="77777777" w:rsidR="005F34C7" w:rsidRPr="00D06AD7" w:rsidRDefault="005F34C7" w:rsidP="005F34C7">
      <w:pPr>
        <w:pStyle w:val="Default"/>
        <w:ind w:left="360"/>
        <w:jc w:val="both"/>
        <w:rPr>
          <w:rFonts w:ascii="Arial Narrow" w:hAnsi="Arial Narrow"/>
          <w:bCs/>
          <w:color w:val="auto"/>
          <w:sz w:val="22"/>
          <w:szCs w:val="22"/>
          <w:lang w:val="es-ES"/>
        </w:rPr>
      </w:pPr>
    </w:p>
    <w:p w14:paraId="4590D117" w14:textId="77777777" w:rsidR="005F34C7" w:rsidRPr="00D06AD7" w:rsidRDefault="005F34C7" w:rsidP="005F34C7">
      <w:pPr>
        <w:pStyle w:val="Default"/>
        <w:jc w:val="both"/>
        <w:rPr>
          <w:rFonts w:ascii="Arial Narrow" w:hAnsi="Arial Narrow"/>
          <w:bCs/>
          <w:color w:val="auto"/>
          <w:sz w:val="22"/>
          <w:szCs w:val="22"/>
          <w:lang w:val="es-ES"/>
        </w:rPr>
      </w:pPr>
      <w:r w:rsidRPr="00D06AD7">
        <w:rPr>
          <w:rFonts w:ascii="Arial Narrow" w:hAnsi="Arial Narrow"/>
          <w:bCs/>
          <w:color w:val="auto"/>
          <w:sz w:val="22"/>
          <w:szCs w:val="22"/>
          <w:lang w:val="es-ES"/>
        </w:rPr>
        <w:t>Los objetivos del INVIAS están estrechamente unidos con los de este proyecto, en el sentido de mantener la infraestructura vial a su cargo en buenas condiciones de transitabilidad.</w:t>
      </w:r>
    </w:p>
    <w:p w14:paraId="17966114" w14:textId="77777777" w:rsidR="00276027" w:rsidRPr="00D06AD7" w:rsidRDefault="00276027" w:rsidP="00C64C07">
      <w:pPr>
        <w:pStyle w:val="Default"/>
        <w:jc w:val="both"/>
        <w:rPr>
          <w:rFonts w:ascii="Arial Narrow" w:hAnsi="Arial Narrow"/>
          <w:color w:val="auto"/>
          <w:sz w:val="22"/>
          <w:szCs w:val="22"/>
        </w:rPr>
      </w:pPr>
    </w:p>
    <w:p w14:paraId="7F170624" w14:textId="77777777" w:rsidR="00C64C07" w:rsidRPr="00D06AD7" w:rsidRDefault="00C64C07">
      <w:pPr>
        <w:pStyle w:val="Listavistosa-nfasis11"/>
        <w:numPr>
          <w:ilvl w:val="0"/>
          <w:numId w:val="1"/>
        </w:numPr>
        <w:jc w:val="center"/>
        <w:rPr>
          <w:rFonts w:ascii="Arial Narrow" w:hAnsi="Arial Narrow" w:cs="Arial"/>
          <w:b/>
          <w:sz w:val="22"/>
          <w:szCs w:val="22"/>
        </w:rPr>
      </w:pPr>
      <w:r w:rsidRPr="00D06AD7">
        <w:rPr>
          <w:rFonts w:ascii="Arial Narrow" w:hAnsi="Arial Narrow" w:cs="Arial"/>
          <w:b/>
          <w:sz w:val="22"/>
          <w:szCs w:val="22"/>
        </w:rPr>
        <w:t xml:space="preserve">   OBJETO Y ALCANCE DEL CONTRATO</w:t>
      </w:r>
    </w:p>
    <w:p w14:paraId="31539707" w14:textId="77777777" w:rsidR="00C64C07" w:rsidRPr="00D06AD7" w:rsidRDefault="00276027" w:rsidP="00C64C07">
      <w:pPr>
        <w:pStyle w:val="Textoindependiente3"/>
        <w:spacing w:after="0"/>
        <w:ind w:right="49"/>
        <w:jc w:val="both"/>
        <w:rPr>
          <w:rFonts w:ascii="Arial Narrow" w:hAnsi="Arial Narrow" w:cs="Arial"/>
          <w:b/>
          <w:bCs/>
          <w:noProof/>
          <w:sz w:val="22"/>
          <w:szCs w:val="22"/>
          <w:lang w:val="es-ES"/>
        </w:rPr>
      </w:pPr>
      <w:r w:rsidRPr="00D06AD7">
        <w:rPr>
          <w:rFonts w:ascii="Arial Narrow" w:hAnsi="Arial Narrow" w:cs="Arial"/>
          <w:b/>
          <w:bCs/>
          <w:noProof/>
          <w:sz w:val="22"/>
          <w:szCs w:val="22"/>
          <w:lang w:val="es-ES"/>
        </w:rPr>
        <w:t xml:space="preserve">2.1. </w:t>
      </w:r>
      <w:r w:rsidR="00C64C07" w:rsidRPr="00D06AD7">
        <w:rPr>
          <w:rFonts w:ascii="Arial Narrow" w:hAnsi="Arial Narrow" w:cs="Arial"/>
          <w:b/>
          <w:bCs/>
          <w:noProof/>
          <w:sz w:val="22"/>
          <w:szCs w:val="22"/>
          <w:lang w:val="es-ES"/>
        </w:rPr>
        <w:t>OBJETO</w:t>
      </w:r>
    </w:p>
    <w:p w14:paraId="6ED5BC6F" w14:textId="77777777" w:rsidR="00C64C07" w:rsidRPr="00D06AD7" w:rsidRDefault="00C64C07" w:rsidP="00E828D2">
      <w:pPr>
        <w:pStyle w:val="Textoindependiente3"/>
        <w:spacing w:after="0"/>
        <w:ind w:right="49"/>
        <w:jc w:val="both"/>
        <w:rPr>
          <w:rFonts w:ascii="Arial Narrow" w:hAnsi="Arial Narrow" w:cs="Arial"/>
          <w:b/>
          <w:bCs/>
          <w:noProof/>
          <w:sz w:val="22"/>
          <w:szCs w:val="22"/>
          <w:lang w:val="es-ES"/>
        </w:rPr>
      </w:pPr>
    </w:p>
    <w:p w14:paraId="566C04CC" w14:textId="074A1028" w:rsidR="005F34C7" w:rsidRPr="00D06AD7" w:rsidRDefault="00F14A80" w:rsidP="005F34C7">
      <w:pPr>
        <w:jc w:val="both"/>
        <w:rPr>
          <w:rFonts w:ascii="Arial Narrow" w:hAnsi="Arial Narrow"/>
          <w:sz w:val="22"/>
          <w:szCs w:val="22"/>
        </w:rPr>
      </w:pPr>
      <w:r w:rsidRPr="00D06AD7">
        <w:rPr>
          <w:rFonts w:ascii="Arial Narrow" w:hAnsi="Arial Narrow" w:cs="Arial"/>
          <w:sz w:val="22"/>
          <w:szCs w:val="22"/>
        </w:rPr>
        <w:t xml:space="preserve">El Proyecto a contratar tiene por objeto: </w:t>
      </w:r>
      <w:r w:rsidR="00DE43E4" w:rsidRPr="00123B5A">
        <w:rPr>
          <w:rFonts w:ascii="Arial Narrow" w:hAnsi="Arial Narrow" w:cs="Arial"/>
          <w:b/>
          <w:bCs/>
          <w:sz w:val="22"/>
          <w:szCs w:val="22"/>
          <w:lang w:val="es-ES"/>
        </w:rPr>
        <w:t xml:space="preserve">“CONTRATAR LOS SERVICIOS PARA EL LEVANTAMIENTO TOPOGRÁFICO DE LOS PROYECTOS DE LAS VÍAS REGIONALES EN EL MARCO DEL PROGRAMA CAMINOS COMUNITARIOS DE LA PAZ TOTAL A CARGO DE LA DIRECCIÓN TERRITORIAL </w:t>
      </w:r>
      <w:r w:rsidR="00CC0E39">
        <w:rPr>
          <w:rFonts w:ascii="Arial Narrow" w:hAnsi="Arial Narrow" w:cs="Arial"/>
          <w:b/>
          <w:bCs/>
          <w:sz w:val="22"/>
          <w:szCs w:val="22"/>
          <w:lang w:val="es-ES"/>
        </w:rPr>
        <w:t>CALDAS</w:t>
      </w:r>
      <w:r w:rsidR="00CC0E39" w:rsidRPr="00123B5A">
        <w:rPr>
          <w:rFonts w:ascii="Arial Narrow" w:hAnsi="Arial Narrow" w:cs="Arial"/>
          <w:b/>
          <w:bCs/>
          <w:sz w:val="22"/>
          <w:szCs w:val="22"/>
          <w:lang w:val="es-ES"/>
        </w:rPr>
        <w:t>”</w:t>
      </w:r>
      <w:r w:rsidR="00CC0E39">
        <w:rPr>
          <w:rFonts w:ascii="Arial Narrow" w:hAnsi="Arial Narrow" w:cs="Arial"/>
          <w:b/>
          <w:bCs/>
          <w:sz w:val="22"/>
          <w:szCs w:val="22"/>
          <w:lang w:val="es-ES"/>
        </w:rPr>
        <w:t>,</w:t>
      </w:r>
      <w:r w:rsidR="00CC0E39">
        <w:rPr>
          <w:rFonts w:ascii="Arial Narrow" w:eastAsia="Arial Narrow" w:hAnsi="Arial Narrow" w:cs="Arial Narrow"/>
          <w:sz w:val="22"/>
          <w:szCs w:val="22"/>
        </w:rPr>
        <w:t xml:space="preserve"> cumpliendo</w:t>
      </w:r>
      <w:r w:rsidR="005F34C7" w:rsidRPr="00D06AD7">
        <w:rPr>
          <w:rFonts w:ascii="Arial Narrow" w:eastAsia="Arial Narrow" w:hAnsi="Arial Narrow" w:cs="Arial Narrow"/>
          <w:sz w:val="22"/>
          <w:szCs w:val="22"/>
        </w:rPr>
        <w:t xml:space="preserve"> con los plazos estipulados, el valor del presupuesto oficial y los requerimientos técnicos definidos por el INVIAS para este proyecto.</w:t>
      </w:r>
    </w:p>
    <w:p w14:paraId="17C75DF3" w14:textId="77777777" w:rsidR="005F34C7" w:rsidRPr="00D06AD7" w:rsidRDefault="005F34C7" w:rsidP="00964312">
      <w:pPr>
        <w:jc w:val="both"/>
        <w:rPr>
          <w:rFonts w:ascii="Arial Narrow" w:hAnsi="Arial Narrow" w:cs="Arial"/>
          <w:b/>
          <w:sz w:val="22"/>
          <w:szCs w:val="22"/>
        </w:rPr>
      </w:pPr>
    </w:p>
    <w:p w14:paraId="6F657008" w14:textId="77777777" w:rsidR="000B35B3" w:rsidRPr="00D06AD7" w:rsidRDefault="000B35B3" w:rsidP="00444670">
      <w:pPr>
        <w:pStyle w:val="NormalWeb"/>
        <w:spacing w:before="0" w:beforeAutospacing="0" w:after="0" w:afterAutospacing="0"/>
        <w:jc w:val="both"/>
        <w:rPr>
          <w:rFonts w:ascii="Arial Narrow" w:hAnsi="Arial Narrow" w:cs="Arial"/>
          <w:b/>
          <w:bCs/>
          <w:sz w:val="22"/>
          <w:szCs w:val="22"/>
        </w:rPr>
      </w:pPr>
    </w:p>
    <w:p w14:paraId="2187E522" w14:textId="77777777" w:rsidR="00C64C07" w:rsidRPr="00D06AD7" w:rsidRDefault="00276027" w:rsidP="00C64C07">
      <w:pPr>
        <w:autoSpaceDE w:val="0"/>
        <w:autoSpaceDN w:val="0"/>
        <w:adjustRightInd w:val="0"/>
        <w:jc w:val="both"/>
        <w:outlineLvl w:val="0"/>
        <w:rPr>
          <w:rFonts w:ascii="Arial Narrow" w:hAnsi="Arial Narrow" w:cs="Arial"/>
          <w:b/>
          <w:sz w:val="22"/>
          <w:szCs w:val="22"/>
        </w:rPr>
      </w:pPr>
      <w:r w:rsidRPr="00D06AD7">
        <w:rPr>
          <w:rFonts w:ascii="Arial Narrow" w:hAnsi="Arial Narrow" w:cs="Arial"/>
          <w:b/>
          <w:sz w:val="22"/>
          <w:szCs w:val="22"/>
        </w:rPr>
        <w:t>2</w:t>
      </w:r>
      <w:r w:rsidR="006357E5" w:rsidRPr="00D06AD7">
        <w:rPr>
          <w:rFonts w:ascii="Arial Narrow" w:hAnsi="Arial Narrow" w:cs="Arial"/>
          <w:b/>
          <w:sz w:val="22"/>
          <w:szCs w:val="22"/>
        </w:rPr>
        <w:t>.</w:t>
      </w:r>
      <w:r w:rsidRPr="00D06AD7">
        <w:rPr>
          <w:rFonts w:ascii="Arial Narrow" w:hAnsi="Arial Narrow" w:cs="Arial"/>
          <w:b/>
          <w:sz w:val="22"/>
          <w:szCs w:val="22"/>
        </w:rPr>
        <w:t xml:space="preserve">.2. </w:t>
      </w:r>
      <w:r w:rsidR="00C64C07" w:rsidRPr="00D06AD7">
        <w:rPr>
          <w:rFonts w:ascii="Arial Narrow" w:hAnsi="Arial Narrow" w:cs="Arial"/>
          <w:b/>
          <w:sz w:val="22"/>
          <w:szCs w:val="22"/>
        </w:rPr>
        <w:t>ALCANCE</w:t>
      </w:r>
    </w:p>
    <w:p w14:paraId="756E1780" w14:textId="77777777" w:rsidR="00C64C07" w:rsidRPr="00D06AD7" w:rsidRDefault="00C64C07" w:rsidP="00C64C07">
      <w:pPr>
        <w:autoSpaceDE w:val="0"/>
        <w:autoSpaceDN w:val="0"/>
        <w:adjustRightInd w:val="0"/>
        <w:jc w:val="both"/>
        <w:rPr>
          <w:rFonts w:ascii="Arial Narrow" w:hAnsi="Arial Narrow" w:cs="Arial"/>
          <w:sz w:val="22"/>
          <w:szCs w:val="22"/>
        </w:rPr>
      </w:pPr>
    </w:p>
    <w:p w14:paraId="742383F0"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 xml:space="preserve">El alcance de la consultoría objeto del presente proceso de invitación incluye entre otras, el desarrollo de los siguientes componentes relacionados con la infraestructura de transporte: </w:t>
      </w:r>
    </w:p>
    <w:p w14:paraId="1189864D" w14:textId="77777777" w:rsidR="00224E84" w:rsidRPr="00224E84" w:rsidRDefault="00224E84" w:rsidP="00224E84">
      <w:pPr>
        <w:autoSpaceDE w:val="0"/>
        <w:autoSpaceDN w:val="0"/>
        <w:adjustRightInd w:val="0"/>
        <w:jc w:val="both"/>
        <w:rPr>
          <w:rFonts w:ascii="Arial Narrow" w:hAnsi="Arial Narrow" w:cs="Arial"/>
          <w:sz w:val="22"/>
          <w:szCs w:val="22"/>
        </w:rPr>
      </w:pPr>
    </w:p>
    <w:p w14:paraId="63F1F20A" w14:textId="5008E945" w:rsidR="00224E84" w:rsidRPr="00224E84" w:rsidRDefault="00224E84" w:rsidP="00224E84">
      <w:pPr>
        <w:pStyle w:val="Prrafodelista"/>
        <w:numPr>
          <w:ilvl w:val="0"/>
          <w:numId w:val="26"/>
        </w:numPr>
        <w:autoSpaceDE w:val="0"/>
        <w:autoSpaceDN w:val="0"/>
        <w:adjustRightInd w:val="0"/>
        <w:contextualSpacing/>
        <w:jc w:val="both"/>
        <w:rPr>
          <w:rFonts w:ascii="Arial Narrow" w:hAnsi="Arial Narrow" w:cs="Arial"/>
          <w:sz w:val="22"/>
          <w:szCs w:val="22"/>
          <w:lang w:eastAsia="es-CO"/>
        </w:rPr>
      </w:pPr>
      <w:r w:rsidRPr="00224E84">
        <w:rPr>
          <w:rFonts w:ascii="Arial Narrow" w:hAnsi="Arial Narrow" w:cs="Arial"/>
          <w:sz w:val="22"/>
          <w:szCs w:val="22"/>
          <w:lang w:eastAsia="es-CO"/>
        </w:rPr>
        <w:t xml:space="preserve">Elaboración de los estudios de topografía </w:t>
      </w:r>
      <w:r w:rsidR="00FA6C83">
        <w:rPr>
          <w:rFonts w:ascii="Arial Narrow" w:hAnsi="Arial Narrow" w:cs="Arial"/>
          <w:sz w:val="22"/>
          <w:szCs w:val="22"/>
          <w:lang w:eastAsia="es-CO"/>
        </w:rPr>
        <w:t>de los sectores</w:t>
      </w:r>
      <w:r w:rsidRPr="00224E84">
        <w:rPr>
          <w:rFonts w:ascii="Arial Narrow" w:hAnsi="Arial Narrow" w:cs="Arial"/>
          <w:sz w:val="22"/>
          <w:szCs w:val="22"/>
          <w:lang w:eastAsia="es-CO"/>
        </w:rPr>
        <w:t xml:space="preserve">, áreas y/o detalles a realizar, derivadas de los convenios solidarios suscritos entre la entidad y los diferentes organismos de acción comunal y comunidades </w:t>
      </w:r>
      <w:r w:rsidRPr="00224E84">
        <w:rPr>
          <w:rFonts w:ascii="Arial Narrow" w:hAnsi="Arial Narrow" w:cs="Arial"/>
          <w:sz w:val="22"/>
          <w:szCs w:val="22"/>
          <w:lang w:eastAsia="es-CO"/>
        </w:rPr>
        <w:lastRenderedPageBreak/>
        <w:t xml:space="preserve">Étnicas a cargo de la Dirección Territorial </w:t>
      </w:r>
      <w:r w:rsidR="00CC0E39">
        <w:rPr>
          <w:rFonts w:ascii="Arial Narrow" w:hAnsi="Arial Narrow" w:cs="Arial"/>
          <w:sz w:val="22"/>
          <w:szCs w:val="22"/>
          <w:lang w:eastAsia="es-CO"/>
        </w:rPr>
        <w:t>Caldas</w:t>
      </w:r>
      <w:r w:rsidR="00CC0E39" w:rsidRPr="00224E84">
        <w:rPr>
          <w:rFonts w:ascii="Arial Narrow" w:hAnsi="Arial Narrow" w:cs="Arial"/>
          <w:sz w:val="22"/>
          <w:szCs w:val="22"/>
          <w:lang w:eastAsia="es-CO"/>
        </w:rPr>
        <w:t xml:space="preserve"> y</w:t>
      </w:r>
      <w:r w:rsidRPr="00224E84">
        <w:rPr>
          <w:rFonts w:ascii="Arial Narrow" w:hAnsi="Arial Narrow" w:cs="Arial"/>
          <w:sz w:val="22"/>
          <w:szCs w:val="22"/>
          <w:lang w:eastAsia="es-CO"/>
        </w:rPr>
        <w:t xml:space="preserve"> definidos por el Instituto Nacional de Vías, a través de la Gerencia de Caminos Comunitarios de la Paz Total. </w:t>
      </w:r>
    </w:p>
    <w:p w14:paraId="53DF6111" w14:textId="77777777" w:rsidR="00224E84" w:rsidRPr="00224E84" w:rsidRDefault="00224E84" w:rsidP="00224E84">
      <w:pPr>
        <w:autoSpaceDE w:val="0"/>
        <w:autoSpaceDN w:val="0"/>
        <w:adjustRightInd w:val="0"/>
        <w:jc w:val="both"/>
        <w:rPr>
          <w:rFonts w:ascii="Arial Narrow" w:hAnsi="Arial Narrow" w:cs="Arial"/>
          <w:sz w:val="22"/>
          <w:szCs w:val="22"/>
        </w:rPr>
      </w:pPr>
    </w:p>
    <w:p w14:paraId="612BA44E" w14:textId="77777777" w:rsidR="00CC0E39" w:rsidRPr="00CC0E39" w:rsidRDefault="00224E84" w:rsidP="00CC0E39">
      <w:pPr>
        <w:jc w:val="both"/>
        <w:rPr>
          <w:rFonts w:ascii="Arial Narrow" w:hAnsi="Arial Narrow" w:cs="Arial"/>
          <w:sz w:val="22"/>
          <w:szCs w:val="22"/>
        </w:rPr>
      </w:pPr>
      <w:r w:rsidRPr="00224E84">
        <w:rPr>
          <w:rFonts w:ascii="Arial Narrow" w:hAnsi="Arial Narrow" w:cs="Arial"/>
          <w:sz w:val="22"/>
          <w:szCs w:val="22"/>
        </w:rPr>
        <w:t xml:space="preserve">Para la elaboración del estudio de topografía, el consultor deberá realizar la toma de información primaria mediante la ejecución de los trabajos de campo tales como: </w:t>
      </w:r>
      <w:r w:rsidR="00CC0E39" w:rsidRPr="00CC0E39">
        <w:rPr>
          <w:rFonts w:ascii="Arial Narrow" w:hAnsi="Arial Narrow" w:cs="Arial"/>
          <w:sz w:val="22"/>
          <w:szCs w:val="22"/>
        </w:rPr>
        <w:t xml:space="preserve">Georreferenciación, poligonales y levantamientos topográficos y según </w:t>
      </w:r>
    </w:p>
    <w:p w14:paraId="624B2D62" w14:textId="77777777" w:rsidR="00CC0E39" w:rsidRPr="00CC0E39" w:rsidRDefault="00CC0E39" w:rsidP="00CC0E39">
      <w:pPr>
        <w:jc w:val="both"/>
        <w:rPr>
          <w:rFonts w:ascii="Arial Narrow" w:hAnsi="Arial Narrow" w:cs="Arial"/>
          <w:sz w:val="22"/>
          <w:szCs w:val="22"/>
        </w:rPr>
      </w:pPr>
      <w:r w:rsidRPr="00CC0E39">
        <w:rPr>
          <w:rFonts w:ascii="Arial Narrow" w:hAnsi="Arial Narrow" w:cs="Arial"/>
          <w:sz w:val="22"/>
          <w:szCs w:val="22"/>
        </w:rPr>
        <w:t xml:space="preserve">particularidad de los sitios a realizar lase actividades de estudio topográfico y según la tipología de la obra, teniendo en </w:t>
      </w:r>
    </w:p>
    <w:p w14:paraId="5FDD3EB0" w14:textId="29264B05" w:rsidR="00224E84" w:rsidRDefault="00CC0E39" w:rsidP="00224E84">
      <w:pPr>
        <w:jc w:val="both"/>
        <w:rPr>
          <w:rFonts w:ascii="Arial Narrow" w:hAnsi="Arial Narrow" w:cs="Arial"/>
          <w:sz w:val="22"/>
          <w:szCs w:val="22"/>
        </w:rPr>
      </w:pPr>
      <w:r w:rsidRPr="00CC0E39">
        <w:rPr>
          <w:rFonts w:ascii="Arial Narrow" w:hAnsi="Arial Narrow" w:cs="Arial"/>
          <w:sz w:val="22"/>
          <w:szCs w:val="22"/>
        </w:rPr>
        <w:t xml:space="preserve">cuenta la priorización de las Juntas de Acción Comunal para el Departamento de </w:t>
      </w:r>
      <w:r>
        <w:rPr>
          <w:rFonts w:ascii="Arial Narrow" w:hAnsi="Arial Narrow" w:cs="Arial"/>
          <w:sz w:val="22"/>
          <w:szCs w:val="22"/>
        </w:rPr>
        <w:t>Caldas</w:t>
      </w:r>
      <w:r w:rsidRPr="00CC0E39">
        <w:rPr>
          <w:rFonts w:ascii="Arial Narrow" w:hAnsi="Arial Narrow" w:cs="Arial"/>
          <w:sz w:val="22"/>
          <w:szCs w:val="22"/>
        </w:rPr>
        <w:t xml:space="preserve">, y según la información </w:t>
      </w:r>
      <w:r>
        <w:rPr>
          <w:rFonts w:ascii="Arial Narrow" w:hAnsi="Arial Narrow" w:cs="Arial"/>
          <w:sz w:val="22"/>
          <w:szCs w:val="22"/>
        </w:rPr>
        <w:t>levantada</w:t>
      </w:r>
      <w:r w:rsidRPr="00CC0E39">
        <w:rPr>
          <w:rFonts w:ascii="Arial Narrow" w:hAnsi="Arial Narrow" w:cs="Arial"/>
          <w:sz w:val="22"/>
          <w:szCs w:val="22"/>
        </w:rPr>
        <w:t xml:space="preserve"> por el Equipo Técnico de la Territorial de </w:t>
      </w:r>
      <w:r>
        <w:rPr>
          <w:rFonts w:ascii="Arial Narrow" w:hAnsi="Arial Narrow" w:cs="Arial"/>
          <w:sz w:val="22"/>
          <w:szCs w:val="22"/>
        </w:rPr>
        <w:t>Caldas</w:t>
      </w:r>
    </w:p>
    <w:p w14:paraId="685DD94C" w14:textId="77777777" w:rsidR="00224E84" w:rsidRPr="00224E84" w:rsidRDefault="00224E84" w:rsidP="00224E84">
      <w:pPr>
        <w:jc w:val="both"/>
        <w:rPr>
          <w:rFonts w:ascii="Arial Narrow" w:hAnsi="Arial Narrow" w:cs="Arial"/>
          <w:sz w:val="22"/>
          <w:szCs w:val="22"/>
        </w:rPr>
      </w:pPr>
    </w:p>
    <w:p w14:paraId="45BAD50E" w14:textId="7567267B" w:rsidR="00224E84" w:rsidRDefault="00224E84" w:rsidP="00224E84">
      <w:pPr>
        <w:jc w:val="both"/>
        <w:rPr>
          <w:rFonts w:ascii="Arial Narrow" w:hAnsi="Arial Narrow" w:cs="Arial"/>
          <w:sz w:val="22"/>
          <w:szCs w:val="22"/>
        </w:rPr>
      </w:pPr>
      <w:r w:rsidRPr="00224E84">
        <w:rPr>
          <w:rFonts w:ascii="Arial Narrow" w:hAnsi="Arial Narrow" w:cs="Arial"/>
          <w:sz w:val="22"/>
          <w:szCs w:val="22"/>
        </w:rPr>
        <w:t>En todo caso, el alcance del contrato abarca todas las actividades fundamentales, necesarias y suficientes que debe desarrollar el consultor</w:t>
      </w:r>
      <w:r w:rsidR="00FA6C83" w:rsidRPr="00FA6C83">
        <w:rPr>
          <w:rFonts w:ascii="Arial Narrow" w:hAnsi="Arial Narrow" w:cs="Arial"/>
          <w:sz w:val="22"/>
          <w:szCs w:val="22"/>
        </w:rPr>
        <w:t xml:space="preserve"> previo, al inicio de toda actividad por parte de las diferentes Organizaciones de acción comunal en el marco de los convenios suscritos y el consultor deberá tener en cuenta lo estimado en la Cartilla de obras menores de drenaje y estructuras viales vigente.</w:t>
      </w:r>
    </w:p>
    <w:p w14:paraId="57C8671B" w14:textId="77777777" w:rsidR="00FA6C83" w:rsidRPr="00224E84" w:rsidRDefault="00FA6C83" w:rsidP="00224E84">
      <w:pPr>
        <w:jc w:val="both"/>
        <w:rPr>
          <w:rFonts w:ascii="Arial Narrow" w:hAnsi="Arial Narrow" w:cs="Arial"/>
          <w:sz w:val="22"/>
          <w:szCs w:val="22"/>
        </w:rPr>
      </w:pPr>
    </w:p>
    <w:p w14:paraId="2B8C623D" w14:textId="77777777" w:rsidR="00224E84" w:rsidRPr="00224E84" w:rsidRDefault="00224E84" w:rsidP="00224E84">
      <w:pPr>
        <w:jc w:val="both"/>
        <w:textAlignment w:val="baseline"/>
        <w:rPr>
          <w:rFonts w:ascii="Arial Narrow" w:hAnsi="Arial Narrow" w:cs="Arial"/>
          <w:sz w:val="22"/>
          <w:szCs w:val="22"/>
        </w:rPr>
      </w:pPr>
      <w:r w:rsidRPr="00224E84">
        <w:rPr>
          <w:rFonts w:ascii="Arial Narrow" w:hAnsi="Arial Narrow" w:cs="Arial"/>
          <w:sz w:val="22"/>
          <w:szCs w:val="22"/>
        </w:rPr>
        <w:t>Es de mencionar, que las actividades que se van a ejecutar por parte del consultor deben cumplir con toda normatividad que se encuentre vigente, lo estimado en la Cartilla de Obras Menores de Drenaje y Estructuras Viales e igualmente deberá tener en cuenta las siguientes notas para la ejecución de su labor.</w:t>
      </w:r>
    </w:p>
    <w:p w14:paraId="43A18411" w14:textId="77777777" w:rsidR="00224E84" w:rsidRPr="00224E84" w:rsidRDefault="00224E84" w:rsidP="00224E84">
      <w:pPr>
        <w:jc w:val="both"/>
        <w:textAlignment w:val="baseline"/>
        <w:rPr>
          <w:rFonts w:ascii="Arial Narrow" w:hAnsi="Arial Narrow" w:cs="Arial"/>
          <w:sz w:val="22"/>
          <w:szCs w:val="22"/>
        </w:rPr>
      </w:pPr>
    </w:p>
    <w:p w14:paraId="26546C13" w14:textId="77777777" w:rsidR="00224E84" w:rsidRPr="00224E84" w:rsidRDefault="00224E84" w:rsidP="00224E84">
      <w:pPr>
        <w:jc w:val="both"/>
        <w:textAlignment w:val="baseline"/>
        <w:rPr>
          <w:rFonts w:ascii="Arial Narrow" w:hAnsi="Arial Narrow" w:cs="Arial"/>
          <w:sz w:val="22"/>
          <w:szCs w:val="22"/>
        </w:rPr>
      </w:pPr>
      <w:r w:rsidRPr="00224E84">
        <w:rPr>
          <w:rFonts w:ascii="Arial Narrow" w:hAnsi="Arial Narrow" w:cs="Arial"/>
          <w:sz w:val="22"/>
          <w:szCs w:val="22"/>
        </w:rPr>
        <w:t>NOTA 1: Los sitios contenidos en las localizaciones de la presente invitación, son aproximados; en todo caso, las localizaciones serán definitivas en visita conjunta con respectivo organismo de acción comunal, y/o Étnicas junto a la Gerencia de Caminos Comunitarios de la Paz Total.</w:t>
      </w:r>
    </w:p>
    <w:p w14:paraId="0FC2DDF6" w14:textId="77777777" w:rsidR="00224E84" w:rsidRPr="00224E84" w:rsidRDefault="00224E84" w:rsidP="00224E84">
      <w:pPr>
        <w:jc w:val="both"/>
        <w:textAlignment w:val="baseline"/>
        <w:rPr>
          <w:rFonts w:ascii="Arial Narrow" w:hAnsi="Arial Narrow" w:cs="Arial"/>
          <w:sz w:val="22"/>
          <w:szCs w:val="22"/>
        </w:rPr>
      </w:pPr>
    </w:p>
    <w:p w14:paraId="41C9DDAA" w14:textId="7D435C93"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 xml:space="preserve">NOTA 2: El Instituto Nacional de Vías podrá modificar, adicionar y/o retirar los proyectos anteriormente relacionados en cualquier momento, previo o durante la ejecución del contrato, manteniéndose el alcance del trabajo descrito, localizado en cualquier municipio bajo la cobertura de Invias Territorial </w:t>
      </w:r>
      <w:r w:rsidR="00CC0E39">
        <w:rPr>
          <w:rFonts w:ascii="Arial Narrow" w:hAnsi="Arial Narrow" w:cs="Arial"/>
          <w:sz w:val="22"/>
          <w:szCs w:val="22"/>
        </w:rPr>
        <w:t>Caldas</w:t>
      </w:r>
      <w:r w:rsidRPr="00224E84">
        <w:rPr>
          <w:rFonts w:ascii="Arial Narrow" w:hAnsi="Arial Narrow" w:cs="Arial"/>
          <w:sz w:val="22"/>
          <w:szCs w:val="22"/>
        </w:rPr>
        <w:t xml:space="preserve">. Dichas modificaciones no generarán objeto de reclamación por parte del Consultor. </w:t>
      </w:r>
    </w:p>
    <w:p w14:paraId="78499E8B" w14:textId="77777777" w:rsidR="00224E84" w:rsidRPr="00224E84" w:rsidRDefault="00224E84" w:rsidP="00224E84">
      <w:pPr>
        <w:autoSpaceDE w:val="0"/>
        <w:autoSpaceDN w:val="0"/>
        <w:adjustRightInd w:val="0"/>
        <w:jc w:val="both"/>
        <w:rPr>
          <w:rFonts w:ascii="Arial Narrow" w:hAnsi="Arial Narrow" w:cs="Arial"/>
          <w:sz w:val="22"/>
          <w:szCs w:val="22"/>
        </w:rPr>
      </w:pPr>
    </w:p>
    <w:p w14:paraId="3B5427E4"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 xml:space="preserve">NOTA 3: En caso de ser necesario, el Consultor se obliga a la ejecución de estudios topográficos que complementen los proyectos requeridos, o que sean a consideración del Instituto, necesarios para el buen desarrollo de los proyectos; el pago de los mismos estará sujeto según lo establecido en el presente documento. </w:t>
      </w:r>
    </w:p>
    <w:p w14:paraId="268B3729" w14:textId="77777777" w:rsidR="00224E84" w:rsidRPr="00224E84" w:rsidRDefault="00224E84" w:rsidP="00224E84">
      <w:pPr>
        <w:autoSpaceDE w:val="0"/>
        <w:autoSpaceDN w:val="0"/>
        <w:adjustRightInd w:val="0"/>
        <w:jc w:val="both"/>
        <w:rPr>
          <w:rFonts w:ascii="Arial Narrow" w:hAnsi="Arial Narrow" w:cs="Arial"/>
          <w:sz w:val="22"/>
          <w:szCs w:val="22"/>
        </w:rPr>
      </w:pPr>
    </w:p>
    <w:p w14:paraId="45CFF7DC"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NOTA 4: El Supervisor del contrato y/o la Gerencia de Caminos Comunitarios de la Paz Total, será el encargado de aprobar el inicio del estudio topográfico para cada uno de los proyectos, las áreas levantadas que no cuenten con autorización por parte del INVIAS, no serán objeto de pago.</w:t>
      </w:r>
    </w:p>
    <w:p w14:paraId="56649633" w14:textId="77777777" w:rsidR="00224E84" w:rsidRPr="00224E84" w:rsidRDefault="00224E84" w:rsidP="00224E84">
      <w:pPr>
        <w:autoSpaceDE w:val="0"/>
        <w:autoSpaceDN w:val="0"/>
        <w:adjustRightInd w:val="0"/>
        <w:jc w:val="both"/>
        <w:rPr>
          <w:rFonts w:ascii="Arial Narrow" w:hAnsi="Arial Narrow" w:cs="Arial"/>
          <w:sz w:val="22"/>
          <w:szCs w:val="22"/>
        </w:rPr>
      </w:pPr>
    </w:p>
    <w:p w14:paraId="6BE31637"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 xml:space="preserve">NOTA 5: El INVIAS informará al Consultor el área o sitios específicos que no se encuentren determinados en el presente documento, o requerimientos adicionales, mínimo tres (3) días antes de iniciar los levantamientos, con el fin de dar un lapso para la planificación de las labores, equipos y personal. </w:t>
      </w:r>
    </w:p>
    <w:p w14:paraId="01D82735" w14:textId="77777777" w:rsidR="00224E84" w:rsidRPr="00224E84" w:rsidRDefault="00224E84" w:rsidP="00224E84">
      <w:pPr>
        <w:autoSpaceDE w:val="0"/>
        <w:autoSpaceDN w:val="0"/>
        <w:adjustRightInd w:val="0"/>
        <w:jc w:val="both"/>
        <w:rPr>
          <w:rFonts w:ascii="Arial Narrow" w:hAnsi="Arial Narrow" w:cs="Arial"/>
          <w:sz w:val="22"/>
          <w:szCs w:val="22"/>
        </w:rPr>
      </w:pPr>
    </w:p>
    <w:p w14:paraId="5C64CD08"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t xml:space="preserve">NOTA 6: Al finalizar el estudio topográfico de cada proyecto según el orden establecido por el Instituto, el Consultor deberá contar con la aprobación del supervisor de los productos detallados en el anexo técnico. Estas entregas parciales no deben modificar el plazo contractual de la ejecución del objeto del presente proceso. El consultor deberá atender las observaciones realizadas por el supervisor o la Gerencia de Caminos Comunitarios de la Paz Total, y aplicarlas en los demás proyectos. </w:t>
      </w:r>
    </w:p>
    <w:p w14:paraId="221A8F44" w14:textId="77777777" w:rsidR="00224E84" w:rsidRPr="00224E84" w:rsidRDefault="00224E84" w:rsidP="00224E84">
      <w:pPr>
        <w:autoSpaceDE w:val="0"/>
        <w:autoSpaceDN w:val="0"/>
        <w:adjustRightInd w:val="0"/>
        <w:jc w:val="both"/>
        <w:rPr>
          <w:rFonts w:ascii="Arial Narrow" w:hAnsi="Arial Narrow" w:cs="Arial"/>
          <w:sz w:val="22"/>
          <w:szCs w:val="22"/>
        </w:rPr>
      </w:pPr>
    </w:p>
    <w:p w14:paraId="6FF6E8A2" w14:textId="77777777" w:rsidR="00224E84" w:rsidRPr="00224E84" w:rsidRDefault="00224E84" w:rsidP="00224E84">
      <w:pPr>
        <w:autoSpaceDE w:val="0"/>
        <w:autoSpaceDN w:val="0"/>
        <w:adjustRightInd w:val="0"/>
        <w:jc w:val="both"/>
        <w:rPr>
          <w:rFonts w:ascii="Arial Narrow" w:hAnsi="Arial Narrow" w:cs="Arial"/>
          <w:sz w:val="22"/>
          <w:szCs w:val="22"/>
        </w:rPr>
      </w:pPr>
      <w:r w:rsidRPr="00224E84">
        <w:rPr>
          <w:rFonts w:ascii="Arial Narrow" w:hAnsi="Arial Narrow" w:cs="Arial"/>
          <w:sz w:val="22"/>
          <w:szCs w:val="22"/>
        </w:rPr>
        <w:lastRenderedPageBreak/>
        <w:t xml:space="preserve">NOTA 7: El consultor deberá garantizar la operabilidad del proceso, con el fin de realizar entregas finales y parciales, establecidos en el presente documento. </w:t>
      </w:r>
    </w:p>
    <w:p w14:paraId="6E47933F" w14:textId="77777777" w:rsidR="00224E84" w:rsidRPr="00224E84" w:rsidRDefault="00224E84" w:rsidP="00224E84">
      <w:pPr>
        <w:autoSpaceDE w:val="0"/>
        <w:autoSpaceDN w:val="0"/>
        <w:adjustRightInd w:val="0"/>
        <w:jc w:val="both"/>
        <w:rPr>
          <w:rFonts w:ascii="Arial Narrow" w:hAnsi="Arial Narrow" w:cs="Arial"/>
          <w:sz w:val="22"/>
          <w:szCs w:val="22"/>
        </w:rPr>
      </w:pPr>
    </w:p>
    <w:p w14:paraId="4AE8D697" w14:textId="77777777" w:rsidR="00224E84" w:rsidRPr="00224E84" w:rsidRDefault="00224E84" w:rsidP="00224E84">
      <w:pPr>
        <w:jc w:val="both"/>
        <w:textAlignment w:val="baseline"/>
        <w:rPr>
          <w:rFonts w:ascii="Arial Narrow" w:hAnsi="Arial Narrow" w:cs="Arial"/>
          <w:sz w:val="22"/>
          <w:szCs w:val="22"/>
        </w:rPr>
      </w:pPr>
      <w:r w:rsidRPr="00224E84">
        <w:rPr>
          <w:rFonts w:ascii="Arial Narrow" w:hAnsi="Arial Narrow" w:cs="Arial"/>
          <w:sz w:val="22"/>
          <w:szCs w:val="22"/>
        </w:rPr>
        <w:t xml:space="preserve">NOTA 8: El Instituto podrá solicitar al Consultor el levantamiento puntual de árboles, pozos, sumideros, cajas (incluyendo inspección), columnas, gálibos, paramentos, puertas, localizaciones u otros detalles que se requieran para cualquier proyecto, aun cuando no se encuentre relacionado en el listado de proyectos inicial, para lo cual se entregará un polígono dentro del cual está ubicado el elemento. El pago estará sujeto a la descripción contenida en el presente Anexo Técnico. </w:t>
      </w:r>
    </w:p>
    <w:p w14:paraId="617D3EB0" w14:textId="77777777" w:rsidR="00224E84" w:rsidRPr="00224E84" w:rsidRDefault="00224E84" w:rsidP="00224E84">
      <w:pPr>
        <w:jc w:val="both"/>
        <w:rPr>
          <w:rFonts w:ascii="Arial Narrow" w:hAnsi="Arial Narrow" w:cs="Arial"/>
          <w:sz w:val="22"/>
          <w:szCs w:val="22"/>
        </w:rPr>
      </w:pPr>
    </w:p>
    <w:p w14:paraId="1CDACBFE" w14:textId="77777777" w:rsidR="00224E84" w:rsidRPr="00224E84" w:rsidRDefault="00224E84" w:rsidP="00224E84">
      <w:pPr>
        <w:jc w:val="both"/>
        <w:rPr>
          <w:rFonts w:ascii="Arial Narrow" w:hAnsi="Arial Narrow" w:cs="Arial"/>
          <w:sz w:val="22"/>
          <w:szCs w:val="22"/>
        </w:rPr>
      </w:pPr>
      <w:r w:rsidRPr="00224E84">
        <w:rPr>
          <w:rFonts w:ascii="Arial Narrow" w:hAnsi="Arial Narrow" w:cs="Arial"/>
          <w:sz w:val="22"/>
          <w:szCs w:val="22"/>
        </w:rPr>
        <w:t>NOTA 9: El Consultor deberá presentar todo levantamiento topográfico previo a las obras de ejecución por parte de los organismos de acción comunal y/o comunidades Étnicas.</w:t>
      </w:r>
    </w:p>
    <w:p w14:paraId="743F6666" w14:textId="77777777" w:rsidR="003D4CB4" w:rsidRPr="00D06AD7" w:rsidRDefault="003D4CB4" w:rsidP="006946F3">
      <w:pPr>
        <w:autoSpaceDE w:val="0"/>
        <w:autoSpaceDN w:val="0"/>
        <w:adjustRightInd w:val="0"/>
        <w:jc w:val="both"/>
        <w:rPr>
          <w:rFonts w:ascii="Arial Narrow" w:hAnsi="Arial Narrow" w:cs="Arial"/>
          <w:bCs/>
          <w:sz w:val="22"/>
          <w:szCs w:val="22"/>
        </w:rPr>
      </w:pPr>
    </w:p>
    <w:p w14:paraId="18F12CCC" w14:textId="77777777" w:rsidR="006946F3" w:rsidRPr="00D06AD7" w:rsidRDefault="006946F3" w:rsidP="006946F3">
      <w:pPr>
        <w:autoSpaceDE w:val="0"/>
        <w:autoSpaceDN w:val="0"/>
        <w:adjustRightInd w:val="0"/>
        <w:jc w:val="both"/>
        <w:rPr>
          <w:rFonts w:ascii="Arial Narrow" w:hAnsi="Arial Narrow" w:cs="Arial"/>
          <w:bCs/>
          <w:sz w:val="22"/>
          <w:szCs w:val="22"/>
          <w:lang w:val="es-ES"/>
        </w:rPr>
      </w:pPr>
    </w:p>
    <w:p w14:paraId="77504C86" w14:textId="77777777" w:rsidR="00C64C07" w:rsidRPr="00D06AD7" w:rsidRDefault="00276027" w:rsidP="00C64C07">
      <w:pPr>
        <w:autoSpaceDE w:val="0"/>
        <w:autoSpaceDN w:val="0"/>
        <w:adjustRightInd w:val="0"/>
        <w:jc w:val="both"/>
        <w:outlineLvl w:val="0"/>
        <w:rPr>
          <w:rFonts w:ascii="Arial Narrow" w:hAnsi="Arial Narrow" w:cs="Arial"/>
          <w:b/>
          <w:bCs/>
          <w:sz w:val="22"/>
          <w:szCs w:val="22"/>
        </w:rPr>
      </w:pPr>
      <w:r w:rsidRPr="00D06AD7">
        <w:rPr>
          <w:rFonts w:ascii="Arial Narrow" w:hAnsi="Arial Narrow" w:cs="Arial"/>
          <w:b/>
          <w:bCs/>
          <w:sz w:val="22"/>
          <w:szCs w:val="22"/>
        </w:rPr>
        <w:t xml:space="preserve">2.3. </w:t>
      </w:r>
      <w:r w:rsidR="00C64C07" w:rsidRPr="00D06AD7">
        <w:rPr>
          <w:rFonts w:ascii="Arial Narrow" w:hAnsi="Arial Narrow" w:cs="Arial"/>
          <w:b/>
          <w:bCs/>
          <w:sz w:val="22"/>
          <w:szCs w:val="22"/>
        </w:rPr>
        <w:t>TIPO DE CONTRATO:</w:t>
      </w:r>
    </w:p>
    <w:p w14:paraId="5E949648" w14:textId="77777777" w:rsidR="00C64C07" w:rsidRPr="00D06AD7" w:rsidRDefault="00C64C07" w:rsidP="00C64C07">
      <w:pPr>
        <w:autoSpaceDE w:val="0"/>
        <w:autoSpaceDN w:val="0"/>
        <w:adjustRightInd w:val="0"/>
        <w:jc w:val="both"/>
        <w:rPr>
          <w:rFonts w:ascii="Arial Narrow" w:eastAsia="Arial Unicode MS" w:hAnsi="Arial Narrow" w:cs="Arial"/>
          <w:bCs/>
          <w:sz w:val="22"/>
          <w:szCs w:val="22"/>
        </w:rPr>
      </w:pPr>
    </w:p>
    <w:p w14:paraId="7B75D9F4" w14:textId="263F5E80" w:rsidR="007F7649" w:rsidRPr="007F7649" w:rsidRDefault="00435E2E" w:rsidP="007F7649">
      <w:pPr>
        <w:autoSpaceDE w:val="0"/>
        <w:autoSpaceDN w:val="0"/>
        <w:adjustRightInd w:val="0"/>
        <w:jc w:val="both"/>
        <w:rPr>
          <w:rFonts w:ascii="Arial Narrow" w:hAnsi="Arial Narrow" w:cs="Arial"/>
          <w:sz w:val="22"/>
          <w:szCs w:val="22"/>
        </w:rPr>
      </w:pPr>
      <w:bookmarkStart w:id="1" w:name="_Hlk165130133"/>
      <w:r w:rsidRPr="00D06AD7">
        <w:rPr>
          <w:rFonts w:ascii="Arial Narrow" w:hAnsi="Arial Narrow" w:cs="Arial"/>
          <w:sz w:val="22"/>
          <w:szCs w:val="22"/>
        </w:rPr>
        <w:t>El Contrato que se pretende celebrar será de CONSULTORÍA</w:t>
      </w:r>
      <w:r w:rsidR="007F7649">
        <w:rPr>
          <w:rFonts w:ascii="Arial Narrow" w:hAnsi="Arial Narrow" w:cs="Arial"/>
          <w:sz w:val="22"/>
          <w:szCs w:val="22"/>
        </w:rPr>
        <w:t>, definido en el artículo 32 de la Ley 80 de 1993 como aquel que “</w:t>
      </w:r>
      <w:r w:rsidR="007F7649" w:rsidRPr="007F7649">
        <w:rPr>
          <w:rFonts w:ascii="Arial Narrow" w:hAnsi="Arial Narrow" w:cs="Arial"/>
          <w:i/>
          <w:iCs/>
          <w:sz w:val="22"/>
          <w:szCs w:val="22"/>
        </w:rPr>
        <w:t>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 (…)</w:t>
      </w:r>
      <w:r w:rsidR="007F7649">
        <w:rPr>
          <w:rFonts w:ascii="Arial Narrow" w:hAnsi="Arial Narrow" w:cs="Arial"/>
          <w:sz w:val="22"/>
          <w:szCs w:val="22"/>
        </w:rPr>
        <w:t>”</w:t>
      </w:r>
    </w:p>
    <w:bookmarkEnd w:id="1"/>
    <w:p w14:paraId="4E533425" w14:textId="77777777" w:rsidR="00362C59" w:rsidRPr="00D06AD7" w:rsidRDefault="00362C59" w:rsidP="00182B32">
      <w:pPr>
        <w:autoSpaceDE w:val="0"/>
        <w:autoSpaceDN w:val="0"/>
        <w:adjustRightInd w:val="0"/>
        <w:jc w:val="both"/>
        <w:rPr>
          <w:rFonts w:ascii="Arial Narrow" w:hAnsi="Arial Narrow" w:cs="Arial"/>
          <w:sz w:val="22"/>
          <w:szCs w:val="22"/>
        </w:rPr>
      </w:pPr>
    </w:p>
    <w:p w14:paraId="5EE9380A" w14:textId="5541FE4C" w:rsidR="00435E2E" w:rsidRPr="00D06AD7" w:rsidRDefault="003F1DEE" w:rsidP="00182B32">
      <w:pPr>
        <w:autoSpaceDE w:val="0"/>
        <w:autoSpaceDN w:val="0"/>
        <w:adjustRightInd w:val="0"/>
        <w:jc w:val="both"/>
        <w:rPr>
          <w:rFonts w:ascii="Arial Narrow" w:hAnsi="Arial Narrow" w:cs="Arial"/>
          <w:b/>
          <w:sz w:val="22"/>
          <w:szCs w:val="22"/>
        </w:rPr>
      </w:pPr>
      <w:r w:rsidRPr="00D06AD7">
        <w:rPr>
          <w:rFonts w:ascii="Arial Narrow" w:hAnsi="Arial Narrow" w:cs="Arial"/>
          <w:b/>
          <w:sz w:val="22"/>
          <w:szCs w:val="22"/>
        </w:rPr>
        <w:t>2.4 VERIFICACIÓN</w:t>
      </w:r>
      <w:r w:rsidR="00490246" w:rsidRPr="00D06AD7">
        <w:rPr>
          <w:rFonts w:ascii="Arial Narrow" w:hAnsi="Arial Narrow" w:cs="Arial"/>
          <w:b/>
          <w:sz w:val="22"/>
          <w:szCs w:val="22"/>
        </w:rPr>
        <w:t xml:space="preserve"> DE LA VIA</w:t>
      </w:r>
    </w:p>
    <w:p w14:paraId="3CA3B4D0" w14:textId="77777777" w:rsidR="00142F1A" w:rsidRDefault="00142F1A" w:rsidP="00182B32">
      <w:pPr>
        <w:autoSpaceDE w:val="0"/>
        <w:autoSpaceDN w:val="0"/>
        <w:adjustRightInd w:val="0"/>
        <w:jc w:val="both"/>
        <w:rPr>
          <w:rFonts w:ascii="Arial Narrow" w:hAnsi="Arial Narrow" w:cs="Arial"/>
          <w:b/>
          <w:sz w:val="22"/>
          <w:szCs w:val="22"/>
        </w:rPr>
      </w:pPr>
    </w:p>
    <w:p w14:paraId="1D2FB86B" w14:textId="59593846" w:rsidR="006A2E83" w:rsidRPr="00CC0E39" w:rsidRDefault="00CC0E39" w:rsidP="00CC0E39">
      <w:pPr>
        <w:autoSpaceDE w:val="0"/>
        <w:autoSpaceDN w:val="0"/>
        <w:adjustRightInd w:val="0"/>
        <w:jc w:val="both"/>
        <w:rPr>
          <w:rFonts w:ascii="Arial Narrow" w:hAnsi="Arial Narrow" w:cs="Arial"/>
          <w:bCs/>
          <w:sz w:val="22"/>
          <w:szCs w:val="22"/>
        </w:rPr>
      </w:pPr>
      <w:r w:rsidRPr="00CC0E39">
        <w:rPr>
          <w:rFonts w:ascii="Arial Narrow" w:hAnsi="Arial Narrow" w:cs="Arial"/>
          <w:bCs/>
          <w:sz w:val="22"/>
          <w:szCs w:val="22"/>
        </w:rPr>
        <w:t xml:space="preserve">Teniendo en cuenta los documentos necesarios para la suscripción de los convenios solidarios priorizados para la vigencia 2024, por parte de la Unidad Ejecutoria y Dirección Territorial de </w:t>
      </w:r>
      <w:r>
        <w:rPr>
          <w:rFonts w:ascii="Arial Narrow" w:hAnsi="Arial Narrow" w:cs="Arial"/>
          <w:bCs/>
          <w:sz w:val="22"/>
          <w:szCs w:val="22"/>
        </w:rPr>
        <w:t>Caldas</w:t>
      </w:r>
      <w:r w:rsidRPr="00CC0E39">
        <w:rPr>
          <w:rFonts w:ascii="Arial Narrow" w:hAnsi="Arial Narrow" w:cs="Arial"/>
          <w:bCs/>
          <w:sz w:val="22"/>
          <w:szCs w:val="22"/>
        </w:rPr>
        <w:t>, verificara el Tipo de Vía, responsable de la vía y El sector a intervenir.</w:t>
      </w:r>
    </w:p>
    <w:p w14:paraId="2E9B44E3" w14:textId="77777777" w:rsidR="00CC0E39" w:rsidRPr="00D06AD7" w:rsidRDefault="00CC0E39" w:rsidP="00CC0E39">
      <w:pPr>
        <w:autoSpaceDE w:val="0"/>
        <w:autoSpaceDN w:val="0"/>
        <w:adjustRightInd w:val="0"/>
        <w:jc w:val="both"/>
        <w:rPr>
          <w:rFonts w:ascii="Arial Narrow" w:hAnsi="Arial Narrow" w:cs="Arial"/>
          <w:sz w:val="22"/>
          <w:szCs w:val="22"/>
        </w:rPr>
      </w:pPr>
    </w:p>
    <w:p w14:paraId="2AF16642" w14:textId="3B17EBA7" w:rsidR="00C64C07" w:rsidRPr="00D06AD7" w:rsidRDefault="00C64C07" w:rsidP="00337F4C">
      <w:pPr>
        <w:tabs>
          <w:tab w:val="left" w:pos="2865"/>
        </w:tabs>
        <w:autoSpaceDE w:val="0"/>
        <w:autoSpaceDN w:val="0"/>
        <w:adjustRightInd w:val="0"/>
        <w:jc w:val="both"/>
        <w:rPr>
          <w:rFonts w:ascii="Arial Narrow" w:eastAsia="Cambria" w:hAnsi="Arial Narrow" w:cs="Arial"/>
          <w:b/>
          <w:sz w:val="22"/>
          <w:szCs w:val="22"/>
          <w:lang w:val="es-ES_tradnl" w:eastAsia="en-US"/>
        </w:rPr>
      </w:pPr>
      <w:r w:rsidRPr="00D06AD7">
        <w:rPr>
          <w:rFonts w:ascii="Arial Narrow" w:eastAsia="Cambria" w:hAnsi="Arial Narrow" w:cs="Arial"/>
          <w:b/>
          <w:sz w:val="22"/>
          <w:szCs w:val="22"/>
          <w:lang w:val="es-ES_tradnl" w:eastAsia="en-US"/>
        </w:rPr>
        <w:t xml:space="preserve">   ANALISIS DEL SECTOR</w:t>
      </w:r>
    </w:p>
    <w:p w14:paraId="09ECBD17" w14:textId="77777777" w:rsidR="00980DCD" w:rsidRPr="00D06AD7" w:rsidRDefault="00980DCD" w:rsidP="00C64C07">
      <w:pPr>
        <w:contextualSpacing/>
        <w:jc w:val="center"/>
        <w:rPr>
          <w:rFonts w:ascii="Arial Narrow" w:eastAsia="Cambria" w:hAnsi="Arial Narrow" w:cs="Arial"/>
          <w:b/>
          <w:sz w:val="22"/>
          <w:szCs w:val="22"/>
          <w:lang w:val="es-ES_tradnl" w:eastAsia="en-US"/>
        </w:rPr>
      </w:pPr>
    </w:p>
    <w:p w14:paraId="5A1EDE01" w14:textId="77777777" w:rsidR="007722AC" w:rsidRPr="00D06AD7" w:rsidRDefault="00705EAE" w:rsidP="007722AC">
      <w:pPr>
        <w:rPr>
          <w:rFonts w:ascii="Arial Narrow" w:hAnsi="Arial Narrow" w:cs="Arial"/>
          <w:b/>
          <w:sz w:val="22"/>
          <w:szCs w:val="22"/>
        </w:rPr>
      </w:pPr>
      <w:r w:rsidRPr="00D06AD7">
        <w:rPr>
          <w:rFonts w:ascii="Arial Narrow" w:hAnsi="Arial Narrow" w:cs="Arial"/>
          <w:b/>
          <w:sz w:val="22"/>
          <w:szCs w:val="22"/>
        </w:rPr>
        <w:t>3.1. ASPECTOS</w:t>
      </w:r>
      <w:r w:rsidR="007722AC" w:rsidRPr="00D06AD7">
        <w:rPr>
          <w:rFonts w:ascii="Arial Narrow" w:hAnsi="Arial Narrow" w:cs="Arial"/>
          <w:b/>
          <w:sz w:val="22"/>
          <w:szCs w:val="22"/>
        </w:rPr>
        <w:t xml:space="preserve"> GENERALES</w:t>
      </w:r>
    </w:p>
    <w:p w14:paraId="6D37A8DC" w14:textId="77777777" w:rsidR="0060748C" w:rsidRPr="00D06AD7" w:rsidRDefault="0060748C" w:rsidP="007722AC">
      <w:pPr>
        <w:rPr>
          <w:rFonts w:ascii="Arial Narrow" w:hAnsi="Arial Narrow" w:cs="Arial"/>
          <w:b/>
          <w:color w:val="FF0000"/>
          <w:sz w:val="22"/>
          <w:szCs w:val="22"/>
        </w:rPr>
      </w:pPr>
    </w:p>
    <w:p w14:paraId="64D8637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conformidad con lo establecido en el numeral 2 del Artículo 32 en la Ley 80 de 1993, son contratos de consultoría “</w:t>
      </w:r>
      <w:r w:rsidRPr="00D06AD7">
        <w:rPr>
          <w:rFonts w:ascii="Arial Narrow" w:hAnsi="Arial Narrow" w:cs="Arial"/>
          <w:bCs/>
          <w:i/>
          <w:iCs/>
          <w:sz w:val="22"/>
          <w:szCs w:val="22"/>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Pr="00D06AD7">
        <w:rPr>
          <w:rFonts w:ascii="Arial Narrow" w:hAnsi="Arial Narrow" w:cs="Arial"/>
          <w:bCs/>
          <w:sz w:val="22"/>
          <w:szCs w:val="22"/>
        </w:rPr>
        <w:t>…”</w:t>
      </w:r>
    </w:p>
    <w:p w14:paraId="5C6CE2AF" w14:textId="77777777" w:rsidR="00FC6BCA" w:rsidRPr="00D06AD7" w:rsidRDefault="00FC6BCA" w:rsidP="00FC6BCA">
      <w:pPr>
        <w:jc w:val="both"/>
        <w:rPr>
          <w:rFonts w:ascii="Arial Narrow" w:hAnsi="Arial Narrow" w:cs="Arial"/>
          <w:bCs/>
          <w:sz w:val="22"/>
          <w:szCs w:val="22"/>
        </w:rPr>
      </w:pPr>
    </w:p>
    <w:p w14:paraId="58414996"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5BB0DC8D" w14:textId="77777777" w:rsidR="00FC6BCA" w:rsidRPr="00D06AD7" w:rsidRDefault="00FC6BCA" w:rsidP="00FC6BCA">
      <w:pPr>
        <w:jc w:val="both"/>
        <w:rPr>
          <w:rFonts w:ascii="Arial Narrow" w:hAnsi="Arial Narrow" w:cs="Arial"/>
          <w:bCs/>
          <w:sz w:val="22"/>
          <w:szCs w:val="22"/>
        </w:rPr>
      </w:pPr>
    </w:p>
    <w:p w14:paraId="2B09FDFE"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Es así, que una de las características fundamentales de estas empresas es que cumplen sus funciones en pro del bienestar de la obra, alejados de factores ajenos, comerciales, políticos o institucionales, que puedan interferir en su </w:t>
      </w:r>
      <w:r w:rsidRPr="00D06AD7">
        <w:rPr>
          <w:rFonts w:ascii="Arial Narrow" w:hAnsi="Arial Narrow" w:cs="Arial"/>
          <w:bCs/>
          <w:sz w:val="22"/>
          <w:szCs w:val="22"/>
        </w:rPr>
        <w:lastRenderedPageBreak/>
        <w:t xml:space="preserve">independencia; los consultores son responsables de apoyar en la toma de decisiones para realizar una adecuada ejecución del proyecto, lo que lo cataloga como el garante de la calidad de una obra de ingeniería. </w:t>
      </w:r>
    </w:p>
    <w:p w14:paraId="3961BAE9" w14:textId="77777777" w:rsidR="00FC6BCA" w:rsidRPr="00D06AD7" w:rsidRDefault="00FC6BCA" w:rsidP="00FC6BCA">
      <w:pPr>
        <w:jc w:val="both"/>
        <w:rPr>
          <w:rFonts w:ascii="Arial Narrow" w:hAnsi="Arial Narrow" w:cs="Arial"/>
          <w:bCs/>
          <w:sz w:val="22"/>
          <w:szCs w:val="22"/>
        </w:rPr>
      </w:pPr>
    </w:p>
    <w:p w14:paraId="754C5AFA"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w:t>
      </w:r>
      <w:r w:rsidRPr="00D06AD7">
        <w:rPr>
          <w:rFonts w:ascii="Arial Narrow" w:hAnsi="Arial Narrow" w:cs="Arial"/>
          <w:bCs/>
          <w:i/>
          <w:iCs/>
          <w:sz w:val="22"/>
          <w:szCs w:val="22"/>
        </w:rPr>
        <w:t>La Consultoría es un servicio de alto valor agregado, que no cuesta mucho con respecto al costo total de la obra, y que ayuda a ahorrar recursos, problemas, demoras, sobrecostos e incertidumbres</w:t>
      </w:r>
      <w:r w:rsidRPr="00D06AD7">
        <w:rPr>
          <w:rFonts w:ascii="Arial Narrow" w:hAnsi="Arial Narrow" w:cs="Arial"/>
          <w:bCs/>
          <w:sz w:val="22"/>
          <w:szCs w:val="22"/>
        </w:rPr>
        <w:t>.” según la Cámara Colombiana de Infraestructura.</w:t>
      </w:r>
    </w:p>
    <w:p w14:paraId="0D4B1CF6" w14:textId="77777777" w:rsidR="00FC6BCA" w:rsidRPr="00D06AD7" w:rsidRDefault="00FC6BCA" w:rsidP="00FC6BCA">
      <w:pPr>
        <w:jc w:val="both"/>
        <w:rPr>
          <w:rFonts w:ascii="Arial Narrow" w:hAnsi="Arial Narrow" w:cs="Arial"/>
          <w:bCs/>
          <w:sz w:val="22"/>
          <w:szCs w:val="22"/>
        </w:rPr>
      </w:pPr>
    </w:p>
    <w:p w14:paraId="15A2D1D3"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Para adelantar el respectivo estudio, se efectuó las consultas pertinentes en las siguientes páginas web:</w:t>
      </w:r>
    </w:p>
    <w:p w14:paraId="225857EE" w14:textId="77777777" w:rsidR="00FC6BCA" w:rsidRPr="00D06AD7" w:rsidRDefault="00FC6BCA" w:rsidP="00FC6BCA">
      <w:pPr>
        <w:jc w:val="both"/>
        <w:rPr>
          <w:rFonts w:ascii="Arial Narrow" w:hAnsi="Arial Narrow" w:cs="Arial"/>
          <w:bCs/>
          <w:sz w:val="22"/>
          <w:szCs w:val="22"/>
        </w:rPr>
      </w:pPr>
    </w:p>
    <w:p w14:paraId="32321BDB" w14:textId="77777777" w:rsidR="00FC6BCA" w:rsidRPr="00D06AD7" w:rsidRDefault="00FC6BCA" w:rsidP="00EC17FC">
      <w:pPr>
        <w:numPr>
          <w:ilvl w:val="0"/>
          <w:numId w:val="12"/>
        </w:numPr>
        <w:jc w:val="both"/>
        <w:rPr>
          <w:rFonts w:ascii="Arial Narrow" w:hAnsi="Arial Narrow" w:cs="Arial"/>
          <w:bCs/>
          <w:sz w:val="22"/>
          <w:szCs w:val="22"/>
          <w:lang w:val="es-ES_tradnl"/>
        </w:rPr>
      </w:pPr>
      <w:r w:rsidRPr="00D06AD7">
        <w:rPr>
          <w:rFonts w:ascii="Arial Narrow" w:hAnsi="Arial Narrow" w:cs="Arial"/>
          <w:bCs/>
          <w:sz w:val="22"/>
          <w:szCs w:val="22"/>
        </w:rPr>
        <w:t xml:space="preserve"> Portal Colombia compra eficiente SECOP II (</w:t>
      </w:r>
      <w:hyperlink r:id="rId8" w:history="1">
        <w:r w:rsidRPr="00D06AD7">
          <w:rPr>
            <w:rStyle w:val="Hipervnculo"/>
            <w:rFonts w:ascii="Arial Narrow" w:hAnsi="Arial Narrow" w:cs="Arial"/>
            <w:bCs/>
            <w:color w:val="auto"/>
            <w:sz w:val="22"/>
            <w:szCs w:val="22"/>
          </w:rPr>
          <w:t>www.colombiacompra.gov.co</w:t>
        </w:r>
      </w:hyperlink>
      <w:r w:rsidRPr="00D06AD7">
        <w:rPr>
          <w:rFonts w:ascii="Arial Narrow" w:hAnsi="Arial Narrow" w:cs="Arial"/>
          <w:bCs/>
          <w:sz w:val="22"/>
          <w:szCs w:val="22"/>
        </w:rPr>
        <w:t>)</w:t>
      </w:r>
    </w:p>
    <w:p w14:paraId="47636498" w14:textId="77777777" w:rsidR="00FC6BCA" w:rsidRPr="00D06AD7" w:rsidRDefault="00FC6BCA" w:rsidP="00EC17FC">
      <w:pPr>
        <w:numPr>
          <w:ilvl w:val="0"/>
          <w:numId w:val="12"/>
        </w:numPr>
        <w:jc w:val="both"/>
        <w:rPr>
          <w:rFonts w:ascii="Arial Narrow" w:hAnsi="Arial Narrow" w:cs="Arial"/>
          <w:bCs/>
          <w:sz w:val="22"/>
          <w:szCs w:val="22"/>
        </w:rPr>
      </w:pPr>
      <w:r w:rsidRPr="00D06AD7">
        <w:rPr>
          <w:rFonts w:ascii="Arial Narrow" w:hAnsi="Arial Narrow" w:cs="Arial"/>
          <w:bCs/>
          <w:sz w:val="22"/>
          <w:szCs w:val="22"/>
        </w:rPr>
        <w:t xml:space="preserve"> Departamento Administrativo Nacional de Estadística DANE (</w:t>
      </w:r>
      <w:hyperlink r:id="rId9" w:history="1">
        <w:r w:rsidRPr="00D06AD7">
          <w:rPr>
            <w:rStyle w:val="Hipervnculo"/>
            <w:rFonts w:ascii="Arial Narrow" w:hAnsi="Arial Narrow" w:cs="Arial"/>
            <w:bCs/>
            <w:color w:val="auto"/>
            <w:sz w:val="22"/>
            <w:szCs w:val="22"/>
          </w:rPr>
          <w:t>www.dane.gov.co</w:t>
        </w:r>
      </w:hyperlink>
      <w:r w:rsidRPr="00D06AD7">
        <w:rPr>
          <w:rFonts w:ascii="Arial Narrow" w:hAnsi="Arial Narrow" w:cs="Arial"/>
          <w:bCs/>
          <w:sz w:val="22"/>
          <w:szCs w:val="22"/>
        </w:rPr>
        <w:t>)</w:t>
      </w:r>
    </w:p>
    <w:p w14:paraId="4B16F25C" w14:textId="77777777" w:rsidR="00FC6BCA" w:rsidRPr="00D06AD7" w:rsidRDefault="00FC6BCA" w:rsidP="00EC17FC">
      <w:pPr>
        <w:numPr>
          <w:ilvl w:val="0"/>
          <w:numId w:val="12"/>
        </w:numPr>
        <w:jc w:val="both"/>
        <w:rPr>
          <w:rFonts w:ascii="Arial Narrow" w:hAnsi="Arial Narrow" w:cs="Arial"/>
          <w:bCs/>
          <w:sz w:val="22"/>
          <w:szCs w:val="22"/>
        </w:rPr>
      </w:pPr>
      <w:r w:rsidRPr="00D06AD7">
        <w:rPr>
          <w:rFonts w:ascii="Arial Narrow" w:hAnsi="Arial Narrow" w:cs="Arial"/>
          <w:bCs/>
          <w:sz w:val="22"/>
          <w:szCs w:val="22"/>
        </w:rPr>
        <w:t xml:space="preserve"> SIE de la Superintendencia de Sociedades (</w:t>
      </w:r>
      <w:hyperlink r:id="rId10" w:history="1">
        <w:r w:rsidRPr="00D06AD7">
          <w:rPr>
            <w:rStyle w:val="Hipervnculo"/>
            <w:rFonts w:ascii="Arial Narrow" w:hAnsi="Arial Narrow" w:cs="Arial"/>
            <w:bCs/>
            <w:color w:val="auto"/>
            <w:sz w:val="22"/>
            <w:szCs w:val="22"/>
          </w:rPr>
          <w:t>www.supersociedades.gov.co</w:t>
        </w:r>
      </w:hyperlink>
      <w:r w:rsidRPr="00D06AD7">
        <w:rPr>
          <w:rFonts w:ascii="Arial Narrow" w:hAnsi="Arial Narrow" w:cs="Arial"/>
          <w:bCs/>
          <w:sz w:val="22"/>
          <w:szCs w:val="22"/>
        </w:rPr>
        <w:t>)</w:t>
      </w:r>
    </w:p>
    <w:p w14:paraId="4A5C96C7" w14:textId="77777777" w:rsidR="00FC6BCA" w:rsidRPr="00D06AD7" w:rsidRDefault="00FC6BCA" w:rsidP="00EC17FC">
      <w:pPr>
        <w:numPr>
          <w:ilvl w:val="0"/>
          <w:numId w:val="12"/>
        </w:numPr>
        <w:jc w:val="both"/>
        <w:rPr>
          <w:rFonts w:ascii="Arial Narrow" w:hAnsi="Arial Narrow" w:cs="Arial"/>
          <w:bCs/>
          <w:sz w:val="22"/>
          <w:szCs w:val="22"/>
        </w:rPr>
      </w:pPr>
      <w:r w:rsidRPr="00D06AD7">
        <w:rPr>
          <w:rFonts w:ascii="Arial Narrow" w:hAnsi="Arial Narrow" w:cs="Arial"/>
          <w:bCs/>
          <w:sz w:val="22"/>
          <w:szCs w:val="22"/>
        </w:rPr>
        <w:t>Cámara Colombiana de Infraestructura (www.infraestructura.org.co)</w:t>
      </w:r>
    </w:p>
    <w:p w14:paraId="5D112496" w14:textId="77777777" w:rsidR="00FC6BCA" w:rsidRPr="00D06AD7" w:rsidRDefault="00FC6BCA" w:rsidP="00FC6BCA">
      <w:pPr>
        <w:jc w:val="both"/>
        <w:rPr>
          <w:rFonts w:ascii="Arial Narrow" w:hAnsi="Arial Narrow" w:cs="Arial"/>
          <w:b/>
          <w:sz w:val="22"/>
          <w:szCs w:val="22"/>
        </w:rPr>
      </w:pPr>
    </w:p>
    <w:p w14:paraId="75B57597"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3.1.1 Aspectos económicos</w:t>
      </w:r>
    </w:p>
    <w:p w14:paraId="4D6D1FA9" w14:textId="77777777" w:rsidR="00FC6BCA" w:rsidRPr="00D06AD7" w:rsidRDefault="00FC6BCA" w:rsidP="00FC6BCA">
      <w:pPr>
        <w:jc w:val="both"/>
        <w:rPr>
          <w:rFonts w:ascii="Arial Narrow" w:hAnsi="Arial Narrow" w:cs="Arial"/>
          <w:b/>
          <w:sz w:val="22"/>
          <w:szCs w:val="22"/>
        </w:rPr>
      </w:pPr>
    </w:p>
    <w:p w14:paraId="6E646F55"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3.1.1.1 Productos del sector de consultoría</w:t>
      </w:r>
    </w:p>
    <w:p w14:paraId="1E100106" w14:textId="77777777" w:rsidR="00FC6BCA" w:rsidRPr="00D06AD7" w:rsidRDefault="00FC6BCA" w:rsidP="00FC6BCA">
      <w:pPr>
        <w:jc w:val="both"/>
        <w:rPr>
          <w:rFonts w:ascii="Arial Narrow" w:hAnsi="Arial Narrow" w:cs="Arial"/>
          <w:bCs/>
          <w:sz w:val="22"/>
          <w:szCs w:val="22"/>
        </w:rPr>
      </w:pPr>
    </w:p>
    <w:p w14:paraId="6704017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La consultoría se dirige a todas las áreas de gestión de una empresa, este aspecto determina el segmento de actividad de las empresas del sector. Se consideran los segmentos de mayor influencia en el mercado:</w:t>
      </w:r>
    </w:p>
    <w:p w14:paraId="1FB84A15" w14:textId="77777777" w:rsidR="00FC6BCA" w:rsidRPr="00D06AD7" w:rsidRDefault="00FC6BCA" w:rsidP="00FC6BCA">
      <w:pPr>
        <w:jc w:val="both"/>
        <w:rPr>
          <w:rFonts w:ascii="Arial Narrow" w:hAnsi="Arial Narrow" w:cs="Arial"/>
          <w:bCs/>
          <w:sz w:val="22"/>
          <w:szCs w:val="22"/>
        </w:rPr>
      </w:pPr>
    </w:p>
    <w:p w14:paraId="7BFECF08"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integral, que reúne todas las áreas de gestión (estrategia, finanzas, producción, mercadeo, recursos humanos, tecnologías de información).</w:t>
      </w:r>
    </w:p>
    <w:p w14:paraId="79596A14"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en mercadeo, que reúne mercadeo y ventas.</w:t>
      </w:r>
    </w:p>
    <w:p w14:paraId="76476AFD"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en tecnologías de la información (software, hardware, servicios conexos).</w:t>
      </w:r>
    </w:p>
    <w:p w14:paraId="2CE05124"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en sistemas de gestión, dirigida a formalizar procesos para cumplir estándares internacionales con miras a obtener certificaciones.</w:t>
      </w:r>
    </w:p>
    <w:p w14:paraId="349594D7"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en recursos humanos</w:t>
      </w:r>
    </w:p>
    <w:p w14:paraId="697BCFE0" w14:textId="77777777" w:rsidR="00FC6BCA" w:rsidRPr="00D06AD7" w:rsidRDefault="00FC6BCA" w:rsidP="00EC17FC">
      <w:pPr>
        <w:numPr>
          <w:ilvl w:val="0"/>
          <w:numId w:val="11"/>
        </w:numPr>
        <w:ind w:left="720"/>
        <w:jc w:val="both"/>
        <w:rPr>
          <w:rFonts w:ascii="Arial Narrow" w:hAnsi="Arial Narrow" w:cs="Arial"/>
          <w:bCs/>
          <w:sz w:val="22"/>
          <w:szCs w:val="22"/>
        </w:rPr>
      </w:pPr>
      <w:r w:rsidRPr="00D06AD7">
        <w:rPr>
          <w:rFonts w:ascii="Arial Narrow" w:hAnsi="Arial Narrow" w:cs="Arial"/>
          <w:bCs/>
          <w:sz w:val="22"/>
          <w:szCs w:val="22"/>
        </w:rPr>
        <w:t>Consultoría legal y tributaria, asesoría en aspectos jurídicos y pagos de impuestos.</w:t>
      </w:r>
    </w:p>
    <w:p w14:paraId="4DE2A110" w14:textId="77777777" w:rsidR="00FC6BCA" w:rsidRPr="00D06AD7" w:rsidRDefault="00FC6BCA" w:rsidP="00FC6BCA">
      <w:pPr>
        <w:jc w:val="both"/>
        <w:rPr>
          <w:rFonts w:ascii="Arial Narrow" w:hAnsi="Arial Narrow" w:cs="Arial"/>
          <w:bCs/>
          <w:sz w:val="22"/>
          <w:szCs w:val="22"/>
        </w:rPr>
      </w:pPr>
    </w:p>
    <w:p w14:paraId="0A49B0BE"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3.1.1.2 Agentes del sector</w:t>
      </w:r>
    </w:p>
    <w:p w14:paraId="480E18E7" w14:textId="77777777" w:rsidR="00FC6BCA" w:rsidRPr="00D06AD7" w:rsidRDefault="00FC6BCA" w:rsidP="00FC6BCA">
      <w:pPr>
        <w:jc w:val="both"/>
        <w:rPr>
          <w:rFonts w:ascii="Arial Narrow" w:hAnsi="Arial Narrow" w:cs="Arial"/>
          <w:bCs/>
          <w:sz w:val="22"/>
          <w:szCs w:val="22"/>
        </w:rPr>
      </w:pPr>
    </w:p>
    <w:p w14:paraId="5FDE326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Por parte del Estado</w:t>
      </w:r>
    </w:p>
    <w:p w14:paraId="6A3F929F" w14:textId="54D09EEF"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Ministerio de </w:t>
      </w:r>
      <w:r w:rsidR="00A11216">
        <w:rPr>
          <w:rFonts w:ascii="Arial Narrow" w:hAnsi="Arial Narrow" w:cs="Arial"/>
          <w:bCs/>
          <w:sz w:val="22"/>
          <w:szCs w:val="22"/>
        </w:rPr>
        <w:t>T</w:t>
      </w:r>
      <w:r w:rsidRPr="00D06AD7">
        <w:rPr>
          <w:rFonts w:ascii="Arial Narrow" w:hAnsi="Arial Narrow" w:cs="Arial"/>
          <w:bCs/>
          <w:sz w:val="22"/>
          <w:szCs w:val="22"/>
        </w:rPr>
        <w:t>ransporte</w:t>
      </w:r>
    </w:p>
    <w:p w14:paraId="23E8C05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Agencia Nacional de Infraestructura – ANI</w:t>
      </w:r>
    </w:p>
    <w:p w14:paraId="3328B17D"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Entidades públicas departamentales y municipales (Gobernaciones, Alcaldías)</w:t>
      </w:r>
    </w:p>
    <w:p w14:paraId="3B2DCBF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Instituto Geográfico Agustín Codazzi – IGAC</w:t>
      </w:r>
    </w:p>
    <w:p w14:paraId="66F7C95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Departamento Nacional De Planeación – DNP</w:t>
      </w:r>
    </w:p>
    <w:p w14:paraId="4AF39799"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Superintendencia de Puertosy Transportes</w:t>
      </w:r>
    </w:p>
    <w:p w14:paraId="7E0B9AA0"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Instituto Nacional de Vías-INVIAS</w:t>
      </w:r>
    </w:p>
    <w:p w14:paraId="1E37E85C"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Agencia Nacional de Licencias Ambientales</w:t>
      </w:r>
    </w:p>
    <w:p w14:paraId="61D9CB3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Corporaciones Autónomas Regionales</w:t>
      </w:r>
    </w:p>
    <w:p w14:paraId="7B54F25C"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Departamento Nacional de Planeación</w:t>
      </w:r>
    </w:p>
    <w:p w14:paraId="04E2B24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Auditoría General de la República</w:t>
      </w:r>
    </w:p>
    <w:p w14:paraId="07DE153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Contraloría General de la República</w:t>
      </w:r>
    </w:p>
    <w:p w14:paraId="6DE02356" w14:textId="77777777" w:rsidR="00FC6BCA" w:rsidRPr="00D06AD7" w:rsidRDefault="00FC6BCA" w:rsidP="00FC6BCA">
      <w:pPr>
        <w:jc w:val="both"/>
        <w:rPr>
          <w:rFonts w:ascii="Arial Narrow" w:hAnsi="Arial Narrow" w:cs="Arial"/>
          <w:bCs/>
          <w:sz w:val="22"/>
          <w:szCs w:val="22"/>
        </w:rPr>
      </w:pPr>
    </w:p>
    <w:p w14:paraId="4AB883F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Por parte de la Sociedad Civil</w:t>
      </w:r>
    </w:p>
    <w:p w14:paraId="23AB7FF6"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Empresas dedicadas a la auditoria, consultoría e interventoría</w:t>
      </w:r>
    </w:p>
    <w:p w14:paraId="0558C30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Usuarios</w:t>
      </w:r>
    </w:p>
    <w:p w14:paraId="393FBCE3" w14:textId="77777777" w:rsidR="00FC6BCA" w:rsidRPr="00D06AD7" w:rsidRDefault="00FC6BCA" w:rsidP="00FC6BCA">
      <w:pPr>
        <w:jc w:val="both"/>
        <w:rPr>
          <w:rFonts w:ascii="Arial Narrow" w:hAnsi="Arial Narrow" w:cs="Arial"/>
          <w:bCs/>
          <w:sz w:val="22"/>
          <w:szCs w:val="22"/>
        </w:rPr>
      </w:pPr>
    </w:p>
    <w:p w14:paraId="5D3E3145"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 xml:space="preserve">3.1.1.3 Gremios y asociaciones </w:t>
      </w:r>
    </w:p>
    <w:p w14:paraId="35F517FB" w14:textId="77777777" w:rsidR="00FC6BCA" w:rsidRPr="00D06AD7" w:rsidRDefault="00FC6BCA" w:rsidP="00FC6BCA">
      <w:pPr>
        <w:jc w:val="both"/>
        <w:rPr>
          <w:rFonts w:ascii="Arial Narrow" w:hAnsi="Arial Narrow" w:cs="Arial"/>
          <w:bCs/>
          <w:sz w:val="22"/>
          <w:szCs w:val="22"/>
        </w:rPr>
      </w:pPr>
    </w:p>
    <w:p w14:paraId="16A5D1F3"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Los gremios y asociaciones del sector servicios a las empresas podemos anotar: </w:t>
      </w:r>
    </w:p>
    <w:p w14:paraId="727421FA"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Cámaras de Comercios</w:t>
      </w:r>
    </w:p>
    <w:p w14:paraId="6C4877B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Camacol, </w:t>
      </w:r>
    </w:p>
    <w:p w14:paraId="3324B58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Fedesarrollo,  </w:t>
      </w:r>
    </w:p>
    <w:p w14:paraId="2254584E"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Fescol</w:t>
      </w:r>
    </w:p>
    <w:p w14:paraId="18CC698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Asociación Colombiana de Consultores Empresariales – ACOLCEM</w:t>
      </w:r>
    </w:p>
    <w:p w14:paraId="74F9149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Sociedad Colombiana de Consultoría</w:t>
      </w:r>
    </w:p>
    <w:p w14:paraId="1296E52E"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Mesa Sectorial de Consultoría Empresarial del servicio nacional de aprendizaje (SENA) - MSCE</w:t>
      </w:r>
    </w:p>
    <w:p w14:paraId="41E2DBC5" w14:textId="77777777" w:rsidR="00FC6BCA" w:rsidRPr="00D06AD7" w:rsidRDefault="00FC6BCA" w:rsidP="00FC6BCA">
      <w:pPr>
        <w:jc w:val="both"/>
        <w:rPr>
          <w:rFonts w:ascii="Arial Narrow" w:hAnsi="Arial Narrow" w:cs="Arial"/>
          <w:bCs/>
          <w:sz w:val="22"/>
          <w:szCs w:val="22"/>
        </w:rPr>
      </w:pPr>
    </w:p>
    <w:p w14:paraId="3715E80A"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3.1.1.4 Cifras sector consultoría</w:t>
      </w:r>
    </w:p>
    <w:p w14:paraId="5E738872" w14:textId="77777777" w:rsidR="00FC6BCA" w:rsidRPr="00D06AD7" w:rsidRDefault="00FC6BCA" w:rsidP="00FC6BCA">
      <w:pPr>
        <w:jc w:val="both"/>
        <w:rPr>
          <w:rFonts w:ascii="Arial Narrow" w:hAnsi="Arial Narrow" w:cs="Arial"/>
          <w:bCs/>
          <w:sz w:val="22"/>
          <w:szCs w:val="22"/>
        </w:rPr>
      </w:pPr>
    </w:p>
    <w:p w14:paraId="11465BD4" w14:textId="77777777" w:rsidR="00FC6BCA" w:rsidRPr="00D06AD7" w:rsidRDefault="00FC6BCA" w:rsidP="00FC6BCA">
      <w:pPr>
        <w:autoSpaceDE w:val="0"/>
        <w:autoSpaceDN w:val="0"/>
        <w:adjustRightInd w:val="0"/>
        <w:jc w:val="both"/>
        <w:rPr>
          <w:rFonts w:ascii="Arial Narrow" w:hAnsi="Arial Narrow" w:cs="Arial"/>
          <w:b/>
          <w:bCs/>
          <w:sz w:val="22"/>
          <w:szCs w:val="22"/>
        </w:rPr>
      </w:pPr>
      <w:r w:rsidRPr="00D06AD7">
        <w:rPr>
          <w:rFonts w:ascii="Arial Narrow" w:hAnsi="Arial Narrow" w:cs="Arial"/>
          <w:b/>
          <w:bCs/>
          <w:sz w:val="22"/>
          <w:szCs w:val="22"/>
        </w:rPr>
        <w:t>El sector servicios mantiene su crecimiento en salarios, ingresos y ocupados</w:t>
      </w:r>
    </w:p>
    <w:p w14:paraId="533D8265" w14:textId="77777777" w:rsidR="00FC6BCA" w:rsidRPr="00D06AD7" w:rsidRDefault="00FC6BCA" w:rsidP="00FC6BCA">
      <w:pPr>
        <w:autoSpaceDE w:val="0"/>
        <w:autoSpaceDN w:val="0"/>
        <w:adjustRightInd w:val="0"/>
        <w:jc w:val="both"/>
        <w:rPr>
          <w:rFonts w:ascii="Arial Narrow" w:hAnsi="Arial Narrow" w:cs="Arial"/>
          <w:b/>
          <w:bCs/>
          <w:sz w:val="22"/>
          <w:szCs w:val="22"/>
        </w:rPr>
      </w:pPr>
    </w:p>
    <w:p w14:paraId="0634C9DD" w14:textId="77777777" w:rsidR="00FB5B31" w:rsidRPr="00D06AD7" w:rsidRDefault="00FB5B31" w:rsidP="00FB5B31">
      <w:pPr>
        <w:jc w:val="both"/>
        <w:rPr>
          <w:rFonts w:ascii="Arial Narrow" w:eastAsia="Calibri" w:hAnsi="Arial Narrow" w:cs="Arial"/>
          <w:b/>
          <w:bCs/>
          <w:sz w:val="22"/>
          <w:szCs w:val="22"/>
        </w:rPr>
      </w:pPr>
      <w:bookmarkStart w:id="2" w:name="_Hlk161497441"/>
      <w:r w:rsidRPr="00D06AD7">
        <w:rPr>
          <w:rFonts w:ascii="Arial Narrow" w:eastAsia="Calibri" w:hAnsi="Arial Narrow" w:cs="Arial"/>
          <w:b/>
          <w:bCs/>
          <w:sz w:val="22"/>
          <w:szCs w:val="22"/>
        </w:rPr>
        <w:t>Variación anual de los ingresos nominales y contribución por tipo de ingresos, según subsector de servicios (enero 2024 / enero 2023)</w:t>
      </w:r>
    </w:p>
    <w:p w14:paraId="3230D411" w14:textId="77777777" w:rsidR="00FB5B31" w:rsidRPr="00D06AD7" w:rsidRDefault="00FB5B31" w:rsidP="00FB5B31">
      <w:pPr>
        <w:jc w:val="both"/>
        <w:rPr>
          <w:rFonts w:ascii="Arial Narrow" w:eastAsia="Calibri" w:hAnsi="Arial Narrow" w:cs="Arial"/>
          <w:b/>
          <w:bCs/>
          <w:sz w:val="22"/>
          <w:szCs w:val="22"/>
        </w:rPr>
      </w:pPr>
    </w:p>
    <w:p w14:paraId="16444D2C" w14:textId="77777777" w:rsidR="00FB5B31" w:rsidRPr="00D06AD7" w:rsidRDefault="00FB5B31" w:rsidP="00FB5B31">
      <w:pPr>
        <w:jc w:val="both"/>
        <w:rPr>
          <w:rFonts w:ascii="Arial Narrow" w:hAnsi="Arial Narrow" w:cs="Arial"/>
          <w:noProof/>
          <w:sz w:val="22"/>
          <w:szCs w:val="22"/>
        </w:rPr>
      </w:pPr>
      <w:r w:rsidRPr="00D06AD7">
        <w:rPr>
          <w:rFonts w:ascii="Arial Narrow" w:hAnsi="Arial Narrow" w:cs="Arial"/>
          <w:noProof/>
          <w:sz w:val="22"/>
          <w:szCs w:val="22"/>
        </w:rPr>
        <w:t>En enero de 2024, catorce de los dieciocho subsectores de servicios presentaron variación positiva en los ingresos totales, en comparación con enero de 2023.</w:t>
      </w:r>
    </w:p>
    <w:p w14:paraId="55513EEA" w14:textId="77777777" w:rsidR="00FB5B31" w:rsidRPr="00D06AD7" w:rsidRDefault="00FB5B31" w:rsidP="00FB5B31">
      <w:pPr>
        <w:jc w:val="both"/>
        <w:rPr>
          <w:rFonts w:ascii="Arial Narrow" w:hAnsi="Arial Narrow" w:cs="Arial"/>
          <w:noProof/>
          <w:sz w:val="22"/>
          <w:szCs w:val="22"/>
        </w:rPr>
      </w:pPr>
    </w:p>
    <w:p w14:paraId="28E77E1C" w14:textId="77777777" w:rsidR="00FB5B31" w:rsidRPr="00D06AD7" w:rsidRDefault="00FB5B31" w:rsidP="00FB5B31">
      <w:pPr>
        <w:jc w:val="both"/>
        <w:rPr>
          <w:rFonts w:ascii="Arial Narrow" w:hAnsi="Arial Narrow" w:cs="Arial"/>
          <w:noProof/>
          <w:sz w:val="22"/>
          <w:szCs w:val="22"/>
        </w:rPr>
      </w:pPr>
    </w:p>
    <w:p w14:paraId="53DDCF9D" w14:textId="77777777" w:rsidR="00FB5B31" w:rsidRPr="00D06AD7" w:rsidRDefault="00FB5B31" w:rsidP="00FB5B31">
      <w:pPr>
        <w:jc w:val="both"/>
        <w:rPr>
          <w:rFonts w:ascii="Arial Narrow" w:hAnsi="Arial Narrow" w:cs="Arial"/>
          <w:noProof/>
          <w:sz w:val="22"/>
          <w:szCs w:val="22"/>
        </w:rPr>
      </w:pPr>
    </w:p>
    <w:p w14:paraId="7F7292E6" w14:textId="77777777" w:rsidR="00FB5B31" w:rsidRPr="00D06AD7" w:rsidRDefault="00FB5B31" w:rsidP="00FB5B31">
      <w:pPr>
        <w:jc w:val="both"/>
        <w:rPr>
          <w:rFonts w:ascii="Arial Narrow" w:hAnsi="Arial Narrow" w:cs="Arial"/>
          <w:color w:val="000000"/>
          <w:sz w:val="22"/>
          <w:szCs w:val="22"/>
        </w:rPr>
      </w:pPr>
    </w:p>
    <w:p w14:paraId="697A6BBA" w14:textId="77777777" w:rsidR="00FB5B31" w:rsidRPr="00D06AD7" w:rsidRDefault="00FB5B31" w:rsidP="00FB5B31">
      <w:pPr>
        <w:jc w:val="both"/>
        <w:rPr>
          <w:rFonts w:ascii="Arial Narrow" w:hAnsi="Arial Narrow" w:cs="Arial"/>
          <w:color w:val="000000"/>
          <w:sz w:val="22"/>
          <w:szCs w:val="22"/>
        </w:rPr>
      </w:pPr>
      <w:r w:rsidRPr="00D06AD7">
        <w:rPr>
          <w:rFonts w:ascii="Arial Narrow" w:hAnsi="Arial Narrow"/>
          <w:noProof/>
          <w:sz w:val="22"/>
          <w:szCs w:val="22"/>
        </w:rPr>
        <w:lastRenderedPageBreak/>
        <w:drawing>
          <wp:inline distT="0" distB="0" distL="0" distR="0" wp14:anchorId="68B35A0C" wp14:editId="3AFCB273">
            <wp:extent cx="5486400" cy="4924425"/>
            <wp:effectExtent l="0" t="0" r="0" b="9525"/>
            <wp:docPr id="1682263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63345" name=""/>
                    <pic:cNvPicPr/>
                  </pic:nvPicPr>
                  <pic:blipFill rotWithShape="1">
                    <a:blip r:embed="rId11"/>
                    <a:srcRect l="21478" t="17687" r="23089" b="13040"/>
                    <a:stretch/>
                  </pic:blipFill>
                  <pic:spPr bwMode="auto">
                    <a:xfrm>
                      <a:off x="0" y="0"/>
                      <a:ext cx="5486400" cy="4924425"/>
                    </a:xfrm>
                    <a:prstGeom prst="rect">
                      <a:avLst/>
                    </a:prstGeom>
                    <a:ln>
                      <a:noFill/>
                    </a:ln>
                    <a:extLst>
                      <a:ext uri="{53640926-AAD7-44D8-BBD7-CCE9431645EC}">
                        <a14:shadowObscured xmlns:a14="http://schemas.microsoft.com/office/drawing/2010/main"/>
                      </a:ext>
                    </a:extLst>
                  </pic:spPr>
                </pic:pic>
              </a:graphicData>
            </a:graphic>
          </wp:inline>
        </w:drawing>
      </w:r>
    </w:p>
    <w:p w14:paraId="1883A73F" w14:textId="77777777" w:rsidR="00FB5B31" w:rsidRPr="00D06AD7" w:rsidRDefault="00FB5B31" w:rsidP="00FB5B31">
      <w:pPr>
        <w:jc w:val="center"/>
        <w:rPr>
          <w:rFonts w:ascii="Arial Narrow" w:hAnsi="Arial Narrow" w:cs="Arial"/>
          <w:color w:val="000000"/>
          <w:sz w:val="22"/>
          <w:szCs w:val="22"/>
        </w:rPr>
      </w:pPr>
    </w:p>
    <w:p w14:paraId="4A79A2AB" w14:textId="77777777" w:rsidR="00FB5B31" w:rsidRPr="00D06AD7" w:rsidRDefault="00FB5B31" w:rsidP="00FB5B31">
      <w:pPr>
        <w:jc w:val="both"/>
        <w:rPr>
          <w:rFonts w:ascii="Arial Narrow" w:hAnsi="Arial Narrow" w:cs="Arial"/>
          <w:b/>
          <w:bCs/>
          <w:color w:val="000000"/>
          <w:sz w:val="22"/>
          <w:szCs w:val="22"/>
        </w:rPr>
      </w:pPr>
      <w:r w:rsidRPr="00D06AD7">
        <w:rPr>
          <w:rFonts w:ascii="Arial Narrow" w:hAnsi="Arial Narrow" w:cs="Arial"/>
          <w:b/>
          <w:bCs/>
          <w:color w:val="000000"/>
          <w:sz w:val="22"/>
          <w:szCs w:val="22"/>
        </w:rPr>
        <w:t>Variación anual del personal ocupado total y contribución por tipo de contratación, según subsector de servicios (enero 2024 / enero 2023)</w:t>
      </w:r>
    </w:p>
    <w:p w14:paraId="376245CD" w14:textId="77777777" w:rsidR="00FB5B31" w:rsidRPr="00D06AD7" w:rsidRDefault="00FB5B31" w:rsidP="00FB5B31">
      <w:pPr>
        <w:jc w:val="both"/>
        <w:rPr>
          <w:rFonts w:ascii="Arial Narrow" w:hAnsi="Arial Narrow" w:cs="Arial"/>
          <w:b/>
          <w:bCs/>
          <w:color w:val="000000"/>
          <w:sz w:val="22"/>
          <w:szCs w:val="22"/>
        </w:rPr>
      </w:pPr>
    </w:p>
    <w:p w14:paraId="501C8E7B" w14:textId="77777777" w:rsidR="00FB5B31" w:rsidRPr="00D06AD7" w:rsidRDefault="00FB5B31" w:rsidP="00FB5B31">
      <w:pPr>
        <w:jc w:val="both"/>
        <w:rPr>
          <w:rFonts w:ascii="Arial Narrow" w:hAnsi="Arial Narrow" w:cs="Arial"/>
          <w:color w:val="000000"/>
          <w:sz w:val="22"/>
          <w:szCs w:val="22"/>
        </w:rPr>
      </w:pPr>
      <w:r w:rsidRPr="00D06AD7">
        <w:rPr>
          <w:rFonts w:ascii="Arial Narrow" w:hAnsi="Arial Narrow" w:cs="Arial"/>
          <w:color w:val="000000"/>
          <w:sz w:val="22"/>
          <w:szCs w:val="22"/>
        </w:rPr>
        <w:t>En enero de 2024, todos los subsectores de servicios presentaron variación positiva en los salarios, en comparación con enero de 2023.</w:t>
      </w:r>
      <w:r w:rsidRPr="00D06AD7">
        <w:rPr>
          <w:rFonts w:ascii="Arial Narrow" w:hAnsi="Arial Narrow" w:cs="Arial"/>
          <w:color w:val="000000"/>
          <w:sz w:val="22"/>
          <w:szCs w:val="22"/>
        </w:rPr>
        <w:cr/>
      </w:r>
    </w:p>
    <w:p w14:paraId="7292E9AF" w14:textId="77777777" w:rsidR="00FB5B31" w:rsidRPr="00D06AD7" w:rsidRDefault="00FB5B31" w:rsidP="00FB5B31">
      <w:pPr>
        <w:jc w:val="center"/>
        <w:rPr>
          <w:rFonts w:ascii="Arial Narrow" w:hAnsi="Arial Narrow" w:cs="Arial"/>
          <w:color w:val="000000"/>
          <w:sz w:val="22"/>
          <w:szCs w:val="22"/>
        </w:rPr>
      </w:pPr>
      <w:r w:rsidRPr="00D06AD7">
        <w:rPr>
          <w:rFonts w:ascii="Arial Narrow" w:hAnsi="Arial Narrow"/>
          <w:noProof/>
          <w:sz w:val="22"/>
          <w:szCs w:val="22"/>
        </w:rPr>
        <w:lastRenderedPageBreak/>
        <w:drawing>
          <wp:inline distT="0" distB="0" distL="0" distR="0" wp14:anchorId="63C6A63C" wp14:editId="56E44421">
            <wp:extent cx="5958205" cy="5495925"/>
            <wp:effectExtent l="0" t="0" r="4445" b="9525"/>
            <wp:docPr id="349994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94792" name=""/>
                    <pic:cNvPicPr/>
                  </pic:nvPicPr>
                  <pic:blipFill rotWithShape="1">
                    <a:blip r:embed="rId12"/>
                    <a:srcRect l="21163" t="17687" r="21352" b="5249"/>
                    <a:stretch/>
                  </pic:blipFill>
                  <pic:spPr bwMode="auto">
                    <a:xfrm>
                      <a:off x="0" y="0"/>
                      <a:ext cx="5975244" cy="5511642"/>
                    </a:xfrm>
                    <a:prstGeom prst="rect">
                      <a:avLst/>
                    </a:prstGeom>
                    <a:ln>
                      <a:noFill/>
                    </a:ln>
                    <a:extLst>
                      <a:ext uri="{53640926-AAD7-44D8-BBD7-CCE9431645EC}">
                        <a14:shadowObscured xmlns:a14="http://schemas.microsoft.com/office/drawing/2010/main"/>
                      </a:ext>
                    </a:extLst>
                  </pic:spPr>
                </pic:pic>
              </a:graphicData>
            </a:graphic>
          </wp:inline>
        </w:drawing>
      </w:r>
      <w:r w:rsidRPr="00D06AD7">
        <w:rPr>
          <w:rFonts w:ascii="Arial Narrow" w:hAnsi="Arial Narrow" w:cs="Arial"/>
          <w:color w:val="000000"/>
          <w:sz w:val="22"/>
          <w:szCs w:val="22"/>
        </w:rPr>
        <w:cr/>
      </w:r>
    </w:p>
    <w:p w14:paraId="091BD916" w14:textId="77777777" w:rsidR="00FB5B31" w:rsidRPr="00D06AD7" w:rsidRDefault="00FB5B31" w:rsidP="00FB5B31">
      <w:pPr>
        <w:jc w:val="both"/>
        <w:rPr>
          <w:rFonts w:ascii="Arial Narrow" w:hAnsi="Arial Narrow" w:cs="Arial"/>
          <w:b/>
          <w:bCs/>
          <w:color w:val="000000"/>
          <w:sz w:val="22"/>
          <w:szCs w:val="22"/>
        </w:rPr>
      </w:pPr>
      <w:r w:rsidRPr="00D06AD7">
        <w:rPr>
          <w:rFonts w:ascii="Arial Narrow" w:hAnsi="Arial Narrow" w:cs="Arial"/>
          <w:b/>
          <w:bCs/>
          <w:color w:val="000000"/>
          <w:sz w:val="22"/>
          <w:szCs w:val="22"/>
        </w:rPr>
        <w:t>Variación anual de los salarios y contribución por tipo de contratación, según subsector de servicios (enero 2024 / enero 2023)</w:t>
      </w:r>
    </w:p>
    <w:p w14:paraId="0C63D3DF" w14:textId="77777777" w:rsidR="00FB5B31" w:rsidRPr="00D06AD7" w:rsidRDefault="00FB5B31" w:rsidP="00FB5B31">
      <w:pPr>
        <w:jc w:val="both"/>
        <w:rPr>
          <w:rFonts w:ascii="Arial Narrow" w:hAnsi="Arial Narrow" w:cs="Arial"/>
          <w:b/>
          <w:bCs/>
          <w:color w:val="000000"/>
          <w:sz w:val="22"/>
          <w:szCs w:val="22"/>
        </w:rPr>
      </w:pPr>
    </w:p>
    <w:p w14:paraId="6CC3D24C" w14:textId="77777777" w:rsidR="00FB5B31" w:rsidRPr="00D06AD7" w:rsidRDefault="00FB5B31" w:rsidP="00FB5B31">
      <w:pPr>
        <w:jc w:val="both"/>
        <w:rPr>
          <w:rFonts w:ascii="Arial Narrow" w:hAnsi="Arial Narrow" w:cs="Arial"/>
          <w:color w:val="000000"/>
          <w:sz w:val="22"/>
          <w:szCs w:val="22"/>
        </w:rPr>
      </w:pPr>
      <w:r w:rsidRPr="00D06AD7">
        <w:rPr>
          <w:rFonts w:ascii="Arial Narrow" w:hAnsi="Arial Narrow" w:cs="Arial"/>
          <w:color w:val="000000"/>
          <w:sz w:val="22"/>
          <w:szCs w:val="22"/>
        </w:rPr>
        <w:t>En enero de 2024, todos los subsectores de servicios presentaron variación positiva en los salarios, en comparación con enero de 2023.</w:t>
      </w:r>
      <w:r w:rsidRPr="00D06AD7">
        <w:rPr>
          <w:rFonts w:ascii="Arial Narrow" w:hAnsi="Arial Narrow" w:cs="Arial"/>
          <w:color w:val="000000"/>
          <w:sz w:val="22"/>
          <w:szCs w:val="22"/>
        </w:rPr>
        <w:cr/>
      </w:r>
    </w:p>
    <w:p w14:paraId="2F67A7F8" w14:textId="77777777" w:rsidR="00FB5B31" w:rsidRPr="00D06AD7" w:rsidRDefault="00FB5B31" w:rsidP="00FB5B31">
      <w:pPr>
        <w:jc w:val="center"/>
        <w:rPr>
          <w:rFonts w:ascii="Arial Narrow" w:hAnsi="Arial Narrow" w:cs="Arial"/>
          <w:color w:val="000000"/>
          <w:sz w:val="22"/>
          <w:szCs w:val="22"/>
        </w:rPr>
      </w:pPr>
      <w:r w:rsidRPr="00D06AD7">
        <w:rPr>
          <w:rFonts w:ascii="Arial Narrow" w:hAnsi="Arial Narrow"/>
          <w:noProof/>
          <w:sz w:val="22"/>
          <w:szCs w:val="22"/>
        </w:rPr>
        <w:lastRenderedPageBreak/>
        <w:drawing>
          <wp:inline distT="0" distB="0" distL="0" distR="0" wp14:anchorId="0E169B41" wp14:editId="144ECA5B">
            <wp:extent cx="5235575" cy="5838825"/>
            <wp:effectExtent l="0" t="0" r="3175" b="9525"/>
            <wp:docPr id="1006136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36859" name=""/>
                    <pic:cNvPicPr/>
                  </pic:nvPicPr>
                  <pic:blipFill rotWithShape="1">
                    <a:blip r:embed="rId13"/>
                    <a:srcRect l="28269" t="35795" r="29406" b="6512"/>
                    <a:stretch/>
                  </pic:blipFill>
                  <pic:spPr bwMode="auto">
                    <a:xfrm>
                      <a:off x="0" y="0"/>
                      <a:ext cx="5259195" cy="5865167"/>
                    </a:xfrm>
                    <a:prstGeom prst="rect">
                      <a:avLst/>
                    </a:prstGeom>
                    <a:ln>
                      <a:noFill/>
                    </a:ln>
                    <a:extLst>
                      <a:ext uri="{53640926-AAD7-44D8-BBD7-CCE9431645EC}">
                        <a14:shadowObscured xmlns:a14="http://schemas.microsoft.com/office/drawing/2010/main"/>
                      </a:ext>
                    </a:extLst>
                  </pic:spPr>
                </pic:pic>
              </a:graphicData>
            </a:graphic>
          </wp:inline>
        </w:drawing>
      </w:r>
    </w:p>
    <w:p w14:paraId="36A3A066" w14:textId="77777777" w:rsidR="00FB5B31" w:rsidRPr="00D06AD7" w:rsidRDefault="00FB5B31" w:rsidP="00FB5B31">
      <w:pPr>
        <w:jc w:val="both"/>
        <w:rPr>
          <w:rFonts w:ascii="Arial Narrow" w:hAnsi="Arial Narrow" w:cs="Arial"/>
          <w:color w:val="000000"/>
          <w:sz w:val="22"/>
          <w:szCs w:val="22"/>
        </w:rPr>
      </w:pPr>
    </w:p>
    <w:p w14:paraId="3E4D3196" w14:textId="77777777" w:rsidR="00FB5B31" w:rsidRPr="00D06AD7" w:rsidRDefault="00FB5B31" w:rsidP="00FB5B31">
      <w:pPr>
        <w:jc w:val="both"/>
        <w:rPr>
          <w:rFonts w:ascii="Arial Narrow" w:eastAsia="Calibri" w:hAnsi="Arial Narrow" w:cs="Arial"/>
          <w:b/>
          <w:bCs/>
          <w:sz w:val="22"/>
          <w:szCs w:val="22"/>
        </w:rPr>
      </w:pPr>
      <w:r w:rsidRPr="00D06AD7">
        <w:rPr>
          <w:rFonts w:ascii="Arial Narrow" w:eastAsia="Calibri" w:hAnsi="Arial Narrow" w:cs="Arial"/>
          <w:b/>
          <w:bCs/>
          <w:sz w:val="22"/>
          <w:szCs w:val="22"/>
        </w:rPr>
        <w:t>4 Variación doce meses de los ingresos nominales, personal ocupado total y salarios, según subsector de servicios</w:t>
      </w:r>
    </w:p>
    <w:p w14:paraId="32741ABD" w14:textId="77777777" w:rsidR="00FB5B31" w:rsidRPr="00D06AD7" w:rsidRDefault="00FB5B31" w:rsidP="00FB5B31">
      <w:pPr>
        <w:jc w:val="both"/>
        <w:rPr>
          <w:rFonts w:ascii="Arial Narrow" w:eastAsia="Calibri" w:hAnsi="Arial Narrow" w:cs="Arial"/>
          <w:sz w:val="22"/>
          <w:szCs w:val="22"/>
          <w:highlight w:val="yellow"/>
        </w:rPr>
      </w:pPr>
    </w:p>
    <w:p w14:paraId="2B3296EF" w14:textId="77777777" w:rsidR="00FB5B31" w:rsidRPr="00D06AD7" w:rsidRDefault="00FB5B31" w:rsidP="00FB5B31">
      <w:pPr>
        <w:jc w:val="both"/>
        <w:rPr>
          <w:rFonts w:ascii="Arial Narrow" w:eastAsia="Calibri" w:hAnsi="Arial Narrow" w:cs="Arial"/>
          <w:sz w:val="22"/>
          <w:szCs w:val="22"/>
        </w:rPr>
      </w:pPr>
      <w:r w:rsidRPr="00D06AD7">
        <w:rPr>
          <w:rFonts w:ascii="Arial Narrow" w:eastAsia="Calibri" w:hAnsi="Arial Narrow" w:cs="Arial"/>
          <w:sz w:val="22"/>
          <w:szCs w:val="22"/>
        </w:rPr>
        <w:t>En el año móvil hasta enero de 2024, quince de los dieciocho subsectores de servicios presentaron variación positiva en los ingresos, trece presentaron variación positiva en el personal ocupado total y todos los subsectores presentaron variación positiva en los salarios, en comparación con el mismo periodo comprendido hasta enero de 2023.</w:t>
      </w:r>
    </w:p>
    <w:p w14:paraId="4ED5133C" w14:textId="77777777" w:rsidR="00FB5B31" w:rsidRPr="00D06AD7" w:rsidRDefault="00FB5B31" w:rsidP="00FB5B31">
      <w:pPr>
        <w:jc w:val="center"/>
        <w:rPr>
          <w:rFonts w:ascii="Arial Narrow" w:eastAsia="Calibri" w:hAnsi="Arial Narrow" w:cs="Arial"/>
          <w:sz w:val="22"/>
          <w:szCs w:val="22"/>
          <w:highlight w:val="yellow"/>
        </w:rPr>
      </w:pPr>
      <w:r w:rsidRPr="00D06AD7">
        <w:rPr>
          <w:rFonts w:ascii="Arial Narrow" w:hAnsi="Arial Narrow"/>
          <w:noProof/>
          <w:sz w:val="22"/>
          <w:szCs w:val="22"/>
        </w:rPr>
        <w:lastRenderedPageBreak/>
        <w:drawing>
          <wp:inline distT="0" distB="0" distL="0" distR="0" wp14:anchorId="2DB5D250" wp14:editId="335204F4">
            <wp:extent cx="4875530" cy="4629150"/>
            <wp:effectExtent l="0" t="0" r="1270" b="0"/>
            <wp:docPr id="1646411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1141" name=""/>
                    <pic:cNvPicPr/>
                  </pic:nvPicPr>
                  <pic:blipFill rotWithShape="1">
                    <a:blip r:embed="rId14"/>
                    <a:srcRect l="28427" t="17055" r="29407" b="26937"/>
                    <a:stretch/>
                  </pic:blipFill>
                  <pic:spPr bwMode="auto">
                    <a:xfrm>
                      <a:off x="0" y="0"/>
                      <a:ext cx="4891245" cy="4644071"/>
                    </a:xfrm>
                    <a:prstGeom prst="rect">
                      <a:avLst/>
                    </a:prstGeom>
                    <a:ln>
                      <a:noFill/>
                    </a:ln>
                    <a:extLst>
                      <a:ext uri="{53640926-AAD7-44D8-BBD7-CCE9431645EC}">
                        <a14:shadowObscured xmlns:a14="http://schemas.microsoft.com/office/drawing/2010/main"/>
                      </a:ext>
                    </a:extLst>
                  </pic:spPr>
                </pic:pic>
              </a:graphicData>
            </a:graphic>
          </wp:inline>
        </w:drawing>
      </w:r>
    </w:p>
    <w:p w14:paraId="5F4FB86A" w14:textId="77777777" w:rsidR="00FB5B31" w:rsidRPr="00D06AD7" w:rsidRDefault="00FB5B31" w:rsidP="00FB5B31">
      <w:pPr>
        <w:jc w:val="both"/>
        <w:rPr>
          <w:rFonts w:ascii="Arial Narrow" w:eastAsia="Calibri" w:hAnsi="Arial Narrow" w:cs="Arial"/>
          <w:sz w:val="22"/>
          <w:szCs w:val="22"/>
          <w:highlight w:val="yellow"/>
        </w:rPr>
      </w:pPr>
    </w:p>
    <w:p w14:paraId="1062AFA0" w14:textId="77777777" w:rsidR="00FB5B31" w:rsidRPr="00D06AD7" w:rsidRDefault="00FB5B31" w:rsidP="00FB5B31">
      <w:pPr>
        <w:jc w:val="both"/>
        <w:rPr>
          <w:rFonts w:ascii="Arial Narrow" w:hAnsi="Arial Narrow"/>
          <w:b/>
          <w:bCs/>
          <w:sz w:val="22"/>
          <w:szCs w:val="22"/>
        </w:rPr>
      </w:pPr>
      <w:r w:rsidRPr="00D06AD7">
        <w:rPr>
          <w:rFonts w:ascii="Arial Narrow" w:hAnsi="Arial Narrow"/>
          <w:b/>
          <w:bCs/>
          <w:sz w:val="22"/>
          <w:szCs w:val="22"/>
        </w:rPr>
        <w:t>EVOLUCIÓN POR SUBSECTOR DE SERVICIOS</w:t>
      </w:r>
    </w:p>
    <w:p w14:paraId="34F83CEE" w14:textId="77777777" w:rsidR="00FB5B31" w:rsidRPr="00D06AD7" w:rsidRDefault="00FB5B31" w:rsidP="00FB5B31">
      <w:pPr>
        <w:jc w:val="both"/>
        <w:rPr>
          <w:rFonts w:ascii="Arial Narrow" w:hAnsi="Arial Narrow" w:cs="Arial"/>
          <w:color w:val="000000"/>
          <w:sz w:val="22"/>
          <w:szCs w:val="22"/>
        </w:rPr>
      </w:pPr>
    </w:p>
    <w:p w14:paraId="32464BF5" w14:textId="77777777" w:rsidR="00FB5B31" w:rsidRPr="00D06AD7" w:rsidRDefault="00FB5B31" w:rsidP="00FB5B31">
      <w:pPr>
        <w:jc w:val="both"/>
        <w:rPr>
          <w:rFonts w:ascii="Arial Narrow" w:eastAsia="Calibri" w:hAnsi="Arial Narrow" w:cs="Arial"/>
          <w:sz w:val="22"/>
          <w:szCs w:val="22"/>
        </w:rPr>
      </w:pPr>
      <w:r w:rsidRPr="00D06AD7">
        <w:rPr>
          <w:rFonts w:ascii="Arial Narrow" w:eastAsia="Calibri" w:hAnsi="Arial Narrow" w:cs="Arial"/>
          <w:sz w:val="22"/>
          <w:szCs w:val="22"/>
        </w:rPr>
        <w:t>A continuación, se presentan los tres subsectores de servicios con las variaciones de ingresos nominales positivas más altas y los tres con las variaciones negativas más representativas.</w:t>
      </w:r>
    </w:p>
    <w:p w14:paraId="4DDCB325" w14:textId="77777777" w:rsidR="00FB5B31" w:rsidRPr="00D06AD7" w:rsidRDefault="00FB5B31" w:rsidP="00FB5B31">
      <w:pPr>
        <w:jc w:val="both"/>
        <w:rPr>
          <w:rFonts w:ascii="Arial Narrow" w:eastAsia="Calibri" w:hAnsi="Arial Narrow" w:cs="Arial"/>
          <w:sz w:val="22"/>
          <w:szCs w:val="22"/>
          <w:highlight w:val="yellow"/>
        </w:rPr>
      </w:pPr>
    </w:p>
    <w:p w14:paraId="26D174AD" w14:textId="77777777" w:rsidR="00FB5B31" w:rsidRPr="00D06AD7" w:rsidRDefault="00FB5B31" w:rsidP="00FB5B31">
      <w:pPr>
        <w:jc w:val="both"/>
        <w:rPr>
          <w:rFonts w:ascii="Arial Narrow" w:hAnsi="Arial Narrow"/>
          <w:b/>
          <w:bCs/>
          <w:sz w:val="22"/>
          <w:szCs w:val="22"/>
        </w:rPr>
      </w:pPr>
      <w:r w:rsidRPr="00D06AD7">
        <w:rPr>
          <w:rFonts w:ascii="Arial Narrow" w:hAnsi="Arial Narrow"/>
          <w:b/>
          <w:bCs/>
          <w:sz w:val="22"/>
          <w:szCs w:val="22"/>
        </w:rPr>
        <w:t>Subsectores de servicios con las tres variaciones positivas más representativas</w:t>
      </w:r>
    </w:p>
    <w:p w14:paraId="4C75C958" w14:textId="77777777" w:rsidR="00FB5B31" w:rsidRPr="00D06AD7" w:rsidRDefault="00FB5B31" w:rsidP="00FB5B31">
      <w:pPr>
        <w:jc w:val="both"/>
        <w:rPr>
          <w:rFonts w:ascii="Arial Narrow" w:hAnsi="Arial Narrow"/>
          <w:b/>
          <w:bCs/>
          <w:sz w:val="22"/>
          <w:szCs w:val="22"/>
        </w:rPr>
      </w:pPr>
      <w:r w:rsidRPr="00D06AD7">
        <w:rPr>
          <w:rFonts w:ascii="Arial Narrow" w:hAnsi="Arial Narrow"/>
          <w:b/>
          <w:bCs/>
          <w:sz w:val="22"/>
          <w:szCs w:val="22"/>
        </w:rPr>
        <w:t>Publicidad</w:t>
      </w:r>
    </w:p>
    <w:p w14:paraId="5DBA0D28" w14:textId="77777777" w:rsidR="00FB5B31" w:rsidRPr="00D06AD7" w:rsidRDefault="00FB5B31" w:rsidP="00FB5B31">
      <w:pPr>
        <w:jc w:val="both"/>
        <w:rPr>
          <w:rFonts w:ascii="Arial Narrow" w:hAnsi="Arial Narrow"/>
          <w:b/>
          <w:bCs/>
          <w:sz w:val="22"/>
          <w:szCs w:val="22"/>
        </w:rPr>
      </w:pPr>
      <w:r w:rsidRPr="00D06AD7">
        <w:rPr>
          <w:rFonts w:ascii="Arial Narrow" w:hAnsi="Arial Narrow"/>
          <w:b/>
          <w:bCs/>
          <w:sz w:val="22"/>
          <w:szCs w:val="22"/>
        </w:rPr>
        <w:t>Variación anual: enero 2024 / enero 2023</w:t>
      </w:r>
      <w:r w:rsidRPr="00D06AD7">
        <w:rPr>
          <w:rFonts w:ascii="Arial Narrow" w:hAnsi="Arial Narrow"/>
          <w:b/>
          <w:bCs/>
          <w:sz w:val="22"/>
          <w:szCs w:val="22"/>
        </w:rPr>
        <w:cr/>
      </w:r>
    </w:p>
    <w:p w14:paraId="4597AFB7" w14:textId="77777777" w:rsidR="00FB5B31" w:rsidRPr="00D06AD7" w:rsidRDefault="00FB5B31" w:rsidP="00FB5B31">
      <w:pPr>
        <w:jc w:val="both"/>
        <w:rPr>
          <w:rFonts w:ascii="Arial Narrow" w:hAnsi="Arial Narrow"/>
          <w:sz w:val="22"/>
          <w:szCs w:val="22"/>
        </w:rPr>
      </w:pPr>
      <w:r w:rsidRPr="00D06AD7">
        <w:rPr>
          <w:rFonts w:ascii="Arial Narrow" w:hAnsi="Arial Narrow"/>
          <w:sz w:val="22"/>
          <w:szCs w:val="22"/>
        </w:rPr>
        <w:t>En enero de 2024, los servicios de publicidad registraron un crecimiento de 19,7% en los ingresos nominales, el personal ocupado total presentó un aumento de 4,2% y los salarios registraron un crecimiento de 13,0%, en comparación con enero de 2023.</w:t>
      </w:r>
      <w:r w:rsidRPr="00D06AD7">
        <w:rPr>
          <w:rFonts w:ascii="Arial Narrow" w:hAnsi="Arial Narrow"/>
          <w:sz w:val="22"/>
          <w:szCs w:val="22"/>
        </w:rPr>
        <w:cr/>
      </w:r>
    </w:p>
    <w:p w14:paraId="673CE6CE" w14:textId="77777777" w:rsidR="00FB5B31" w:rsidRPr="00D06AD7" w:rsidRDefault="00FB5B31" w:rsidP="00FB5B31">
      <w:pPr>
        <w:jc w:val="both"/>
        <w:rPr>
          <w:rFonts w:ascii="Arial Narrow" w:hAnsi="Arial Narrow"/>
          <w:b/>
          <w:bCs/>
          <w:sz w:val="22"/>
          <w:szCs w:val="22"/>
        </w:rPr>
      </w:pPr>
      <w:r w:rsidRPr="00D06AD7">
        <w:rPr>
          <w:rFonts w:ascii="Arial Narrow" w:hAnsi="Arial Narrow"/>
          <w:noProof/>
          <w:sz w:val="22"/>
          <w:szCs w:val="22"/>
        </w:rPr>
        <w:lastRenderedPageBreak/>
        <w:drawing>
          <wp:inline distT="0" distB="0" distL="0" distR="0" wp14:anchorId="6C94DFD3" wp14:editId="265BA408">
            <wp:extent cx="5875810" cy="3048000"/>
            <wp:effectExtent l="0" t="0" r="0" b="0"/>
            <wp:docPr id="1536614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4153" name=""/>
                    <pic:cNvPicPr/>
                  </pic:nvPicPr>
                  <pic:blipFill rotWithShape="1">
                    <a:blip r:embed="rId15"/>
                    <a:srcRect l="17056" t="25477" r="17878" b="30517"/>
                    <a:stretch/>
                  </pic:blipFill>
                  <pic:spPr bwMode="auto">
                    <a:xfrm>
                      <a:off x="0" y="0"/>
                      <a:ext cx="5892179" cy="3056491"/>
                    </a:xfrm>
                    <a:prstGeom prst="rect">
                      <a:avLst/>
                    </a:prstGeom>
                    <a:ln>
                      <a:noFill/>
                    </a:ln>
                    <a:extLst>
                      <a:ext uri="{53640926-AAD7-44D8-BBD7-CCE9431645EC}">
                        <a14:shadowObscured xmlns:a14="http://schemas.microsoft.com/office/drawing/2010/main"/>
                      </a:ext>
                    </a:extLst>
                  </pic:spPr>
                </pic:pic>
              </a:graphicData>
            </a:graphic>
          </wp:inline>
        </w:drawing>
      </w:r>
    </w:p>
    <w:p w14:paraId="266F592F" w14:textId="77777777" w:rsidR="00FB5B31" w:rsidRPr="00D06AD7" w:rsidRDefault="00FB5B31" w:rsidP="00FB5B31">
      <w:pPr>
        <w:jc w:val="both"/>
        <w:rPr>
          <w:rFonts w:ascii="Arial Narrow" w:hAnsi="Arial Narrow"/>
          <w:b/>
          <w:bCs/>
          <w:sz w:val="22"/>
          <w:szCs w:val="22"/>
        </w:rPr>
      </w:pPr>
      <w:r w:rsidRPr="00D06AD7">
        <w:rPr>
          <w:rFonts w:ascii="Arial Narrow" w:hAnsi="Arial Narrow"/>
          <w:noProof/>
          <w:sz w:val="22"/>
          <w:szCs w:val="22"/>
        </w:rPr>
        <w:drawing>
          <wp:inline distT="0" distB="0" distL="0" distR="0" wp14:anchorId="24B07C7B" wp14:editId="21A44FA8">
            <wp:extent cx="5848350" cy="3219546"/>
            <wp:effectExtent l="0" t="0" r="0" b="0"/>
            <wp:docPr id="1715574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74498" name=""/>
                    <pic:cNvPicPr/>
                  </pic:nvPicPr>
                  <pic:blipFill rotWithShape="1">
                    <a:blip r:embed="rId16"/>
                    <a:srcRect l="16740" t="24635" r="20720" b="29464"/>
                    <a:stretch/>
                  </pic:blipFill>
                  <pic:spPr bwMode="auto">
                    <a:xfrm>
                      <a:off x="0" y="0"/>
                      <a:ext cx="5853878" cy="3222589"/>
                    </a:xfrm>
                    <a:prstGeom prst="rect">
                      <a:avLst/>
                    </a:prstGeom>
                    <a:ln>
                      <a:noFill/>
                    </a:ln>
                    <a:extLst>
                      <a:ext uri="{53640926-AAD7-44D8-BBD7-CCE9431645EC}">
                        <a14:shadowObscured xmlns:a14="http://schemas.microsoft.com/office/drawing/2010/main"/>
                      </a:ext>
                    </a:extLst>
                  </pic:spPr>
                </pic:pic>
              </a:graphicData>
            </a:graphic>
          </wp:inline>
        </w:drawing>
      </w:r>
    </w:p>
    <w:p w14:paraId="18BD2C94" w14:textId="77777777" w:rsidR="00FB5B31" w:rsidRPr="00D06AD7" w:rsidRDefault="00FB5B31" w:rsidP="00FB5B31">
      <w:pPr>
        <w:jc w:val="both"/>
        <w:rPr>
          <w:rFonts w:ascii="Arial Narrow" w:eastAsia="Calibri" w:hAnsi="Arial Narrow" w:cs="Arial"/>
          <w:sz w:val="22"/>
          <w:szCs w:val="22"/>
          <w:highlight w:val="yellow"/>
        </w:rPr>
      </w:pPr>
    </w:p>
    <w:p w14:paraId="2C63EEB4" w14:textId="77777777" w:rsidR="00FB5B31" w:rsidRPr="00D06AD7" w:rsidRDefault="00FB5B31" w:rsidP="00FB5B31">
      <w:pPr>
        <w:jc w:val="both"/>
        <w:rPr>
          <w:rFonts w:ascii="Arial Narrow" w:eastAsia="Calibri" w:hAnsi="Arial Narrow" w:cs="Arial"/>
          <w:sz w:val="22"/>
          <w:szCs w:val="22"/>
          <w:highlight w:val="yellow"/>
        </w:rPr>
      </w:pPr>
    </w:p>
    <w:p w14:paraId="10C92711" w14:textId="77777777" w:rsidR="00FB5B31" w:rsidRPr="00D06AD7" w:rsidRDefault="00FB5B31" w:rsidP="00FB5B31">
      <w:pPr>
        <w:jc w:val="both"/>
        <w:rPr>
          <w:rFonts w:ascii="Arial Narrow" w:eastAsia="Calibri" w:hAnsi="Arial Narrow" w:cs="Arial"/>
          <w:sz w:val="22"/>
          <w:szCs w:val="22"/>
          <w:highlight w:val="yellow"/>
        </w:rPr>
      </w:pPr>
    </w:p>
    <w:p w14:paraId="0FEC6915" w14:textId="77777777" w:rsidR="00FB5B31" w:rsidRPr="00D06AD7" w:rsidRDefault="00FB5B31" w:rsidP="00FB5B31">
      <w:pPr>
        <w:jc w:val="center"/>
        <w:rPr>
          <w:rFonts w:ascii="Arial Narrow" w:eastAsia="Calibri" w:hAnsi="Arial Narrow" w:cs="Arial"/>
          <w:sz w:val="22"/>
          <w:szCs w:val="22"/>
          <w:highlight w:val="yellow"/>
        </w:rPr>
      </w:pPr>
    </w:p>
    <w:p w14:paraId="7B87FD0D" w14:textId="77777777" w:rsidR="00FB5B31" w:rsidRPr="00D06AD7" w:rsidRDefault="00FB5B31" w:rsidP="00FB5B31">
      <w:pPr>
        <w:jc w:val="both"/>
        <w:rPr>
          <w:rFonts w:ascii="Arial Narrow" w:eastAsia="Calibri" w:hAnsi="Arial Narrow" w:cs="Arial"/>
          <w:sz w:val="22"/>
          <w:szCs w:val="22"/>
        </w:rPr>
      </w:pPr>
      <w:r w:rsidRPr="00D06AD7">
        <w:rPr>
          <w:rFonts w:ascii="Arial Narrow" w:eastAsia="Calibri" w:hAnsi="Arial Narrow" w:cs="Arial"/>
          <w:sz w:val="22"/>
          <w:szCs w:val="22"/>
        </w:rPr>
        <w:lastRenderedPageBreak/>
        <w:t>En comparación con el mismo mes de 2023, en enero de 2024 los ingresos totales presentaron un aumento de 19,7%, que se explica por el incremento de 19,7% en los ingresos por servicios y de 43,8% en otros ingresos operacionales. Por su parte, la venta de mercancías registró una disminución de 4,4%.</w:t>
      </w:r>
    </w:p>
    <w:p w14:paraId="2B03E54B" w14:textId="77777777" w:rsidR="00FB5B31" w:rsidRPr="00D06AD7" w:rsidRDefault="00FB5B31" w:rsidP="00FB5B31">
      <w:pPr>
        <w:jc w:val="both"/>
        <w:rPr>
          <w:rFonts w:ascii="Arial Narrow" w:eastAsia="Calibri" w:hAnsi="Arial Narrow" w:cs="Arial"/>
          <w:sz w:val="22"/>
          <w:szCs w:val="22"/>
        </w:rPr>
      </w:pPr>
    </w:p>
    <w:p w14:paraId="4F80349A" w14:textId="77777777" w:rsidR="00FB5B31" w:rsidRPr="00D06AD7" w:rsidRDefault="00FB5B31" w:rsidP="00FB5B31">
      <w:pPr>
        <w:jc w:val="both"/>
        <w:rPr>
          <w:rFonts w:ascii="Arial Narrow" w:eastAsia="Calibri" w:hAnsi="Arial Narrow" w:cs="Arial"/>
          <w:sz w:val="22"/>
          <w:szCs w:val="22"/>
        </w:rPr>
      </w:pPr>
      <w:r w:rsidRPr="00D06AD7">
        <w:rPr>
          <w:rFonts w:ascii="Arial Narrow" w:eastAsia="Calibri" w:hAnsi="Arial Narrow" w:cs="Arial"/>
          <w:sz w:val="22"/>
          <w:szCs w:val="22"/>
        </w:rPr>
        <w:t>En enero de 2024 el personal ocupado total presentó una variación positiva de 4,2%, en comparación con enero de 2023, que se explica por el incremento de 9,9% en el personal permanente y de 2,7% en el personal temporal directo. Por su parte, el personal contratado a través de agencias presentó una disminución de 26,1%.</w:t>
      </w:r>
    </w:p>
    <w:p w14:paraId="046EE74B" w14:textId="77777777" w:rsidR="00FB5B31" w:rsidRPr="00D06AD7" w:rsidRDefault="00FB5B31" w:rsidP="00FB5B31">
      <w:pPr>
        <w:jc w:val="both"/>
        <w:rPr>
          <w:rFonts w:ascii="Arial Narrow" w:eastAsia="Calibri" w:hAnsi="Arial Narrow" w:cs="Arial"/>
          <w:sz w:val="22"/>
          <w:szCs w:val="22"/>
        </w:rPr>
      </w:pPr>
    </w:p>
    <w:p w14:paraId="2DABD894" w14:textId="77777777" w:rsidR="00FB5B31" w:rsidRPr="00D06AD7" w:rsidRDefault="00FB5B31" w:rsidP="00FB5B31">
      <w:pPr>
        <w:jc w:val="both"/>
        <w:rPr>
          <w:rFonts w:ascii="Arial Narrow" w:eastAsia="Calibri" w:hAnsi="Arial Narrow" w:cs="Arial"/>
          <w:sz w:val="22"/>
          <w:szCs w:val="22"/>
        </w:rPr>
      </w:pPr>
      <w:r w:rsidRPr="00D06AD7">
        <w:rPr>
          <w:rFonts w:ascii="Arial Narrow" w:eastAsia="Calibri" w:hAnsi="Arial Narrow" w:cs="Arial"/>
          <w:sz w:val="22"/>
          <w:szCs w:val="22"/>
        </w:rPr>
        <w:t>Mientras que los salarios en enero de 2024 presentaron un aumento de 13,0%, en comparación con enero de 2023, que se explica por el incremento de 9,3% en los salarios del personal permanente y de 14,0% en los salarios del personal temporal directo.</w:t>
      </w:r>
      <w:r w:rsidRPr="00D06AD7">
        <w:rPr>
          <w:rFonts w:ascii="Arial Narrow" w:eastAsia="Calibri" w:hAnsi="Arial Narrow" w:cs="Arial"/>
          <w:sz w:val="22"/>
          <w:szCs w:val="22"/>
        </w:rPr>
        <w:cr/>
      </w:r>
      <w:bookmarkEnd w:id="2"/>
    </w:p>
    <w:p w14:paraId="34A05F50" w14:textId="77777777" w:rsidR="00FB5B31" w:rsidRPr="00D06AD7" w:rsidRDefault="00FB5B31" w:rsidP="00FB5B31">
      <w:pPr>
        <w:jc w:val="both"/>
        <w:rPr>
          <w:rFonts w:ascii="Arial Narrow" w:hAnsi="Arial Narrow" w:cs="Arial"/>
          <w:b/>
          <w:color w:val="000000"/>
          <w:sz w:val="22"/>
          <w:szCs w:val="22"/>
        </w:rPr>
      </w:pPr>
      <w:r w:rsidRPr="00D06AD7">
        <w:rPr>
          <w:rFonts w:ascii="Arial Narrow" w:hAnsi="Arial Narrow" w:cs="Arial"/>
          <w:b/>
          <w:color w:val="000000"/>
          <w:sz w:val="22"/>
          <w:szCs w:val="22"/>
        </w:rPr>
        <w:t xml:space="preserve">3.1.1.5 Perspectivas de crecimiento </w:t>
      </w:r>
    </w:p>
    <w:p w14:paraId="077546B9" w14:textId="77777777" w:rsidR="00FB5B31" w:rsidRPr="00D06AD7" w:rsidRDefault="00FB5B31" w:rsidP="00FB5B31">
      <w:pPr>
        <w:autoSpaceDE w:val="0"/>
        <w:autoSpaceDN w:val="0"/>
        <w:adjustRightInd w:val="0"/>
        <w:jc w:val="both"/>
        <w:rPr>
          <w:rFonts w:ascii="Arial Narrow" w:hAnsi="Arial Narrow" w:cs="Arial"/>
          <w:color w:val="000000"/>
          <w:sz w:val="22"/>
          <w:szCs w:val="22"/>
        </w:rPr>
      </w:pPr>
    </w:p>
    <w:p w14:paraId="3926E5B3"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La Andi presentó un balance del escenario macroeconómico y expuso las acciones a tener en cuenta para trazar una ruta hacia la reactivación.</w:t>
      </w:r>
    </w:p>
    <w:p w14:paraId="2446CA3D"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AC94134"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De acuerdo con el reporte, entre los desafíos económicos que enfrenta el país se incluyen: la desaceleración de la economía, la contracción que registró la industria y el comercio, la caída en la inversión, la inflación y los impactos de la reforma tributaria. </w:t>
      </w:r>
    </w:p>
    <w:p w14:paraId="25D746D4"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EC4EBD0"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En materia de crecimiento económico, el gremio señala que el ritmo lento que presenta la actividad económica se puso de manifiesto con el decrecimiento observado en el tercer trimestre del año, periodo en el que el PIB entró en terreno negativo al registrar una variación anual de -0,3 %. </w:t>
      </w:r>
    </w:p>
    <w:p w14:paraId="73975843"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1021EA0B"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Por el lado de la inversión, el informe menciona que la contracción en este indicador se explica, entre motivos, por "la baja dinámica de la economía, el ambiente de incertidumbre, la inseguridad jurídica, la incertidumbre alrededor de la política pública, las múltiples reformas que se están discutiendo en el Congreso y los problemas de inseguridad que afectan a la sociedad en general y ya empiezan a afectar la actividad empresarial". </w:t>
      </w:r>
    </w:p>
    <w:p w14:paraId="001C6A76"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5D2CE8C3"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La agremiación también hizo énfasis el bajo desempeño que han registrado algunas actividades como la industria, el comercio y el sector constructor. En el caso particular de la industria manufacturera, el sector ha acumulado diez meses de baja producción y un rezago en las ventas. </w:t>
      </w:r>
    </w:p>
    <w:p w14:paraId="1EEA6E04"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228B43E8"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En lo referente a la inflación, la Andi señala que, si bien este indicador en los últimos meses ha mantenido una tendencia a la baja que lo llevó a retornar a un dígito (9,28 % al cierre de diciembre del 2023), el ritmo de desaceleración en comparación con países similares ha sido más lento. </w:t>
      </w:r>
    </w:p>
    <w:p w14:paraId="53B8D473"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74BB3051"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Con respecto a las tasas de interés, luego de que el Banco de la República bajara sus tipos del 13,25 % al 13 % actual, el gremio espera que se continúen con los recortes en 2024.</w:t>
      </w:r>
    </w:p>
    <w:p w14:paraId="4C398CE2"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56DEA4E0"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El Dane reportó este martes 9 de enero de 2024 que la inflación en Colombia regresó a un dígito después de casi año y medio, en gran medida como resultado de la caída en los precios de los alimentos y pese a que los combustibles siguen presionando.</w:t>
      </w:r>
    </w:p>
    <w:p w14:paraId="3667F8FF"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DC81D63"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lastRenderedPageBreak/>
        <w:t>Según los reportes de la autoridad estadística del país, el Índice de Precios al Consumidor quedó en el 9,28 % en su variación anual para diciembre, lo cual se traduce en una contracción de 3,84 puntos porcentuales respecto al mismo mes del 2022, cuando había quedado en 13,12 %.</w:t>
      </w:r>
    </w:p>
    <w:p w14:paraId="111C3523"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022F2ED9"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Andrea Ramírez Pisco, directora técnica de la Dirección de Metodología y Producción Estadística del Dane, resaltó que los resultados quedaron por debajo de las estimaciones de algunos centros de análisis y proyecciones e, incluso, del mismo Gobierno.</w:t>
      </w:r>
    </w:p>
    <w:p w14:paraId="6724F7F9"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1049EDB2"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w:t>
      </w:r>
      <w:r w:rsidRPr="00D06AD7">
        <w:rPr>
          <w:rFonts w:ascii="Arial Narrow" w:eastAsia="Calibri" w:hAnsi="Arial Narrow" w:cs="Arial"/>
          <w:i/>
          <w:iCs/>
          <w:sz w:val="22"/>
          <w:szCs w:val="22"/>
          <w:lang w:eastAsia="en-US"/>
        </w:rPr>
        <w:t>Los expertos tenían una expectativa que iba entre un mínimo del 0,35 % y un máximo del 0,91 % (variación mensual), mientras que el rango de variación anual apuntaba a un piso de 9,15 % y a un máximo de 9,80 %”,</w:t>
      </w:r>
      <w:r w:rsidRPr="00D06AD7">
        <w:rPr>
          <w:rFonts w:ascii="Arial Narrow" w:eastAsia="Calibri" w:hAnsi="Arial Narrow" w:cs="Arial"/>
          <w:sz w:val="22"/>
          <w:szCs w:val="22"/>
          <w:lang w:eastAsia="en-US"/>
        </w:rPr>
        <w:t xml:space="preserve"> dijo Ramírez.</w:t>
      </w:r>
    </w:p>
    <w:p w14:paraId="7F306ECC"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00177D9A"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Nuevamente las mayores presiones al costo de vida en Colombia corrieron por cuenta de divisiones como Alojamiento, agua, electricidad y gas; Transporte, Restaurantes y hoteles, y Alimentos y bebidas no alcohólicas; que contribuyeron con 2,84; 1,96; 1,38; y 0,99 puntos porcentuales, respectivamente.</w:t>
      </w:r>
    </w:p>
    <w:p w14:paraId="203A293B"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724C7D52" w14:textId="77777777" w:rsidR="00FB5B31" w:rsidRPr="00D06AD7" w:rsidRDefault="00186E08" w:rsidP="00FB5B31">
      <w:pPr>
        <w:jc w:val="both"/>
        <w:textAlignment w:val="baseline"/>
        <w:rPr>
          <w:rFonts w:ascii="Arial Narrow" w:eastAsia="Calibri" w:hAnsi="Arial Narrow" w:cs="Arial"/>
          <w:sz w:val="22"/>
          <w:szCs w:val="22"/>
          <w:lang w:eastAsia="en-US"/>
        </w:rPr>
      </w:pPr>
      <w:hyperlink r:id="rId17" w:history="1">
        <w:r w:rsidR="00FB5B31" w:rsidRPr="00D06AD7">
          <w:rPr>
            <w:rStyle w:val="Hipervnculo"/>
            <w:rFonts w:ascii="Arial Narrow" w:eastAsia="Calibri" w:hAnsi="Arial Narrow" w:cs="Arial"/>
            <w:sz w:val="22"/>
            <w:szCs w:val="22"/>
            <w:lang w:eastAsia="en-US"/>
          </w:rPr>
          <w:t>https://www.portafolio.co/economia/crecimiento/andi-balance-de-la-economia-colombiana-en-2023-y-perspectivas-para-2024</w:t>
        </w:r>
      </w:hyperlink>
      <w:r w:rsidR="00FB5B31" w:rsidRPr="00D06AD7">
        <w:rPr>
          <w:rFonts w:ascii="Arial Narrow" w:eastAsia="Calibri" w:hAnsi="Arial Narrow" w:cs="Arial"/>
          <w:sz w:val="22"/>
          <w:szCs w:val="22"/>
          <w:lang w:eastAsia="en-US"/>
        </w:rPr>
        <w:t>: actualización martes 16 de enero de 2024</w:t>
      </w:r>
    </w:p>
    <w:p w14:paraId="7B70A5CD"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2B95A2C8"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Fedesarrollo prevé un crecimiento real de 1,8% y una inflación de 6% para este año, La entidad prevé un crecimiento real del Producto Interno Bruto, PIB, de 1,8%; así como el crecimiento del déficit en balanza comercial hasta 2,7% del PIB e inflación de 6,0%.</w:t>
      </w:r>
    </w:p>
    <w:p w14:paraId="2692AF7F"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646350A2" w14:textId="77777777" w:rsidR="00FB5B31" w:rsidRPr="00D06AD7" w:rsidRDefault="00FB5B31" w:rsidP="00FB5B31">
      <w:pPr>
        <w:pStyle w:val="NormalWeb"/>
        <w:shd w:val="clear" w:color="auto" w:fill="FFFFFF"/>
        <w:spacing w:before="0" w:beforeAutospacing="0"/>
        <w:jc w:val="both"/>
        <w:rPr>
          <w:rFonts w:ascii="Arial Narrow" w:eastAsia="Calibri" w:hAnsi="Arial Narrow" w:cs="Arial"/>
          <w:sz w:val="22"/>
          <w:szCs w:val="22"/>
          <w:lang w:val="es-CO" w:eastAsia="en-US"/>
        </w:rPr>
      </w:pPr>
      <w:r w:rsidRPr="00D06AD7">
        <w:rPr>
          <w:rFonts w:ascii="Arial Narrow" w:eastAsia="Calibri" w:hAnsi="Arial Narrow" w:cs="Arial"/>
          <w:sz w:val="22"/>
          <w:szCs w:val="22"/>
          <w:lang w:val="es-CO" w:eastAsia="en-US"/>
        </w:rPr>
        <w:t>En su más reciente actualización del documento Prospectiva Económica, este centro de estudios </w:t>
      </w:r>
      <w:r w:rsidRPr="00D06AD7">
        <w:rPr>
          <w:rFonts w:ascii="Arial Narrow" w:eastAsia="Calibri" w:hAnsi="Arial Narrow" w:cs="Arial"/>
          <w:b/>
          <w:bCs/>
          <w:sz w:val="22"/>
          <w:szCs w:val="22"/>
          <w:lang w:val="es-CO" w:eastAsia="en-US"/>
        </w:rPr>
        <w:t>prevé un crecimiento real del Producto Interno Bruto, PIB, de 1,8%; así como el crecimiento del déficit en balanza comercial hasta 2,7% del PIB e inflación de 6,0%,</w:t>
      </w:r>
      <w:r w:rsidRPr="00D06AD7">
        <w:rPr>
          <w:rFonts w:ascii="Arial Narrow" w:eastAsia="Calibri" w:hAnsi="Arial Narrow" w:cs="Arial"/>
          <w:sz w:val="22"/>
          <w:szCs w:val="22"/>
          <w:lang w:val="es-CO" w:eastAsia="en-US"/>
        </w:rPr>
        <w:t> tras un año que calificó de retador en su análisis.</w:t>
      </w:r>
    </w:p>
    <w:p w14:paraId="51194B37" w14:textId="77777777" w:rsidR="00FB5B31" w:rsidRPr="00D06AD7" w:rsidRDefault="00FB5B31" w:rsidP="00FB5B31">
      <w:pPr>
        <w:pStyle w:val="NormalWeb"/>
        <w:shd w:val="clear" w:color="auto" w:fill="FFFFFF"/>
        <w:spacing w:before="0" w:beforeAutospacing="0"/>
        <w:jc w:val="both"/>
        <w:rPr>
          <w:rFonts w:ascii="Arial Narrow" w:eastAsia="Calibri" w:hAnsi="Arial Narrow" w:cs="Arial"/>
          <w:b/>
          <w:bCs/>
          <w:sz w:val="22"/>
          <w:szCs w:val="22"/>
          <w:lang w:val="es-CO" w:eastAsia="en-US"/>
        </w:rPr>
      </w:pPr>
      <w:r w:rsidRPr="00D06AD7">
        <w:rPr>
          <w:rFonts w:ascii="Arial Narrow" w:eastAsia="Calibri" w:hAnsi="Arial Narrow" w:cs="Arial"/>
          <w:sz w:val="22"/>
          <w:szCs w:val="22"/>
          <w:lang w:val="es-CO" w:eastAsia="en-US"/>
        </w:rPr>
        <w:t>La entidad consideró el contexto de desaceleración económica actual al estimar el crecimiento real del PIB para este año que comienza. Fedesarrollo confirmó que el actual proceso de ajuste económico se encuentra en línea con sus previsiones de crecimiento de 1,0% para 2023. </w:t>
      </w:r>
      <w:r w:rsidRPr="00D06AD7">
        <w:rPr>
          <w:rFonts w:ascii="Arial Narrow" w:eastAsia="Calibri" w:hAnsi="Arial Narrow" w:cs="Arial"/>
          <w:b/>
          <w:bCs/>
          <w:sz w:val="22"/>
          <w:szCs w:val="22"/>
          <w:lang w:val="es-CO" w:eastAsia="en-US"/>
        </w:rPr>
        <w:t>“Para el año 2024, pronosticamos un crecimiento económico de 1,8%. Es crucial enfocarse en una agenda de desarrollo económico que priorice la inversión, especialmente en infraestructura,</w:t>
      </w:r>
      <w:r w:rsidRPr="00D06AD7">
        <w:rPr>
          <w:rFonts w:ascii="Arial Narrow" w:eastAsia="Calibri" w:hAnsi="Arial Narrow" w:cs="Arial"/>
          <w:sz w:val="22"/>
          <w:szCs w:val="22"/>
          <w:lang w:val="es-CO" w:eastAsia="en-US"/>
        </w:rPr>
        <w:t> con el objetivo de mejorar la competitividad, impulsar la actividad productiva y promover el bienestar social, especialmente en un contexto de desaceleración económica. </w:t>
      </w:r>
      <w:r w:rsidRPr="00D06AD7">
        <w:rPr>
          <w:rFonts w:ascii="Arial Narrow" w:eastAsia="Calibri" w:hAnsi="Arial Narrow" w:cs="Arial"/>
          <w:b/>
          <w:bCs/>
          <w:sz w:val="22"/>
          <w:szCs w:val="22"/>
          <w:lang w:val="es-CO" w:eastAsia="en-US"/>
        </w:rPr>
        <w:t>A mediano plazo, nuestras proyecciones indican un crecimiento sostenible de 3,1%”, planteó.</w:t>
      </w:r>
    </w:p>
    <w:p w14:paraId="52675A31" w14:textId="77777777" w:rsidR="00FB5B31" w:rsidRPr="00D06AD7" w:rsidRDefault="00FB5B31" w:rsidP="00FB5B31">
      <w:pPr>
        <w:pStyle w:val="NormalWeb"/>
        <w:shd w:val="clear" w:color="auto" w:fill="FFFFFF"/>
        <w:spacing w:before="0" w:beforeAutospacing="0"/>
        <w:jc w:val="center"/>
        <w:rPr>
          <w:rFonts w:ascii="Arial Narrow" w:eastAsia="Calibri" w:hAnsi="Arial Narrow" w:cs="Arial"/>
          <w:sz w:val="22"/>
          <w:szCs w:val="22"/>
          <w:lang w:val="es-CO" w:eastAsia="en-US"/>
        </w:rPr>
      </w:pPr>
    </w:p>
    <w:p w14:paraId="61FBE224" w14:textId="77777777" w:rsidR="00FB5B31" w:rsidRPr="00D06AD7" w:rsidRDefault="00FB5B31" w:rsidP="00FB5B31">
      <w:pPr>
        <w:pStyle w:val="NormalWeb"/>
        <w:shd w:val="clear" w:color="auto" w:fill="FFFFFF"/>
        <w:spacing w:before="0" w:beforeAutospacing="0"/>
        <w:jc w:val="center"/>
        <w:rPr>
          <w:rFonts w:ascii="Arial Narrow" w:eastAsia="Calibri" w:hAnsi="Arial Narrow" w:cs="Arial"/>
          <w:sz w:val="22"/>
          <w:szCs w:val="22"/>
          <w:lang w:val="es-CO" w:eastAsia="en-US"/>
        </w:rPr>
      </w:pPr>
    </w:p>
    <w:p w14:paraId="171F5ED7" w14:textId="77777777" w:rsidR="00FB5B31" w:rsidRPr="00D06AD7" w:rsidRDefault="00FB5B31" w:rsidP="00FB5B31">
      <w:pPr>
        <w:pStyle w:val="NormalWeb"/>
        <w:shd w:val="clear" w:color="auto" w:fill="FFFFFF"/>
        <w:spacing w:before="0" w:beforeAutospacing="0"/>
        <w:jc w:val="center"/>
        <w:rPr>
          <w:rFonts w:ascii="Arial Narrow" w:eastAsia="Calibri" w:hAnsi="Arial Narrow" w:cs="Arial"/>
          <w:sz w:val="22"/>
          <w:szCs w:val="22"/>
          <w:lang w:eastAsia="en-US"/>
        </w:rPr>
      </w:pPr>
      <w:r w:rsidRPr="00D06AD7">
        <w:rPr>
          <w:rFonts w:ascii="Arial Narrow" w:hAnsi="Arial Narrow"/>
          <w:noProof/>
          <w:sz w:val="22"/>
          <w:szCs w:val="22"/>
        </w:rPr>
        <w:lastRenderedPageBreak/>
        <w:drawing>
          <wp:anchor distT="0" distB="0" distL="114300" distR="114300" simplePos="0" relativeHeight="251659264" behindDoc="0" locked="0" layoutInCell="1" allowOverlap="1" wp14:anchorId="379092C2" wp14:editId="769F77F4">
            <wp:simplePos x="0" y="0"/>
            <wp:positionH relativeFrom="column">
              <wp:posOffset>653415</wp:posOffset>
            </wp:positionH>
            <wp:positionV relativeFrom="paragraph">
              <wp:posOffset>1905</wp:posOffset>
            </wp:positionV>
            <wp:extent cx="3970655" cy="2286000"/>
            <wp:effectExtent l="0" t="0" r="0" b="0"/>
            <wp:wrapSquare wrapText="bothSides"/>
            <wp:docPr id="164139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98868" name=""/>
                    <pic:cNvPicPr/>
                  </pic:nvPicPr>
                  <pic:blipFill rotWithShape="1">
                    <a:blip r:embed="rId18">
                      <a:extLst>
                        <a:ext uri="{28A0092B-C50C-407E-A947-70E740481C1C}">
                          <a14:useLocalDpi xmlns:a14="http://schemas.microsoft.com/office/drawing/2010/main" val="0"/>
                        </a:ext>
                      </a:extLst>
                    </a:blip>
                    <a:srcRect l="25655" t="22365" r="18266" b="12513"/>
                    <a:stretch/>
                  </pic:blipFill>
                  <pic:spPr bwMode="auto">
                    <a:xfrm>
                      <a:off x="0" y="0"/>
                      <a:ext cx="3970655" cy="22860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06AD7">
        <w:rPr>
          <w:rFonts w:ascii="Arial Narrow" w:eastAsia="Calibri" w:hAnsi="Arial Narrow" w:cs="Arial"/>
          <w:sz w:val="22"/>
          <w:szCs w:val="22"/>
          <w:lang w:val="es-CO" w:eastAsia="en-US"/>
        </w:rPr>
        <w:br w:type="textWrapping" w:clear="all"/>
      </w:r>
    </w:p>
    <w:p w14:paraId="298616D4" w14:textId="77777777" w:rsidR="00FB5B31" w:rsidRPr="00D06AD7" w:rsidRDefault="00FB5B31" w:rsidP="00FB5B31">
      <w:pPr>
        <w:pStyle w:val="NormalWeb"/>
        <w:shd w:val="clear" w:color="auto" w:fill="FFFFFF"/>
        <w:spacing w:before="0" w:beforeAutospacing="0"/>
        <w:jc w:val="both"/>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El centro de estudios prevé que durante 2024 se incremente el déficit en la balanza comercial. “Para 2024, esperamos que el déficit tenga un incremento de 0,3 puntos porcentuales, ubicándose en 2,7% del PIB, impulsado principalmente por la paulatina normalización de la inversión nacional, lo que incrementaría las importaciones de insumos de producción”, advirtió.</w:t>
      </w:r>
    </w:p>
    <w:p w14:paraId="182689C0"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Fedesarrollo sostuvo además que este año deberá darse un ajuste del gasto para cumplir con la regla fiscal. “Desde Fedesarrollo proyectamos un déficit fiscal de 4,6% del PIB en 2024. Sin embargo, nuestras estimaciones están condicionadas a que el Gobierno realice un ajuste en el gasto por $22,6 billones, necesario dada la programación de un muy elevado gasto público y la incertidumbre en torno a su financiamiento por la inclusión de ingresos que no solo son inciertos, sino que también son de naturaleza no estructural”.</w:t>
      </w:r>
    </w:p>
    <w:p w14:paraId="197F5036"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434E9B4"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Acorde con la tendencia de decrecimiento en la inflación del país, que ubicó este indicador en 9,28% al cierre de 2023, el análisis de Fedesarrollo apunta a una disminución de la tasa de intervención del Banco de la República hasta 7,75% para diciembre de 2024.</w:t>
      </w:r>
    </w:p>
    <w:p w14:paraId="3CF6802C"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579FF365" w14:textId="77777777" w:rsidR="00FB5B31" w:rsidRPr="00D06AD7" w:rsidRDefault="00186E08" w:rsidP="00FB5B31">
      <w:pPr>
        <w:jc w:val="both"/>
        <w:textAlignment w:val="baseline"/>
        <w:rPr>
          <w:rFonts w:ascii="Arial Narrow" w:eastAsia="Calibri" w:hAnsi="Arial Narrow" w:cs="Arial"/>
          <w:sz w:val="22"/>
          <w:szCs w:val="22"/>
          <w:lang w:eastAsia="en-US"/>
        </w:rPr>
      </w:pPr>
      <w:hyperlink r:id="rId19" w:history="1">
        <w:r w:rsidR="00FB5B31" w:rsidRPr="00D06AD7">
          <w:rPr>
            <w:rStyle w:val="Hipervnculo"/>
            <w:rFonts w:ascii="Arial Narrow" w:eastAsia="Calibri" w:hAnsi="Arial Narrow" w:cs="Arial"/>
            <w:sz w:val="22"/>
            <w:szCs w:val="22"/>
            <w:lang w:eastAsia="en-US"/>
          </w:rPr>
          <w:t>https://www.larepublica.co/economia/estas-son-las-proyecciones-de-fedesarrollo-para-la-economia-colombiana-en-2024</w:t>
        </w:r>
      </w:hyperlink>
      <w:r w:rsidR="00FB5B31" w:rsidRPr="00D06AD7">
        <w:rPr>
          <w:rFonts w:ascii="Arial Narrow" w:eastAsia="Calibri" w:hAnsi="Arial Narrow" w:cs="Arial"/>
          <w:sz w:val="22"/>
          <w:szCs w:val="22"/>
          <w:lang w:eastAsia="en-US"/>
        </w:rPr>
        <w:t>: actualización 10 enero de 2024</w:t>
      </w:r>
    </w:p>
    <w:p w14:paraId="2E495A9C"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F25E23F" w14:textId="77777777" w:rsidR="00FB5B31" w:rsidRPr="00D06AD7" w:rsidRDefault="00FB5B31" w:rsidP="00FB5B31">
      <w:pPr>
        <w:pStyle w:val="Ttulo1"/>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Dólar en Colombia: así le fue en 2023 y estas son las proyecciones para 2024</w:t>
      </w:r>
    </w:p>
    <w:p w14:paraId="7B6560FA" w14:textId="77777777" w:rsidR="00FB5B31" w:rsidRPr="00D06AD7" w:rsidRDefault="00FB5B31" w:rsidP="00FB5B31">
      <w:pPr>
        <w:rPr>
          <w:rFonts w:ascii="Arial Narrow" w:hAnsi="Arial Narrow"/>
          <w:sz w:val="22"/>
          <w:szCs w:val="22"/>
          <w:lang w:eastAsia="en-US"/>
        </w:rPr>
      </w:pPr>
    </w:p>
    <w:p w14:paraId="7B464BB5" w14:textId="77777777" w:rsidR="00FB5B31" w:rsidRPr="00D06AD7" w:rsidRDefault="00FB5B31" w:rsidP="00FB5B31">
      <w:pPr>
        <w:jc w:val="both"/>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Le contamos qué dicen los analistas sobre el futuro de la tasa de cambio y los factores que podrían afectar el comportamiento de la moneda.</w:t>
      </w:r>
    </w:p>
    <w:p w14:paraId="52D34661" w14:textId="77777777" w:rsidR="00FB5B31" w:rsidRPr="00D06AD7" w:rsidRDefault="00FB5B31" w:rsidP="00FB5B31">
      <w:pPr>
        <w:jc w:val="both"/>
        <w:rPr>
          <w:rFonts w:ascii="Arial Narrow" w:eastAsia="Calibri" w:hAnsi="Arial Narrow" w:cs="Arial"/>
          <w:sz w:val="22"/>
          <w:szCs w:val="22"/>
          <w:lang w:eastAsia="en-US"/>
        </w:rPr>
      </w:pPr>
    </w:p>
    <w:p w14:paraId="0E3FD92C" w14:textId="77777777" w:rsidR="00FB5B31" w:rsidRPr="00D06AD7" w:rsidRDefault="00FB5B31" w:rsidP="00FB5B31">
      <w:pPr>
        <w:jc w:val="both"/>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Al 2023 le queda una semana. Como explica ANIF, la tasa de cambio sigue siendo una de las variables de mayor protagonismo para la macroeconomía, teniendo en cuenta sus efectos en el bolsillo de los colombianos, en las industrias, en la inversión y en las decisiones del Gobierno y del Banco de la República.</w:t>
      </w:r>
    </w:p>
    <w:p w14:paraId="427B2FF8" w14:textId="77777777" w:rsidR="00FB5B31" w:rsidRPr="00D06AD7" w:rsidRDefault="00FB5B31" w:rsidP="00FB5B31">
      <w:pPr>
        <w:jc w:val="both"/>
        <w:rPr>
          <w:rFonts w:ascii="Arial Narrow" w:eastAsia="Calibri" w:hAnsi="Arial Narrow" w:cs="Arial"/>
          <w:sz w:val="22"/>
          <w:szCs w:val="22"/>
          <w:lang w:eastAsia="en-US"/>
        </w:rPr>
      </w:pPr>
    </w:p>
    <w:p w14:paraId="0AEC25C6" w14:textId="77777777" w:rsidR="00FB5B31" w:rsidRPr="00D06AD7" w:rsidRDefault="00FB5B31" w:rsidP="00FB5B31">
      <w:pPr>
        <w:jc w:val="both"/>
        <w:rPr>
          <w:rFonts w:ascii="Arial Narrow" w:eastAsia="Calibri" w:hAnsi="Arial Narrow" w:cs="Arial"/>
          <w:sz w:val="22"/>
          <w:szCs w:val="22"/>
          <w:lang w:eastAsia="en-US"/>
        </w:rPr>
      </w:pPr>
      <w:r w:rsidRPr="00D06AD7">
        <w:rPr>
          <w:rFonts w:ascii="Arial Narrow" w:eastAsia="Calibri" w:hAnsi="Arial Narrow" w:cs="Arial"/>
          <w:sz w:val="22"/>
          <w:szCs w:val="22"/>
          <w:lang w:eastAsia="en-US"/>
        </w:rPr>
        <w:lastRenderedPageBreak/>
        <w:t>Este año, explica Adrián Garlati, director de la carrera de Economía de la Javeriana, el comportamiento de la tasa de cambio estuvo marcado por factores externos, como las guerras y su efecto en el precio del petróleo, y en menor medida por situaciones internas, entre las que se incluyen las reformas del gobierno del presidente Gustavo Petro.</w:t>
      </w:r>
    </w:p>
    <w:p w14:paraId="2071C6E4" w14:textId="77777777" w:rsidR="00FB5B31" w:rsidRPr="00D06AD7" w:rsidRDefault="00FB5B31" w:rsidP="00FB5B31">
      <w:pPr>
        <w:jc w:val="both"/>
        <w:rPr>
          <w:rFonts w:ascii="Arial Narrow" w:eastAsia="Calibri" w:hAnsi="Arial Narrow" w:cs="Arial"/>
          <w:sz w:val="22"/>
          <w:szCs w:val="22"/>
          <w:lang w:eastAsia="en-US"/>
        </w:rPr>
      </w:pPr>
    </w:p>
    <w:p w14:paraId="47E7E7E1" w14:textId="77777777" w:rsidR="00FB5B31" w:rsidRPr="00D06AD7" w:rsidRDefault="00FB5B31" w:rsidP="00FB5B31">
      <w:pPr>
        <w:jc w:val="both"/>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En el siguiente gráfico puede ver cómo se ha comportado la TRM entre enero y diciembre de 2023.</w:t>
      </w:r>
    </w:p>
    <w:p w14:paraId="26B76E6B" w14:textId="77777777" w:rsidR="00FB5B31" w:rsidRPr="00D06AD7" w:rsidRDefault="00FB5B31" w:rsidP="00FB5B31">
      <w:pPr>
        <w:jc w:val="both"/>
        <w:rPr>
          <w:rFonts w:ascii="Arial Narrow" w:eastAsia="Calibri" w:hAnsi="Arial Narrow" w:cs="Arial"/>
          <w:sz w:val="22"/>
          <w:szCs w:val="22"/>
          <w:lang w:eastAsia="en-US"/>
        </w:rPr>
      </w:pPr>
    </w:p>
    <w:p w14:paraId="6613C3E1" w14:textId="77777777" w:rsidR="00FB5B31" w:rsidRPr="00D06AD7" w:rsidRDefault="00FB5B31" w:rsidP="00FB5B31">
      <w:pPr>
        <w:jc w:val="both"/>
        <w:rPr>
          <w:rFonts w:ascii="Arial Narrow" w:eastAsia="Calibri" w:hAnsi="Arial Narrow" w:cs="Arial"/>
          <w:sz w:val="22"/>
          <w:szCs w:val="22"/>
          <w:lang w:eastAsia="en-US"/>
        </w:rPr>
      </w:pPr>
      <w:r w:rsidRPr="00D06AD7">
        <w:rPr>
          <w:rFonts w:ascii="Arial Narrow" w:hAnsi="Arial Narrow"/>
          <w:noProof/>
          <w:sz w:val="22"/>
          <w:szCs w:val="22"/>
        </w:rPr>
        <w:drawing>
          <wp:inline distT="0" distB="0" distL="0" distR="0" wp14:anchorId="7C7D3509" wp14:editId="6FE2E3A7">
            <wp:extent cx="5847715" cy="2819400"/>
            <wp:effectExtent l="0" t="0" r="635" b="0"/>
            <wp:docPr id="1721568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68727" name=""/>
                    <pic:cNvPicPr/>
                  </pic:nvPicPr>
                  <pic:blipFill rotWithShape="1">
                    <a:blip r:embed="rId20"/>
                    <a:srcRect l="1645" t="21707" r="2313" b="33562"/>
                    <a:stretch/>
                  </pic:blipFill>
                  <pic:spPr bwMode="auto">
                    <a:xfrm>
                      <a:off x="0" y="0"/>
                      <a:ext cx="5856375" cy="2823575"/>
                    </a:xfrm>
                    <a:prstGeom prst="rect">
                      <a:avLst/>
                    </a:prstGeom>
                    <a:ln>
                      <a:noFill/>
                    </a:ln>
                    <a:extLst>
                      <a:ext uri="{53640926-AAD7-44D8-BBD7-CCE9431645EC}">
                        <a14:shadowObscured xmlns:a14="http://schemas.microsoft.com/office/drawing/2010/main"/>
                      </a:ext>
                    </a:extLst>
                  </pic:spPr>
                </pic:pic>
              </a:graphicData>
            </a:graphic>
          </wp:inline>
        </w:drawing>
      </w:r>
    </w:p>
    <w:p w14:paraId="1F4E73BE"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1FBB142C" w14:textId="77777777" w:rsidR="00FB5B31" w:rsidRPr="00D06AD7" w:rsidRDefault="00FB5B31" w:rsidP="00FB5B31">
      <w:pPr>
        <w:jc w:val="both"/>
        <w:textAlignment w:val="baseline"/>
        <w:rPr>
          <w:rFonts w:ascii="Arial Narrow" w:eastAsia="Calibri" w:hAnsi="Arial Narrow" w:cs="Arial"/>
          <w:b/>
          <w:bCs/>
          <w:sz w:val="22"/>
          <w:szCs w:val="22"/>
          <w:lang w:eastAsia="en-US"/>
        </w:rPr>
      </w:pPr>
      <w:r w:rsidRPr="00D06AD7">
        <w:rPr>
          <w:rFonts w:ascii="Arial Narrow" w:eastAsia="Calibri" w:hAnsi="Arial Narrow" w:cs="Arial"/>
          <w:b/>
          <w:bCs/>
          <w:sz w:val="22"/>
          <w:szCs w:val="22"/>
          <w:lang w:eastAsia="en-US"/>
        </w:rPr>
        <w:t>Lo que viene para el dólar en Colombia</w:t>
      </w:r>
    </w:p>
    <w:p w14:paraId="67018EC9"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1CF94B4"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Por ahora, el dólar sigue con la tendencia a la baja que ha reportado en las últimas semanas. Según los expertos, este comportamiento tiene que ver, principalmente, con las decisiones sobre tasas de interés: este mes, la Reserva Federal mantuvo los tipos de interés estables por tercera vez consecutiva, pero además dio la señal más clara hasta el momento de que su agresiva campaña de alzas ha terminado (al menos por ahora) al pronosticar una serie de recortes el próximo año.</w:t>
      </w:r>
    </w:p>
    <w:p w14:paraId="53889581"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39DC6715" w14:textId="77777777" w:rsidR="00FB5B31" w:rsidRPr="00D06AD7" w:rsidRDefault="00FB5B31" w:rsidP="00FB5B31">
      <w:pPr>
        <w:jc w:val="both"/>
        <w:textAlignment w:val="baseline"/>
        <w:rPr>
          <w:rFonts w:ascii="Arial Narrow" w:eastAsia="Calibri" w:hAnsi="Arial Narrow" w:cs="Arial"/>
          <w:b/>
          <w:bCs/>
          <w:sz w:val="22"/>
          <w:szCs w:val="22"/>
          <w:lang w:eastAsia="en-US"/>
        </w:rPr>
      </w:pPr>
      <w:r w:rsidRPr="00D06AD7">
        <w:rPr>
          <w:rFonts w:ascii="Arial Narrow" w:eastAsia="Calibri" w:hAnsi="Arial Narrow" w:cs="Arial"/>
          <w:b/>
          <w:bCs/>
          <w:sz w:val="22"/>
          <w:szCs w:val="22"/>
          <w:lang w:eastAsia="en-US"/>
        </w:rPr>
        <w:t>Las proyecciones</w:t>
      </w:r>
    </w:p>
    <w:p w14:paraId="576B55B6"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3C1D2961" w14:textId="5D44397E" w:rsidR="00FB5B31" w:rsidRPr="00D06AD7" w:rsidRDefault="00FB5B31" w:rsidP="001B3FE8">
      <w:pPr>
        <w:jc w:val="both"/>
        <w:textAlignment w:val="baseline"/>
        <w:rPr>
          <w:rFonts w:ascii="Arial Narrow" w:eastAsia="Calibri" w:hAnsi="Arial Narrow" w:cs="Arial"/>
          <w:sz w:val="22"/>
          <w:szCs w:val="22"/>
          <w:lang w:eastAsia="en-US"/>
        </w:rPr>
      </w:pPr>
      <w:r w:rsidRPr="00D06AD7">
        <w:rPr>
          <w:rFonts w:ascii="Segoe UI Emoji" w:eastAsia="Calibri" w:hAnsi="Segoe UI Emoji" w:cs="Segoe UI Emoji"/>
          <w:sz w:val="22"/>
          <w:szCs w:val="22"/>
          <w:lang w:eastAsia="en-US"/>
        </w:rPr>
        <w:t>▶️</w:t>
      </w:r>
      <w:r w:rsidRPr="00D06AD7">
        <w:rPr>
          <w:rFonts w:ascii="Arial Narrow" w:eastAsia="Calibri" w:hAnsi="Arial Narrow" w:cs="Arial"/>
          <w:sz w:val="22"/>
          <w:szCs w:val="22"/>
          <w:lang w:eastAsia="en-US"/>
        </w:rPr>
        <w:t xml:space="preserve"> Para cierre de 2024, esperan que el dólar se ubique en $4.150, una mejora frente al pronóstico del mes anterior ($4.183).</w:t>
      </w:r>
    </w:p>
    <w:p w14:paraId="55D37974" w14:textId="1D5E70D7" w:rsidR="00FB5B31" w:rsidRPr="00D06AD7" w:rsidRDefault="00FB5B31" w:rsidP="001B3FE8">
      <w:pPr>
        <w:jc w:val="both"/>
        <w:textAlignment w:val="baseline"/>
        <w:rPr>
          <w:rFonts w:ascii="Arial Narrow" w:eastAsia="Calibri" w:hAnsi="Arial Narrow" w:cs="Arial"/>
          <w:sz w:val="22"/>
          <w:szCs w:val="22"/>
          <w:lang w:eastAsia="en-US"/>
        </w:rPr>
      </w:pPr>
      <w:r w:rsidRPr="00D06AD7">
        <w:rPr>
          <w:rFonts w:ascii="Segoe UI Emoji" w:eastAsia="Calibri" w:hAnsi="Segoe UI Emoji" w:cs="Segoe UI Emoji"/>
          <w:sz w:val="22"/>
          <w:szCs w:val="22"/>
          <w:lang w:eastAsia="en-US"/>
        </w:rPr>
        <w:t>▶️</w:t>
      </w:r>
      <w:r w:rsidRPr="00D06AD7">
        <w:rPr>
          <w:rFonts w:ascii="Arial Narrow" w:eastAsia="Calibri" w:hAnsi="Arial Narrow" w:cs="Arial"/>
          <w:sz w:val="22"/>
          <w:szCs w:val="22"/>
          <w:lang w:eastAsia="en-US"/>
        </w:rPr>
        <w:t xml:space="preserve"> Para diciembre de 2024, en promedio, los analistas esperan que la tasa de cambio cierre en $4.080.</w:t>
      </w:r>
    </w:p>
    <w:p w14:paraId="2CE74104" w14:textId="77777777" w:rsidR="00FB5B31" w:rsidRPr="00D06AD7" w:rsidRDefault="00FB5B31" w:rsidP="001B3FE8">
      <w:pPr>
        <w:jc w:val="both"/>
        <w:textAlignment w:val="baseline"/>
        <w:rPr>
          <w:rFonts w:ascii="Arial Narrow" w:eastAsia="Calibri" w:hAnsi="Arial Narrow" w:cs="Arial"/>
          <w:sz w:val="22"/>
          <w:szCs w:val="22"/>
          <w:lang w:eastAsia="en-US"/>
        </w:rPr>
      </w:pPr>
      <w:r w:rsidRPr="00D06AD7">
        <w:rPr>
          <w:rFonts w:ascii="Segoe UI Emoji" w:eastAsia="Calibri" w:hAnsi="Segoe UI Emoji" w:cs="Segoe UI Emoji"/>
          <w:sz w:val="22"/>
          <w:szCs w:val="22"/>
          <w:lang w:eastAsia="en-US"/>
        </w:rPr>
        <w:t>▶️</w:t>
      </w:r>
      <w:r w:rsidRPr="00D06AD7">
        <w:rPr>
          <w:rFonts w:ascii="Arial Narrow" w:eastAsia="Calibri" w:hAnsi="Arial Narrow" w:cs="Arial"/>
          <w:sz w:val="22"/>
          <w:szCs w:val="22"/>
          <w:lang w:eastAsia="en-US"/>
        </w:rPr>
        <w:t xml:space="preserve"> ANIF proyecta que la TRM para el año 2024 cierre en $4.110.</w:t>
      </w:r>
    </w:p>
    <w:p w14:paraId="3EB6032E" w14:textId="77777777" w:rsidR="00FB5B31" w:rsidRPr="00D06AD7" w:rsidRDefault="00FB5B31" w:rsidP="001B3FE8">
      <w:pPr>
        <w:jc w:val="both"/>
        <w:textAlignment w:val="baseline"/>
        <w:rPr>
          <w:rFonts w:ascii="Arial Narrow" w:eastAsia="Calibri" w:hAnsi="Arial Narrow" w:cs="Arial"/>
          <w:sz w:val="22"/>
          <w:szCs w:val="22"/>
          <w:lang w:eastAsia="en-US"/>
        </w:rPr>
      </w:pPr>
    </w:p>
    <w:p w14:paraId="67A4D58C"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Para el próximo año, según los analistas, será clave, entre otras cosas, el comportamiento de la inflación, las decisiones sobre tasas de interés, lo que venga para la guerra entre Ucrania y Rusia y la guerra en Gaza y el futuro de las reformas que están en curso en Colombia.</w:t>
      </w:r>
    </w:p>
    <w:p w14:paraId="39A153E5"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7D1C5194" w14:textId="77777777" w:rsidR="00FB5B31" w:rsidRPr="00D06AD7" w:rsidRDefault="00186E08" w:rsidP="00FB5B31">
      <w:pPr>
        <w:jc w:val="both"/>
        <w:textAlignment w:val="baseline"/>
        <w:rPr>
          <w:rFonts w:ascii="Arial Narrow" w:eastAsia="Calibri" w:hAnsi="Arial Narrow" w:cs="Arial"/>
          <w:sz w:val="22"/>
          <w:szCs w:val="22"/>
          <w:lang w:eastAsia="en-US"/>
        </w:rPr>
      </w:pPr>
      <w:hyperlink r:id="rId21" w:history="1">
        <w:r w:rsidR="00FB5B31" w:rsidRPr="00D06AD7">
          <w:rPr>
            <w:rStyle w:val="Hipervnculo"/>
            <w:rFonts w:ascii="Arial Narrow" w:eastAsia="Calibri" w:hAnsi="Arial Narrow" w:cs="Arial"/>
            <w:sz w:val="22"/>
            <w:szCs w:val="22"/>
            <w:lang w:eastAsia="en-US"/>
          </w:rPr>
          <w:t>https://www.elespectador.com/economia/precio-del-dolar-en-colombia-asi-le-fue-en-2023-y-estas-son-las-proyecciones-para-2024</w:t>
        </w:r>
      </w:hyperlink>
      <w:r w:rsidR="00FB5B31" w:rsidRPr="00D06AD7">
        <w:rPr>
          <w:rFonts w:ascii="Arial Narrow" w:eastAsia="Calibri" w:hAnsi="Arial Narrow" w:cs="Arial"/>
          <w:sz w:val="22"/>
          <w:szCs w:val="22"/>
          <w:lang w:eastAsia="en-US"/>
        </w:rPr>
        <w:t>: 24 de diciembre de 2023</w:t>
      </w:r>
    </w:p>
    <w:p w14:paraId="42728F5B"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3FF261D0"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De acuerdo con la Superintendencia Financiera de Colombia (SFC), el precio del dólar en este país cerró el 2023 en $3.822,05, misma cifra con la que inició el 2024. Con esto, la moneda estadounidense volvió a alejarse de la línea de los $4.000 y el peso colombiano, la moneda que más se fortaleció en 2023 frente esta, se realineó con otras monedas de la región.</w:t>
      </w:r>
    </w:p>
    <w:p w14:paraId="509F348A"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06AF7305"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De igual manera, aclaró la posible relación que tiene el dólar con el aumento del 12% del salario mínimo para 2024, lo que llevó a la remuneración al $1.300.000.</w:t>
      </w:r>
    </w:p>
    <w:p w14:paraId="13DC34FA"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01E90A1B"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“La conexión con salario mínimo en el corto plazo es bien débil. Además, lo que lo suban tiene que ser mayor al 16% del año pasado para que los precios no bajen”, indicó.</w:t>
      </w:r>
    </w:p>
    <w:p w14:paraId="64355286"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6CABB8AB"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Asimismo, ante la dinámica de la tasa de interés de los bancos centrales y una caída más acentuada del dólar frente a otros países, apuntó que la región tiene tasas más altas, pero disminuye más porque se recupera la confianza en cambios moderados y consensuados en el país.</w:t>
      </w:r>
    </w:p>
    <w:p w14:paraId="12D86EBC"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141CEA75"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De igual forma, Campos recordó que esta realineación se dio pese a que en lo que va del Gobierno Petro se habló de control de capitales y de precios, además de las virtudes de imprimir, así como se dio falsa información en documentos de reservas y se pidió apoyo en las calles. Asimismo, que hubo mensajes que aunque hoy se sabe que no eran “en serio” en su momento generaron miedo.</w:t>
      </w:r>
    </w:p>
    <w:p w14:paraId="345B3AE9" w14:textId="77777777" w:rsidR="00FB5B31" w:rsidRPr="00D06AD7" w:rsidRDefault="00186E08" w:rsidP="00FB5B31">
      <w:pPr>
        <w:jc w:val="both"/>
        <w:textAlignment w:val="baseline"/>
        <w:rPr>
          <w:rFonts w:ascii="Arial Narrow" w:eastAsia="Calibri" w:hAnsi="Arial Narrow" w:cs="Arial"/>
          <w:sz w:val="22"/>
          <w:szCs w:val="22"/>
          <w:lang w:eastAsia="en-US"/>
        </w:rPr>
      </w:pPr>
      <w:hyperlink r:id="rId22" w:history="1">
        <w:r w:rsidR="00FB5B31" w:rsidRPr="00D06AD7">
          <w:rPr>
            <w:rStyle w:val="Hipervnculo"/>
            <w:rFonts w:ascii="Arial Narrow" w:eastAsia="Calibri" w:hAnsi="Arial Narrow" w:cs="Arial"/>
            <w:sz w:val="22"/>
            <w:szCs w:val="22"/>
            <w:lang w:eastAsia="en-US"/>
          </w:rPr>
          <w:t>https://www.infobae.com/colombia/2024/01/01/dolar-en-colombia-se-alineo-en-2023-con-otros-paises</w:t>
        </w:r>
      </w:hyperlink>
    </w:p>
    <w:p w14:paraId="2AEFBD29"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4A38906E" w14:textId="77777777" w:rsidR="00FB5B31" w:rsidRPr="00D06AD7" w:rsidRDefault="00FB5B31" w:rsidP="00FB5B31">
      <w:pPr>
        <w:shd w:val="clear" w:color="auto" w:fill="FFFFFF"/>
        <w:spacing w:before="168" w:after="168"/>
        <w:jc w:val="both"/>
        <w:rPr>
          <w:rFonts w:ascii="Arial Narrow" w:hAnsi="Arial Narrow" w:cs="Arial"/>
          <w:b/>
          <w:sz w:val="22"/>
          <w:szCs w:val="22"/>
        </w:rPr>
      </w:pPr>
      <w:r w:rsidRPr="00D06AD7">
        <w:rPr>
          <w:rFonts w:ascii="Arial Narrow" w:hAnsi="Arial Narrow" w:cs="Arial"/>
          <w:b/>
          <w:sz w:val="22"/>
          <w:szCs w:val="22"/>
        </w:rPr>
        <w:t>ECONOMIA INTERNACIONAL</w:t>
      </w:r>
    </w:p>
    <w:p w14:paraId="7709B130"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El pronóstico de base es que el crecimiento mundial se modere de 3,5% en 2022 a 3,0% en 2023 y 2,9% en 2024, muy por debajo del promedio histórico (2000–19) de 3,8%. Se prevé que, en las economías avanzadas, la desaceleración sea de 2,6% en 2022 a 1,5% en 2023 y 1,4% en 2024, conforme el endurecimiento de las políticas empiece a surtir efecto. Para las economías de mercados emergentes y en desarrollo, se proyecta una disminución moderada de 4,1% en 2022 a 4,0% en 2023 y 2024. Se pronostica que la inflación mundial se reduzca a un ritmo constante, de 8,7% en 2022 a 6,9% en 2023 y 5,8% en 2024, debido al endurecimiento de la política monetaria y con la ayuda de los menores precios internacionales de las materias primas. Se proyecta que, en general, la inflación subyacente descienda más gradualmente, mientras que, en la mayoría de los casos, no se prevé que la inflación retorne al nivel fijado como meta hasta 2025.</w:t>
      </w:r>
    </w:p>
    <w:p w14:paraId="49DF677D" w14:textId="77777777" w:rsidR="00FB5B31" w:rsidRPr="00D06AD7" w:rsidRDefault="00FB5B31" w:rsidP="00FB5B31">
      <w:pPr>
        <w:jc w:val="both"/>
        <w:textAlignment w:val="baseline"/>
        <w:rPr>
          <w:rFonts w:ascii="Arial Narrow" w:eastAsia="Calibri" w:hAnsi="Arial Narrow" w:cs="Arial"/>
          <w:sz w:val="22"/>
          <w:szCs w:val="22"/>
          <w:lang w:eastAsia="en-US"/>
        </w:rPr>
      </w:pPr>
    </w:p>
    <w:p w14:paraId="1A91F35D" w14:textId="77777777" w:rsidR="00FB5B31" w:rsidRPr="00D06AD7" w:rsidRDefault="00FB5B31" w:rsidP="00FB5B31">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Las medidas y los marcos de política monetaria son cruciales en la coyuntura actual para mantener ancladas las expectativas de inflación. En el capítulo 2, se documentan las tendencias recientes de las expectativas inflacionarias a corto y mediano plazo y entre diferentes agentes económicos. Se hace hincapié en el papel complementario que desempeñan los marcos de política monetaria, incluidas las estrategias de comunicación, a la hora de gestionar las expectativas inflacionarias de los agentes para facilitar la desinflación con menor perjuicio del producto. Dadas las crecientes inquietudes acerca de la fragmentación geoeconómica, en el capítulo 3 se analiza la forma en que las perturbaciones en el comercio mundial de materias primas pueden incidir en los precios de esos productos, en la actividad económica y en la transición a la energía verde.</w:t>
      </w:r>
      <w:r w:rsidRPr="00D06AD7">
        <w:rPr>
          <w:rFonts w:ascii="Arial Narrow" w:hAnsi="Arial Narrow"/>
          <w:sz w:val="22"/>
          <w:szCs w:val="22"/>
        </w:rPr>
        <w:t xml:space="preserve"> </w:t>
      </w:r>
      <w:hyperlink r:id="rId23" w:history="1">
        <w:r w:rsidRPr="00D06AD7">
          <w:rPr>
            <w:rStyle w:val="Hipervnculo"/>
            <w:rFonts w:ascii="Arial Narrow" w:eastAsia="Calibri" w:hAnsi="Arial Narrow" w:cs="Arial"/>
            <w:sz w:val="22"/>
            <w:szCs w:val="22"/>
            <w:lang w:eastAsia="en-US"/>
          </w:rPr>
          <w:t>https://www.imf.org/es/Publications/WEO/Issues/2023</w:t>
        </w:r>
      </w:hyperlink>
    </w:p>
    <w:p w14:paraId="5516D9EE" w14:textId="77777777" w:rsidR="00FB5B31" w:rsidRPr="00D06AD7" w:rsidRDefault="00FB5B31" w:rsidP="00FB5B31">
      <w:pPr>
        <w:rPr>
          <w:rFonts w:ascii="Arial Narrow" w:hAnsi="Arial Narrow" w:cs="Arial"/>
          <w:b/>
          <w:color w:val="000000"/>
          <w:sz w:val="22"/>
          <w:szCs w:val="22"/>
        </w:rPr>
      </w:pPr>
    </w:p>
    <w:p w14:paraId="389BC521"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lastRenderedPageBreak/>
        <w:t>3.1.1.7 Cadena de producción y distribución</w:t>
      </w:r>
    </w:p>
    <w:p w14:paraId="4AE64F44" w14:textId="77777777" w:rsidR="00FC6BCA" w:rsidRPr="00D06AD7" w:rsidRDefault="00FC6BCA" w:rsidP="00FC6BCA">
      <w:pPr>
        <w:jc w:val="both"/>
        <w:rPr>
          <w:rFonts w:ascii="Arial Narrow" w:hAnsi="Arial Narrow" w:cs="Arial"/>
          <w:bCs/>
          <w:sz w:val="22"/>
          <w:szCs w:val="22"/>
        </w:rPr>
      </w:pPr>
    </w:p>
    <w:p w14:paraId="007BBA1A"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El procedimiento de prestación de servicios se resume en el siguiente diagrama:</w:t>
      </w:r>
    </w:p>
    <w:p w14:paraId="259F151E" w14:textId="77777777" w:rsidR="00FC6BCA" w:rsidRPr="00D06AD7" w:rsidRDefault="00FC6BCA" w:rsidP="00FC6BCA">
      <w:pPr>
        <w:jc w:val="both"/>
        <w:rPr>
          <w:rFonts w:ascii="Arial Narrow" w:hAnsi="Arial Narrow" w:cs="Arial"/>
          <w:bCs/>
          <w:sz w:val="22"/>
          <w:szCs w:val="22"/>
        </w:rPr>
      </w:pPr>
    </w:p>
    <w:p w14:paraId="62F9F70A" w14:textId="77777777" w:rsidR="00FC6BCA" w:rsidRPr="00D06AD7" w:rsidRDefault="00FC6BCA" w:rsidP="00FC6BCA">
      <w:pPr>
        <w:jc w:val="center"/>
        <w:rPr>
          <w:rFonts w:ascii="Arial Narrow" w:hAnsi="Arial Narrow" w:cs="Arial"/>
          <w:b/>
          <w:sz w:val="22"/>
          <w:szCs w:val="22"/>
        </w:rPr>
      </w:pPr>
      <w:r w:rsidRPr="00D06AD7">
        <w:rPr>
          <w:rFonts w:ascii="Arial Narrow" w:hAnsi="Arial Narrow" w:cs="Arial"/>
          <w:b/>
          <w:noProof/>
          <w:sz w:val="22"/>
          <w:szCs w:val="22"/>
        </w:rPr>
        <w:drawing>
          <wp:inline distT="0" distB="0" distL="0" distR="0" wp14:anchorId="6E42FC2B" wp14:editId="1AD0F030">
            <wp:extent cx="4401820" cy="1510030"/>
            <wp:effectExtent l="0" t="0" r="0" b="0"/>
            <wp:docPr id="121486352" name="Imagen 12148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01820" cy="1510030"/>
                    </a:xfrm>
                    <a:prstGeom prst="rect">
                      <a:avLst/>
                    </a:prstGeom>
                    <a:noFill/>
                    <a:ln>
                      <a:noFill/>
                    </a:ln>
                  </pic:spPr>
                </pic:pic>
              </a:graphicData>
            </a:graphic>
          </wp:inline>
        </w:drawing>
      </w:r>
    </w:p>
    <w:p w14:paraId="50A13398" w14:textId="77777777" w:rsidR="001B3FE8" w:rsidRPr="00D06AD7" w:rsidRDefault="001B3FE8" w:rsidP="00FC6BCA">
      <w:pPr>
        <w:jc w:val="center"/>
        <w:rPr>
          <w:rFonts w:ascii="Arial Narrow" w:hAnsi="Arial Narrow" w:cs="Arial"/>
          <w:bCs/>
          <w:sz w:val="22"/>
          <w:szCs w:val="22"/>
        </w:rPr>
      </w:pPr>
    </w:p>
    <w:p w14:paraId="2A87297E" w14:textId="6E446345" w:rsidR="00FC6BCA" w:rsidRPr="00D06AD7" w:rsidRDefault="00FC6BCA" w:rsidP="00FC6BCA">
      <w:pPr>
        <w:jc w:val="center"/>
        <w:rPr>
          <w:rFonts w:ascii="Arial Narrow" w:hAnsi="Arial Narrow" w:cs="Arial"/>
          <w:bCs/>
          <w:sz w:val="22"/>
          <w:szCs w:val="22"/>
        </w:rPr>
      </w:pPr>
      <w:r w:rsidRPr="00D06AD7">
        <w:rPr>
          <w:rFonts w:ascii="Arial Narrow" w:hAnsi="Arial Narrow" w:cs="Arial"/>
          <w:bCs/>
          <w:sz w:val="22"/>
          <w:szCs w:val="22"/>
        </w:rPr>
        <w:t xml:space="preserve">Fuente: </w:t>
      </w:r>
      <w:hyperlink r:id="rId25" w:history="1">
        <w:r w:rsidRPr="00D06AD7">
          <w:rPr>
            <w:rStyle w:val="Hipervnculo"/>
            <w:rFonts w:ascii="Arial Narrow" w:hAnsi="Arial Narrow" w:cs="Arial"/>
            <w:bCs/>
            <w:color w:val="auto"/>
            <w:sz w:val="22"/>
            <w:szCs w:val="22"/>
          </w:rPr>
          <w:t>https://repository.eafit.edu.co/bitstream/handle/10784/621/JorgeMario_RiveraIllera_2012.pdf?sequence=3</w:t>
        </w:r>
      </w:hyperlink>
    </w:p>
    <w:p w14:paraId="1E4F8351" w14:textId="77777777" w:rsidR="00FC6BCA" w:rsidRPr="00D06AD7" w:rsidRDefault="00FC6BCA" w:rsidP="00FC6BCA">
      <w:pPr>
        <w:jc w:val="both"/>
        <w:rPr>
          <w:rFonts w:ascii="Arial Narrow" w:hAnsi="Arial Narrow" w:cs="Arial"/>
          <w:bCs/>
          <w:sz w:val="22"/>
          <w:szCs w:val="22"/>
        </w:rPr>
      </w:pPr>
    </w:p>
    <w:p w14:paraId="6B6D8B45" w14:textId="77777777" w:rsidR="00FC6BCA" w:rsidRPr="00D06AD7" w:rsidRDefault="00FC6BCA" w:rsidP="00FC6BCA">
      <w:pPr>
        <w:jc w:val="both"/>
        <w:rPr>
          <w:rFonts w:ascii="Arial Narrow" w:hAnsi="Arial Narrow" w:cs="Arial"/>
          <w:b/>
          <w:sz w:val="22"/>
          <w:szCs w:val="22"/>
          <w:lang w:val="es-ES"/>
        </w:rPr>
      </w:pPr>
      <w:r w:rsidRPr="00D06AD7">
        <w:rPr>
          <w:rFonts w:ascii="Arial Narrow" w:hAnsi="Arial Narrow" w:cs="Arial"/>
          <w:b/>
          <w:sz w:val="22"/>
          <w:szCs w:val="22"/>
          <w:lang w:val="es-ES"/>
        </w:rPr>
        <w:t>3.1.2 ASPECTOS TECNICOS</w:t>
      </w:r>
    </w:p>
    <w:p w14:paraId="6484D5E4" w14:textId="77777777" w:rsidR="00FC6BCA" w:rsidRPr="00D06AD7" w:rsidRDefault="00FC6BCA" w:rsidP="00FC6BCA">
      <w:pPr>
        <w:jc w:val="both"/>
        <w:rPr>
          <w:rFonts w:ascii="Arial Narrow" w:hAnsi="Arial Narrow" w:cs="Arial"/>
          <w:bCs/>
          <w:sz w:val="22"/>
          <w:szCs w:val="22"/>
          <w:lang w:val="es-ES"/>
        </w:rPr>
      </w:pPr>
    </w:p>
    <w:p w14:paraId="570E8789" w14:textId="77777777"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lang w:val="es-ES"/>
        </w:rPr>
        <w:t xml:space="preserve">Las especificaciones de las actividades requeridas se desarrollarán teniendo en cuenta los Requerimientos Técnicos establecidos por el INVIAS para el proyecto. El Consultor deberá desarrollar los volúmenes y capítulos de acuerdo con el alcance del objeto contratado. </w:t>
      </w:r>
    </w:p>
    <w:p w14:paraId="63726856" w14:textId="77777777" w:rsidR="00FC6BCA" w:rsidRPr="00D06AD7" w:rsidRDefault="00FC6BCA" w:rsidP="00FC6BCA">
      <w:pPr>
        <w:jc w:val="both"/>
        <w:rPr>
          <w:rFonts w:ascii="Arial Narrow" w:hAnsi="Arial Narrow" w:cs="Arial"/>
          <w:bCs/>
          <w:sz w:val="22"/>
          <w:szCs w:val="22"/>
          <w:lang w:val="es-ES"/>
        </w:rPr>
      </w:pPr>
    </w:p>
    <w:p w14:paraId="371995B7" w14:textId="0AE0984B"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lang w:val="es-ES"/>
        </w:rPr>
        <w:t xml:space="preserve">En el desarrollo del contrato se deben cumplir las Manuales, Normas y Especificaciones, vigentes al momento del </w:t>
      </w:r>
      <w:r w:rsidR="002428C2">
        <w:rPr>
          <w:rFonts w:ascii="Arial Narrow" w:hAnsi="Arial Narrow" w:cs="Arial"/>
          <w:bCs/>
          <w:sz w:val="22"/>
          <w:szCs w:val="22"/>
          <w:lang w:val="es-ES"/>
        </w:rPr>
        <w:t>Invitación pública</w:t>
      </w:r>
      <w:r w:rsidRPr="00D06AD7">
        <w:rPr>
          <w:rFonts w:ascii="Arial Narrow" w:hAnsi="Arial Narrow" w:cs="Arial"/>
          <w:bCs/>
          <w:sz w:val="22"/>
          <w:szCs w:val="22"/>
          <w:lang w:val="es-ES"/>
        </w:rPr>
        <w:t>, así como las que se describen en el ANEXO TÉCNICO.</w:t>
      </w:r>
    </w:p>
    <w:p w14:paraId="6B916B97" w14:textId="77777777" w:rsidR="00FC6BCA" w:rsidRPr="00D06AD7" w:rsidRDefault="00FC6BCA" w:rsidP="00FC6BCA">
      <w:pPr>
        <w:jc w:val="both"/>
        <w:rPr>
          <w:rFonts w:ascii="Arial Narrow" w:hAnsi="Arial Narrow" w:cs="Arial"/>
          <w:bCs/>
          <w:sz w:val="22"/>
          <w:szCs w:val="22"/>
          <w:lang w:val="es-ES"/>
        </w:rPr>
      </w:pPr>
    </w:p>
    <w:p w14:paraId="44D95F17" w14:textId="77777777"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lang w:val="es-ES"/>
        </w:rPr>
        <w:t>Así mismo, las condiciones técnicas particulares referentes a la ejecución del contrato que se pretende celebrar, se encuentran discriminadas de manera clara y precisa en los documentos anexos, en especial en el documento “Requerimientos Técnicos” que forma parte del presente proceso de selección.</w:t>
      </w:r>
    </w:p>
    <w:p w14:paraId="6221CA19" w14:textId="77777777" w:rsidR="00FC6BCA" w:rsidRPr="00D06AD7" w:rsidRDefault="00FC6BCA" w:rsidP="00FC6BCA">
      <w:pPr>
        <w:jc w:val="both"/>
        <w:rPr>
          <w:rFonts w:ascii="Arial Narrow" w:hAnsi="Arial Narrow" w:cs="Arial"/>
          <w:bCs/>
          <w:sz w:val="22"/>
          <w:szCs w:val="22"/>
          <w:lang w:val="es-ES"/>
        </w:rPr>
      </w:pPr>
    </w:p>
    <w:p w14:paraId="45530BA1" w14:textId="77777777" w:rsidR="00FC6BCA" w:rsidRPr="00D06AD7" w:rsidRDefault="00FC6BCA" w:rsidP="00FC6BCA">
      <w:pPr>
        <w:jc w:val="both"/>
        <w:rPr>
          <w:rFonts w:ascii="Arial Narrow" w:hAnsi="Arial Narrow" w:cs="Arial"/>
          <w:b/>
          <w:sz w:val="22"/>
          <w:szCs w:val="22"/>
          <w:lang w:val="es-ES"/>
        </w:rPr>
      </w:pPr>
      <w:r w:rsidRPr="00D06AD7">
        <w:rPr>
          <w:rFonts w:ascii="Arial Narrow" w:hAnsi="Arial Narrow" w:cs="Arial"/>
          <w:b/>
          <w:sz w:val="22"/>
          <w:szCs w:val="22"/>
          <w:lang w:val="es-ES"/>
        </w:rPr>
        <w:t>3.1.3 ASPECTOS REGULATORIOS</w:t>
      </w:r>
    </w:p>
    <w:p w14:paraId="1DF20492" w14:textId="77777777" w:rsidR="00FC6BCA" w:rsidRPr="00D06AD7" w:rsidRDefault="00FC6BCA" w:rsidP="00FC6BCA">
      <w:pPr>
        <w:jc w:val="both"/>
        <w:rPr>
          <w:rFonts w:ascii="Arial Narrow" w:hAnsi="Arial Narrow" w:cs="Arial"/>
          <w:bCs/>
          <w:sz w:val="22"/>
          <w:szCs w:val="22"/>
          <w:lang w:val="es-ES"/>
        </w:rPr>
      </w:pPr>
    </w:p>
    <w:p w14:paraId="68A609C9" w14:textId="2518D0E2"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El marco legal del </w:t>
      </w:r>
      <w:r w:rsidRPr="00D06AD7">
        <w:rPr>
          <w:rFonts w:ascii="Arial Narrow" w:hAnsi="Arial Narrow" w:cs="Arial"/>
          <w:bCs/>
          <w:sz w:val="22"/>
          <w:szCs w:val="22"/>
          <w:lang w:val="es-ES"/>
        </w:rPr>
        <w:t>proceso de selección que se adelanta</w:t>
      </w:r>
      <w:r w:rsidRPr="00D06AD7">
        <w:rPr>
          <w:rFonts w:ascii="Arial Narrow" w:hAnsi="Arial Narrow" w:cs="Arial"/>
          <w:bCs/>
          <w:sz w:val="22"/>
          <w:szCs w:val="22"/>
        </w:rPr>
        <w:t xml:space="preserve">, está conformado por la Constitución Política, </w:t>
      </w:r>
      <w:r w:rsidRPr="00D06AD7">
        <w:rPr>
          <w:rFonts w:ascii="Arial Narrow" w:hAnsi="Arial Narrow" w:cs="Arial"/>
          <w:bCs/>
          <w:sz w:val="22"/>
          <w:szCs w:val="22"/>
          <w:lang w:val="es-ES"/>
        </w:rPr>
        <w:t xml:space="preserve">la Ley </w:t>
      </w:r>
      <w:r w:rsidRPr="00D06AD7">
        <w:rPr>
          <w:rFonts w:ascii="Arial Narrow" w:hAnsi="Arial Narrow" w:cs="Arial"/>
          <w:bCs/>
          <w:sz w:val="22"/>
          <w:szCs w:val="22"/>
        </w:rPr>
        <w:t>80 de 1993</w:t>
      </w:r>
      <w:r w:rsidRPr="00D06AD7">
        <w:rPr>
          <w:rFonts w:ascii="Arial Narrow" w:hAnsi="Arial Narrow" w:cs="Arial"/>
          <w:bCs/>
          <w:sz w:val="22"/>
          <w:szCs w:val="22"/>
          <w:lang w:val="es-ES"/>
        </w:rPr>
        <w:t xml:space="preserve">, Ley </w:t>
      </w:r>
      <w:r w:rsidRPr="00D06AD7">
        <w:rPr>
          <w:rFonts w:ascii="Arial Narrow" w:hAnsi="Arial Narrow" w:cs="Arial"/>
          <w:bCs/>
          <w:sz w:val="22"/>
          <w:szCs w:val="22"/>
        </w:rPr>
        <w:t>1150 de 2007, Ley 1474 de 2011, Decreto</w:t>
      </w:r>
      <w:r w:rsidRPr="00D06AD7">
        <w:rPr>
          <w:rFonts w:ascii="Arial Narrow" w:hAnsi="Arial Narrow" w:cs="Arial"/>
          <w:bCs/>
          <w:sz w:val="22"/>
          <w:szCs w:val="22"/>
          <w:lang w:val="es-ES"/>
        </w:rPr>
        <w:t xml:space="preserve"> 1082 de 2015</w:t>
      </w:r>
      <w:r w:rsidRPr="00D06AD7">
        <w:rPr>
          <w:rFonts w:ascii="Arial Narrow" w:hAnsi="Arial Narrow" w:cs="Arial"/>
          <w:bCs/>
          <w:sz w:val="22"/>
          <w:szCs w:val="22"/>
        </w:rPr>
        <w:t xml:space="preserve">, </w:t>
      </w:r>
      <w:r w:rsidRPr="00D06AD7">
        <w:rPr>
          <w:rFonts w:ascii="Arial Narrow" w:hAnsi="Arial Narrow" w:cs="Arial"/>
          <w:bCs/>
          <w:sz w:val="22"/>
          <w:szCs w:val="22"/>
          <w:lang w:val="es-ES"/>
        </w:rPr>
        <w:t xml:space="preserve">el Código General del Proceso, </w:t>
      </w:r>
      <w:r w:rsidRPr="00D06AD7">
        <w:rPr>
          <w:rFonts w:ascii="Arial Narrow" w:hAnsi="Arial Narrow" w:cs="Arial"/>
          <w:bCs/>
          <w:sz w:val="22"/>
          <w:szCs w:val="22"/>
        </w:rPr>
        <w:t>los Códigos Civil y de Comercio, la Ley 1882 del 15 de enero de 2018   y demás normas concordantes.</w:t>
      </w:r>
    </w:p>
    <w:p w14:paraId="44D25F6D" w14:textId="77777777" w:rsidR="00FC6BCA" w:rsidRPr="00D06AD7" w:rsidRDefault="00FC6BCA" w:rsidP="00FC6BCA">
      <w:pPr>
        <w:jc w:val="both"/>
        <w:rPr>
          <w:rFonts w:ascii="Arial Narrow" w:hAnsi="Arial Narrow" w:cs="Arial"/>
          <w:bCs/>
          <w:sz w:val="22"/>
          <w:szCs w:val="22"/>
        </w:rPr>
      </w:pPr>
    </w:p>
    <w:p w14:paraId="55A3B8A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También hay que tener en cuenta la Ley 1682 de 2013, Ley 99 de 1993 y su Decreto reglamentario 2041 de 2014, Ley 105 de 1993, Ley 388 de 1997; Ley 1182 de 2008, Ley 1228 de 2008. </w:t>
      </w:r>
    </w:p>
    <w:p w14:paraId="04EFD9A1" w14:textId="77777777" w:rsidR="00FC6BCA" w:rsidRPr="00D06AD7" w:rsidRDefault="00FC6BCA" w:rsidP="00FC6BCA">
      <w:pPr>
        <w:jc w:val="both"/>
        <w:rPr>
          <w:rFonts w:ascii="Arial Narrow" w:hAnsi="Arial Narrow" w:cs="Arial"/>
          <w:bCs/>
          <w:sz w:val="22"/>
          <w:szCs w:val="22"/>
        </w:rPr>
      </w:pPr>
    </w:p>
    <w:p w14:paraId="007CABBE" w14:textId="640EF242"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lang w:val="es-ES"/>
        </w:rPr>
        <w:t xml:space="preserve">Adicionalmente </w:t>
      </w:r>
      <w:r w:rsidR="00CC0E39" w:rsidRPr="00D06AD7">
        <w:rPr>
          <w:rFonts w:ascii="Arial Narrow" w:hAnsi="Arial Narrow" w:cs="Arial"/>
          <w:bCs/>
          <w:sz w:val="22"/>
          <w:szCs w:val="22"/>
          <w:lang w:val="es-ES"/>
        </w:rPr>
        <w:t>las normas técnicas para la presente modalidad de contratación están</w:t>
      </w:r>
      <w:r w:rsidRPr="00D06AD7">
        <w:rPr>
          <w:rFonts w:ascii="Arial Narrow" w:hAnsi="Arial Narrow" w:cs="Arial"/>
          <w:bCs/>
          <w:sz w:val="22"/>
          <w:szCs w:val="22"/>
          <w:lang w:val="es-ES"/>
        </w:rPr>
        <w:t xml:space="preserve"> sujeta a la Resolución 1375 del 26 de mayo de 2014 y el desarrollo de las actividades de Interventoría, están sujetas a las disposiciones contenidas en el Manual de Interventoría, adoptado mediante Resolución No. 09337 del 30 de diciembre de 2016.</w:t>
      </w:r>
    </w:p>
    <w:p w14:paraId="49D5389E" w14:textId="77777777" w:rsidR="00FC6BCA" w:rsidRPr="00D06AD7" w:rsidRDefault="00FC6BCA" w:rsidP="00FC6BCA">
      <w:pPr>
        <w:jc w:val="both"/>
        <w:rPr>
          <w:rFonts w:ascii="Arial Narrow" w:hAnsi="Arial Narrow" w:cs="Arial"/>
          <w:bCs/>
          <w:sz w:val="22"/>
          <w:szCs w:val="22"/>
        </w:rPr>
      </w:pPr>
    </w:p>
    <w:p w14:paraId="13E9DFC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Artículo 61 de la Constitución Política de Colombia, El Estado protegerá la propiedad intelectual por el tiempo y mediante las formalidades que establezca la ley.</w:t>
      </w:r>
    </w:p>
    <w:p w14:paraId="0E3A2365" w14:textId="77777777" w:rsidR="00FC6BCA" w:rsidRPr="00D06AD7" w:rsidRDefault="00FC6BCA" w:rsidP="00FC6BCA">
      <w:pPr>
        <w:jc w:val="both"/>
        <w:rPr>
          <w:rFonts w:ascii="Arial Narrow" w:hAnsi="Arial Narrow" w:cs="Arial"/>
          <w:bCs/>
          <w:sz w:val="22"/>
          <w:szCs w:val="22"/>
        </w:rPr>
      </w:pPr>
    </w:p>
    <w:p w14:paraId="676C8E3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lastRenderedPageBreak/>
        <w:t>Decisión Andina 351 de 1993, REGIMEN COMUN SOBRE DERECHO DE AUTOR Y DERECHOS CONEXOS</w:t>
      </w:r>
    </w:p>
    <w:p w14:paraId="4A98BA7B" w14:textId="77777777" w:rsidR="00FC6BCA" w:rsidRPr="00D06AD7" w:rsidRDefault="00FC6BCA" w:rsidP="00FC6BCA">
      <w:pPr>
        <w:jc w:val="both"/>
        <w:rPr>
          <w:rFonts w:ascii="Arial Narrow" w:hAnsi="Arial Narrow" w:cs="Arial"/>
          <w:bCs/>
          <w:sz w:val="22"/>
          <w:szCs w:val="22"/>
        </w:rPr>
      </w:pPr>
    </w:p>
    <w:p w14:paraId="6036ED1A"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Ley 23 de 1982, sobre derechos de autor</w:t>
      </w:r>
    </w:p>
    <w:p w14:paraId="3632F84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Ley 44 de 1993; por la cual se modifica y adiciona la Ley 23 de 1982 y se modifica la Ley 29 de 1944.</w:t>
      </w:r>
    </w:p>
    <w:p w14:paraId="5C6BA2F8" w14:textId="77777777" w:rsidR="00FC6BCA" w:rsidRPr="00D06AD7" w:rsidRDefault="00FC6BCA" w:rsidP="00FC6BCA">
      <w:pPr>
        <w:jc w:val="both"/>
        <w:rPr>
          <w:rFonts w:ascii="Arial Narrow" w:hAnsi="Arial Narrow" w:cs="Arial"/>
          <w:bCs/>
          <w:sz w:val="22"/>
          <w:szCs w:val="22"/>
        </w:rPr>
      </w:pPr>
    </w:p>
    <w:p w14:paraId="2857E281" w14:textId="389A2F54"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Decreto 162 de 1996, por el cual se reglamenta la Decisión Andina 351 de 1993 y la Ley 44 de 1993, en relación con </w:t>
      </w:r>
      <w:r w:rsidR="00CC0E39" w:rsidRPr="00D06AD7">
        <w:rPr>
          <w:rFonts w:ascii="Arial Narrow" w:hAnsi="Arial Narrow" w:cs="Arial"/>
          <w:bCs/>
          <w:sz w:val="22"/>
          <w:szCs w:val="22"/>
        </w:rPr>
        <w:t>las Sociedades</w:t>
      </w:r>
      <w:r w:rsidRPr="00D06AD7">
        <w:rPr>
          <w:rFonts w:ascii="Arial Narrow" w:hAnsi="Arial Narrow" w:cs="Arial"/>
          <w:bCs/>
          <w:sz w:val="22"/>
          <w:szCs w:val="22"/>
        </w:rPr>
        <w:t xml:space="preserve"> de Gestión Colectiva de Derecho </w:t>
      </w:r>
      <w:r w:rsidR="00CC0E39" w:rsidRPr="00D06AD7">
        <w:rPr>
          <w:rFonts w:ascii="Arial Narrow" w:hAnsi="Arial Narrow" w:cs="Arial"/>
          <w:bCs/>
          <w:sz w:val="22"/>
          <w:szCs w:val="22"/>
        </w:rPr>
        <w:t>de Autor</w:t>
      </w:r>
      <w:r w:rsidRPr="00D06AD7">
        <w:rPr>
          <w:rFonts w:ascii="Arial Narrow" w:hAnsi="Arial Narrow" w:cs="Arial"/>
          <w:bCs/>
          <w:sz w:val="22"/>
          <w:szCs w:val="22"/>
        </w:rPr>
        <w:t xml:space="preserve"> o de Derechos Conexos.</w:t>
      </w:r>
    </w:p>
    <w:p w14:paraId="4E99439B" w14:textId="77777777" w:rsidR="00FC6BCA" w:rsidRPr="00D06AD7" w:rsidRDefault="00FC6BCA" w:rsidP="00FC6BCA">
      <w:pPr>
        <w:jc w:val="both"/>
        <w:rPr>
          <w:rFonts w:ascii="Arial Narrow" w:hAnsi="Arial Narrow" w:cs="Arial"/>
          <w:bCs/>
          <w:sz w:val="22"/>
          <w:szCs w:val="22"/>
        </w:rPr>
      </w:pPr>
    </w:p>
    <w:p w14:paraId="68C37BDB"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DECRETO 1474 DE 2002, Por el cual se promulga el "Tratado de la OMPI, Organización Mundial de la Propiedad Intelectual, sobre Derechos de Autor (WCT)", adoptado en Ginebra, el veinte (20) de diciembre de mil novecientos noventa y seis (1996).</w:t>
      </w:r>
    </w:p>
    <w:p w14:paraId="2E7365A3" w14:textId="77777777" w:rsidR="00FC6BCA" w:rsidRPr="00D06AD7" w:rsidRDefault="00FC6BCA" w:rsidP="00FC6BCA">
      <w:pPr>
        <w:jc w:val="both"/>
        <w:rPr>
          <w:rFonts w:ascii="Arial Narrow" w:hAnsi="Arial Narrow" w:cs="Arial"/>
          <w:bCs/>
          <w:sz w:val="22"/>
          <w:szCs w:val="22"/>
        </w:rPr>
      </w:pPr>
    </w:p>
    <w:p w14:paraId="1C0EF955" w14:textId="77777777" w:rsidR="00FC6BCA" w:rsidRPr="00D06AD7" w:rsidRDefault="00FC6BCA" w:rsidP="00FC6BCA">
      <w:pPr>
        <w:jc w:val="both"/>
        <w:rPr>
          <w:rFonts w:ascii="Arial Narrow" w:hAnsi="Arial Narrow" w:cs="Arial"/>
          <w:bCs/>
          <w:i/>
          <w:sz w:val="22"/>
          <w:szCs w:val="22"/>
        </w:rPr>
      </w:pPr>
      <w:r w:rsidRPr="00D06AD7">
        <w:rPr>
          <w:rFonts w:ascii="Arial Narrow" w:hAnsi="Arial Narrow" w:cs="Arial"/>
          <w:bCs/>
          <w:sz w:val="22"/>
          <w:szCs w:val="22"/>
        </w:rPr>
        <w:t xml:space="preserve">Resolución 263 del 31 de enero de 2020 </w:t>
      </w:r>
      <w:r w:rsidRPr="00D06AD7">
        <w:rPr>
          <w:rFonts w:ascii="Arial Narrow" w:hAnsi="Arial Narrow" w:cs="Arial"/>
          <w:bCs/>
          <w:i/>
          <w:sz w:val="22"/>
          <w:szCs w:val="22"/>
        </w:rPr>
        <w:t>“Por medio del cual se determina el procedimiento para adoptar la regulación de nuevas tecnologías para la infraestructura de transporte”</w:t>
      </w:r>
    </w:p>
    <w:p w14:paraId="057FE090" w14:textId="77777777" w:rsidR="00FC6BCA" w:rsidRPr="00D06AD7" w:rsidRDefault="00FC6BCA" w:rsidP="00FC6BCA">
      <w:pPr>
        <w:jc w:val="both"/>
        <w:rPr>
          <w:rFonts w:ascii="Arial Narrow" w:hAnsi="Arial Narrow" w:cs="Arial"/>
          <w:bCs/>
          <w:i/>
          <w:sz w:val="22"/>
          <w:szCs w:val="22"/>
        </w:rPr>
      </w:pPr>
    </w:p>
    <w:p w14:paraId="15D6AE03"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3.1.4. ESTUDIO DE LA OFERTA</w:t>
      </w:r>
    </w:p>
    <w:p w14:paraId="67DE5752" w14:textId="77777777" w:rsidR="00FC6BCA" w:rsidRPr="00D06AD7" w:rsidRDefault="00FC6BCA" w:rsidP="00FC6BCA">
      <w:pPr>
        <w:jc w:val="both"/>
        <w:rPr>
          <w:rFonts w:ascii="Arial Narrow" w:hAnsi="Arial Narrow" w:cs="Arial"/>
          <w:bCs/>
          <w:sz w:val="22"/>
          <w:szCs w:val="22"/>
        </w:rPr>
      </w:pPr>
    </w:p>
    <w:p w14:paraId="57C8C166"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4BB05360" w14:textId="77777777" w:rsidR="00FC6BCA" w:rsidRPr="00D06AD7" w:rsidRDefault="00FC6BCA" w:rsidP="00FC6BCA">
      <w:pPr>
        <w:jc w:val="both"/>
        <w:rPr>
          <w:rFonts w:ascii="Arial Narrow" w:hAnsi="Arial Narrow" w:cs="Arial"/>
          <w:bCs/>
          <w:sz w:val="22"/>
          <w:szCs w:val="22"/>
        </w:rPr>
      </w:pPr>
    </w:p>
    <w:p w14:paraId="467B643D"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Según la Cámara Colombiana de Infraestructura quienes se identifican como </w:t>
      </w:r>
      <w:r w:rsidRPr="00D06AD7">
        <w:rPr>
          <w:rFonts w:ascii="Arial Narrow" w:hAnsi="Arial Narrow" w:cs="Arial"/>
          <w:b/>
          <w:i/>
          <w:iCs/>
          <w:sz w:val="22"/>
          <w:szCs w:val="22"/>
        </w:rPr>
        <w:t>CONSULTORES- INTERVENTORES</w:t>
      </w:r>
      <w:r w:rsidRPr="00D06AD7">
        <w:rPr>
          <w:rFonts w:ascii="Arial Narrow" w:hAnsi="Arial Narrow" w:cs="Arial"/>
          <w:bCs/>
          <w:sz w:val="22"/>
          <w:szCs w:val="22"/>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D06AD7">
        <w:rPr>
          <w:rFonts w:ascii="Arial Narrow" w:hAnsi="Arial Narrow" w:cs="Arial"/>
          <w:b/>
          <w:i/>
          <w:iCs/>
          <w:sz w:val="22"/>
          <w:szCs w:val="22"/>
        </w:rPr>
        <w:t>industria del conocimiento</w:t>
      </w:r>
      <w:r w:rsidRPr="00D06AD7">
        <w:rPr>
          <w:rFonts w:ascii="Arial Narrow" w:hAnsi="Arial Narrow" w:cs="Arial"/>
          <w:bCs/>
          <w:i/>
          <w:iCs/>
          <w:sz w:val="22"/>
          <w:szCs w:val="22"/>
        </w:rPr>
        <w:t xml:space="preserve"> </w:t>
      </w:r>
      <w:r w:rsidRPr="00D06AD7">
        <w:rPr>
          <w:rFonts w:ascii="Arial Narrow" w:hAnsi="Arial Narrow" w:cs="Arial"/>
          <w:bCs/>
          <w:sz w:val="22"/>
          <w:szCs w:val="22"/>
        </w:rPr>
        <w:t xml:space="preserve">dentro del sector. </w:t>
      </w:r>
    </w:p>
    <w:p w14:paraId="06C15440" w14:textId="77777777" w:rsidR="00FC6BCA" w:rsidRPr="00D06AD7" w:rsidRDefault="00FC6BCA" w:rsidP="00FC6BCA">
      <w:pPr>
        <w:jc w:val="both"/>
        <w:rPr>
          <w:rFonts w:ascii="Arial Narrow" w:hAnsi="Arial Narrow" w:cs="Arial"/>
          <w:bCs/>
          <w:sz w:val="22"/>
          <w:szCs w:val="22"/>
        </w:rPr>
      </w:pPr>
    </w:p>
    <w:p w14:paraId="41C9D7CB"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D06AD7">
        <w:rPr>
          <w:rFonts w:ascii="Arial Narrow" w:hAnsi="Arial Narrow" w:cs="Arial"/>
          <w:b/>
          <w:i/>
          <w:iCs/>
          <w:sz w:val="22"/>
          <w:szCs w:val="22"/>
        </w:rPr>
        <w:t>CONSULTORES</w:t>
      </w:r>
      <w:r w:rsidRPr="00D06AD7">
        <w:rPr>
          <w:rFonts w:ascii="Arial Narrow" w:hAnsi="Arial Narrow" w:cs="Arial"/>
          <w:bCs/>
          <w:i/>
          <w:iCs/>
          <w:sz w:val="22"/>
          <w:szCs w:val="22"/>
        </w:rPr>
        <w:t xml:space="preserve"> </w:t>
      </w:r>
      <w:r w:rsidRPr="00D06AD7">
        <w:rPr>
          <w:rFonts w:ascii="Arial Narrow" w:hAnsi="Arial Narrow" w:cs="Arial"/>
          <w:bCs/>
          <w:sz w:val="22"/>
          <w:szCs w:val="22"/>
        </w:rPr>
        <w:t xml:space="preserve">son responsables de apoyar en la toma de decisiones para realizar una adecuada ejecución del proyecto, lo que lo cataloga como el garante de la calidad de una obra de ingeniería. </w:t>
      </w:r>
    </w:p>
    <w:p w14:paraId="77685797" w14:textId="77777777" w:rsidR="00FC6BCA" w:rsidRPr="00D06AD7" w:rsidRDefault="00FC6BCA" w:rsidP="00FC6BCA">
      <w:pPr>
        <w:jc w:val="both"/>
        <w:rPr>
          <w:rFonts w:ascii="Arial Narrow" w:hAnsi="Arial Narrow" w:cs="Arial"/>
          <w:bCs/>
          <w:sz w:val="22"/>
          <w:szCs w:val="22"/>
        </w:rPr>
      </w:pPr>
    </w:p>
    <w:p w14:paraId="78F53BAE"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“La Consultoría es un servicio de alto valor agregado, que no cuesta mucho con respecto al costo total de la obra, y que ayuda a ahorrar recursos, problemas, demoras, sobrecostos e incertidumbres.” (Cámara Colombiana de Infraestructura 2015).</w:t>
      </w:r>
    </w:p>
    <w:p w14:paraId="72FF7DEA" w14:textId="77777777" w:rsidR="00FC6BCA" w:rsidRPr="00D06AD7" w:rsidRDefault="00FC6BCA" w:rsidP="00FC6BCA">
      <w:pPr>
        <w:jc w:val="both"/>
        <w:rPr>
          <w:rFonts w:ascii="Arial Narrow" w:hAnsi="Arial Narrow" w:cs="Arial"/>
          <w:bCs/>
          <w:sz w:val="22"/>
          <w:szCs w:val="22"/>
        </w:rPr>
      </w:pPr>
    </w:p>
    <w:p w14:paraId="4E8E7603"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4A52429B" w14:textId="77777777" w:rsidR="00FC6BCA" w:rsidRPr="00D06AD7" w:rsidRDefault="00FC6BCA" w:rsidP="00FC6BCA">
      <w:pPr>
        <w:jc w:val="both"/>
        <w:rPr>
          <w:rFonts w:ascii="Arial Narrow" w:hAnsi="Arial Narrow" w:cs="Arial"/>
          <w:bCs/>
          <w:sz w:val="22"/>
          <w:szCs w:val="22"/>
        </w:rPr>
      </w:pPr>
    </w:p>
    <w:p w14:paraId="50D2154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En lo que se refiere a la oferta nacional se toma como base, sin limitarse a ella, el número de empresas clasificadas en el sector de SERVICIOS </w:t>
      </w:r>
      <w:r w:rsidRPr="00D06AD7">
        <w:rPr>
          <w:rFonts w:ascii="Arial Narrow" w:hAnsi="Arial Narrow" w:cs="Arial"/>
          <w:b/>
          <w:sz w:val="22"/>
          <w:szCs w:val="22"/>
        </w:rPr>
        <w:t>“Actividades de Arquitectura e Ingeniería y actividades de consultoría”</w:t>
      </w:r>
      <w:r w:rsidRPr="00D06AD7">
        <w:rPr>
          <w:rFonts w:ascii="Arial Narrow" w:hAnsi="Arial Narrow" w:cs="Arial"/>
          <w:bCs/>
          <w:sz w:val="22"/>
          <w:szCs w:val="22"/>
        </w:rPr>
        <w:t xml:space="preserve"> y que se encuentran registradas en el portal de Información Empresarial, SIIS de Supersociedades, el cual presenta los estados financieros con corte a 31 de diciembre de cada año que son suministrados por las empresas que se encuentran </w:t>
      </w:r>
      <w:r w:rsidRPr="00D06AD7">
        <w:rPr>
          <w:rFonts w:ascii="Arial Narrow" w:hAnsi="Arial Narrow" w:cs="Arial"/>
          <w:bCs/>
          <w:sz w:val="22"/>
          <w:szCs w:val="22"/>
        </w:rPr>
        <w:lastRenderedPageBreak/>
        <w:t>sometidas a vigilancia, control e inspección por la. Superintendencia de Sociedades y que pertenecen al sector real de la economía con estados financieros reportados a 31 de diciembre de 2021.</w:t>
      </w:r>
    </w:p>
    <w:p w14:paraId="2686AD31" w14:textId="77777777" w:rsidR="00FC6BCA" w:rsidRPr="00D06AD7" w:rsidRDefault="00FC6BCA" w:rsidP="00FC6BCA">
      <w:pPr>
        <w:jc w:val="both"/>
        <w:rPr>
          <w:rFonts w:ascii="Arial Narrow" w:hAnsi="Arial Narrow" w:cs="Arial"/>
          <w:bCs/>
          <w:sz w:val="22"/>
          <w:szCs w:val="22"/>
        </w:rPr>
      </w:pPr>
    </w:p>
    <w:p w14:paraId="17AF0253" w14:textId="77777777" w:rsidR="00FC6BCA" w:rsidRPr="00D06AD7" w:rsidRDefault="00FC6BCA" w:rsidP="00EC17FC">
      <w:pPr>
        <w:numPr>
          <w:ilvl w:val="2"/>
          <w:numId w:val="27"/>
        </w:numPr>
        <w:ind w:left="709"/>
        <w:jc w:val="both"/>
        <w:rPr>
          <w:rFonts w:ascii="Arial Narrow" w:hAnsi="Arial Narrow" w:cs="Arial"/>
          <w:b/>
          <w:sz w:val="22"/>
          <w:szCs w:val="22"/>
        </w:rPr>
      </w:pPr>
      <w:r w:rsidRPr="00D06AD7">
        <w:rPr>
          <w:rFonts w:ascii="Arial Narrow" w:hAnsi="Arial Narrow" w:cs="Arial"/>
          <w:b/>
          <w:sz w:val="22"/>
          <w:szCs w:val="22"/>
        </w:rPr>
        <w:t>ANALISIS DEL SECTOR DE LAS CARACTERISTICAS DE LAS EMPRESAS QUE PUEDEN OFRECER SUS SERVICIOS PARA DESARROLLAR EL CONTRATO QUE SE PRETENDE CELEBRAR</w:t>
      </w:r>
    </w:p>
    <w:p w14:paraId="2FF8F59B" w14:textId="77777777" w:rsidR="00FC6BCA" w:rsidRPr="00D06AD7" w:rsidRDefault="00FC6BCA" w:rsidP="00FC6BCA">
      <w:pPr>
        <w:jc w:val="both"/>
        <w:rPr>
          <w:rFonts w:ascii="Arial Narrow" w:hAnsi="Arial Narrow" w:cs="Arial"/>
          <w:bCs/>
          <w:sz w:val="22"/>
          <w:szCs w:val="22"/>
        </w:rPr>
      </w:pPr>
    </w:p>
    <w:p w14:paraId="7CF311C6"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De acuerdo con el análisis del sector adelantado por la Superintendencia de Sociedades, contenido en el Documento </w:t>
      </w:r>
      <w:r w:rsidRPr="00D06AD7">
        <w:rPr>
          <w:rFonts w:ascii="Arial Narrow" w:hAnsi="Arial Narrow" w:cs="Arial"/>
          <w:b/>
          <w:sz w:val="22"/>
          <w:szCs w:val="22"/>
        </w:rPr>
        <w:t>“DESEMPEÑO DEL SECTOR INFRAESTRUCTURA DE TRANSPORTE”</w:t>
      </w:r>
      <w:r w:rsidRPr="00D06AD7">
        <w:rPr>
          <w:rFonts w:ascii="Arial Narrow" w:hAnsi="Arial Narrow" w:cs="Arial"/>
          <w:bCs/>
          <w:sz w:val="22"/>
          <w:szCs w:val="22"/>
        </w:rPr>
        <w:t>, de autoría de la Superintendencia de Sociedades 2021, se tiene que en relación con las empresas que se catalogan como consultores en el sector de la Infraestructura, a quienes va dirigido el presente proceso de selección, presentan el siguiente desarrollo financiero durante los últimos años.</w:t>
      </w:r>
    </w:p>
    <w:p w14:paraId="13FDCA4D" w14:textId="77777777" w:rsidR="00FC6BCA" w:rsidRPr="00D06AD7" w:rsidRDefault="00FC6BCA" w:rsidP="00FC6BCA">
      <w:pPr>
        <w:jc w:val="both"/>
        <w:rPr>
          <w:rFonts w:ascii="Arial Narrow" w:hAnsi="Arial Narrow" w:cs="Arial"/>
          <w:bCs/>
          <w:sz w:val="22"/>
          <w:szCs w:val="22"/>
        </w:rPr>
      </w:pPr>
    </w:p>
    <w:p w14:paraId="0A4698B5" w14:textId="77777777" w:rsidR="00FC6BCA" w:rsidRPr="00D06AD7" w:rsidRDefault="00FC6BCA" w:rsidP="00EC17FC">
      <w:pPr>
        <w:numPr>
          <w:ilvl w:val="3"/>
          <w:numId w:val="27"/>
        </w:numPr>
        <w:ind w:left="1134"/>
        <w:jc w:val="both"/>
        <w:rPr>
          <w:rFonts w:ascii="Arial Narrow" w:hAnsi="Arial Narrow" w:cs="Arial"/>
          <w:b/>
          <w:sz w:val="22"/>
          <w:szCs w:val="22"/>
        </w:rPr>
      </w:pPr>
      <w:r w:rsidRPr="00D06AD7">
        <w:rPr>
          <w:rFonts w:ascii="Arial Narrow" w:hAnsi="Arial Narrow" w:cs="Arial"/>
          <w:b/>
          <w:sz w:val="22"/>
          <w:szCs w:val="22"/>
        </w:rPr>
        <w:t>ANÁLISIS OPERATIVO</w:t>
      </w:r>
    </w:p>
    <w:p w14:paraId="515D1C16" w14:textId="77777777" w:rsidR="00FC6BCA" w:rsidRPr="00D06AD7" w:rsidRDefault="00FC6BCA" w:rsidP="00FC6BCA">
      <w:pPr>
        <w:jc w:val="both"/>
        <w:rPr>
          <w:rFonts w:ascii="Arial Narrow" w:hAnsi="Arial Narrow" w:cs="Arial"/>
          <w:bCs/>
          <w:sz w:val="22"/>
          <w:szCs w:val="22"/>
        </w:rPr>
      </w:pPr>
    </w:p>
    <w:p w14:paraId="7C0B6B01" w14:textId="28C2510C"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El comportamiento de las empresas que se clasificaron como CONSULTORES permite observar que representó un </w:t>
      </w:r>
      <w:r w:rsidR="00CC0E39" w:rsidRPr="00D06AD7">
        <w:rPr>
          <w:rFonts w:ascii="Arial Narrow" w:hAnsi="Arial Narrow" w:cs="Arial"/>
          <w:bCs/>
          <w:sz w:val="22"/>
          <w:szCs w:val="22"/>
        </w:rPr>
        <w:t>aument</w:t>
      </w:r>
      <w:r w:rsidR="00CC0E39">
        <w:rPr>
          <w:rFonts w:ascii="Arial Narrow" w:hAnsi="Arial Narrow" w:cs="Arial"/>
          <w:bCs/>
          <w:sz w:val="22"/>
          <w:szCs w:val="22"/>
        </w:rPr>
        <w:t>o</w:t>
      </w:r>
      <w:r w:rsidRPr="00D06AD7">
        <w:rPr>
          <w:rFonts w:ascii="Arial Narrow" w:hAnsi="Arial Narrow" w:cs="Arial"/>
          <w:bCs/>
          <w:sz w:val="22"/>
          <w:szCs w:val="22"/>
        </w:rPr>
        <w:t xml:space="preserve"> en el año 2022 frente al periodo de 2021.</w:t>
      </w:r>
    </w:p>
    <w:p w14:paraId="5D14FE99" w14:textId="77777777" w:rsidR="00FC6BCA" w:rsidRPr="00D06AD7" w:rsidRDefault="00FC6BCA" w:rsidP="00FC6BCA">
      <w:pPr>
        <w:jc w:val="both"/>
        <w:rPr>
          <w:rFonts w:ascii="Arial Narrow" w:hAnsi="Arial Narrow" w:cs="Arial"/>
          <w:bCs/>
          <w:sz w:val="22"/>
          <w:szCs w:val="22"/>
        </w:rPr>
      </w:pPr>
    </w:p>
    <w:p w14:paraId="09780987" w14:textId="77777777" w:rsidR="00FC6BCA" w:rsidRPr="00D06AD7" w:rsidRDefault="00FC6BCA" w:rsidP="00FC6BCA">
      <w:pPr>
        <w:autoSpaceDE w:val="0"/>
        <w:autoSpaceDN w:val="0"/>
        <w:adjustRightInd w:val="0"/>
        <w:rPr>
          <w:rFonts w:ascii="Arial Narrow" w:eastAsiaTheme="minorHAnsi" w:hAnsi="Arial Narrow" w:cs="LMSans10-Bold"/>
          <w:b/>
          <w:bCs/>
          <w:sz w:val="22"/>
          <w:szCs w:val="22"/>
          <w:lang w:eastAsia="en-US"/>
        </w:rPr>
      </w:pPr>
      <w:r w:rsidRPr="00D06AD7">
        <w:rPr>
          <w:rFonts w:ascii="Arial Narrow" w:eastAsiaTheme="minorHAnsi" w:hAnsi="Arial Narrow" w:cs="LMSans10-Bold"/>
          <w:b/>
          <w:bCs/>
          <w:sz w:val="22"/>
          <w:szCs w:val="22"/>
          <w:lang w:eastAsia="en-US"/>
        </w:rPr>
        <w:t>Conclusiones de Estado de Situación Financiera:</w:t>
      </w:r>
    </w:p>
    <w:p w14:paraId="5D1240A1" w14:textId="77777777" w:rsidR="00FC6BCA" w:rsidRPr="00D06AD7" w:rsidRDefault="00FC6BCA" w:rsidP="00FC6BCA">
      <w:pPr>
        <w:autoSpaceDE w:val="0"/>
        <w:autoSpaceDN w:val="0"/>
        <w:adjustRightInd w:val="0"/>
        <w:rPr>
          <w:rFonts w:ascii="Arial Narrow" w:eastAsiaTheme="minorHAnsi" w:hAnsi="Arial Narrow" w:cs="LMSans10-Bold"/>
          <w:b/>
          <w:bCs/>
          <w:sz w:val="22"/>
          <w:szCs w:val="22"/>
          <w:lang w:eastAsia="en-US"/>
        </w:rPr>
      </w:pPr>
    </w:p>
    <w:p w14:paraId="2046505C"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tasa de crecimiento promedio (5 años) del patrimonio ha sido 7.79 %. En 2022 fue de 11.63 %.</w:t>
      </w:r>
    </w:p>
    <w:p w14:paraId="4485942A"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tasa de crecimiento promedio (5 años) del activo ha sido 10.49 %. En 2022 fue de 19.08 %.</w:t>
      </w:r>
    </w:p>
    <w:p w14:paraId="5391F8AE"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tasa de crecimiento promedio (5 años) del pasivo ha sido 13.56 %. En 2022 fue de 27.18 %.</w:t>
      </w:r>
    </w:p>
    <w:p w14:paraId="21FE1ADB"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razón de apalancamiento se encuentra en 0.9 en promedio, lo que sugiere que las sociedades</w:t>
      </w:r>
    </w:p>
    <w:p w14:paraId="2C590FC3"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Arial Narrow" w:hAnsi="Arial Narrow" w:cs="Arial"/>
          <w:bCs/>
          <w:sz w:val="22"/>
          <w:szCs w:val="22"/>
        </w:rPr>
        <w:t>están usando más patrimonio (52 %) que pasivo (48 %), para solventar sus activos.</w:t>
      </w:r>
    </w:p>
    <w:p w14:paraId="6FBE7B43" w14:textId="77777777" w:rsidR="00FC6BCA" w:rsidRPr="00D06AD7" w:rsidRDefault="00FC6BCA" w:rsidP="00FC6BCA">
      <w:pPr>
        <w:autoSpaceDE w:val="0"/>
        <w:autoSpaceDN w:val="0"/>
        <w:adjustRightInd w:val="0"/>
        <w:rPr>
          <w:rFonts w:ascii="Arial Narrow" w:hAnsi="Arial Narrow" w:cs="Arial"/>
          <w:bCs/>
          <w:sz w:val="22"/>
          <w:szCs w:val="22"/>
        </w:rPr>
      </w:pPr>
    </w:p>
    <w:p w14:paraId="798BA7DB" w14:textId="77777777" w:rsidR="00FC6BCA" w:rsidRPr="00D06AD7" w:rsidRDefault="00FC6BCA" w:rsidP="00FC6BCA">
      <w:pPr>
        <w:autoSpaceDE w:val="0"/>
        <w:autoSpaceDN w:val="0"/>
        <w:adjustRightInd w:val="0"/>
        <w:rPr>
          <w:rFonts w:ascii="Arial Narrow" w:hAnsi="Arial Narrow" w:cs="Arial"/>
          <w:b/>
          <w:sz w:val="22"/>
          <w:szCs w:val="22"/>
        </w:rPr>
      </w:pPr>
      <w:r w:rsidRPr="00D06AD7">
        <w:rPr>
          <w:rFonts w:ascii="Arial Narrow" w:hAnsi="Arial Narrow" w:cs="Arial"/>
          <w:b/>
          <w:sz w:val="22"/>
          <w:szCs w:val="22"/>
        </w:rPr>
        <w:t>Conclusiones de Estado de Resultado Integral:</w:t>
      </w:r>
    </w:p>
    <w:p w14:paraId="7DB379C3" w14:textId="77777777" w:rsidR="00FC6BCA" w:rsidRPr="00D06AD7" w:rsidRDefault="00FC6BCA" w:rsidP="00FC6BCA">
      <w:pPr>
        <w:autoSpaceDE w:val="0"/>
        <w:autoSpaceDN w:val="0"/>
        <w:adjustRightInd w:val="0"/>
        <w:rPr>
          <w:rFonts w:ascii="Arial Narrow" w:hAnsi="Arial Narrow" w:cs="Arial"/>
          <w:b/>
          <w:sz w:val="22"/>
          <w:szCs w:val="22"/>
        </w:rPr>
      </w:pPr>
    </w:p>
    <w:p w14:paraId="69531BC2" w14:textId="77777777" w:rsidR="00FC6BCA" w:rsidRPr="00D06AD7" w:rsidRDefault="00FC6BCA" w:rsidP="00FC6BCA">
      <w:pPr>
        <w:autoSpaceDE w:val="0"/>
        <w:autoSpaceDN w:val="0"/>
        <w:adjustRightInd w:val="0"/>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Los ingresos operacionales presentaron una variación de 34% en 2022; así mismo, la utilidad (Ganancia/</w:t>
      </w:r>
    </w:p>
    <w:p w14:paraId="345CCD4D"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Pérdida) varió en 40.8% en el mismo periodo. </w:t>
      </w:r>
    </w:p>
    <w:p w14:paraId="673CC50F" w14:textId="77777777" w:rsidR="00FC6BCA" w:rsidRPr="00D06AD7" w:rsidRDefault="00FC6BCA" w:rsidP="00FC6BCA">
      <w:pPr>
        <w:jc w:val="both"/>
        <w:rPr>
          <w:rFonts w:ascii="Arial Narrow" w:hAnsi="Arial Narrow" w:cs="Arial"/>
          <w:bCs/>
          <w:sz w:val="22"/>
          <w:szCs w:val="22"/>
        </w:rPr>
      </w:pPr>
    </w:p>
    <w:p w14:paraId="2160B23C"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Conclusiones de Rentabilidad:</w:t>
      </w:r>
    </w:p>
    <w:p w14:paraId="15A25CD9" w14:textId="77777777" w:rsidR="00FC6BCA" w:rsidRPr="00D06AD7" w:rsidRDefault="00FC6BCA" w:rsidP="00FC6BCA">
      <w:pPr>
        <w:jc w:val="both"/>
        <w:rPr>
          <w:rFonts w:ascii="Arial Narrow" w:hAnsi="Arial Narrow" w:cs="Arial"/>
          <w:b/>
          <w:sz w:val="22"/>
          <w:szCs w:val="22"/>
        </w:rPr>
      </w:pPr>
    </w:p>
    <w:p w14:paraId="10D0BB64"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rentabilidad del patrimonio, ROE, ha sido 13% en promedio en los </w:t>
      </w:r>
      <w:r w:rsidRPr="00D06AD7">
        <w:rPr>
          <w:rFonts w:ascii="Arial Narrow" w:hAnsi="Arial Narrow" w:cs="Arial Narrow"/>
          <w:bCs/>
          <w:sz w:val="22"/>
          <w:szCs w:val="22"/>
        </w:rPr>
        <w:t>ú</w:t>
      </w:r>
      <w:r w:rsidRPr="00D06AD7">
        <w:rPr>
          <w:rFonts w:ascii="Arial Narrow" w:hAnsi="Arial Narrow" w:cs="Arial"/>
          <w:bCs/>
          <w:sz w:val="22"/>
          <w:szCs w:val="22"/>
        </w:rPr>
        <w:t>ltimos cinco a</w:t>
      </w:r>
      <w:r w:rsidRPr="00D06AD7">
        <w:rPr>
          <w:rFonts w:ascii="Arial Narrow" w:hAnsi="Arial Narrow" w:cs="Arial Narrow"/>
          <w:bCs/>
          <w:sz w:val="22"/>
          <w:szCs w:val="22"/>
        </w:rPr>
        <w:t>ñ</w:t>
      </w:r>
      <w:r w:rsidRPr="00D06AD7">
        <w:rPr>
          <w:rFonts w:ascii="Arial Narrow" w:hAnsi="Arial Narrow" w:cs="Arial"/>
          <w:bCs/>
          <w:sz w:val="22"/>
          <w:szCs w:val="22"/>
        </w:rPr>
        <w:t>os y cerr</w:t>
      </w:r>
      <w:r w:rsidRPr="00D06AD7">
        <w:rPr>
          <w:rFonts w:ascii="Arial Narrow" w:hAnsi="Arial Narrow" w:cs="Arial Narrow"/>
          <w:bCs/>
          <w:sz w:val="22"/>
          <w:szCs w:val="22"/>
        </w:rPr>
        <w:t xml:space="preserve">ó </w:t>
      </w:r>
      <w:r w:rsidRPr="00D06AD7">
        <w:rPr>
          <w:rFonts w:ascii="Arial Narrow" w:hAnsi="Arial Narrow" w:cs="Arial"/>
          <w:bCs/>
          <w:sz w:val="22"/>
          <w:szCs w:val="22"/>
        </w:rPr>
        <w:t>2022 en 18.1 %.</w:t>
      </w:r>
    </w:p>
    <w:p w14:paraId="32B1948A"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rentabilidad del activo, ROA, ha sido 6.7% en promedio en los últimos cinco años y cerró 2022 en 8.8 %.</w:t>
      </w:r>
    </w:p>
    <w:p w14:paraId="619C4839"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El margen neto ha sido 9.5% en promedio en los </w:t>
      </w:r>
      <w:r w:rsidRPr="00D06AD7">
        <w:rPr>
          <w:rFonts w:ascii="Arial Narrow" w:hAnsi="Arial Narrow" w:cs="Arial Narrow"/>
          <w:bCs/>
          <w:sz w:val="22"/>
          <w:szCs w:val="22"/>
        </w:rPr>
        <w:t>ú</w:t>
      </w:r>
      <w:r w:rsidRPr="00D06AD7">
        <w:rPr>
          <w:rFonts w:ascii="Arial Narrow" w:hAnsi="Arial Narrow" w:cs="Arial"/>
          <w:bCs/>
          <w:sz w:val="22"/>
          <w:szCs w:val="22"/>
        </w:rPr>
        <w:t>ltimos cinco a</w:t>
      </w:r>
      <w:r w:rsidRPr="00D06AD7">
        <w:rPr>
          <w:rFonts w:ascii="Arial Narrow" w:hAnsi="Arial Narrow" w:cs="Arial Narrow"/>
          <w:bCs/>
          <w:sz w:val="22"/>
          <w:szCs w:val="22"/>
        </w:rPr>
        <w:t>ñ</w:t>
      </w:r>
      <w:r w:rsidRPr="00D06AD7">
        <w:rPr>
          <w:rFonts w:ascii="Arial Narrow" w:hAnsi="Arial Narrow" w:cs="Arial"/>
          <w:bCs/>
          <w:sz w:val="22"/>
          <w:szCs w:val="22"/>
        </w:rPr>
        <w:t>os y cerr</w:t>
      </w:r>
      <w:r w:rsidRPr="00D06AD7">
        <w:rPr>
          <w:rFonts w:ascii="Arial Narrow" w:hAnsi="Arial Narrow" w:cs="Arial Narrow"/>
          <w:bCs/>
          <w:sz w:val="22"/>
          <w:szCs w:val="22"/>
        </w:rPr>
        <w:t>ó</w:t>
      </w:r>
      <w:r w:rsidRPr="00D06AD7">
        <w:rPr>
          <w:rFonts w:ascii="Arial Narrow" w:hAnsi="Arial Narrow" w:cs="Arial"/>
          <w:bCs/>
          <w:sz w:val="22"/>
          <w:szCs w:val="22"/>
        </w:rPr>
        <w:t xml:space="preserve"> 2022 en 11.3 %. Esto significa que, en consolidado, por cada $100 de ingresos se obtienen $11.3 de ganancia.</w:t>
      </w:r>
    </w:p>
    <w:p w14:paraId="438BA798"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Las p</w:t>
      </w:r>
      <w:r w:rsidRPr="00D06AD7">
        <w:rPr>
          <w:rFonts w:ascii="Arial Narrow" w:hAnsi="Arial Narrow" w:cs="Arial Narrow"/>
          <w:bCs/>
          <w:sz w:val="22"/>
          <w:szCs w:val="22"/>
        </w:rPr>
        <w:t>é</w:t>
      </w:r>
      <w:r w:rsidRPr="00D06AD7">
        <w:rPr>
          <w:rFonts w:ascii="Arial Narrow" w:hAnsi="Arial Narrow" w:cs="Arial"/>
          <w:bCs/>
          <w:sz w:val="22"/>
          <w:szCs w:val="22"/>
        </w:rPr>
        <w:t>rdidas reportadas se ubicaron en $10.5 billones en 2022, lo cual signific</w:t>
      </w:r>
      <w:r w:rsidRPr="00D06AD7">
        <w:rPr>
          <w:rFonts w:ascii="Arial Narrow" w:hAnsi="Arial Narrow" w:cs="Arial Narrow"/>
          <w:bCs/>
          <w:sz w:val="22"/>
          <w:szCs w:val="22"/>
        </w:rPr>
        <w:t>ó</w:t>
      </w:r>
      <w:r w:rsidRPr="00D06AD7">
        <w:rPr>
          <w:rFonts w:ascii="Arial Narrow" w:hAnsi="Arial Narrow" w:cs="Arial"/>
          <w:bCs/>
          <w:sz w:val="22"/>
          <w:szCs w:val="22"/>
        </w:rPr>
        <w:t xml:space="preserve"> un incremento de $0.7 billones entre 2021 y 2022. Además, se incrementó en 19 el número de sociedades que las declaran, pues pasó de 120 en 2021 a 139 en 2022. </w:t>
      </w:r>
    </w:p>
    <w:p w14:paraId="5FA959D8" w14:textId="77777777" w:rsidR="00FC6BCA" w:rsidRPr="00D06AD7" w:rsidRDefault="00FC6BCA" w:rsidP="00FC6BCA">
      <w:pPr>
        <w:jc w:val="both"/>
        <w:rPr>
          <w:rFonts w:ascii="Arial Narrow" w:hAnsi="Arial Narrow" w:cs="Arial"/>
          <w:bCs/>
          <w:sz w:val="22"/>
          <w:szCs w:val="22"/>
        </w:rPr>
      </w:pPr>
    </w:p>
    <w:p w14:paraId="7EE89552"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Conclusiones sobre el PIB:</w:t>
      </w:r>
    </w:p>
    <w:p w14:paraId="3BB57389" w14:textId="77777777" w:rsidR="00FC6BCA" w:rsidRPr="00D06AD7" w:rsidRDefault="00FC6BCA" w:rsidP="00FC6BCA">
      <w:pPr>
        <w:jc w:val="both"/>
        <w:rPr>
          <w:rFonts w:ascii="Arial Narrow" w:hAnsi="Arial Narrow" w:cs="Arial"/>
          <w:bCs/>
          <w:sz w:val="22"/>
          <w:szCs w:val="22"/>
        </w:rPr>
      </w:pPr>
    </w:p>
    <w:p w14:paraId="3B1E1547"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El crecimiento de los ingresos operacionales de las 1.000 sociedades fueron superlativos (30.3 %),</w:t>
      </w:r>
    </w:p>
    <w:p w14:paraId="0C231BB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representando casi 2 veces el crecimiento nominal de la economía (17.8 %) en 2021.</w:t>
      </w:r>
    </w:p>
    <w:p w14:paraId="39EAE391"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lastRenderedPageBreak/>
        <w:t>▶</w:t>
      </w:r>
      <w:r w:rsidRPr="00D06AD7">
        <w:rPr>
          <w:rFonts w:ascii="Arial Narrow" w:hAnsi="Arial Narrow" w:cs="Arial"/>
          <w:bCs/>
          <w:sz w:val="22"/>
          <w:szCs w:val="22"/>
        </w:rPr>
        <w:t xml:space="preserve"> Los activos de las 1.000 sociedades más grandes totalizaron $1552 billones, $88 más que el PIB de 2022 que se ubicó en $1464 billones.</w:t>
      </w:r>
    </w:p>
    <w:p w14:paraId="03291256"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En total se reportaron $1217 billones en ingresos operacionales, lo que equivale a 83% del PIB, mientras que las ganancias alcanzaron $137 billones (9% del PIB).</w:t>
      </w:r>
    </w:p>
    <w:p w14:paraId="59B12CDB" w14:textId="77777777" w:rsidR="00FC6BCA" w:rsidRPr="00D06AD7" w:rsidRDefault="00FC6BCA" w:rsidP="00FC6BCA">
      <w:pPr>
        <w:jc w:val="both"/>
        <w:rPr>
          <w:rFonts w:ascii="Arial Narrow" w:hAnsi="Arial Narrow" w:cs="Arial"/>
          <w:bCs/>
          <w:sz w:val="22"/>
          <w:szCs w:val="22"/>
        </w:rPr>
      </w:pPr>
    </w:p>
    <w:p w14:paraId="7D12AF90"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Conclusiones regionales:</w:t>
      </w:r>
    </w:p>
    <w:p w14:paraId="50E62EA2" w14:textId="77777777" w:rsidR="00FC6BCA" w:rsidRPr="00D06AD7" w:rsidRDefault="00FC6BCA" w:rsidP="00FC6BCA">
      <w:pPr>
        <w:jc w:val="both"/>
        <w:rPr>
          <w:rFonts w:ascii="Arial Narrow" w:hAnsi="Arial Narrow" w:cs="Arial"/>
          <w:b/>
          <w:sz w:val="22"/>
          <w:szCs w:val="22"/>
        </w:rPr>
      </w:pPr>
    </w:p>
    <w:p w14:paraId="2997D87E"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En la regi</w:t>
      </w:r>
      <w:r w:rsidRPr="00D06AD7">
        <w:rPr>
          <w:rFonts w:ascii="Arial Narrow" w:hAnsi="Arial Narrow" w:cs="Arial Narrow"/>
          <w:bCs/>
          <w:sz w:val="22"/>
          <w:szCs w:val="22"/>
        </w:rPr>
        <w:t>ó</w:t>
      </w:r>
      <w:r w:rsidRPr="00D06AD7">
        <w:rPr>
          <w:rFonts w:ascii="Arial Narrow" w:hAnsi="Arial Narrow" w:cs="Arial"/>
          <w:bCs/>
          <w:sz w:val="22"/>
          <w:szCs w:val="22"/>
        </w:rPr>
        <w:t>n Bogot</w:t>
      </w:r>
      <w:r w:rsidRPr="00D06AD7">
        <w:rPr>
          <w:rFonts w:ascii="Arial Narrow" w:hAnsi="Arial Narrow" w:cs="Arial Narrow"/>
          <w:bCs/>
          <w:sz w:val="22"/>
          <w:szCs w:val="22"/>
        </w:rPr>
        <w:t>á</w:t>
      </w:r>
      <w:r w:rsidRPr="00D06AD7">
        <w:rPr>
          <w:rFonts w:ascii="Arial Narrow" w:hAnsi="Arial Narrow" w:cs="Arial"/>
          <w:bCs/>
          <w:sz w:val="22"/>
          <w:szCs w:val="22"/>
        </w:rPr>
        <w:t xml:space="preserve"> - Cundinamarca se domicilian 535 sociedades, estas aportan 65.5% ($797 Billones) del total de ingresos operacionales. En Antioquia se domicilian 185 sociedades que aportan 15% ($182.1 Billones) de ingresos operacionales.</w:t>
      </w:r>
    </w:p>
    <w:p w14:paraId="415912DE"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Los activos de las sociedades de Bogot</w:t>
      </w:r>
      <w:r w:rsidRPr="00D06AD7">
        <w:rPr>
          <w:rFonts w:ascii="Arial Narrow" w:hAnsi="Arial Narrow" w:cs="Arial Narrow"/>
          <w:bCs/>
          <w:sz w:val="22"/>
          <w:szCs w:val="22"/>
        </w:rPr>
        <w:t>á</w:t>
      </w:r>
      <w:r w:rsidRPr="00D06AD7">
        <w:rPr>
          <w:rFonts w:ascii="Arial Narrow" w:hAnsi="Arial Narrow" w:cs="Arial"/>
          <w:bCs/>
          <w:sz w:val="22"/>
          <w:szCs w:val="22"/>
        </w:rPr>
        <w:t xml:space="preserve"> - Cundinamarca y Antioquia suman $1303 billones y su patrimonio $636 Billones </w:t>
      </w:r>
    </w:p>
    <w:p w14:paraId="1135B83A" w14:textId="77777777" w:rsidR="00FC6BCA" w:rsidRPr="00D06AD7" w:rsidRDefault="00FC6BCA" w:rsidP="00FC6BCA">
      <w:pPr>
        <w:jc w:val="both"/>
        <w:rPr>
          <w:rFonts w:ascii="Arial Narrow" w:hAnsi="Arial Narrow" w:cs="Arial"/>
          <w:bCs/>
          <w:sz w:val="22"/>
          <w:szCs w:val="22"/>
        </w:rPr>
      </w:pPr>
    </w:p>
    <w:p w14:paraId="54E939EC"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Conclusiones sectoriales:</w:t>
      </w:r>
    </w:p>
    <w:p w14:paraId="125FFD10" w14:textId="77777777" w:rsidR="00FC6BCA" w:rsidRPr="00D06AD7" w:rsidRDefault="00FC6BCA" w:rsidP="00FC6BCA">
      <w:pPr>
        <w:jc w:val="both"/>
        <w:rPr>
          <w:rFonts w:ascii="Arial Narrow" w:hAnsi="Arial Narrow" w:cs="Arial"/>
          <w:b/>
          <w:sz w:val="22"/>
          <w:szCs w:val="22"/>
        </w:rPr>
      </w:pPr>
    </w:p>
    <w:p w14:paraId="077BF8A0"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Los macrosectores comercio y servicios aportan la mayoría de los ingresos operacionales $339 y $301 billones, respectivamente, un total de 27.9% comercio y 24.7% servicios.</w:t>
      </w:r>
    </w:p>
    <w:p w14:paraId="39FDD33D"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La mayor rentabilidad por patrimonio y activos se presenta en el sector minero-hidrocarburos con 39.6% y 17.9 %, respectivamente.</w:t>
      </w:r>
    </w:p>
    <w:p w14:paraId="599D9F14"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El sector servicios es el más grande por activos con $620 billones y minero-hidrocarburos presenta el margen más alto, por cada $100 de ingresos obtiene $25.2 en ganancias.</w:t>
      </w:r>
    </w:p>
    <w:p w14:paraId="0EECACE4"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Crecimiento econ</w:t>
      </w:r>
      <w:r w:rsidRPr="00D06AD7">
        <w:rPr>
          <w:rFonts w:ascii="Arial Narrow" w:hAnsi="Arial Narrow" w:cs="Arial Narrow"/>
          <w:bCs/>
          <w:sz w:val="22"/>
          <w:szCs w:val="22"/>
        </w:rPr>
        <w:t>ó</w:t>
      </w:r>
      <w:r w:rsidRPr="00D06AD7">
        <w:rPr>
          <w:rFonts w:ascii="Arial Narrow" w:hAnsi="Arial Narrow" w:cs="Arial"/>
          <w:bCs/>
          <w:sz w:val="22"/>
          <w:szCs w:val="22"/>
        </w:rPr>
        <w:t>mico s</w:t>
      </w:r>
      <w:r w:rsidRPr="00D06AD7">
        <w:rPr>
          <w:rFonts w:ascii="Arial Narrow" w:hAnsi="Arial Narrow" w:cs="Arial Narrow"/>
          <w:bCs/>
          <w:sz w:val="22"/>
          <w:szCs w:val="22"/>
        </w:rPr>
        <w:t>ó</w:t>
      </w:r>
      <w:r w:rsidRPr="00D06AD7">
        <w:rPr>
          <w:rFonts w:ascii="Arial Narrow" w:hAnsi="Arial Narrow" w:cs="Arial"/>
          <w:bCs/>
          <w:sz w:val="22"/>
          <w:szCs w:val="22"/>
        </w:rPr>
        <w:t>lido: Se present</w:t>
      </w:r>
      <w:r w:rsidRPr="00D06AD7">
        <w:rPr>
          <w:rFonts w:ascii="Arial Narrow" w:hAnsi="Arial Narrow" w:cs="Arial Narrow"/>
          <w:bCs/>
          <w:sz w:val="22"/>
          <w:szCs w:val="22"/>
        </w:rPr>
        <w:t>ó</w:t>
      </w:r>
      <w:r w:rsidRPr="00D06AD7">
        <w:rPr>
          <w:rFonts w:ascii="Arial Narrow" w:hAnsi="Arial Narrow" w:cs="Arial"/>
          <w:bCs/>
          <w:sz w:val="22"/>
          <w:szCs w:val="22"/>
        </w:rPr>
        <w:t xml:space="preserve"> un crecimiento del 34% en los ingresos operacionales de las 1.000 empresas más grandes del país para el 2022 en comparación con el año anterior.</w:t>
      </w:r>
    </w:p>
    <w:p w14:paraId="28B16C83"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Participaci</w:t>
      </w:r>
      <w:r w:rsidRPr="00D06AD7">
        <w:rPr>
          <w:rFonts w:ascii="Arial Narrow" w:hAnsi="Arial Narrow" w:cs="Arial Narrow"/>
          <w:bCs/>
          <w:sz w:val="22"/>
          <w:szCs w:val="22"/>
        </w:rPr>
        <w:t>ó</w:t>
      </w:r>
      <w:r w:rsidRPr="00D06AD7">
        <w:rPr>
          <w:rFonts w:ascii="Arial Narrow" w:hAnsi="Arial Narrow" w:cs="Arial"/>
          <w:bCs/>
          <w:sz w:val="22"/>
          <w:szCs w:val="22"/>
        </w:rPr>
        <w:t>n clave de los macrosectores: Los sectores del comercio y los servicios, seguidos de la manufactura, tuvieron una destacada participación en el panorama empresarial en el año 2022.</w:t>
      </w:r>
    </w:p>
    <w:p w14:paraId="399CB495"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Incremento significativo en las ganancias: Las ganancias de las empresas han experimentado un aumento del 41 %, equivalente a $40 billones de pesos en comparación con el año 2021.</w:t>
      </w:r>
    </w:p>
    <w:p w14:paraId="4BC88D8C"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Importancia de los conglomerados: El 70% de las sociedades pertenecientes a las 1000 empresas analizadas forman parte de conglomerados. Entre ellos, se identifican 106 sociedades con la calidad de matriz o controlante y 585 subordinadas.</w:t>
      </w:r>
    </w:p>
    <w:p w14:paraId="67EB1065"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Contribuci</w:t>
      </w:r>
      <w:r w:rsidRPr="00D06AD7">
        <w:rPr>
          <w:rFonts w:ascii="Arial Narrow" w:hAnsi="Arial Narrow" w:cs="Arial Narrow"/>
          <w:bCs/>
          <w:sz w:val="22"/>
          <w:szCs w:val="22"/>
        </w:rPr>
        <w:t>ó</w:t>
      </w:r>
      <w:r w:rsidRPr="00D06AD7">
        <w:rPr>
          <w:rFonts w:ascii="Arial Narrow" w:hAnsi="Arial Narrow" w:cs="Arial"/>
          <w:bCs/>
          <w:sz w:val="22"/>
          <w:szCs w:val="22"/>
        </w:rPr>
        <w:t>n de los conglomerados a los ingresos operacionales: Los conglomerados representan el 77% de los ingresos operacionales de las 1.000 empresas, equivalente a $941 billones de pesos</w:t>
      </w:r>
    </w:p>
    <w:p w14:paraId="3FE0D90B"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un total de $1.217 billones de pesos registrados como ingresos operacionales.</w:t>
      </w:r>
    </w:p>
    <w:p w14:paraId="2FF3597B" w14:textId="77777777" w:rsidR="00FC6BCA" w:rsidRPr="00D06AD7" w:rsidRDefault="00FC6BCA" w:rsidP="00FC6BCA">
      <w:pPr>
        <w:jc w:val="both"/>
        <w:rPr>
          <w:rFonts w:ascii="Arial Narrow" w:hAnsi="Arial Narrow" w:cs="Arial"/>
          <w:bCs/>
          <w:sz w:val="22"/>
          <w:szCs w:val="22"/>
        </w:rPr>
      </w:pPr>
      <w:r w:rsidRPr="00D06AD7">
        <w:rPr>
          <w:rFonts w:ascii="Cambria Math" w:hAnsi="Cambria Math" w:cs="Cambria Math"/>
          <w:bCs/>
          <w:sz w:val="22"/>
          <w:szCs w:val="22"/>
        </w:rPr>
        <w:t>▶</w:t>
      </w:r>
      <w:r w:rsidRPr="00D06AD7">
        <w:rPr>
          <w:rFonts w:ascii="Arial Narrow" w:hAnsi="Arial Narrow" w:cs="Arial"/>
          <w:bCs/>
          <w:sz w:val="22"/>
          <w:szCs w:val="22"/>
        </w:rPr>
        <w:t xml:space="preserve"> Nuevas empresas y su impacto regional: El informe incluye 30 nuevas sociedades, el 47% de ellas pertenecientes a la región de Bogotá-Cundinamarca. Se destaca la presencia de 16 sociedades en el sector del comercio, generando $16 billones de pesos.</w:t>
      </w:r>
    </w:p>
    <w:p w14:paraId="25BC9F66" w14:textId="77777777" w:rsidR="00FC6BCA" w:rsidRPr="00D06AD7" w:rsidRDefault="00FC6BCA" w:rsidP="00FC6BCA">
      <w:pPr>
        <w:jc w:val="both"/>
        <w:rPr>
          <w:rFonts w:ascii="Arial Narrow" w:hAnsi="Arial Narrow" w:cs="Arial"/>
          <w:bCs/>
          <w:sz w:val="22"/>
          <w:szCs w:val="22"/>
        </w:rPr>
      </w:pPr>
    </w:p>
    <w:p w14:paraId="503BCC1E" w14:textId="77777777" w:rsidR="00FC6BCA" w:rsidRPr="00D06AD7" w:rsidRDefault="00FC6BCA" w:rsidP="00FC6BCA">
      <w:pPr>
        <w:jc w:val="both"/>
        <w:rPr>
          <w:rFonts w:ascii="Arial Narrow" w:hAnsi="Arial Narrow"/>
          <w:sz w:val="22"/>
          <w:szCs w:val="22"/>
        </w:rPr>
      </w:pPr>
      <w:bookmarkStart w:id="3" w:name="_Hlk139612747"/>
      <w:r w:rsidRPr="00D06AD7">
        <w:rPr>
          <w:rFonts w:ascii="Arial Narrow" w:hAnsi="Arial Narrow" w:cs="Arial"/>
          <w:sz w:val="22"/>
          <w:szCs w:val="22"/>
        </w:rPr>
        <w:t>Para generar los promedios de los indicadores financieros abajo mencionados se tuvo en cuenta la información financiera obtenida de los RUES de los años 2020-2021-2022 de seis (6) empresas como son</w:t>
      </w:r>
      <w:r w:rsidRPr="00D06AD7">
        <w:rPr>
          <w:rFonts w:ascii="Arial Narrow" w:hAnsi="Arial Narrow"/>
          <w:sz w:val="22"/>
          <w:szCs w:val="22"/>
        </w:rPr>
        <w:t>:</w:t>
      </w:r>
      <w:bookmarkEnd w:id="3"/>
    </w:p>
    <w:p w14:paraId="2112805B" w14:textId="77777777" w:rsidR="00FC6BCA" w:rsidRPr="00D06AD7" w:rsidRDefault="00FC6BCA" w:rsidP="00FC6BCA">
      <w:pPr>
        <w:jc w:val="both"/>
        <w:rPr>
          <w:rFonts w:ascii="Arial Narrow" w:hAnsi="Arial Narrow"/>
          <w:sz w:val="22"/>
          <w:szCs w:val="22"/>
        </w:rPr>
      </w:pPr>
    </w:p>
    <w:tbl>
      <w:tblPr>
        <w:tblW w:w="8543" w:type="dxa"/>
        <w:tblInd w:w="147" w:type="dxa"/>
        <w:tblCellMar>
          <w:left w:w="70" w:type="dxa"/>
          <w:right w:w="70" w:type="dxa"/>
        </w:tblCellMar>
        <w:tblLook w:val="04A0" w:firstRow="1" w:lastRow="0" w:firstColumn="1" w:lastColumn="0" w:noHBand="0" w:noVBand="1"/>
      </w:tblPr>
      <w:tblGrid>
        <w:gridCol w:w="608"/>
        <w:gridCol w:w="6376"/>
        <w:gridCol w:w="1559"/>
      </w:tblGrid>
      <w:tr w:rsidR="00FC6BCA" w:rsidRPr="00D06AD7" w14:paraId="1B84A068" w14:textId="77777777" w:rsidTr="00823C83">
        <w:trPr>
          <w:trHeight w:val="315"/>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8BAB8" w14:textId="77777777" w:rsidR="00FC6BCA" w:rsidRPr="00D06AD7" w:rsidRDefault="00FC6BCA" w:rsidP="00823C83">
            <w:pPr>
              <w:rPr>
                <w:rFonts w:ascii="Arial Narrow" w:hAnsi="Arial Narrow" w:cs="Calibri"/>
                <w:b/>
                <w:bCs/>
                <w:sz w:val="22"/>
                <w:szCs w:val="22"/>
              </w:rPr>
            </w:pPr>
            <w:r w:rsidRPr="00D06AD7">
              <w:rPr>
                <w:rFonts w:ascii="Arial Narrow" w:hAnsi="Arial Narrow" w:cs="Calibri"/>
                <w:b/>
                <w:bCs/>
                <w:sz w:val="22"/>
                <w:szCs w:val="22"/>
              </w:rPr>
              <w:t>ITEM</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3EE00E45" w14:textId="77777777" w:rsidR="00FC6BCA" w:rsidRPr="00D06AD7" w:rsidRDefault="00FC6BCA" w:rsidP="00823C83">
            <w:pPr>
              <w:jc w:val="center"/>
              <w:rPr>
                <w:rFonts w:ascii="Arial Narrow" w:hAnsi="Arial Narrow" w:cs="Calibri"/>
                <w:b/>
                <w:bCs/>
                <w:sz w:val="22"/>
                <w:szCs w:val="22"/>
              </w:rPr>
            </w:pPr>
            <w:r w:rsidRPr="00D06AD7">
              <w:rPr>
                <w:rFonts w:ascii="Arial Narrow" w:hAnsi="Arial Narrow" w:cs="Calibri"/>
                <w:b/>
                <w:bCs/>
                <w:sz w:val="22"/>
                <w:szCs w:val="22"/>
              </w:rPr>
              <w:t>NOMBRE EMPRESA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490366C" w14:textId="77777777" w:rsidR="00FC6BCA" w:rsidRPr="00D06AD7" w:rsidRDefault="00FC6BCA" w:rsidP="00823C83">
            <w:pPr>
              <w:jc w:val="center"/>
              <w:rPr>
                <w:rFonts w:ascii="Arial Narrow" w:hAnsi="Arial Narrow" w:cs="Calibri"/>
                <w:b/>
                <w:bCs/>
                <w:sz w:val="22"/>
                <w:szCs w:val="22"/>
              </w:rPr>
            </w:pPr>
            <w:r w:rsidRPr="00D06AD7">
              <w:rPr>
                <w:rFonts w:ascii="Arial Narrow" w:hAnsi="Arial Narrow" w:cs="Calibri"/>
                <w:b/>
                <w:bCs/>
                <w:sz w:val="22"/>
                <w:szCs w:val="22"/>
              </w:rPr>
              <w:t>NIT/C.C.</w:t>
            </w:r>
          </w:p>
        </w:tc>
      </w:tr>
      <w:tr w:rsidR="00FC6BCA" w:rsidRPr="00D06AD7" w14:paraId="5CCE7A5E" w14:textId="77777777" w:rsidTr="00823C83">
        <w:trPr>
          <w:trHeight w:val="3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A0A8115"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t>1</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1006F187"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TECNESTRATEGIAS SAS BIC</w:t>
            </w:r>
          </w:p>
        </w:tc>
        <w:tc>
          <w:tcPr>
            <w:tcW w:w="1559" w:type="dxa"/>
            <w:tcBorders>
              <w:top w:val="nil"/>
              <w:left w:val="nil"/>
              <w:bottom w:val="single" w:sz="4" w:space="0" w:color="auto"/>
              <w:right w:val="single" w:sz="4" w:space="0" w:color="auto"/>
            </w:tcBorders>
            <w:shd w:val="clear" w:color="auto" w:fill="auto"/>
            <w:noWrap/>
            <w:vAlign w:val="bottom"/>
            <w:hideMark/>
          </w:tcPr>
          <w:p w14:paraId="756C74EC"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900.685.073-1</w:t>
            </w:r>
          </w:p>
        </w:tc>
      </w:tr>
      <w:tr w:rsidR="00FC6BCA" w:rsidRPr="00D06AD7" w14:paraId="1A5D5B84" w14:textId="77777777" w:rsidTr="00823C83">
        <w:trPr>
          <w:trHeight w:val="3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8395311"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t>2</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4A34BB18"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INGENIERAI CONSULTORIA Y PLANEACION S.A. INCOPLAN S.A.</w:t>
            </w:r>
          </w:p>
        </w:tc>
        <w:tc>
          <w:tcPr>
            <w:tcW w:w="1559" w:type="dxa"/>
            <w:tcBorders>
              <w:top w:val="nil"/>
              <w:left w:val="nil"/>
              <w:bottom w:val="single" w:sz="4" w:space="0" w:color="auto"/>
              <w:right w:val="single" w:sz="4" w:space="0" w:color="auto"/>
            </w:tcBorders>
            <w:shd w:val="clear" w:color="auto" w:fill="auto"/>
            <w:noWrap/>
            <w:vAlign w:val="bottom"/>
            <w:hideMark/>
          </w:tcPr>
          <w:p w14:paraId="63FA74BD"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900.730.165-3</w:t>
            </w:r>
          </w:p>
        </w:tc>
      </w:tr>
      <w:tr w:rsidR="00FC6BCA" w:rsidRPr="00D06AD7" w14:paraId="50423271" w14:textId="77777777" w:rsidTr="00823C83">
        <w:trPr>
          <w:trHeight w:val="3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A8C9D2A"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t>3</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4F760F4D"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 xml:space="preserve">PROESINGENIERAI S.A.S. </w:t>
            </w:r>
          </w:p>
        </w:tc>
        <w:tc>
          <w:tcPr>
            <w:tcW w:w="1559" w:type="dxa"/>
            <w:tcBorders>
              <w:top w:val="nil"/>
              <w:left w:val="nil"/>
              <w:bottom w:val="single" w:sz="4" w:space="0" w:color="auto"/>
              <w:right w:val="single" w:sz="4" w:space="0" w:color="auto"/>
            </w:tcBorders>
            <w:shd w:val="clear" w:color="auto" w:fill="auto"/>
            <w:noWrap/>
            <w:vAlign w:val="bottom"/>
            <w:hideMark/>
          </w:tcPr>
          <w:p w14:paraId="7F35DBE7"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901.286.572-7</w:t>
            </w:r>
          </w:p>
        </w:tc>
      </w:tr>
      <w:tr w:rsidR="00FC6BCA" w:rsidRPr="00D06AD7" w14:paraId="3F16F99C" w14:textId="77777777" w:rsidTr="00823C83">
        <w:trPr>
          <w:trHeight w:val="3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695E6E7"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lastRenderedPageBreak/>
              <w:t>4</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0FC7FB32"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NGEPLANCO S.A.S. BIC</w:t>
            </w:r>
          </w:p>
        </w:tc>
        <w:tc>
          <w:tcPr>
            <w:tcW w:w="1559" w:type="dxa"/>
            <w:tcBorders>
              <w:top w:val="nil"/>
              <w:left w:val="nil"/>
              <w:bottom w:val="single" w:sz="4" w:space="0" w:color="auto"/>
              <w:right w:val="single" w:sz="4" w:space="0" w:color="auto"/>
            </w:tcBorders>
            <w:shd w:val="clear" w:color="auto" w:fill="auto"/>
            <w:noWrap/>
            <w:vAlign w:val="bottom"/>
            <w:hideMark/>
          </w:tcPr>
          <w:p w14:paraId="05FC6763"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860.524.821-1</w:t>
            </w:r>
          </w:p>
        </w:tc>
      </w:tr>
      <w:tr w:rsidR="00FC6BCA" w:rsidRPr="00D06AD7" w14:paraId="066B2228" w14:textId="77777777" w:rsidTr="00823C83">
        <w:trPr>
          <w:trHeight w:val="3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F72BBCC"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t>5</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1F9B710E"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 xml:space="preserve">B INGENIEROS Y BIOLOGOS S.A.S. </w:t>
            </w:r>
          </w:p>
        </w:tc>
        <w:tc>
          <w:tcPr>
            <w:tcW w:w="1559" w:type="dxa"/>
            <w:tcBorders>
              <w:top w:val="nil"/>
              <w:left w:val="nil"/>
              <w:bottom w:val="single" w:sz="4" w:space="0" w:color="auto"/>
              <w:right w:val="single" w:sz="4" w:space="0" w:color="auto"/>
            </w:tcBorders>
            <w:shd w:val="clear" w:color="auto" w:fill="auto"/>
            <w:noWrap/>
            <w:vAlign w:val="bottom"/>
            <w:hideMark/>
          </w:tcPr>
          <w:p w14:paraId="294CE7F3"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800.161.930-7</w:t>
            </w:r>
          </w:p>
        </w:tc>
      </w:tr>
      <w:tr w:rsidR="00FC6BCA" w:rsidRPr="00D06AD7" w14:paraId="45D94D5B" w14:textId="77777777" w:rsidTr="00823C83">
        <w:trPr>
          <w:trHeight w:val="37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70A19F1" w14:textId="77777777" w:rsidR="00FC6BCA" w:rsidRPr="00D06AD7" w:rsidRDefault="00FC6BCA" w:rsidP="00823C83">
            <w:pPr>
              <w:jc w:val="center"/>
              <w:rPr>
                <w:rFonts w:ascii="Arial Narrow" w:hAnsi="Arial Narrow" w:cs="Calibri"/>
                <w:sz w:val="22"/>
                <w:szCs w:val="22"/>
              </w:rPr>
            </w:pPr>
            <w:r w:rsidRPr="00D06AD7">
              <w:rPr>
                <w:rFonts w:ascii="Arial Narrow" w:hAnsi="Arial Narrow" w:cs="Calibri"/>
                <w:sz w:val="22"/>
                <w:szCs w:val="22"/>
              </w:rPr>
              <w:t>6</w:t>
            </w:r>
          </w:p>
        </w:tc>
        <w:tc>
          <w:tcPr>
            <w:tcW w:w="6376" w:type="dxa"/>
            <w:tcBorders>
              <w:top w:val="single" w:sz="4" w:space="0" w:color="auto"/>
              <w:left w:val="nil"/>
              <w:bottom w:val="single" w:sz="4" w:space="0" w:color="auto"/>
              <w:right w:val="single" w:sz="4" w:space="0" w:color="auto"/>
            </w:tcBorders>
            <w:shd w:val="clear" w:color="auto" w:fill="auto"/>
            <w:noWrap/>
            <w:vAlign w:val="bottom"/>
            <w:hideMark/>
          </w:tcPr>
          <w:p w14:paraId="39922258"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GRUPO EMPRESARIAL DE INFRAESTRUCTURA COLOMBIANO S.A.S</w:t>
            </w:r>
          </w:p>
        </w:tc>
        <w:tc>
          <w:tcPr>
            <w:tcW w:w="1559" w:type="dxa"/>
            <w:tcBorders>
              <w:top w:val="nil"/>
              <w:left w:val="nil"/>
              <w:bottom w:val="single" w:sz="4" w:space="0" w:color="auto"/>
              <w:right w:val="single" w:sz="4" w:space="0" w:color="auto"/>
            </w:tcBorders>
            <w:shd w:val="clear" w:color="auto" w:fill="auto"/>
            <w:noWrap/>
            <w:vAlign w:val="bottom"/>
            <w:hideMark/>
          </w:tcPr>
          <w:p w14:paraId="363C641C" w14:textId="77777777" w:rsidR="00FC6BCA" w:rsidRPr="00D06AD7" w:rsidRDefault="00FC6BCA" w:rsidP="00823C83">
            <w:pPr>
              <w:rPr>
                <w:rFonts w:ascii="Arial Narrow" w:hAnsi="Arial Narrow" w:cs="Calibri"/>
                <w:sz w:val="22"/>
                <w:szCs w:val="22"/>
              </w:rPr>
            </w:pPr>
            <w:r w:rsidRPr="00D06AD7">
              <w:rPr>
                <w:rFonts w:ascii="Arial Narrow" w:hAnsi="Arial Narrow" w:cs="Calibri"/>
                <w:sz w:val="22"/>
                <w:szCs w:val="22"/>
              </w:rPr>
              <w:t>800.265.897-0</w:t>
            </w:r>
          </w:p>
        </w:tc>
      </w:tr>
    </w:tbl>
    <w:p w14:paraId="3C7964F7" w14:textId="77777777" w:rsidR="00FC6BCA" w:rsidRPr="00D06AD7" w:rsidRDefault="00FC6BCA" w:rsidP="00FC6BCA">
      <w:pPr>
        <w:jc w:val="both"/>
        <w:rPr>
          <w:rFonts w:ascii="Arial Narrow" w:hAnsi="Arial Narrow" w:cs="Arial"/>
          <w:bCs/>
          <w:sz w:val="22"/>
          <w:szCs w:val="22"/>
        </w:rPr>
      </w:pPr>
    </w:p>
    <w:p w14:paraId="18232775"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CAPITAL DE TRABAJO (CT):</w:t>
      </w:r>
    </w:p>
    <w:p w14:paraId="17AD712C" w14:textId="77777777" w:rsidR="00FC6BCA" w:rsidRPr="00D06AD7" w:rsidRDefault="00FC6BCA" w:rsidP="00FC6BCA">
      <w:pPr>
        <w:jc w:val="both"/>
        <w:rPr>
          <w:rFonts w:ascii="Arial Narrow" w:hAnsi="Arial Narrow" w:cs="Arial"/>
          <w:bCs/>
          <w:sz w:val="22"/>
          <w:szCs w:val="22"/>
        </w:rPr>
      </w:pPr>
    </w:p>
    <w:p w14:paraId="73DB6B4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43AEF814" w14:textId="77777777" w:rsidR="00FC6BCA" w:rsidRPr="00D06AD7" w:rsidRDefault="00FC6BCA" w:rsidP="00FC6BCA">
      <w:pPr>
        <w:jc w:val="both"/>
        <w:rPr>
          <w:rFonts w:ascii="Arial Narrow" w:hAnsi="Arial Narrow" w:cs="Arial"/>
          <w:bCs/>
          <w:sz w:val="22"/>
          <w:szCs w:val="22"/>
        </w:rPr>
      </w:pPr>
    </w:p>
    <w:p w14:paraId="2A6FF22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23A9A8AC" w14:textId="77777777" w:rsidR="00FC6BCA" w:rsidRPr="00D06AD7" w:rsidRDefault="00FC6BCA" w:rsidP="00FC6BCA">
      <w:pPr>
        <w:jc w:val="both"/>
        <w:rPr>
          <w:rFonts w:ascii="Arial Narrow" w:hAnsi="Arial Narrow" w:cs="Arial"/>
          <w:bCs/>
          <w:sz w:val="22"/>
          <w:szCs w:val="22"/>
        </w:rPr>
      </w:pPr>
    </w:p>
    <w:p w14:paraId="3EB8948B"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Es el Capital que según las condiciones del proceso solicita la entidad, según el plazo de su ejecución, con el fin de garantizar un Capital de Trabajo del oferente acorde y adecuado para el proyecto.</w:t>
      </w:r>
    </w:p>
    <w:p w14:paraId="4A276BF7" w14:textId="77777777" w:rsidR="00FC6BCA" w:rsidRPr="00D06AD7" w:rsidRDefault="00FC6BCA" w:rsidP="00FC6BCA">
      <w:pPr>
        <w:jc w:val="both"/>
        <w:rPr>
          <w:rFonts w:ascii="Arial Narrow" w:hAnsi="Arial Narrow" w:cs="Arial"/>
          <w:bCs/>
          <w:sz w:val="22"/>
          <w:szCs w:val="22"/>
        </w:rPr>
      </w:pPr>
    </w:p>
    <w:p w14:paraId="6565C9E8"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cs="Arial"/>
          <w:b/>
          <w:sz w:val="22"/>
          <w:szCs w:val="22"/>
          <w:u w:val="single"/>
        </w:rPr>
        <w:t>ÍNDICE DE CAPITAL DE TRABAJO</w:t>
      </w:r>
    </w:p>
    <w:p w14:paraId="0CFFA7B2" w14:textId="77777777" w:rsidR="00FC6BCA" w:rsidRPr="00D06AD7" w:rsidRDefault="00FC6BCA" w:rsidP="00FC6BCA">
      <w:pPr>
        <w:jc w:val="both"/>
        <w:rPr>
          <w:rFonts w:ascii="Arial Narrow" w:hAnsi="Arial Narrow" w:cs="Arial"/>
          <w:bCs/>
          <w:sz w:val="22"/>
          <w:szCs w:val="22"/>
          <w:u w:val="single"/>
        </w:rPr>
      </w:pPr>
    </w:p>
    <w:p w14:paraId="46D1060B"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5BE1BE8B" w14:textId="77777777" w:rsidR="00FC6BCA" w:rsidRPr="00D06AD7" w:rsidRDefault="00FC6BCA" w:rsidP="00FC6BCA">
      <w:pPr>
        <w:jc w:val="both"/>
        <w:rPr>
          <w:rFonts w:ascii="Arial Narrow" w:hAnsi="Arial Narrow" w:cs="Arial"/>
          <w:bCs/>
          <w:sz w:val="22"/>
          <w:szCs w:val="22"/>
        </w:rPr>
      </w:pPr>
    </w:p>
    <w:p w14:paraId="7E57BF92"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noProof/>
          <w:sz w:val="22"/>
          <w:szCs w:val="22"/>
        </w:rPr>
        <w:drawing>
          <wp:inline distT="0" distB="0" distL="0" distR="0" wp14:anchorId="5C9B30EF" wp14:editId="48B13650">
            <wp:extent cx="6031230" cy="61087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610870"/>
                    </a:xfrm>
                    <a:prstGeom prst="rect">
                      <a:avLst/>
                    </a:prstGeom>
                    <a:noFill/>
                    <a:ln>
                      <a:noFill/>
                    </a:ln>
                  </pic:spPr>
                </pic:pic>
              </a:graphicData>
            </a:graphic>
          </wp:inline>
        </w:drawing>
      </w:r>
    </w:p>
    <w:p w14:paraId="075D4585" w14:textId="77777777" w:rsidR="00FC6BCA" w:rsidRPr="00D06AD7" w:rsidRDefault="00FC6BCA" w:rsidP="00FC6BCA">
      <w:pPr>
        <w:jc w:val="both"/>
        <w:rPr>
          <w:rFonts w:ascii="Arial Narrow" w:hAnsi="Arial Narrow" w:cs="Arial"/>
          <w:bCs/>
          <w:sz w:val="22"/>
          <w:szCs w:val="22"/>
        </w:rPr>
      </w:pPr>
    </w:p>
    <w:p w14:paraId="2040AE00"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$1.131.550.930.</w:t>
      </w:r>
    </w:p>
    <w:p w14:paraId="6C5FEFB1" w14:textId="77777777" w:rsidR="00FC6BCA" w:rsidRPr="00D06AD7" w:rsidRDefault="00FC6BCA" w:rsidP="00FC6BCA">
      <w:pPr>
        <w:jc w:val="both"/>
        <w:rPr>
          <w:rFonts w:ascii="Arial Narrow" w:hAnsi="Arial Narrow" w:cs="Arial"/>
          <w:b/>
          <w:sz w:val="22"/>
          <w:szCs w:val="22"/>
          <w:u w:val="single"/>
        </w:rPr>
      </w:pPr>
    </w:p>
    <w:p w14:paraId="377B5442"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u w:val="single"/>
        </w:rPr>
        <w:t>ANALISIS</w:t>
      </w:r>
    </w:p>
    <w:p w14:paraId="115C44AB" w14:textId="77777777" w:rsidR="00FC6BCA" w:rsidRPr="00D06AD7" w:rsidRDefault="00FC6BCA" w:rsidP="00FC6BCA">
      <w:pPr>
        <w:jc w:val="both"/>
        <w:rPr>
          <w:rFonts w:ascii="Arial Narrow" w:hAnsi="Arial Narrow" w:cs="Arial"/>
          <w:bCs/>
          <w:sz w:val="22"/>
          <w:szCs w:val="22"/>
        </w:rPr>
      </w:pPr>
    </w:p>
    <w:p w14:paraId="1BC2FBB0" w14:textId="77777777"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rPr>
        <w:t xml:space="preserve">Partiendo del hecho que el </w:t>
      </w:r>
      <w:r w:rsidRPr="00D06AD7">
        <w:rPr>
          <w:rFonts w:ascii="Arial Narrow" w:hAnsi="Arial Narrow" w:cs="Arial"/>
          <w:bCs/>
          <w:sz w:val="22"/>
          <w:szCs w:val="22"/>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 tres años.</w:t>
      </w:r>
    </w:p>
    <w:p w14:paraId="223E3ED2" w14:textId="77777777" w:rsidR="00FC6BCA" w:rsidRPr="00D06AD7" w:rsidRDefault="00FC6BCA" w:rsidP="00FC6BCA">
      <w:pPr>
        <w:jc w:val="both"/>
        <w:rPr>
          <w:rFonts w:ascii="Arial Narrow" w:hAnsi="Arial Narrow" w:cs="Arial"/>
          <w:bCs/>
          <w:sz w:val="22"/>
          <w:szCs w:val="22"/>
          <w:lang w:val="es-ES"/>
        </w:rPr>
      </w:pPr>
    </w:p>
    <w:p w14:paraId="48FCB463" w14:textId="77777777" w:rsidR="00FC6BCA" w:rsidRPr="00D06AD7" w:rsidRDefault="00FC6BCA" w:rsidP="00EC17FC">
      <w:pPr>
        <w:numPr>
          <w:ilvl w:val="0"/>
          <w:numId w:val="28"/>
        </w:numPr>
        <w:jc w:val="both"/>
        <w:rPr>
          <w:rFonts w:ascii="Arial Narrow" w:hAnsi="Arial Narrow" w:cs="Arial"/>
          <w:b/>
          <w:sz w:val="22"/>
          <w:szCs w:val="22"/>
        </w:rPr>
      </w:pPr>
      <w:r w:rsidRPr="00D06AD7">
        <w:rPr>
          <w:rFonts w:ascii="Arial Narrow" w:hAnsi="Arial Narrow" w:cs="Arial"/>
          <w:b/>
          <w:sz w:val="22"/>
          <w:szCs w:val="22"/>
        </w:rPr>
        <w:t>ÍNDICE DE LIQUIDEZ (RAZÓN CORRIENTE)</w:t>
      </w:r>
    </w:p>
    <w:p w14:paraId="21A1195A" w14:textId="77777777" w:rsidR="00FC6BCA" w:rsidRPr="00D06AD7" w:rsidRDefault="00FC6BCA" w:rsidP="00FC6BCA">
      <w:pPr>
        <w:jc w:val="both"/>
        <w:rPr>
          <w:rFonts w:ascii="Arial Narrow" w:hAnsi="Arial Narrow" w:cs="Arial"/>
          <w:bCs/>
          <w:sz w:val="22"/>
          <w:szCs w:val="22"/>
        </w:rPr>
      </w:pPr>
    </w:p>
    <w:p w14:paraId="3C564DF0"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55F8CB86" w14:textId="77777777" w:rsidR="00FC6BCA" w:rsidRPr="00D06AD7" w:rsidRDefault="00FC6BCA" w:rsidP="00FC6BCA">
      <w:pPr>
        <w:jc w:val="both"/>
        <w:rPr>
          <w:rFonts w:ascii="Arial Narrow" w:hAnsi="Arial Narrow" w:cs="Arial"/>
          <w:bCs/>
          <w:sz w:val="22"/>
          <w:szCs w:val="22"/>
        </w:rPr>
      </w:pPr>
    </w:p>
    <w:p w14:paraId="44A4BDA1"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noProof/>
          <w:sz w:val="22"/>
          <w:szCs w:val="22"/>
        </w:rPr>
        <w:lastRenderedPageBreak/>
        <w:drawing>
          <wp:inline distT="0" distB="0" distL="0" distR="0" wp14:anchorId="517D6DB5" wp14:editId="53E6A001">
            <wp:extent cx="6031230" cy="514350"/>
            <wp:effectExtent l="0" t="0" r="7620" b="0"/>
            <wp:docPr id="885547814" name="Imagen 88554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1230" cy="514350"/>
                    </a:xfrm>
                    <a:prstGeom prst="rect">
                      <a:avLst/>
                    </a:prstGeom>
                    <a:noFill/>
                    <a:ln>
                      <a:noFill/>
                    </a:ln>
                  </pic:spPr>
                </pic:pic>
              </a:graphicData>
            </a:graphic>
          </wp:inline>
        </w:drawing>
      </w:r>
    </w:p>
    <w:p w14:paraId="7F0B9D2E" w14:textId="77777777" w:rsidR="00FC6BCA" w:rsidRPr="00D06AD7" w:rsidRDefault="00FC6BCA" w:rsidP="00FC6BCA">
      <w:pPr>
        <w:jc w:val="both"/>
        <w:rPr>
          <w:rFonts w:ascii="Arial Narrow" w:hAnsi="Arial Narrow" w:cs="Arial"/>
          <w:bCs/>
          <w:sz w:val="22"/>
          <w:szCs w:val="22"/>
        </w:rPr>
      </w:pPr>
    </w:p>
    <w:p w14:paraId="7B99E9CA"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7,65 veces</w:t>
      </w:r>
    </w:p>
    <w:p w14:paraId="5AAAE2CB" w14:textId="77777777" w:rsidR="00FC6BCA" w:rsidRPr="00D06AD7" w:rsidRDefault="00FC6BCA" w:rsidP="00FC6BCA">
      <w:pPr>
        <w:jc w:val="both"/>
        <w:rPr>
          <w:rFonts w:ascii="Arial Narrow" w:hAnsi="Arial Narrow" w:cs="Arial"/>
          <w:b/>
          <w:sz w:val="22"/>
          <w:szCs w:val="22"/>
          <w:u w:val="single"/>
        </w:rPr>
      </w:pPr>
    </w:p>
    <w:p w14:paraId="68CB5BB0"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cs="Arial"/>
          <w:b/>
          <w:sz w:val="22"/>
          <w:szCs w:val="22"/>
          <w:u w:val="single"/>
        </w:rPr>
        <w:t>ANALISIS</w:t>
      </w:r>
    </w:p>
    <w:p w14:paraId="5C8955E3" w14:textId="77777777" w:rsidR="00FC6BCA" w:rsidRPr="00D06AD7" w:rsidRDefault="00FC6BCA" w:rsidP="00FC6BCA">
      <w:pPr>
        <w:jc w:val="both"/>
        <w:rPr>
          <w:rFonts w:ascii="Arial Narrow" w:hAnsi="Arial Narrow" w:cs="Arial"/>
          <w:bCs/>
          <w:sz w:val="22"/>
          <w:szCs w:val="22"/>
        </w:rPr>
      </w:pPr>
    </w:p>
    <w:p w14:paraId="1BB0D556" w14:textId="77777777" w:rsidR="00FC6BCA" w:rsidRPr="00D06AD7" w:rsidRDefault="00FC6BCA" w:rsidP="00FC6BCA">
      <w:pPr>
        <w:jc w:val="both"/>
        <w:rPr>
          <w:rFonts w:ascii="Arial Narrow" w:hAnsi="Arial Narrow" w:cs="Arial"/>
          <w:bCs/>
          <w:sz w:val="22"/>
          <w:szCs w:val="22"/>
          <w:lang w:val="es-ES"/>
        </w:rPr>
      </w:pPr>
      <w:r w:rsidRPr="00D06AD7">
        <w:rPr>
          <w:rFonts w:ascii="Arial Narrow" w:hAnsi="Arial Narrow" w:cs="Arial"/>
          <w:bCs/>
          <w:sz w:val="22"/>
          <w:szCs w:val="22"/>
        </w:rPr>
        <w:t>Partiendo del hecho que l</w:t>
      </w:r>
      <w:r w:rsidRPr="00D06AD7">
        <w:rPr>
          <w:rFonts w:ascii="Arial Narrow" w:hAnsi="Arial Narrow" w:cs="Arial"/>
          <w:bCs/>
          <w:sz w:val="22"/>
          <w:szCs w:val="22"/>
          <w:lang w:val="es-E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tres años.</w:t>
      </w:r>
    </w:p>
    <w:p w14:paraId="69F4FEFC" w14:textId="77777777" w:rsidR="00FC6BCA" w:rsidRPr="00D06AD7" w:rsidRDefault="00FC6BCA" w:rsidP="00FC6BCA">
      <w:pPr>
        <w:jc w:val="both"/>
        <w:rPr>
          <w:rFonts w:ascii="Arial Narrow" w:hAnsi="Arial Narrow" w:cs="Arial"/>
          <w:bCs/>
          <w:sz w:val="22"/>
          <w:szCs w:val="22"/>
          <w:lang w:val="es-ES"/>
        </w:rPr>
      </w:pPr>
    </w:p>
    <w:p w14:paraId="76E6F2F8" w14:textId="77777777" w:rsidR="00FC6BCA" w:rsidRPr="00D06AD7" w:rsidRDefault="00FC6BCA" w:rsidP="00EC17FC">
      <w:pPr>
        <w:numPr>
          <w:ilvl w:val="0"/>
          <w:numId w:val="28"/>
        </w:numPr>
        <w:jc w:val="both"/>
        <w:rPr>
          <w:rFonts w:ascii="Arial Narrow" w:hAnsi="Arial Narrow" w:cs="Arial"/>
          <w:b/>
          <w:sz w:val="22"/>
          <w:szCs w:val="22"/>
          <w:lang w:val="es-ES"/>
        </w:rPr>
      </w:pPr>
      <w:r w:rsidRPr="00D06AD7">
        <w:rPr>
          <w:rFonts w:ascii="Arial Narrow" w:hAnsi="Arial Narrow" w:cs="Arial"/>
          <w:b/>
          <w:sz w:val="22"/>
          <w:szCs w:val="22"/>
          <w:lang w:val="es-ES"/>
        </w:rPr>
        <w:t>ÍNDICE DE ENDEUDAMIENTO (RAZÓN DE ENDEUDAMIENTO)</w:t>
      </w:r>
    </w:p>
    <w:p w14:paraId="150403BD" w14:textId="77777777" w:rsidR="00FC6BCA" w:rsidRPr="00D06AD7" w:rsidRDefault="00FC6BCA" w:rsidP="00FC6BCA">
      <w:pPr>
        <w:jc w:val="both"/>
        <w:rPr>
          <w:rFonts w:ascii="Arial Narrow" w:hAnsi="Arial Narrow" w:cs="Arial"/>
          <w:bCs/>
          <w:sz w:val="22"/>
          <w:szCs w:val="22"/>
          <w:u w:val="single"/>
        </w:rPr>
      </w:pPr>
    </w:p>
    <w:p w14:paraId="56103603"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46F4EE73" w14:textId="77777777" w:rsidR="00FC6BCA" w:rsidRPr="00D06AD7" w:rsidRDefault="00FC6BCA" w:rsidP="00FC6BCA">
      <w:pPr>
        <w:jc w:val="both"/>
        <w:rPr>
          <w:rFonts w:ascii="Arial Narrow" w:hAnsi="Arial Narrow" w:cs="Arial"/>
          <w:bCs/>
          <w:sz w:val="22"/>
          <w:szCs w:val="22"/>
        </w:rPr>
      </w:pPr>
    </w:p>
    <w:p w14:paraId="3D6C980E"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noProof/>
          <w:sz w:val="22"/>
          <w:szCs w:val="22"/>
        </w:rPr>
        <w:drawing>
          <wp:inline distT="0" distB="0" distL="0" distR="0" wp14:anchorId="51952BBE" wp14:editId="62BBE8A5">
            <wp:extent cx="6031230" cy="723900"/>
            <wp:effectExtent l="0" t="0" r="7620" b="0"/>
            <wp:docPr id="1115453956" name="Imagen 111545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1230" cy="723900"/>
                    </a:xfrm>
                    <a:prstGeom prst="rect">
                      <a:avLst/>
                    </a:prstGeom>
                    <a:noFill/>
                    <a:ln>
                      <a:noFill/>
                    </a:ln>
                  </pic:spPr>
                </pic:pic>
              </a:graphicData>
            </a:graphic>
          </wp:inline>
        </w:drawing>
      </w:r>
    </w:p>
    <w:p w14:paraId="0A12289B" w14:textId="77777777" w:rsidR="00FC6BCA" w:rsidRPr="00D06AD7" w:rsidRDefault="00FC6BCA" w:rsidP="00FC6BCA">
      <w:pPr>
        <w:jc w:val="both"/>
        <w:rPr>
          <w:rFonts w:ascii="Arial Narrow" w:hAnsi="Arial Narrow" w:cs="Arial"/>
          <w:bCs/>
          <w:sz w:val="22"/>
          <w:szCs w:val="22"/>
        </w:rPr>
      </w:pPr>
    </w:p>
    <w:p w14:paraId="75AC7BC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$20%</w:t>
      </w:r>
    </w:p>
    <w:p w14:paraId="75156758" w14:textId="77777777" w:rsidR="00FC6BCA" w:rsidRPr="00D06AD7" w:rsidRDefault="00FC6BCA" w:rsidP="00FC6BCA">
      <w:pPr>
        <w:jc w:val="both"/>
        <w:rPr>
          <w:rFonts w:ascii="Arial Narrow" w:hAnsi="Arial Narrow" w:cs="Arial"/>
          <w:b/>
          <w:sz w:val="22"/>
          <w:szCs w:val="22"/>
          <w:u w:val="single"/>
        </w:rPr>
      </w:pPr>
    </w:p>
    <w:p w14:paraId="512A8418" w14:textId="77777777" w:rsidR="00FC6BCA" w:rsidRPr="00D06AD7" w:rsidRDefault="00FC6BCA" w:rsidP="00FC6BCA">
      <w:pPr>
        <w:jc w:val="both"/>
        <w:rPr>
          <w:rFonts w:ascii="Arial Narrow" w:hAnsi="Arial Narrow" w:cs="Arial"/>
          <w:b/>
          <w:sz w:val="22"/>
          <w:szCs w:val="22"/>
          <w:u w:val="single"/>
          <w:lang w:val="es-ES"/>
        </w:rPr>
      </w:pPr>
      <w:r w:rsidRPr="00D06AD7">
        <w:rPr>
          <w:rFonts w:ascii="Arial Narrow" w:hAnsi="Arial Narrow" w:cs="Arial"/>
          <w:b/>
          <w:sz w:val="22"/>
          <w:szCs w:val="22"/>
          <w:u w:val="single"/>
          <w:lang w:val="es-ES"/>
        </w:rPr>
        <w:t>ANALISIS</w:t>
      </w:r>
    </w:p>
    <w:p w14:paraId="671A6090" w14:textId="77777777" w:rsidR="00FC6BCA" w:rsidRPr="00D06AD7" w:rsidRDefault="00FC6BCA" w:rsidP="00FC6BCA">
      <w:pPr>
        <w:jc w:val="both"/>
        <w:rPr>
          <w:rFonts w:ascii="Arial Narrow" w:hAnsi="Arial Narrow" w:cs="Arial"/>
          <w:bCs/>
          <w:sz w:val="22"/>
          <w:szCs w:val="22"/>
        </w:rPr>
      </w:pPr>
    </w:p>
    <w:p w14:paraId="79F757F7"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20F68EE6" w14:textId="77777777" w:rsidR="00FC6BCA" w:rsidRPr="00D06AD7" w:rsidRDefault="00FC6BCA" w:rsidP="00FC6BCA">
      <w:pPr>
        <w:jc w:val="both"/>
        <w:rPr>
          <w:rFonts w:ascii="Arial Narrow" w:hAnsi="Arial Narrow" w:cs="Arial"/>
          <w:bCs/>
          <w:sz w:val="22"/>
          <w:szCs w:val="22"/>
        </w:rPr>
      </w:pPr>
    </w:p>
    <w:p w14:paraId="2DD4E440" w14:textId="77777777" w:rsidR="00FC6BCA" w:rsidRPr="00D06AD7" w:rsidRDefault="00FC6BCA" w:rsidP="00EC17FC">
      <w:pPr>
        <w:numPr>
          <w:ilvl w:val="0"/>
          <w:numId w:val="28"/>
        </w:numPr>
        <w:jc w:val="both"/>
        <w:rPr>
          <w:rFonts w:ascii="Arial Narrow" w:hAnsi="Arial Narrow" w:cs="Arial"/>
          <w:b/>
          <w:sz w:val="22"/>
          <w:szCs w:val="22"/>
          <w:lang w:val="es-ES"/>
        </w:rPr>
      </w:pPr>
      <w:r w:rsidRPr="00D06AD7">
        <w:rPr>
          <w:rFonts w:ascii="Arial Narrow" w:hAnsi="Arial Narrow" w:cs="Arial"/>
          <w:b/>
          <w:sz w:val="22"/>
          <w:szCs w:val="22"/>
          <w:lang w:val="es-ES"/>
        </w:rPr>
        <w:t>RAZÓN DE COBERTURA DE INTERESES</w:t>
      </w:r>
    </w:p>
    <w:p w14:paraId="5B4524CB" w14:textId="77777777" w:rsidR="00FC6BCA" w:rsidRPr="00D06AD7" w:rsidRDefault="00FC6BCA" w:rsidP="00FC6BCA">
      <w:pPr>
        <w:jc w:val="both"/>
        <w:rPr>
          <w:rFonts w:ascii="Arial Narrow" w:hAnsi="Arial Narrow" w:cs="Arial"/>
          <w:bCs/>
          <w:sz w:val="22"/>
          <w:szCs w:val="22"/>
        </w:rPr>
      </w:pPr>
    </w:p>
    <w:p w14:paraId="06A16CC5"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79D6800E" w14:textId="77777777" w:rsidR="00FC6BCA" w:rsidRPr="00D06AD7" w:rsidRDefault="00FC6BCA" w:rsidP="00FC6BCA">
      <w:pPr>
        <w:jc w:val="both"/>
        <w:rPr>
          <w:rFonts w:ascii="Arial Narrow" w:hAnsi="Arial Narrow" w:cs="Arial"/>
          <w:bCs/>
          <w:sz w:val="22"/>
          <w:szCs w:val="22"/>
        </w:rPr>
      </w:pPr>
    </w:p>
    <w:p w14:paraId="34FB85A8"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noProof/>
          <w:sz w:val="22"/>
          <w:szCs w:val="22"/>
        </w:rPr>
        <w:lastRenderedPageBreak/>
        <w:drawing>
          <wp:inline distT="0" distB="0" distL="0" distR="0" wp14:anchorId="5DD8ECDD" wp14:editId="6603BBD7">
            <wp:extent cx="6031230" cy="942975"/>
            <wp:effectExtent l="0" t="0" r="7620" b="9525"/>
            <wp:docPr id="229589704" name="Imagen 22958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1230" cy="942975"/>
                    </a:xfrm>
                    <a:prstGeom prst="rect">
                      <a:avLst/>
                    </a:prstGeom>
                    <a:noFill/>
                    <a:ln>
                      <a:noFill/>
                    </a:ln>
                  </pic:spPr>
                </pic:pic>
              </a:graphicData>
            </a:graphic>
          </wp:inline>
        </w:drawing>
      </w:r>
    </w:p>
    <w:p w14:paraId="30435F84" w14:textId="77777777" w:rsidR="00FC6BCA" w:rsidRPr="00D06AD7" w:rsidRDefault="00FC6BCA" w:rsidP="00FC6BCA">
      <w:pPr>
        <w:jc w:val="both"/>
        <w:rPr>
          <w:rFonts w:ascii="Arial Narrow" w:hAnsi="Arial Narrow" w:cs="Arial"/>
          <w:bCs/>
          <w:sz w:val="22"/>
          <w:szCs w:val="22"/>
        </w:rPr>
      </w:pPr>
    </w:p>
    <w:p w14:paraId="23B40A7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2.487,17 veces</w:t>
      </w:r>
    </w:p>
    <w:p w14:paraId="4D035ED0" w14:textId="77777777" w:rsidR="00FC6BCA" w:rsidRPr="00D06AD7" w:rsidRDefault="00FC6BCA" w:rsidP="00FC6BCA">
      <w:pPr>
        <w:jc w:val="both"/>
        <w:rPr>
          <w:rFonts w:ascii="Arial Narrow" w:hAnsi="Arial Narrow" w:cs="Arial"/>
          <w:bCs/>
          <w:sz w:val="22"/>
          <w:szCs w:val="22"/>
        </w:rPr>
      </w:pPr>
    </w:p>
    <w:p w14:paraId="15591FA4"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cs="Arial"/>
          <w:b/>
          <w:sz w:val="22"/>
          <w:szCs w:val="22"/>
          <w:u w:val="single"/>
        </w:rPr>
        <w:t>ANÁLISIS</w:t>
      </w:r>
    </w:p>
    <w:p w14:paraId="171F9466" w14:textId="77777777" w:rsidR="00FC6BCA" w:rsidRPr="00D06AD7" w:rsidRDefault="00FC6BCA" w:rsidP="00FC6BCA">
      <w:pPr>
        <w:jc w:val="both"/>
        <w:rPr>
          <w:rFonts w:ascii="Arial Narrow" w:hAnsi="Arial Narrow" w:cs="Arial"/>
          <w:bCs/>
          <w:sz w:val="22"/>
          <w:szCs w:val="22"/>
        </w:rPr>
      </w:pPr>
    </w:p>
    <w:p w14:paraId="318CBAE9"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Por tal motivo, los datos arrojados por las cifras reportadas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7EEB5CC6" w14:textId="77777777" w:rsidR="00FC6BCA" w:rsidRPr="00D06AD7" w:rsidRDefault="00FC6BCA" w:rsidP="00FC6BCA">
      <w:pPr>
        <w:jc w:val="both"/>
        <w:rPr>
          <w:rFonts w:ascii="Arial Narrow" w:hAnsi="Arial Narrow" w:cs="Arial"/>
          <w:bCs/>
          <w:sz w:val="22"/>
          <w:szCs w:val="22"/>
        </w:rPr>
      </w:pPr>
    </w:p>
    <w:p w14:paraId="265319DB"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3.1.5.3. ANÁLISIS DE LA CAPACIDAD ORGANIZACIONAL</w:t>
      </w:r>
    </w:p>
    <w:p w14:paraId="5D13BF33" w14:textId="77777777" w:rsidR="00FC6BCA" w:rsidRPr="00D06AD7" w:rsidRDefault="00FC6BCA" w:rsidP="00FC6BCA">
      <w:pPr>
        <w:jc w:val="both"/>
        <w:rPr>
          <w:rFonts w:ascii="Arial Narrow" w:hAnsi="Arial Narrow" w:cs="Arial"/>
          <w:bCs/>
          <w:sz w:val="22"/>
          <w:szCs w:val="22"/>
        </w:rPr>
      </w:pPr>
    </w:p>
    <w:p w14:paraId="599ADCCB" w14:textId="395B35E3"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Una vez analizado el comportamiento macro-económico del sector de la consultoría y teniendo en cuenta que para el presente proceso de selección se requiere verificar la capacidad organizacional de las firmas que aspiren a participar en el </w:t>
      </w:r>
      <w:r w:rsidR="007F7649">
        <w:rPr>
          <w:rFonts w:ascii="Arial Narrow" w:hAnsi="Arial Narrow" w:cs="Arial"/>
          <w:bCs/>
          <w:sz w:val="22"/>
          <w:szCs w:val="22"/>
        </w:rPr>
        <w:t>proceso de selección</w:t>
      </w:r>
      <w:r w:rsidR="007F7649" w:rsidRPr="00D06AD7">
        <w:rPr>
          <w:rFonts w:ascii="Arial Narrow" w:hAnsi="Arial Narrow" w:cs="Arial"/>
          <w:bCs/>
          <w:sz w:val="22"/>
          <w:szCs w:val="22"/>
        </w:rPr>
        <w:t xml:space="preserve"> </w:t>
      </w:r>
      <w:r w:rsidRPr="00D06AD7">
        <w:rPr>
          <w:rFonts w:ascii="Arial Narrow" w:hAnsi="Arial Narrow" w:cs="Arial"/>
          <w:bCs/>
          <w:sz w:val="22"/>
          <w:szCs w:val="22"/>
        </w:rPr>
        <w:t>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25154CB6" w14:textId="77777777" w:rsidR="00FC6BCA" w:rsidRPr="00D06AD7" w:rsidRDefault="00FC6BCA" w:rsidP="00FC6BCA">
      <w:pPr>
        <w:jc w:val="both"/>
        <w:rPr>
          <w:rFonts w:ascii="Arial Narrow" w:hAnsi="Arial Narrow" w:cs="Arial"/>
          <w:bCs/>
          <w:sz w:val="22"/>
          <w:szCs w:val="22"/>
        </w:rPr>
      </w:pPr>
    </w:p>
    <w:p w14:paraId="3D2CAA59"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Para realizar el análisis, se procede a revisar la información contenida en el Sistema de Reporte Empresarial – SIIS, en relación con los indicadores citados, partiendo del Macro sector: Consultoría; Sector: Servicios otras actividades empresariales: M7110-V4: Actividades de Arquitectura e Ingeniería y actividades de consultoría.</w:t>
      </w:r>
    </w:p>
    <w:p w14:paraId="758FF610" w14:textId="77777777" w:rsidR="00FC6BCA" w:rsidRPr="00D06AD7" w:rsidRDefault="00FC6BCA" w:rsidP="00FC6BCA">
      <w:pPr>
        <w:jc w:val="both"/>
        <w:rPr>
          <w:rFonts w:ascii="Arial Narrow" w:hAnsi="Arial Narrow" w:cs="Arial"/>
          <w:bCs/>
          <w:sz w:val="22"/>
          <w:szCs w:val="22"/>
        </w:rPr>
      </w:pPr>
    </w:p>
    <w:p w14:paraId="2EDFCCE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Para realizar el análisis, se procede a revisar la información contenida en el Portal de Información Empresarial – SIIS, de supersociedades en relación con los indicadores citados, partiendo del Macro sector: Consultoría; Sector: Servicios otras actividades empresariales: M7110-V4: Actividades de Arquitectura e Ingeniería y actividades de consultoría.</w:t>
      </w:r>
    </w:p>
    <w:p w14:paraId="5AC5AFE2" w14:textId="77777777" w:rsidR="00FC6BCA" w:rsidRPr="00D06AD7" w:rsidRDefault="00FC6BCA" w:rsidP="00FC6BCA">
      <w:pPr>
        <w:jc w:val="both"/>
        <w:rPr>
          <w:rFonts w:ascii="Arial Narrow" w:hAnsi="Arial Narrow" w:cs="Arial"/>
          <w:bCs/>
          <w:sz w:val="22"/>
          <w:szCs w:val="22"/>
        </w:rPr>
      </w:pPr>
    </w:p>
    <w:p w14:paraId="6CF960BE"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Por último, para contar con un análisis más aterrizado a la realidad, se toman las cifras financieras reportadas con corte a 31 de diciembre de 2022, por parte de los proponentes que participaron en procesos de selección similares al que se está adelantando.</w:t>
      </w:r>
    </w:p>
    <w:p w14:paraId="36014B97" w14:textId="77777777" w:rsidR="00FC6BCA" w:rsidRPr="00D06AD7" w:rsidRDefault="00FC6BCA" w:rsidP="00FC6BCA">
      <w:pPr>
        <w:jc w:val="both"/>
        <w:rPr>
          <w:rFonts w:ascii="Arial Narrow" w:hAnsi="Arial Narrow" w:cs="Arial"/>
          <w:bCs/>
          <w:sz w:val="22"/>
          <w:szCs w:val="22"/>
        </w:rPr>
      </w:pPr>
    </w:p>
    <w:p w14:paraId="6ABDAF5A" w14:textId="77777777" w:rsidR="00FC6BCA" w:rsidRPr="00D06AD7" w:rsidRDefault="00FC6BCA" w:rsidP="00EC17FC">
      <w:pPr>
        <w:numPr>
          <w:ilvl w:val="0"/>
          <w:numId w:val="28"/>
        </w:numPr>
        <w:jc w:val="both"/>
        <w:rPr>
          <w:rFonts w:ascii="Arial Narrow" w:hAnsi="Arial Narrow" w:cs="Arial"/>
          <w:b/>
          <w:sz w:val="22"/>
          <w:szCs w:val="22"/>
          <w:lang w:val="es-ES"/>
        </w:rPr>
      </w:pPr>
      <w:r w:rsidRPr="00D06AD7">
        <w:rPr>
          <w:rFonts w:ascii="Arial Narrow" w:hAnsi="Arial Narrow" w:cs="Arial"/>
          <w:b/>
          <w:sz w:val="22"/>
          <w:szCs w:val="22"/>
          <w:lang w:val="es-ES"/>
        </w:rPr>
        <w:t>RENTABILIDAD DEL PATRIMONIO (ROE)</w:t>
      </w:r>
    </w:p>
    <w:p w14:paraId="09FD0530" w14:textId="77777777" w:rsidR="00FC6BCA" w:rsidRPr="00D06AD7" w:rsidRDefault="00FC6BCA" w:rsidP="00FC6BCA">
      <w:pPr>
        <w:jc w:val="both"/>
        <w:rPr>
          <w:rFonts w:ascii="Arial Narrow" w:hAnsi="Arial Narrow" w:cs="Arial"/>
          <w:bCs/>
          <w:sz w:val="22"/>
          <w:szCs w:val="22"/>
          <w:lang w:val="es-ES"/>
        </w:rPr>
      </w:pPr>
    </w:p>
    <w:p w14:paraId="4ABCAEB8"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4387B018" w14:textId="77777777" w:rsidR="00FC6BCA" w:rsidRPr="00D06AD7" w:rsidRDefault="00FC6BCA" w:rsidP="00FC6BCA">
      <w:pPr>
        <w:jc w:val="both"/>
        <w:rPr>
          <w:rFonts w:ascii="Arial Narrow" w:hAnsi="Arial Narrow" w:cs="Arial"/>
          <w:bCs/>
          <w:sz w:val="22"/>
          <w:szCs w:val="22"/>
        </w:rPr>
      </w:pPr>
    </w:p>
    <w:p w14:paraId="477B6E19" w14:textId="77777777" w:rsidR="00FC6BCA" w:rsidRPr="00D06AD7" w:rsidRDefault="00FC6BCA" w:rsidP="00FC6BCA">
      <w:pPr>
        <w:jc w:val="both"/>
        <w:rPr>
          <w:rFonts w:ascii="Arial Narrow" w:hAnsi="Arial Narrow" w:cs="Arial"/>
          <w:bCs/>
          <w:sz w:val="22"/>
          <w:szCs w:val="22"/>
        </w:rPr>
      </w:pPr>
      <w:r w:rsidRPr="00D06AD7">
        <w:rPr>
          <w:rFonts w:ascii="Arial Narrow" w:hAnsi="Arial Narrow"/>
          <w:noProof/>
          <w:sz w:val="22"/>
          <w:szCs w:val="22"/>
        </w:rPr>
        <w:lastRenderedPageBreak/>
        <w:drawing>
          <wp:inline distT="0" distB="0" distL="0" distR="0" wp14:anchorId="384A13FA" wp14:editId="0CED34BE">
            <wp:extent cx="6031230" cy="828675"/>
            <wp:effectExtent l="0" t="0" r="762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31230" cy="828675"/>
                    </a:xfrm>
                    <a:prstGeom prst="rect">
                      <a:avLst/>
                    </a:prstGeom>
                    <a:noFill/>
                    <a:ln>
                      <a:noFill/>
                    </a:ln>
                  </pic:spPr>
                </pic:pic>
              </a:graphicData>
            </a:graphic>
          </wp:inline>
        </w:drawing>
      </w:r>
    </w:p>
    <w:p w14:paraId="653B85B4"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14%</w:t>
      </w:r>
    </w:p>
    <w:p w14:paraId="37853550" w14:textId="77777777" w:rsidR="00FC6BCA" w:rsidRPr="00D06AD7" w:rsidRDefault="00FC6BCA" w:rsidP="00FC6BCA">
      <w:pPr>
        <w:jc w:val="both"/>
        <w:rPr>
          <w:rFonts w:ascii="Arial Narrow" w:hAnsi="Arial Narrow" w:cs="Arial"/>
          <w:bCs/>
          <w:sz w:val="22"/>
          <w:szCs w:val="22"/>
        </w:rPr>
      </w:pPr>
    </w:p>
    <w:p w14:paraId="0C5B1F9F"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cs="Arial"/>
          <w:b/>
          <w:sz w:val="22"/>
          <w:szCs w:val="22"/>
          <w:u w:val="single"/>
        </w:rPr>
        <w:t>ANÁLISIS</w:t>
      </w:r>
    </w:p>
    <w:p w14:paraId="1ED8DD46" w14:textId="77777777" w:rsidR="00FC6BCA" w:rsidRPr="00D06AD7" w:rsidRDefault="00FC6BCA" w:rsidP="00FC6BCA">
      <w:pPr>
        <w:jc w:val="both"/>
        <w:rPr>
          <w:rFonts w:ascii="Arial Narrow" w:hAnsi="Arial Narrow" w:cs="Arial"/>
          <w:bCs/>
          <w:sz w:val="22"/>
          <w:szCs w:val="22"/>
          <w:lang w:val="es-ES"/>
        </w:rPr>
      </w:pPr>
    </w:p>
    <w:p w14:paraId="00AD76FD"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Teniendo en cuenta que este indicador mide la capacidad de generación de Utilidad Operacional por cada peso invertido en el Patrimonio. A mayor rentabilidad sobre el Patrimonio, mayor es la rentabilidad de los accionistas y por ende, mejor es la Capacidad Organizacional.</w:t>
      </w:r>
    </w:p>
    <w:p w14:paraId="19BA7000" w14:textId="77777777" w:rsidR="00FC6BCA" w:rsidRPr="00D06AD7" w:rsidRDefault="00FC6BCA" w:rsidP="00FC6BCA">
      <w:pPr>
        <w:jc w:val="both"/>
        <w:rPr>
          <w:rFonts w:ascii="Arial Narrow" w:hAnsi="Arial Narrow" w:cs="Arial"/>
          <w:bCs/>
          <w:sz w:val="22"/>
          <w:szCs w:val="22"/>
        </w:rPr>
      </w:pPr>
    </w:p>
    <w:p w14:paraId="20676A4C"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3A65B0BA" w14:textId="77777777" w:rsidR="00FC6BCA" w:rsidRPr="00D06AD7" w:rsidRDefault="00FC6BCA" w:rsidP="00FC6BCA">
      <w:pPr>
        <w:jc w:val="both"/>
        <w:rPr>
          <w:rFonts w:ascii="Arial Narrow" w:hAnsi="Arial Narrow" w:cs="Arial"/>
          <w:bCs/>
          <w:sz w:val="22"/>
          <w:szCs w:val="22"/>
        </w:rPr>
      </w:pPr>
    </w:p>
    <w:p w14:paraId="6A3999DC" w14:textId="77777777" w:rsidR="00FC6BCA" w:rsidRPr="00D06AD7" w:rsidRDefault="00FC6BCA" w:rsidP="00EC17FC">
      <w:pPr>
        <w:numPr>
          <w:ilvl w:val="0"/>
          <w:numId w:val="28"/>
        </w:numPr>
        <w:jc w:val="both"/>
        <w:rPr>
          <w:rFonts w:ascii="Arial Narrow" w:hAnsi="Arial Narrow" w:cs="Arial"/>
          <w:b/>
          <w:sz w:val="22"/>
          <w:szCs w:val="22"/>
          <w:lang w:val="es-ES"/>
        </w:rPr>
      </w:pPr>
      <w:r w:rsidRPr="00D06AD7">
        <w:rPr>
          <w:rFonts w:ascii="Arial Narrow" w:hAnsi="Arial Narrow" w:cs="Arial"/>
          <w:b/>
          <w:sz w:val="22"/>
          <w:szCs w:val="22"/>
          <w:lang w:val="es-ES"/>
        </w:rPr>
        <w:t>RENTABILIDAD DEL ACTIVO (ROA)</w:t>
      </w:r>
    </w:p>
    <w:p w14:paraId="3ED07D9D" w14:textId="77777777" w:rsidR="00FC6BCA" w:rsidRPr="00D06AD7" w:rsidRDefault="00FC6BCA" w:rsidP="00FC6BCA">
      <w:pPr>
        <w:jc w:val="both"/>
        <w:rPr>
          <w:rFonts w:ascii="Arial Narrow" w:hAnsi="Arial Narrow" w:cs="Arial"/>
          <w:b/>
          <w:sz w:val="22"/>
          <w:szCs w:val="22"/>
          <w:lang w:val="es-ES"/>
        </w:rPr>
      </w:pPr>
    </w:p>
    <w:p w14:paraId="5F6FD111"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Los datos consultados al 17 de febrero de 2023, arrojan la siguiente información:</w:t>
      </w:r>
    </w:p>
    <w:p w14:paraId="5FB45BA1" w14:textId="77777777" w:rsidR="00FC6BCA" w:rsidRPr="00D06AD7" w:rsidRDefault="00FC6BCA" w:rsidP="00FC6BCA">
      <w:pPr>
        <w:jc w:val="both"/>
        <w:rPr>
          <w:rFonts w:ascii="Arial Narrow" w:hAnsi="Arial Narrow" w:cs="Arial"/>
          <w:bCs/>
          <w:sz w:val="22"/>
          <w:szCs w:val="22"/>
        </w:rPr>
      </w:pPr>
    </w:p>
    <w:p w14:paraId="252C2341" w14:textId="77777777" w:rsidR="00FC6BCA" w:rsidRPr="00D06AD7" w:rsidRDefault="00FC6BCA" w:rsidP="00FC6BCA">
      <w:pPr>
        <w:jc w:val="both"/>
        <w:rPr>
          <w:rFonts w:ascii="Arial Narrow" w:hAnsi="Arial Narrow" w:cs="Arial"/>
          <w:bCs/>
          <w:sz w:val="22"/>
          <w:szCs w:val="22"/>
        </w:rPr>
      </w:pPr>
      <w:r w:rsidRPr="00D06AD7">
        <w:rPr>
          <w:rFonts w:ascii="Arial Narrow" w:hAnsi="Arial Narrow"/>
          <w:noProof/>
          <w:sz w:val="22"/>
          <w:szCs w:val="22"/>
        </w:rPr>
        <w:drawing>
          <wp:inline distT="0" distB="0" distL="0" distR="0" wp14:anchorId="030D051D" wp14:editId="2589E3D5">
            <wp:extent cx="6031230" cy="781050"/>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31230" cy="781050"/>
                    </a:xfrm>
                    <a:prstGeom prst="rect">
                      <a:avLst/>
                    </a:prstGeom>
                    <a:noFill/>
                    <a:ln>
                      <a:noFill/>
                    </a:ln>
                  </pic:spPr>
                </pic:pic>
              </a:graphicData>
            </a:graphic>
          </wp:inline>
        </w:drawing>
      </w:r>
    </w:p>
    <w:p w14:paraId="29514071" w14:textId="77777777" w:rsidR="00FC6BCA" w:rsidRPr="00D06AD7" w:rsidRDefault="00FC6BCA" w:rsidP="00FC6BCA">
      <w:pPr>
        <w:jc w:val="both"/>
        <w:rPr>
          <w:rFonts w:ascii="Arial Narrow" w:hAnsi="Arial Narrow" w:cs="Arial"/>
          <w:bCs/>
          <w:sz w:val="22"/>
          <w:szCs w:val="22"/>
        </w:rPr>
      </w:pPr>
    </w:p>
    <w:p w14:paraId="2D2201FF"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De la información reportada de los últimos tres (3) años (2020-2022), se observa que el promedio de dicho índice es de 3%</w:t>
      </w:r>
    </w:p>
    <w:p w14:paraId="5AEBCDF2" w14:textId="77777777" w:rsidR="00FC6BCA" w:rsidRPr="00D06AD7" w:rsidRDefault="00FC6BCA" w:rsidP="00FC6BCA">
      <w:pPr>
        <w:jc w:val="both"/>
        <w:rPr>
          <w:rFonts w:ascii="Arial Narrow" w:hAnsi="Arial Narrow" w:cs="Arial"/>
          <w:bCs/>
          <w:sz w:val="22"/>
          <w:szCs w:val="22"/>
        </w:rPr>
      </w:pPr>
    </w:p>
    <w:p w14:paraId="4E5E184D" w14:textId="77777777" w:rsidR="00FC6BCA" w:rsidRPr="00D06AD7" w:rsidRDefault="00FC6BCA" w:rsidP="00FC6BCA">
      <w:pPr>
        <w:jc w:val="both"/>
        <w:rPr>
          <w:rFonts w:ascii="Arial Narrow" w:hAnsi="Arial Narrow" w:cs="Arial"/>
          <w:b/>
          <w:sz w:val="22"/>
          <w:szCs w:val="22"/>
          <w:u w:val="single"/>
        </w:rPr>
      </w:pPr>
      <w:r w:rsidRPr="00D06AD7">
        <w:rPr>
          <w:rFonts w:ascii="Arial Narrow" w:hAnsi="Arial Narrow" w:cs="Arial"/>
          <w:b/>
          <w:sz w:val="22"/>
          <w:szCs w:val="22"/>
          <w:u w:val="single"/>
        </w:rPr>
        <w:t>ANÁLISIS</w:t>
      </w:r>
    </w:p>
    <w:p w14:paraId="0AD71F30" w14:textId="77777777" w:rsidR="00FC6BCA" w:rsidRPr="00D06AD7" w:rsidRDefault="00FC6BCA" w:rsidP="00FC6BCA">
      <w:pPr>
        <w:jc w:val="both"/>
        <w:rPr>
          <w:rFonts w:ascii="Arial Narrow" w:hAnsi="Arial Narrow" w:cs="Arial"/>
          <w:bCs/>
          <w:sz w:val="22"/>
          <w:szCs w:val="22"/>
          <w:lang w:val="es-ES"/>
        </w:rPr>
      </w:pPr>
    </w:p>
    <w:p w14:paraId="79D42669" w14:textId="312A5F73"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 xml:space="preserve">Teniendo en cuenta que este indicador mide la capacidad de generación de utilidad Operacional por cada peso invertido en el Activo, a mayor rentabilidad sobre los Activos, mayor es la rentabilidad de los accionistas </w:t>
      </w:r>
      <w:r w:rsidR="00CC0E39" w:rsidRPr="00D06AD7">
        <w:rPr>
          <w:rFonts w:ascii="Arial Narrow" w:hAnsi="Arial Narrow" w:cs="Arial"/>
          <w:bCs/>
          <w:sz w:val="22"/>
          <w:szCs w:val="22"/>
        </w:rPr>
        <w:t>y,</w:t>
      </w:r>
      <w:r w:rsidRPr="00D06AD7">
        <w:rPr>
          <w:rFonts w:ascii="Arial Narrow" w:hAnsi="Arial Narrow" w:cs="Arial"/>
          <w:bCs/>
          <w:sz w:val="22"/>
          <w:szCs w:val="22"/>
        </w:rPr>
        <w:t xml:space="preserve"> por ende, mejor es la Capacidad Organizacional.</w:t>
      </w:r>
    </w:p>
    <w:p w14:paraId="5AD29044" w14:textId="77777777" w:rsidR="00FC6BCA" w:rsidRPr="00D06AD7" w:rsidRDefault="00FC6BCA" w:rsidP="00FC6BCA">
      <w:pPr>
        <w:jc w:val="both"/>
        <w:rPr>
          <w:rFonts w:ascii="Arial Narrow" w:hAnsi="Arial Narrow" w:cs="Arial"/>
          <w:bCs/>
          <w:sz w:val="22"/>
          <w:szCs w:val="22"/>
        </w:rPr>
      </w:pPr>
    </w:p>
    <w:p w14:paraId="5AF55FF0" w14:textId="77777777" w:rsidR="00FC6BCA" w:rsidRPr="00D06AD7" w:rsidRDefault="00FC6BCA" w:rsidP="00FC6BCA">
      <w:pPr>
        <w:jc w:val="both"/>
        <w:rPr>
          <w:rFonts w:ascii="Arial Narrow" w:hAnsi="Arial Narrow" w:cs="Arial"/>
          <w:bCs/>
          <w:sz w:val="22"/>
          <w:szCs w:val="22"/>
        </w:rPr>
      </w:pPr>
      <w:r w:rsidRPr="00D06AD7">
        <w:rPr>
          <w:rFonts w:ascii="Arial Narrow" w:hAnsi="Arial Narrow" w:cs="Arial"/>
          <w:bCs/>
          <w:sz w:val="22"/>
          <w:szCs w:val="22"/>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p w14:paraId="126E4EDC" w14:textId="77777777" w:rsidR="00FC6BCA" w:rsidRPr="00D06AD7" w:rsidRDefault="00FC6BCA" w:rsidP="00FC6BCA">
      <w:pPr>
        <w:jc w:val="both"/>
        <w:rPr>
          <w:rFonts w:ascii="Arial Narrow" w:hAnsi="Arial Narrow" w:cs="Arial"/>
          <w:bCs/>
          <w:sz w:val="22"/>
          <w:szCs w:val="22"/>
        </w:rPr>
      </w:pPr>
    </w:p>
    <w:p w14:paraId="2CD40B24" w14:textId="77777777" w:rsidR="00FC6BCA" w:rsidRPr="00D06AD7" w:rsidRDefault="00FC6BCA" w:rsidP="00FC6BCA">
      <w:pPr>
        <w:pStyle w:val="Prrafodelista"/>
        <w:ind w:left="720" w:hanging="360"/>
        <w:contextualSpacing/>
        <w:rPr>
          <w:rFonts w:ascii="Arial Narrow" w:hAnsi="Arial Narrow" w:cs="Arial"/>
          <w:b/>
          <w:sz w:val="22"/>
          <w:szCs w:val="22"/>
        </w:rPr>
      </w:pPr>
      <w:r w:rsidRPr="00D06AD7">
        <w:rPr>
          <w:rFonts w:ascii="Arial Narrow" w:hAnsi="Arial Narrow" w:cs="Arial"/>
          <w:b/>
          <w:sz w:val="22"/>
          <w:szCs w:val="22"/>
        </w:rPr>
        <w:t>CRONOGRAMAS DE EJECUCIÓN</w:t>
      </w:r>
    </w:p>
    <w:p w14:paraId="5DBC26EA" w14:textId="77777777" w:rsidR="00FC6BCA" w:rsidRPr="00D06AD7" w:rsidRDefault="00FC6BCA" w:rsidP="00FC6BCA">
      <w:pPr>
        <w:pStyle w:val="Prrafodelista"/>
        <w:rPr>
          <w:rFonts w:ascii="Arial Narrow" w:hAnsi="Arial Narrow" w:cs="Arial"/>
          <w:b/>
          <w:sz w:val="22"/>
          <w:szCs w:val="22"/>
        </w:rPr>
      </w:pPr>
    </w:p>
    <w:p w14:paraId="162DB9C0" w14:textId="77777777" w:rsidR="00FC6BCA" w:rsidRPr="00D06AD7" w:rsidRDefault="00FC6BCA" w:rsidP="00FC6BCA">
      <w:pPr>
        <w:pStyle w:val="Default"/>
        <w:jc w:val="both"/>
        <w:rPr>
          <w:rFonts w:ascii="Arial Narrow" w:hAnsi="Arial Narrow"/>
          <w:color w:val="auto"/>
          <w:sz w:val="22"/>
          <w:szCs w:val="22"/>
        </w:rPr>
      </w:pPr>
      <w:r w:rsidRPr="00D06AD7">
        <w:rPr>
          <w:rFonts w:ascii="Arial Narrow" w:hAnsi="Arial Narrow"/>
          <w:color w:val="auto"/>
          <w:sz w:val="22"/>
          <w:szCs w:val="22"/>
        </w:rPr>
        <w:t xml:space="preserve">Teniendo en cuenta los trabajos que se pretenden ejecutar en el marco del presente proceso de selección, los cronogramas de ejecución de las consultorías están en función del objeto y alcance del contrato (Actividades a </w:t>
      </w:r>
      <w:r w:rsidRPr="00D06AD7">
        <w:rPr>
          <w:rFonts w:ascii="Arial Narrow" w:hAnsi="Arial Narrow"/>
          <w:color w:val="auto"/>
          <w:sz w:val="22"/>
          <w:szCs w:val="22"/>
        </w:rPr>
        <w:lastRenderedPageBreak/>
        <w:t>desarrollar, elaboración de estudios) que se pretende celebrar, y del anexo técnico, Requerimiento Técnico, y demás documentos que hacen parte del proceso de selección).</w:t>
      </w:r>
    </w:p>
    <w:p w14:paraId="46FAF571" w14:textId="77777777" w:rsidR="00954A32" w:rsidRPr="00D06AD7" w:rsidRDefault="00954A32" w:rsidP="00C64C07">
      <w:pPr>
        <w:pStyle w:val="Default"/>
        <w:jc w:val="both"/>
        <w:rPr>
          <w:rFonts w:ascii="Arial Narrow" w:hAnsi="Arial Narrow"/>
          <w:sz w:val="22"/>
          <w:szCs w:val="22"/>
        </w:rPr>
      </w:pPr>
    </w:p>
    <w:p w14:paraId="24A6C8FE" w14:textId="77777777" w:rsidR="00C64C07" w:rsidRPr="00D06AD7" w:rsidRDefault="00C64C07" w:rsidP="001B3FE8">
      <w:pPr>
        <w:jc w:val="both"/>
        <w:rPr>
          <w:rFonts w:ascii="Arial Narrow" w:eastAsia="Calibri" w:hAnsi="Arial Narrow" w:cs="Arial"/>
          <w:color w:val="000000"/>
          <w:sz w:val="22"/>
          <w:szCs w:val="22"/>
        </w:rPr>
      </w:pPr>
      <w:r w:rsidRPr="00D06AD7">
        <w:rPr>
          <w:rFonts w:ascii="Arial Narrow" w:hAnsi="Arial Narrow" w:cs="Arial"/>
          <w:b/>
          <w:color w:val="000000"/>
          <w:sz w:val="22"/>
          <w:szCs w:val="22"/>
        </w:rPr>
        <w:t>DETERMINACION DEL VALOR DEL CONTRATO</w:t>
      </w:r>
    </w:p>
    <w:p w14:paraId="2D79830E" w14:textId="77777777" w:rsidR="00C64C07" w:rsidRPr="00D06AD7" w:rsidRDefault="00C64C07" w:rsidP="00C64C07">
      <w:pPr>
        <w:pStyle w:val="Default"/>
        <w:jc w:val="both"/>
        <w:rPr>
          <w:rFonts w:ascii="Arial Narrow" w:hAnsi="Arial Narrow"/>
          <w:sz w:val="22"/>
          <w:szCs w:val="22"/>
        </w:rPr>
      </w:pPr>
    </w:p>
    <w:p w14:paraId="29A56E34" w14:textId="77777777" w:rsidR="009A5D32" w:rsidRPr="00D06AD7" w:rsidRDefault="00C64C07" w:rsidP="009A5D32">
      <w:pPr>
        <w:pStyle w:val="Default"/>
        <w:jc w:val="both"/>
        <w:rPr>
          <w:rFonts w:ascii="Arial Narrow" w:hAnsi="Arial Narrow"/>
          <w:sz w:val="22"/>
          <w:szCs w:val="22"/>
        </w:rPr>
      </w:pPr>
      <w:r w:rsidRPr="00D06AD7">
        <w:rPr>
          <w:rFonts w:ascii="Arial Narrow" w:hAnsi="Arial Narrow"/>
          <w:sz w:val="22"/>
          <w:szCs w:val="22"/>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D06AD7" w:rsidRDefault="00B510DE" w:rsidP="009A5D32">
      <w:pPr>
        <w:pStyle w:val="Default"/>
        <w:jc w:val="both"/>
        <w:rPr>
          <w:rFonts w:ascii="Arial Narrow" w:hAnsi="Arial Narrow"/>
          <w:sz w:val="22"/>
          <w:szCs w:val="22"/>
        </w:rPr>
      </w:pPr>
    </w:p>
    <w:p w14:paraId="12A0FDA9" w14:textId="0519957E" w:rsidR="00A349E3" w:rsidRPr="00D06AD7" w:rsidRDefault="00A349E3" w:rsidP="00EC17FC">
      <w:pPr>
        <w:keepNext/>
        <w:numPr>
          <w:ilvl w:val="0"/>
          <w:numId w:val="24"/>
        </w:numPr>
        <w:jc w:val="both"/>
        <w:outlineLvl w:val="0"/>
        <w:rPr>
          <w:rFonts w:ascii="Arial Narrow" w:eastAsia="Calibri" w:hAnsi="Arial Narrow" w:cs="Arial"/>
          <w:b/>
          <w:sz w:val="22"/>
          <w:szCs w:val="22"/>
          <w:lang w:val="es-ES_tradnl" w:eastAsia="en-US"/>
        </w:rPr>
      </w:pPr>
      <w:bookmarkStart w:id="4" w:name="_Toc126067969"/>
      <w:r w:rsidRPr="00D06AD7">
        <w:rPr>
          <w:rFonts w:ascii="Arial Narrow" w:hAnsi="Arial Narrow" w:cs="Arial Narrow"/>
          <w:b/>
          <w:bCs/>
          <w:sz w:val="22"/>
          <w:szCs w:val="22"/>
        </w:rPr>
        <w:t xml:space="preserve">CRITERIOS DIFERENCIALES PARA MIPYME </w:t>
      </w:r>
      <w:bookmarkEnd w:id="4"/>
    </w:p>
    <w:p w14:paraId="452FFE08" w14:textId="77777777" w:rsidR="00A349E3" w:rsidRPr="00D06AD7" w:rsidRDefault="00A349E3" w:rsidP="00A349E3">
      <w:pPr>
        <w:jc w:val="both"/>
        <w:rPr>
          <w:rFonts w:ascii="Arial Narrow" w:eastAsia="Calibri" w:hAnsi="Arial Narrow" w:cs="Arial"/>
          <w:sz w:val="22"/>
          <w:szCs w:val="22"/>
          <w:lang w:val="es-ES_tradnl" w:eastAsia="en-US"/>
        </w:rPr>
      </w:pPr>
    </w:p>
    <w:p w14:paraId="623786B2" w14:textId="77777777" w:rsidR="00FC6BCA" w:rsidRPr="00D06AD7" w:rsidRDefault="00FC6BCA" w:rsidP="00FC6BCA">
      <w:pPr>
        <w:pStyle w:val="Default"/>
        <w:jc w:val="both"/>
        <w:rPr>
          <w:rFonts w:ascii="Arial Narrow" w:hAnsi="Arial Narrow"/>
          <w:color w:val="auto"/>
          <w:sz w:val="22"/>
          <w:szCs w:val="22"/>
        </w:rPr>
      </w:pPr>
    </w:p>
    <w:p w14:paraId="07374058" w14:textId="77777777" w:rsidR="00FC6BCA" w:rsidRPr="00D06AD7" w:rsidRDefault="00FC6BCA" w:rsidP="00EC17FC">
      <w:pPr>
        <w:keepNext/>
        <w:numPr>
          <w:ilvl w:val="0"/>
          <w:numId w:val="24"/>
        </w:numPr>
        <w:jc w:val="both"/>
        <w:outlineLvl w:val="0"/>
        <w:rPr>
          <w:rFonts w:ascii="Arial Narrow" w:hAnsi="Arial Narrow" w:cs="Arial Narrow"/>
          <w:b/>
          <w:bCs/>
          <w:sz w:val="22"/>
          <w:szCs w:val="22"/>
        </w:rPr>
      </w:pPr>
      <w:r w:rsidRPr="00D06AD7">
        <w:rPr>
          <w:rFonts w:ascii="Arial Narrow" w:hAnsi="Arial Narrow" w:cs="Arial Narrow"/>
          <w:b/>
          <w:bCs/>
          <w:sz w:val="22"/>
          <w:szCs w:val="22"/>
        </w:rPr>
        <w:t>CRITERIOS DIFERENCIALES PARA MIPYME Y EMPRENDIMIENTOS Y EMPRESAS DE MUJERES</w:t>
      </w:r>
    </w:p>
    <w:p w14:paraId="6DAC3619" w14:textId="77777777" w:rsidR="00FC6BCA" w:rsidRPr="00D06AD7" w:rsidRDefault="00FC6BCA" w:rsidP="00FC6BCA">
      <w:pPr>
        <w:rPr>
          <w:rFonts w:ascii="Arial Narrow" w:hAnsi="Arial Narrow"/>
          <w:sz w:val="22"/>
          <w:szCs w:val="22"/>
          <w:lang w:val="es-ES_tradnl" w:eastAsia="en-US"/>
        </w:rPr>
      </w:pPr>
    </w:p>
    <w:p w14:paraId="02A45DE3" w14:textId="77777777" w:rsidR="00FC6BCA" w:rsidRPr="00D06AD7" w:rsidRDefault="00FC6BCA" w:rsidP="00FC6BCA">
      <w:pPr>
        <w:jc w:val="both"/>
        <w:rPr>
          <w:rFonts w:ascii="Arial Narrow" w:eastAsia="Calibri" w:hAnsi="Arial Narrow" w:cs="Arial"/>
          <w:b/>
          <w:sz w:val="22"/>
          <w:szCs w:val="22"/>
          <w:lang w:val="es-ES_tradnl" w:eastAsia="en-US"/>
        </w:rPr>
      </w:pPr>
      <w:r w:rsidRPr="00D06AD7">
        <w:rPr>
          <w:rFonts w:ascii="Arial Narrow" w:eastAsia="Calibri" w:hAnsi="Arial Narrow" w:cs="Arial"/>
          <w:b/>
          <w:sz w:val="22"/>
          <w:szCs w:val="22"/>
          <w:lang w:val="es-ES_tradnl" w:eastAsia="en-US"/>
        </w:rPr>
        <w:t xml:space="preserve">LEY DE EMPRENDIMIENTO – Finalidad </w:t>
      </w:r>
    </w:p>
    <w:p w14:paraId="76B28A3B" w14:textId="77777777" w:rsidR="00FC6BCA" w:rsidRPr="00D06AD7" w:rsidRDefault="00FC6BCA" w:rsidP="00FC6BCA">
      <w:pPr>
        <w:jc w:val="both"/>
        <w:rPr>
          <w:rFonts w:ascii="Arial Narrow" w:eastAsia="Calibri" w:hAnsi="Arial Narrow" w:cs="Arial"/>
          <w:sz w:val="22"/>
          <w:szCs w:val="22"/>
          <w:lang w:val="es-ES_tradnl" w:eastAsia="en-US"/>
        </w:rPr>
      </w:pPr>
    </w:p>
    <w:p w14:paraId="3A6DDF30"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r w:rsidRPr="00D06AD7">
        <w:rPr>
          <w:rFonts w:ascii="Arial Narrow" w:eastAsia="Calibri" w:hAnsi="Arial Narrow" w:cs="Arial"/>
          <w:sz w:val="22"/>
          <w:szCs w:val="22"/>
          <w:lang w:val="es-ES_tradnl" w:eastAsia="en-US"/>
        </w:rPr>
        <w:t>La Ley 2069 de 2022, reglamentada mediante el Decreto No. 1860 de 2021,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2418189E"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p>
    <w:p w14:paraId="4B75399E"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r w:rsidRPr="00D06AD7">
        <w:rPr>
          <w:rFonts w:ascii="Arial Narrow" w:eastAsia="Calibri" w:hAnsi="Arial Narrow" w:cs="Arial"/>
          <w:sz w:val="22"/>
          <w:szCs w:val="22"/>
          <w:lang w:val="es-ES_tradnl" w:eastAsia="en-US"/>
        </w:rPr>
        <w:t>Por otra parte, la importancia del emprendimiento en Colombia radica en la capacidad que tienen las PYMES para generar empleo y ser un motor para la economía nacional, prueba de ello es que el 80% del empleo nuevo en Colombia es generado por el 10% de los nuevos proyectos de emprendimiento, en muchos de los casos PYMES, tal como se muestra a continuación:</w:t>
      </w:r>
    </w:p>
    <w:p w14:paraId="6B304287"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p>
    <w:p w14:paraId="357536F8" w14:textId="77777777" w:rsidR="00FC6BCA" w:rsidRPr="00D06AD7" w:rsidRDefault="00FC6BCA" w:rsidP="00FC6BCA">
      <w:pPr>
        <w:autoSpaceDE w:val="0"/>
        <w:autoSpaceDN w:val="0"/>
        <w:adjustRightInd w:val="0"/>
        <w:jc w:val="center"/>
        <w:rPr>
          <w:rFonts w:ascii="Arial Narrow" w:eastAsia="Calibri" w:hAnsi="Arial Narrow" w:cs="Arial"/>
          <w:sz w:val="22"/>
          <w:szCs w:val="22"/>
          <w:lang w:val="es-ES_tradnl" w:eastAsia="en-US"/>
        </w:rPr>
      </w:pPr>
      <w:r w:rsidRPr="00D06AD7">
        <w:rPr>
          <w:rFonts w:ascii="Arial Narrow" w:eastAsia="Calibri" w:hAnsi="Arial Narrow" w:cs="Arial"/>
          <w:noProof/>
          <w:sz w:val="22"/>
          <w:szCs w:val="22"/>
        </w:rPr>
        <w:lastRenderedPageBreak/>
        <w:drawing>
          <wp:inline distT="0" distB="0" distL="0" distR="0" wp14:anchorId="38E3A33E" wp14:editId="0FFA62DC">
            <wp:extent cx="3079630" cy="2099089"/>
            <wp:effectExtent l="0" t="0" r="6985" b="0"/>
            <wp:docPr id="1396492752" name="Imagen 1396492752"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92752" name="Imagen 1396492752" descr="Escala de tiempo&#10;&#10;Descripción generada automáticament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90985" cy="2106829"/>
                    </a:xfrm>
                    <a:prstGeom prst="rect">
                      <a:avLst/>
                    </a:prstGeom>
                    <a:noFill/>
                    <a:ln>
                      <a:noFill/>
                    </a:ln>
                  </pic:spPr>
                </pic:pic>
              </a:graphicData>
            </a:graphic>
          </wp:inline>
        </w:drawing>
      </w:r>
    </w:p>
    <w:p w14:paraId="6CCAA0BB"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p>
    <w:p w14:paraId="34852191" w14:textId="77777777" w:rsidR="00FC6BCA" w:rsidRPr="00D06AD7" w:rsidRDefault="00FC6BCA" w:rsidP="00FC6BCA">
      <w:pPr>
        <w:jc w:val="center"/>
        <w:textAlignment w:val="baseline"/>
        <w:rPr>
          <w:rFonts w:ascii="Arial Narrow" w:eastAsia="Calibri" w:hAnsi="Arial Narrow" w:cs="Arial"/>
          <w:b/>
          <w:sz w:val="22"/>
          <w:szCs w:val="22"/>
          <w:lang w:val="es-ES_tradnl" w:eastAsia="en-US"/>
        </w:rPr>
      </w:pPr>
      <w:r w:rsidRPr="00D06AD7">
        <w:rPr>
          <w:rFonts w:ascii="Arial Narrow" w:eastAsia="Calibri" w:hAnsi="Arial Narrow" w:cs="Arial"/>
          <w:b/>
          <w:sz w:val="22"/>
          <w:szCs w:val="22"/>
          <w:lang w:val="es-ES_tradnl" w:eastAsia="en-US"/>
        </w:rPr>
        <w:t>ANÁLISIS CON RELACIÓN A LA MIPYMES</w:t>
      </w:r>
    </w:p>
    <w:p w14:paraId="7265866C" w14:textId="77777777" w:rsidR="00FC6BCA" w:rsidRPr="00D06AD7" w:rsidRDefault="00FC6BCA" w:rsidP="00FC6BCA">
      <w:pPr>
        <w:jc w:val="both"/>
        <w:textAlignment w:val="baseline"/>
        <w:rPr>
          <w:rFonts w:ascii="Arial Narrow" w:eastAsia="Calibri" w:hAnsi="Arial Narrow" w:cs="Arial"/>
          <w:sz w:val="22"/>
          <w:szCs w:val="22"/>
          <w:lang w:val="es-ES_tradnl" w:eastAsia="en-US"/>
        </w:rPr>
      </w:pPr>
    </w:p>
    <w:p w14:paraId="3BE2D9C4" w14:textId="77777777"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De conformidad con las previsiones contenidas en los artículos 30, 31, 32, 33, 34, 35 y 36 de la Ley 2069 de 2020, se generaron incentivos para las MIPYMES con el propósito de incrementar la participación de dichas empresas en las compras públicas permitiendo la inclusión de criterios diferenciales y de ponderación en las distintas modalidades de contratación. </w:t>
      </w:r>
    </w:p>
    <w:p w14:paraId="08C909DA"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238B94EA" w14:textId="77777777" w:rsidR="00FC6BCA" w:rsidRPr="00D06AD7" w:rsidRDefault="00FC6BCA" w:rsidP="00FC6BCA">
      <w:pPr>
        <w:jc w:val="both"/>
        <w:textAlignment w:val="baseline"/>
        <w:rPr>
          <w:rFonts w:ascii="Arial Narrow" w:eastAsia="Calibri" w:hAnsi="Arial Narrow" w:cs="Arial"/>
          <w:i/>
          <w:iCs/>
          <w:sz w:val="22"/>
          <w:szCs w:val="22"/>
          <w:lang w:eastAsia="en-US"/>
        </w:rPr>
      </w:pPr>
      <w:r w:rsidRPr="00D06AD7">
        <w:rPr>
          <w:rFonts w:ascii="Arial Narrow" w:eastAsia="Calibri" w:hAnsi="Arial Narrow" w:cs="Arial"/>
          <w:sz w:val="22"/>
          <w:szCs w:val="22"/>
          <w:lang w:eastAsia="en-US"/>
        </w:rPr>
        <w:t>En este sentido mediante el Decreto No. 1860 de 2021 “</w:t>
      </w:r>
      <w:r w:rsidRPr="00D06AD7">
        <w:rPr>
          <w:rFonts w:ascii="Arial Narrow" w:eastAsia="Calibri" w:hAnsi="Arial Narrow" w:cs="Arial"/>
          <w:i/>
          <w:iCs/>
          <w:sz w:val="22"/>
          <w:szCs w:val="22"/>
          <w:lang w:eastAsia="en-US"/>
        </w:rPr>
        <w:t>Por el cual se modifica y adiciona el Decreto </w:t>
      </w:r>
      <w:hyperlink r:id="rId33" w:anchor="0" w:history="1">
        <w:r w:rsidRPr="00D06AD7">
          <w:rPr>
            <w:rFonts w:ascii="Arial Narrow" w:eastAsia="Calibri" w:hAnsi="Arial Narrow" w:cs="Arial"/>
            <w:i/>
            <w:iCs/>
            <w:sz w:val="22"/>
            <w:szCs w:val="22"/>
            <w:lang w:eastAsia="en-US"/>
          </w:rPr>
          <w:t>1082 </w:t>
        </w:r>
      </w:hyperlink>
      <w:r w:rsidRPr="00D06AD7">
        <w:rPr>
          <w:rFonts w:ascii="Arial Narrow" w:eastAsia="Calibri" w:hAnsi="Arial Narrow" w:cs="Arial"/>
          <w:i/>
          <w:iCs/>
          <w:sz w:val="22"/>
          <w:szCs w:val="22"/>
          <w:lang w:eastAsia="en-US"/>
        </w:rPr>
        <w:t>de 2015, Único Reglamentario del Sector Administrativo de Planeación Nacional, con el fin reglamentar los artículos </w:t>
      </w:r>
      <w:hyperlink r:id="rId34" w:anchor="30" w:history="1">
        <w:r w:rsidRPr="00D06AD7">
          <w:rPr>
            <w:rFonts w:ascii="Arial Narrow" w:eastAsia="Calibri" w:hAnsi="Arial Narrow" w:cs="Arial"/>
            <w:i/>
            <w:iCs/>
            <w:sz w:val="22"/>
            <w:szCs w:val="22"/>
            <w:lang w:eastAsia="en-US"/>
          </w:rPr>
          <w:t>30</w:t>
        </w:r>
      </w:hyperlink>
      <w:r w:rsidRPr="00D06AD7">
        <w:rPr>
          <w:rFonts w:ascii="Arial Narrow" w:eastAsia="Calibri" w:hAnsi="Arial Narrow" w:cs="Arial"/>
          <w:i/>
          <w:iCs/>
          <w:sz w:val="22"/>
          <w:szCs w:val="22"/>
          <w:lang w:eastAsia="en-US"/>
        </w:rPr>
        <w:t>, </w:t>
      </w:r>
      <w:hyperlink r:id="rId35" w:anchor="31" w:history="1">
        <w:r w:rsidRPr="00D06AD7">
          <w:rPr>
            <w:rFonts w:ascii="Arial Narrow" w:eastAsia="Calibri" w:hAnsi="Arial Narrow" w:cs="Arial"/>
            <w:i/>
            <w:iCs/>
            <w:sz w:val="22"/>
            <w:szCs w:val="22"/>
            <w:lang w:eastAsia="en-US"/>
          </w:rPr>
          <w:t>31</w:t>
        </w:r>
      </w:hyperlink>
      <w:r w:rsidRPr="00D06AD7">
        <w:rPr>
          <w:rFonts w:ascii="Arial Narrow" w:eastAsia="Calibri" w:hAnsi="Arial Narrow" w:cs="Arial"/>
          <w:i/>
          <w:iCs/>
          <w:sz w:val="22"/>
          <w:szCs w:val="22"/>
          <w:lang w:eastAsia="en-US"/>
        </w:rPr>
        <w:t>, </w:t>
      </w:r>
      <w:hyperlink r:id="rId36" w:anchor="32" w:history="1">
        <w:r w:rsidRPr="00D06AD7">
          <w:rPr>
            <w:rFonts w:ascii="Arial Narrow" w:eastAsia="Calibri" w:hAnsi="Arial Narrow" w:cs="Arial"/>
            <w:i/>
            <w:iCs/>
            <w:sz w:val="22"/>
            <w:szCs w:val="22"/>
            <w:lang w:eastAsia="en-US"/>
          </w:rPr>
          <w:t>32</w:t>
        </w:r>
      </w:hyperlink>
      <w:r w:rsidRPr="00D06AD7">
        <w:rPr>
          <w:rFonts w:ascii="Arial Narrow" w:eastAsia="Calibri" w:hAnsi="Arial Narrow" w:cs="Arial"/>
          <w:i/>
          <w:iCs/>
          <w:sz w:val="22"/>
          <w:szCs w:val="22"/>
          <w:lang w:eastAsia="en-US"/>
        </w:rPr>
        <w:t>, </w:t>
      </w:r>
      <w:hyperlink r:id="rId37" w:anchor="34" w:history="1">
        <w:r w:rsidRPr="00D06AD7">
          <w:rPr>
            <w:rFonts w:ascii="Arial Narrow" w:eastAsia="Calibri" w:hAnsi="Arial Narrow" w:cs="Arial"/>
            <w:i/>
            <w:iCs/>
            <w:sz w:val="22"/>
            <w:szCs w:val="22"/>
            <w:lang w:eastAsia="en-US"/>
          </w:rPr>
          <w:t>34 </w:t>
        </w:r>
      </w:hyperlink>
      <w:r w:rsidRPr="00D06AD7">
        <w:rPr>
          <w:rFonts w:ascii="Arial Narrow" w:eastAsia="Calibri" w:hAnsi="Arial Narrow" w:cs="Arial"/>
          <w:i/>
          <w:iCs/>
          <w:sz w:val="22"/>
          <w:szCs w:val="22"/>
          <w:lang w:eastAsia="en-US"/>
        </w:rPr>
        <w:t>y </w:t>
      </w:r>
      <w:hyperlink r:id="rId38" w:anchor="35" w:history="1">
        <w:r w:rsidRPr="00D06AD7">
          <w:rPr>
            <w:rFonts w:ascii="Arial Narrow" w:eastAsia="Calibri" w:hAnsi="Arial Narrow" w:cs="Arial"/>
            <w:i/>
            <w:iCs/>
            <w:sz w:val="22"/>
            <w:szCs w:val="22"/>
            <w:lang w:eastAsia="en-US"/>
          </w:rPr>
          <w:t>35 </w:t>
        </w:r>
      </w:hyperlink>
      <w:r w:rsidRPr="00D06AD7">
        <w:rPr>
          <w:rFonts w:ascii="Arial Narrow" w:eastAsia="Calibri" w:hAnsi="Arial Narrow" w:cs="Arial"/>
          <w:i/>
          <w:iCs/>
          <w:sz w:val="22"/>
          <w:szCs w:val="22"/>
          <w:lang w:eastAsia="en-US"/>
        </w:rPr>
        <w:t>de la Ley 2069 de 2020, en lo relativo al sistema de compras públicas y se dictan otras disposiciones</w:t>
      </w:r>
      <w:r w:rsidRPr="00D06AD7">
        <w:rPr>
          <w:rFonts w:ascii="Arial Narrow" w:eastAsia="Calibri" w:hAnsi="Arial Narrow" w:cs="Arial"/>
          <w:sz w:val="22"/>
          <w:szCs w:val="22"/>
          <w:lang w:eastAsia="en-US"/>
        </w:rPr>
        <w:t>", se incluyeron disposiciones particulares en el procedimiento de selección de mínima cuantía referidas a la contratación con Mipymes y grandes almacenes; se definieron y fijaron los criterios diferenciales para Mipymes y emprendimientos y empresas de mujeres; se profirió la reglamentación para las convocatorias limitadas a Mipymes, la ejecución de contratos estatales por parte de población en pobreza extrema, desplazados por la violencia, personas en proceso de reintegración o reincorporación y, sujetos de especial protección constitucional; así como la acreditación de los factores de desempate previstos en la Ley de Emprendimiento.</w:t>
      </w:r>
    </w:p>
    <w:p w14:paraId="3CDC88A2"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73728E75" w14:textId="77777777" w:rsidR="00FC6BCA" w:rsidRPr="00D06AD7" w:rsidRDefault="00FC6BCA" w:rsidP="00FC6BCA">
      <w:pPr>
        <w:jc w:val="both"/>
        <w:textAlignment w:val="baseline"/>
        <w:rPr>
          <w:rFonts w:ascii="Arial Narrow" w:eastAsia="Calibri" w:hAnsi="Arial Narrow" w:cs="Arial"/>
          <w:b/>
          <w:sz w:val="22"/>
          <w:szCs w:val="22"/>
          <w:lang w:eastAsia="en-US"/>
        </w:rPr>
      </w:pPr>
      <w:r w:rsidRPr="00D06AD7">
        <w:rPr>
          <w:rFonts w:ascii="Arial Narrow" w:eastAsia="Calibri" w:hAnsi="Arial Narrow" w:cs="Arial"/>
          <w:b/>
          <w:sz w:val="22"/>
          <w:szCs w:val="22"/>
          <w:lang w:eastAsia="en-US"/>
        </w:rPr>
        <w:t>Criterios diferenciales para Mipymes en el sistema de compras públicas</w:t>
      </w:r>
    </w:p>
    <w:p w14:paraId="0CD01605"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25E96681" w14:textId="77777777"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El artículo 31 de la Ley 2069 de 2020 introdujo criterios diferenciales para el acceso de las Mipymes al sistema de compras y contratación pública. Para estos efectos, el inciso primero señala que «Las Entidades Estatales de acuerdo con el análisis de Sector podrán incluir, en los Documentos del Proceso, requisitos diferenciales y puntajes adicionales, en función del tamaño empresarial para la promoción del acceso de las MIPYMES al mercado de Compras Públicas», estos criterios diferenciales aplican para todos los procesos de selección.</w:t>
      </w:r>
    </w:p>
    <w:p w14:paraId="060E2E8B"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691C4F81" w14:textId="77777777"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En este sentido, en el Decreto 1860 del 24 de diciembre de 2021 se dispone que las entidades estatales deben fijar los requisitos habilitantes con alguno o algunos de los siguientes criterios diferenciales “</w:t>
      </w:r>
      <w:r w:rsidRPr="00D06AD7">
        <w:rPr>
          <w:rFonts w:ascii="Arial Narrow" w:eastAsia="Calibri" w:hAnsi="Arial Narrow" w:cs="Arial"/>
          <w:i/>
          <w:iCs/>
          <w:sz w:val="22"/>
          <w:szCs w:val="22"/>
          <w:lang w:eastAsia="en-US"/>
        </w:rPr>
        <w:t>que promuevan y faciliten la participación en los procedimientos de selección</w:t>
      </w:r>
      <w:r w:rsidRPr="00D06AD7">
        <w:rPr>
          <w:rFonts w:ascii="Arial Narrow" w:eastAsia="Calibri" w:hAnsi="Arial Narrow" w:cs="Arial"/>
          <w:sz w:val="22"/>
          <w:szCs w:val="22"/>
          <w:lang w:eastAsia="en-US"/>
        </w:rPr>
        <w:t>” a las MIPYMES (artículo 2.2.1.2.4.2.18 del Decreto 1082 de 2015), d</w:t>
      </w:r>
      <w:r w:rsidRPr="00D06AD7">
        <w:rPr>
          <w:rFonts w:ascii="Arial Narrow" w:eastAsia="Calibri" w:hAnsi="Arial Narrow" w:cs="Arial"/>
          <w:sz w:val="22"/>
          <w:szCs w:val="22"/>
        </w:rPr>
        <w:t>e manera que en alguno o algunos de los criterios que se indican, se establezcan condiciones más exigentes para aquellos participantes en el procedimiento de selección que no tengan la calidad de MIPYME</w:t>
      </w:r>
      <w:r w:rsidRPr="00D06AD7">
        <w:rPr>
          <w:rFonts w:ascii="Arial Narrow" w:eastAsia="Calibri" w:hAnsi="Arial Narrow" w:cs="Arial"/>
          <w:sz w:val="22"/>
          <w:szCs w:val="22"/>
          <w:lang w:eastAsia="en-US"/>
        </w:rPr>
        <w:t>:</w:t>
      </w:r>
    </w:p>
    <w:p w14:paraId="7E22ECDD" w14:textId="77777777" w:rsidR="00FC6BCA" w:rsidRPr="00D06AD7" w:rsidRDefault="00FC6BCA" w:rsidP="00FC6BCA">
      <w:pPr>
        <w:jc w:val="both"/>
        <w:textAlignment w:val="baseline"/>
        <w:rPr>
          <w:rFonts w:ascii="Arial Narrow" w:eastAsia="Calibri" w:hAnsi="Arial Narrow" w:cs="Arial"/>
          <w:sz w:val="22"/>
          <w:szCs w:val="22"/>
        </w:rPr>
      </w:pPr>
    </w:p>
    <w:p w14:paraId="1CE5D4CC" w14:textId="77777777" w:rsidR="00FC6BCA" w:rsidRPr="00D06AD7" w:rsidRDefault="00FC6BCA" w:rsidP="00EC17FC">
      <w:pPr>
        <w:pStyle w:val="Prrafodelista"/>
        <w:numPr>
          <w:ilvl w:val="0"/>
          <w:numId w:val="29"/>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lastRenderedPageBreak/>
        <w:t xml:space="preserve">Tiempo de Experiencia: para quienes no son MIPYME se podrá establecer un tiempo de experiencia mayor respecto del requerido para quienes son MIPYME. </w:t>
      </w:r>
    </w:p>
    <w:p w14:paraId="382148FD" w14:textId="77777777" w:rsidR="00FC6BCA" w:rsidRPr="00D06AD7" w:rsidRDefault="00FC6BCA" w:rsidP="00EC17FC">
      <w:pPr>
        <w:pStyle w:val="Prrafodelista"/>
        <w:numPr>
          <w:ilvl w:val="0"/>
          <w:numId w:val="29"/>
        </w:numPr>
        <w:contextualSpacing/>
        <w:jc w:val="both"/>
        <w:textAlignment w:val="baseline"/>
        <w:rPr>
          <w:rFonts w:ascii="Arial Narrow" w:eastAsia="Calibri" w:hAnsi="Arial Narrow" w:cs="Arial"/>
          <w:sz w:val="22"/>
          <w:szCs w:val="22"/>
          <w:lang w:val="es-ES"/>
        </w:rPr>
      </w:pPr>
      <w:r w:rsidRPr="00D06AD7">
        <w:rPr>
          <w:rFonts w:ascii="Arial Narrow" w:eastAsia="Calibri" w:hAnsi="Arial Narrow" w:cs="Arial"/>
          <w:sz w:val="22"/>
          <w:szCs w:val="22"/>
          <w:lang w:val="es-ES"/>
        </w:rPr>
        <w:t>Número de contratos para la acreditación de la experiencia: exigir una mayor cantidad de contratos para acreditar la experiencia a quienes no son MIPYME, de manera que las MIPYMES puedan demostrar la experiencia habilitante con menor número de contratos.</w:t>
      </w:r>
    </w:p>
    <w:p w14:paraId="6FF9D232" w14:textId="77777777" w:rsidR="00FC6BCA" w:rsidRPr="00D06AD7" w:rsidRDefault="00FC6BCA" w:rsidP="00EC17FC">
      <w:pPr>
        <w:pStyle w:val="Prrafodelista"/>
        <w:numPr>
          <w:ilvl w:val="0"/>
          <w:numId w:val="29"/>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t>Índices de capacidad financiera: formular estos índices de manera más exigente para quienes no tienen la calidad de MIPYME.</w:t>
      </w:r>
    </w:p>
    <w:p w14:paraId="5E01C285" w14:textId="77777777" w:rsidR="00FC6BCA" w:rsidRPr="00D06AD7" w:rsidRDefault="00FC6BCA" w:rsidP="00EC17FC">
      <w:pPr>
        <w:pStyle w:val="Prrafodelista"/>
        <w:numPr>
          <w:ilvl w:val="0"/>
          <w:numId w:val="29"/>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t>Índices de capacidad organizacional: exigir un mayor índice de capacidad organizacional para los participantes que no son MIPYME.</w:t>
      </w:r>
    </w:p>
    <w:p w14:paraId="049059FD" w14:textId="77777777" w:rsidR="00FC6BCA" w:rsidRPr="00D06AD7" w:rsidRDefault="00FC6BCA" w:rsidP="00EC17FC">
      <w:pPr>
        <w:pStyle w:val="Prrafodelista"/>
        <w:numPr>
          <w:ilvl w:val="0"/>
          <w:numId w:val="29"/>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t>Valor de la garantía de seriedad de la oferta: exigir un mayor valor asegurado para quienes no son MIPYME.</w:t>
      </w:r>
    </w:p>
    <w:p w14:paraId="30D8E114" w14:textId="77777777" w:rsidR="00FC6BCA" w:rsidRPr="00D06AD7" w:rsidRDefault="00FC6BCA" w:rsidP="00FC6BCA">
      <w:pPr>
        <w:pStyle w:val="Prrafodelista"/>
        <w:jc w:val="both"/>
        <w:textAlignment w:val="baseline"/>
        <w:rPr>
          <w:rFonts w:ascii="Arial Narrow" w:eastAsia="Calibri" w:hAnsi="Arial Narrow" w:cs="Arial"/>
          <w:sz w:val="22"/>
          <w:szCs w:val="22"/>
        </w:rPr>
      </w:pPr>
    </w:p>
    <w:p w14:paraId="0B3F8F84"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207166DD" w14:textId="77777777" w:rsidR="00FC6BCA" w:rsidRPr="00D06AD7" w:rsidRDefault="00FC6BCA" w:rsidP="00FC6BCA">
      <w:pPr>
        <w:jc w:val="both"/>
        <w:textAlignment w:val="baseline"/>
        <w:rPr>
          <w:rFonts w:ascii="Arial Narrow" w:eastAsia="Calibri" w:hAnsi="Arial Narrow" w:cs="Arial"/>
          <w:b/>
          <w:sz w:val="22"/>
          <w:szCs w:val="22"/>
          <w:lang w:eastAsia="en-US"/>
        </w:rPr>
      </w:pPr>
      <w:r w:rsidRPr="00D06AD7">
        <w:rPr>
          <w:rFonts w:ascii="Arial Narrow" w:eastAsia="Calibri" w:hAnsi="Arial Narrow" w:cs="Arial"/>
          <w:b/>
          <w:sz w:val="22"/>
          <w:szCs w:val="22"/>
          <w:lang w:eastAsia="en-US"/>
        </w:rPr>
        <w:t>Criterios diferenciales para emprendimientos y empresas de mujeres en el sistema de compras públicas</w:t>
      </w:r>
    </w:p>
    <w:p w14:paraId="3983F0B2"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15B5B049" w14:textId="37D2C50C"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 xml:space="preserve">El artículo 32 de la Ley 2069 de 2020 ordenó a las entidades establecer criterios diferenciales para los «emprendimientos y empresas de mujeres» en el sistema de compras y contratación pública en los procesos de selección de Licitación Pública, Selección Abreviada de Menor Cuantía y </w:t>
      </w:r>
      <w:r w:rsidR="008D02DD">
        <w:rPr>
          <w:rFonts w:ascii="Arial Narrow" w:eastAsia="Calibri" w:hAnsi="Arial Narrow" w:cs="Arial"/>
          <w:sz w:val="22"/>
          <w:szCs w:val="22"/>
          <w:lang w:eastAsia="en-US"/>
        </w:rPr>
        <w:t>Concurso de Méritos</w:t>
      </w:r>
      <w:r w:rsidRPr="00D06AD7">
        <w:rPr>
          <w:rFonts w:ascii="Arial Narrow" w:eastAsia="Calibri" w:hAnsi="Arial Narrow" w:cs="Arial"/>
          <w:sz w:val="22"/>
          <w:szCs w:val="22"/>
          <w:lang w:eastAsia="en-US"/>
        </w:rPr>
        <w:t xml:space="preserve"> y en el mismo sentido indicado anteriormente para las MIPYMES, el Decreto 1860 del 24 de diciembre de 2021 dispuso que </w:t>
      </w:r>
      <w:r w:rsidRPr="00D06AD7">
        <w:rPr>
          <w:rFonts w:ascii="Arial Narrow" w:eastAsia="Calibri" w:hAnsi="Arial Narrow" w:cs="Arial"/>
          <w:sz w:val="22"/>
          <w:szCs w:val="22"/>
        </w:rPr>
        <w:t>en alguno o algunos de los mismos criterios antes señalados para las MIPYMES, se deben fijar condiciones más exigentes para aquellos participantes en los 3 procedimientos de selección mencionados, que no tengan la calidad de emprendimiento o empresas de mujeres</w:t>
      </w:r>
      <w:r w:rsidRPr="00D06AD7">
        <w:rPr>
          <w:rFonts w:ascii="Arial Narrow" w:eastAsia="Calibri" w:hAnsi="Arial Narrow" w:cs="Arial"/>
          <w:sz w:val="22"/>
          <w:szCs w:val="22"/>
          <w:lang w:eastAsia="en-US"/>
        </w:rPr>
        <w:t>.</w:t>
      </w:r>
    </w:p>
    <w:p w14:paraId="7638AF44"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77A8C03B" w14:textId="77777777"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eastAsia="Calibri" w:hAnsi="Arial Narrow" w:cs="Arial"/>
          <w:sz w:val="22"/>
          <w:szCs w:val="22"/>
          <w:lang w:eastAsia="en-US"/>
        </w:rPr>
        <w:t>Igualmente, se define a los emprendimientos y a las empresas de mujeres como aquellos que cumplan con las siguientes calidades:</w:t>
      </w:r>
    </w:p>
    <w:p w14:paraId="1FE39371"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789C2133" w14:textId="77777777" w:rsidR="00FC6BCA" w:rsidRPr="00D06AD7" w:rsidRDefault="00FC6BCA" w:rsidP="00EC17FC">
      <w:pPr>
        <w:pStyle w:val="Prrafodelista"/>
        <w:numPr>
          <w:ilvl w:val="0"/>
          <w:numId w:val="30"/>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circunstancia que se acredita mediante certificación en la que conste la distribución de los derechos en la sociedad y el tiempo en el que las mujeres han mantenido su participación, expedida por el representante legal y el revisor fiscal, cuando exista de acuerdo con los requerimientos de ley, o el contador.</w:t>
      </w:r>
    </w:p>
    <w:p w14:paraId="18B2A8DA" w14:textId="77777777" w:rsidR="00FC6BCA" w:rsidRPr="00D06AD7" w:rsidRDefault="00FC6BCA" w:rsidP="00FC6BCA">
      <w:pPr>
        <w:pStyle w:val="Prrafodelista"/>
        <w:jc w:val="both"/>
        <w:textAlignment w:val="baseline"/>
        <w:rPr>
          <w:rFonts w:ascii="Arial Narrow" w:eastAsia="Calibri" w:hAnsi="Arial Narrow" w:cs="Arial"/>
          <w:sz w:val="22"/>
          <w:szCs w:val="22"/>
        </w:rPr>
      </w:pPr>
    </w:p>
    <w:p w14:paraId="19046879" w14:textId="77777777" w:rsidR="00FC6BCA" w:rsidRPr="00D06AD7" w:rsidRDefault="00FC6BCA" w:rsidP="00EC17FC">
      <w:pPr>
        <w:pStyle w:val="Prrafodelista"/>
        <w:numPr>
          <w:ilvl w:val="0"/>
          <w:numId w:val="30"/>
        </w:numPr>
        <w:contextualSpacing/>
        <w:jc w:val="both"/>
        <w:textAlignment w:val="baseline"/>
        <w:rPr>
          <w:rFonts w:ascii="Arial Narrow" w:eastAsia="Calibri" w:hAnsi="Arial Narrow" w:cs="Arial"/>
          <w:sz w:val="22"/>
          <w:szCs w:val="22"/>
          <w:lang w:val="es-ES"/>
        </w:rPr>
      </w:pPr>
      <w:r w:rsidRPr="00D06AD7">
        <w:rPr>
          <w:rFonts w:ascii="Arial Narrow" w:eastAsia="Calibri" w:hAnsi="Arial Narrow" w:cs="Arial"/>
          <w:sz w:val="22"/>
          <w:szCs w:val="22"/>
          <w:lang w:val="es-ES"/>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define en este numeral que los empleos del nivel directivo son aquellos cuyas funciones están relacionadas con la dirección de áreas misionales de la empresa y la toma de decisiones a nivel estratégico, de manera que son cargos de nivel directivo, los que dentro de la organización de la empresa se encuentran ubicados en un nivel de mando o los que por su jerarquía desempeñan cargos encaminados al cumplimiento de funciones orientadas a representar al empleador. Esta circunstancia se acredita mediante certificación en la que se señalen, de manera detallada, todas las personas que conforman los cargos de nivel directivo del proponente, el número de mujeres y el tiempo de vinculación, expedida por el representante legal y el revisor fiscal o el contador. Igualmente deben ser aportadas copias de los respectivos documentos de identidad, de los contratos de trabajo o de las certificaciones laborales con las funciones, y los certificados de aportes a seguridad social del último año en el que se demuestren los pagos realizados por el empleador.</w:t>
      </w:r>
    </w:p>
    <w:p w14:paraId="5928A30D" w14:textId="77777777" w:rsidR="00FC6BCA" w:rsidRPr="00D06AD7" w:rsidRDefault="00FC6BCA" w:rsidP="00FC6BCA">
      <w:pPr>
        <w:pStyle w:val="Prrafodelista"/>
        <w:jc w:val="both"/>
        <w:textAlignment w:val="baseline"/>
        <w:rPr>
          <w:rFonts w:ascii="Arial Narrow" w:eastAsia="Calibri" w:hAnsi="Arial Narrow" w:cs="Arial"/>
          <w:sz w:val="22"/>
          <w:szCs w:val="22"/>
        </w:rPr>
      </w:pPr>
    </w:p>
    <w:p w14:paraId="0704134D" w14:textId="77777777" w:rsidR="00FC6BCA" w:rsidRPr="00D06AD7" w:rsidRDefault="00FC6BCA" w:rsidP="00EC17FC">
      <w:pPr>
        <w:pStyle w:val="Prrafodelista"/>
        <w:numPr>
          <w:ilvl w:val="0"/>
          <w:numId w:val="30"/>
        </w:numPr>
        <w:contextualSpacing/>
        <w:jc w:val="both"/>
        <w:textAlignment w:val="baseline"/>
        <w:rPr>
          <w:rFonts w:ascii="Arial Narrow" w:eastAsia="Calibri" w:hAnsi="Arial Narrow" w:cs="Arial"/>
          <w:sz w:val="22"/>
          <w:szCs w:val="22"/>
          <w:lang w:val="es-ES"/>
        </w:rPr>
      </w:pPr>
      <w:r w:rsidRPr="00D06AD7">
        <w:rPr>
          <w:rFonts w:ascii="Arial Narrow" w:eastAsia="Calibri" w:hAnsi="Arial Narrow" w:cs="Arial"/>
          <w:sz w:val="22"/>
          <w:szCs w:val="22"/>
          <w:lang w:val="es-ES"/>
        </w:rPr>
        <w:lastRenderedPageBreak/>
        <w:t>Cuando la persona natural sea una mujer y haya ejercido actividades comerciales a través de un establecimiento de comercio durante al menos el último año anterior a la fecha de cierre del proceso de selección, circunstancia que se acredita mediante la copia del documento de identidad y la copia del registro mercantil.</w:t>
      </w:r>
    </w:p>
    <w:p w14:paraId="426521D3" w14:textId="77777777" w:rsidR="00FC6BCA" w:rsidRPr="00D06AD7" w:rsidRDefault="00FC6BCA" w:rsidP="00FC6BCA">
      <w:pPr>
        <w:pStyle w:val="Prrafodelista"/>
        <w:jc w:val="both"/>
        <w:textAlignment w:val="baseline"/>
        <w:rPr>
          <w:rFonts w:ascii="Arial Narrow" w:eastAsia="Calibri" w:hAnsi="Arial Narrow" w:cs="Arial"/>
          <w:sz w:val="22"/>
          <w:szCs w:val="22"/>
        </w:rPr>
      </w:pPr>
    </w:p>
    <w:p w14:paraId="3CCF85FA" w14:textId="77777777" w:rsidR="00FC6BCA" w:rsidRPr="00D06AD7" w:rsidRDefault="00FC6BCA" w:rsidP="00EC17FC">
      <w:pPr>
        <w:pStyle w:val="Prrafodelista"/>
        <w:numPr>
          <w:ilvl w:val="0"/>
          <w:numId w:val="30"/>
        </w:numPr>
        <w:contextualSpacing/>
        <w:jc w:val="both"/>
        <w:textAlignment w:val="baseline"/>
        <w:rPr>
          <w:rFonts w:ascii="Arial Narrow" w:eastAsia="Calibri" w:hAnsi="Arial Narrow" w:cs="Arial"/>
          <w:sz w:val="22"/>
          <w:szCs w:val="22"/>
        </w:rPr>
      </w:pPr>
      <w:r w:rsidRPr="00D06AD7">
        <w:rPr>
          <w:rFonts w:ascii="Arial Narrow" w:eastAsia="Calibri" w:hAnsi="Arial Narrow" w:cs="Arial"/>
          <w:sz w:val="22"/>
          <w:szCs w:val="22"/>
        </w:rPr>
        <w:t>Respecto de asociaciones y cooperativas, cuando más del cincuenta por ciento (50%) de los asociados sean mujeres y la participación haya correspondido a estas durante al menos el último año anterior a la fecha de cierre del Proceso de Selección, lo cual se acredita mediante certificación expedida por el representante legal.</w:t>
      </w:r>
    </w:p>
    <w:p w14:paraId="005397FF" w14:textId="77777777" w:rsidR="00FC6BCA" w:rsidRPr="00D06AD7" w:rsidRDefault="00FC6BCA" w:rsidP="00FC6BCA">
      <w:pPr>
        <w:jc w:val="both"/>
        <w:textAlignment w:val="baseline"/>
        <w:rPr>
          <w:rFonts w:ascii="Arial Narrow" w:eastAsia="Calibri" w:hAnsi="Arial Narrow" w:cs="Arial"/>
          <w:sz w:val="22"/>
          <w:szCs w:val="22"/>
          <w:lang w:val="es-ES_tradnl" w:eastAsia="en-US"/>
        </w:rPr>
      </w:pPr>
    </w:p>
    <w:p w14:paraId="21FAD2C0" w14:textId="77777777" w:rsidR="00FC6BCA" w:rsidRPr="00D06AD7" w:rsidRDefault="00FC6BCA" w:rsidP="00FC6BCA">
      <w:pPr>
        <w:jc w:val="both"/>
        <w:textAlignment w:val="baseline"/>
        <w:rPr>
          <w:rFonts w:ascii="Arial Narrow" w:eastAsia="Calibri" w:hAnsi="Arial Narrow" w:cs="Arial"/>
          <w:b/>
          <w:bCs/>
          <w:sz w:val="22"/>
          <w:szCs w:val="22"/>
          <w:lang w:val="es-ES_tradnl" w:eastAsia="en-US"/>
        </w:rPr>
      </w:pPr>
      <w:r w:rsidRPr="00D06AD7">
        <w:rPr>
          <w:rFonts w:ascii="Arial Narrow" w:eastAsia="Calibri" w:hAnsi="Arial Narrow" w:cs="Arial"/>
          <w:b/>
          <w:bCs/>
          <w:sz w:val="22"/>
          <w:szCs w:val="22"/>
          <w:lang w:val="es-ES_tradnl" w:eastAsia="en-US"/>
        </w:rPr>
        <w:t>Impacto de la Ley 2069 de 2020 en la contratación estatal.</w:t>
      </w:r>
    </w:p>
    <w:p w14:paraId="2E73E3AC"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2EF21022" w14:textId="77777777" w:rsidR="00FC6BCA" w:rsidRPr="00D06AD7" w:rsidRDefault="00FC6BCA" w:rsidP="00FC6BCA">
      <w:pPr>
        <w:jc w:val="both"/>
        <w:textAlignment w:val="baseline"/>
        <w:rPr>
          <w:rFonts w:ascii="Arial Narrow" w:eastAsia="Calibri" w:hAnsi="Arial Narrow" w:cs="Arial"/>
          <w:sz w:val="22"/>
          <w:szCs w:val="22"/>
          <w:lang w:eastAsia="en-US"/>
        </w:rPr>
      </w:pPr>
      <w:r w:rsidRPr="00D06AD7">
        <w:rPr>
          <w:rFonts w:ascii="Arial Narrow" w:hAnsi="Arial Narrow"/>
          <w:sz w:val="22"/>
          <w:szCs w:val="22"/>
          <w:lang w:val="es-MX"/>
        </w:rPr>
        <w:t>Organismos, como la OIT con la colaboración de ACOPI, la ANDI, entre otras Entidades, realizaron un documento de trabajo titulado “Impacto de la Covid-19 en las Mipyme colombianas”, en el que expresan que desde el lado de la demanda se identifica la caí</w:t>
      </w:r>
      <w:r w:rsidRPr="00D06AD7">
        <w:rPr>
          <w:rFonts w:ascii="Arial Narrow" w:hAnsi="Arial Narrow"/>
          <w:sz w:val="22"/>
          <w:szCs w:val="22"/>
          <w:lang w:val="es-MX"/>
        </w:rPr>
        <w:softHyphen/>
        <w:t>da en las ventas en los sectores más sensibles a la crisis -restaurantes, hoteles, aerolí</w:t>
      </w:r>
      <w:r w:rsidRPr="00D06AD7">
        <w:rPr>
          <w:rFonts w:ascii="Arial Narrow" w:hAnsi="Arial Narrow"/>
          <w:sz w:val="22"/>
          <w:szCs w:val="22"/>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1761A93E"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18A66E8A" w14:textId="77777777" w:rsidR="00FC6BCA" w:rsidRPr="00D06AD7" w:rsidRDefault="00FC6BCA" w:rsidP="00FC6BCA">
      <w:pPr>
        <w:jc w:val="both"/>
        <w:textAlignment w:val="baseline"/>
        <w:rPr>
          <w:rFonts w:ascii="Arial Narrow" w:hAnsi="Arial Narrow"/>
          <w:sz w:val="22"/>
          <w:szCs w:val="22"/>
          <w:lang w:val="es-MX"/>
        </w:rPr>
      </w:pPr>
      <w:r w:rsidRPr="00D06AD7">
        <w:rPr>
          <w:rFonts w:ascii="Arial Narrow" w:hAnsi="Arial Narrow"/>
          <w:sz w:val="22"/>
          <w:szCs w:val="22"/>
          <w:lang w:val="es-MX"/>
        </w:rPr>
        <w:t>Recoge información registral de las cámaras de comercio del país y permite seguir la demografí</w:t>
      </w:r>
      <w:r w:rsidRPr="00D06AD7">
        <w:rPr>
          <w:rFonts w:ascii="Arial Narrow" w:hAnsi="Arial Narrow"/>
          <w:sz w:val="22"/>
          <w:szCs w:val="22"/>
          <w:lang w:val="es-MX"/>
        </w:rPr>
        <w:softHyphen/>
        <w:t>a de las empresas por organización jurí</w:t>
      </w:r>
      <w:r w:rsidRPr="00D06AD7">
        <w:rPr>
          <w:rFonts w:ascii="Arial Narrow" w:hAnsi="Arial Narrow"/>
          <w:sz w:val="22"/>
          <w:szCs w:val="22"/>
          <w:lang w:val="es-MX"/>
        </w:rPr>
        <w:softHyphen/>
        <w:t>dica, sectores y tamaño en esta lí</w:t>
      </w:r>
      <w:r w:rsidRPr="00D06AD7">
        <w:rPr>
          <w:rFonts w:ascii="Arial Narrow" w:hAnsi="Arial Narrow"/>
          <w:sz w:val="22"/>
          <w:szCs w:val="22"/>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43EB74C1"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3AEAFB09"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63AD69D3"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0EC1B087" w14:textId="77777777" w:rsidR="00FC6BCA" w:rsidRPr="00D06AD7" w:rsidRDefault="00FC6BCA" w:rsidP="00FC6BCA">
      <w:pPr>
        <w:textAlignment w:val="baseline"/>
        <w:rPr>
          <w:rFonts w:ascii="Arial Narrow" w:eastAsia="Calibri" w:hAnsi="Arial Narrow" w:cs="Arial"/>
          <w:sz w:val="22"/>
          <w:szCs w:val="22"/>
          <w:lang w:eastAsia="en-US"/>
        </w:rPr>
      </w:pPr>
      <w:r w:rsidRPr="00D06AD7">
        <w:rPr>
          <w:rFonts w:ascii="Arial Narrow" w:eastAsia="Calibri" w:hAnsi="Arial Narrow" w:cs="Arial"/>
          <w:noProof/>
          <w:sz w:val="22"/>
          <w:szCs w:val="22"/>
        </w:rPr>
        <w:lastRenderedPageBreak/>
        <w:drawing>
          <wp:inline distT="0" distB="0" distL="0" distR="0" wp14:anchorId="13AF4387" wp14:editId="45BE4EF6">
            <wp:extent cx="6305550" cy="1704975"/>
            <wp:effectExtent l="0" t="0" r="0" b="9525"/>
            <wp:docPr id="594893634" name="Imagen 594893634"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93634" name="Imagen 594893634" descr="Tabla&#10;&#10;Descripción generada automáticamente con confianza media"/>
                    <pic:cNvPicPr>
                      <a:picLocks noChangeAspect="1" noChangeArrowheads="1"/>
                    </pic:cNvPicPr>
                  </pic:nvPicPr>
                  <pic:blipFill>
                    <a:blip r:embed="rId39">
                      <a:extLst>
                        <a:ext uri="{28A0092B-C50C-407E-A947-70E740481C1C}">
                          <a14:useLocalDpi xmlns:a14="http://schemas.microsoft.com/office/drawing/2010/main" val="0"/>
                        </a:ext>
                      </a:extLst>
                    </a:blip>
                    <a:srcRect l="191" t="37169" b="36580"/>
                    <a:stretch>
                      <a:fillRect/>
                    </a:stretch>
                  </pic:blipFill>
                  <pic:spPr bwMode="auto">
                    <a:xfrm>
                      <a:off x="0" y="0"/>
                      <a:ext cx="6305550" cy="1704975"/>
                    </a:xfrm>
                    <a:prstGeom prst="rect">
                      <a:avLst/>
                    </a:prstGeom>
                    <a:noFill/>
                    <a:ln>
                      <a:noFill/>
                    </a:ln>
                  </pic:spPr>
                </pic:pic>
              </a:graphicData>
            </a:graphic>
          </wp:inline>
        </w:drawing>
      </w:r>
    </w:p>
    <w:p w14:paraId="379DDB99" w14:textId="77777777" w:rsidR="00FC6BCA" w:rsidRPr="00D06AD7" w:rsidRDefault="00FC6BCA" w:rsidP="00FC6BCA">
      <w:pPr>
        <w:jc w:val="both"/>
        <w:textAlignment w:val="baseline"/>
        <w:rPr>
          <w:rFonts w:ascii="Arial Narrow" w:eastAsia="Calibri" w:hAnsi="Arial Narrow" w:cs="Arial"/>
          <w:sz w:val="22"/>
          <w:szCs w:val="22"/>
          <w:lang w:eastAsia="en-US"/>
        </w:rPr>
      </w:pPr>
    </w:p>
    <w:p w14:paraId="3DFE4B08"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Con respecto a la dinámica por el tamaño de las empresas durante el periodo de enero a diciembre del 2021, la creación de microempresas creció en un diez coma seis por ciento [10,6%] respecto al año 2020. Las medianas empresas evidenciaron un crecimiento del uno coma cinco por ciento (1,5%) al pasar de sesenta y ocho (68] a sesenta y nueve [69] unidades productivas en 2021.</w:t>
      </w:r>
    </w:p>
    <w:p w14:paraId="5F915290" w14:textId="77777777" w:rsidR="00FC6BCA" w:rsidRPr="00D06AD7" w:rsidRDefault="00FC6BCA" w:rsidP="00FC6BCA">
      <w:pPr>
        <w:jc w:val="both"/>
        <w:textAlignment w:val="baseline"/>
        <w:rPr>
          <w:rFonts w:ascii="Arial Narrow" w:hAnsi="Arial Narrow"/>
          <w:sz w:val="22"/>
          <w:szCs w:val="22"/>
          <w:lang w:val="es-MX"/>
        </w:rPr>
      </w:pPr>
    </w:p>
    <w:p w14:paraId="6519444A" w14:textId="77777777" w:rsidR="00FC6BCA" w:rsidRPr="00D06AD7" w:rsidRDefault="00FC6BCA" w:rsidP="00FC6BCA">
      <w:pPr>
        <w:jc w:val="both"/>
        <w:textAlignment w:val="baseline"/>
        <w:rPr>
          <w:rFonts w:ascii="Arial Narrow" w:hAnsi="Arial Narrow"/>
          <w:sz w:val="22"/>
          <w:szCs w:val="22"/>
          <w:lang w:val="es-MX"/>
        </w:rPr>
      </w:pPr>
      <w:r w:rsidRPr="00D06AD7">
        <w:rPr>
          <w:rFonts w:ascii="Arial Narrow" w:hAnsi="Arial Narrow"/>
          <w:sz w:val="22"/>
          <w:szCs w:val="22"/>
          <w:lang w:val="es-MX"/>
        </w:rPr>
        <w:t>Por otro lado, las grandes empresas experimentaron una variación positiva, en razón a que incrementó el número de negocios constituidos en el paí</w:t>
      </w:r>
      <w:r w:rsidRPr="00D06AD7">
        <w:rPr>
          <w:rFonts w:ascii="Arial Narrow" w:hAnsi="Arial Narrow"/>
          <w:sz w:val="22"/>
          <w:szCs w:val="22"/>
          <w:lang w:val="es-MX"/>
        </w:rPr>
        <w:softHyphen/>
        <w:t>s, durante el periodo comprendido entre enero y diciembre del 2021, al presentar un crecimiento del cuarenta coma cero por ciento [40,0%] en las nuevas unidades productivas.</w:t>
      </w:r>
    </w:p>
    <w:p w14:paraId="155DACE4" w14:textId="77777777" w:rsidR="00FC6BCA" w:rsidRPr="00D06AD7" w:rsidRDefault="00FC6BCA" w:rsidP="00FC6BCA">
      <w:pPr>
        <w:jc w:val="both"/>
        <w:textAlignment w:val="baseline"/>
        <w:rPr>
          <w:rFonts w:ascii="Arial Narrow" w:hAnsi="Arial Narrow"/>
          <w:sz w:val="22"/>
          <w:szCs w:val="22"/>
          <w:lang w:val="es-MX"/>
        </w:rPr>
      </w:pPr>
    </w:p>
    <w:p w14:paraId="45BE70C8" w14:textId="77777777" w:rsidR="00FC6BCA" w:rsidRPr="00D06AD7" w:rsidRDefault="00FC6BCA" w:rsidP="00FC6BCA">
      <w:pPr>
        <w:jc w:val="both"/>
        <w:textAlignment w:val="baseline"/>
        <w:rPr>
          <w:rFonts w:ascii="Arial Narrow" w:hAnsi="Arial Narrow"/>
          <w:noProof/>
          <w:sz w:val="22"/>
          <w:szCs w:val="22"/>
        </w:rPr>
      </w:pPr>
      <w:r w:rsidRPr="00D06AD7">
        <w:rPr>
          <w:rFonts w:ascii="Arial Narrow" w:hAnsi="Arial Narrow"/>
          <w:noProof/>
          <w:sz w:val="22"/>
          <w:szCs w:val="22"/>
        </w:rPr>
        <w:drawing>
          <wp:inline distT="0" distB="0" distL="0" distR="0" wp14:anchorId="30E800B2" wp14:editId="4F6F7186">
            <wp:extent cx="6238875" cy="1428750"/>
            <wp:effectExtent l="0" t="0" r="9525" b="0"/>
            <wp:docPr id="2115108017" name="Imagen 2115108017"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08017" name="Imagen 2115108017" descr="Tabla&#10;&#10;Descripción generada automáticamente con confianza baja"/>
                    <pic:cNvPicPr>
                      <a:picLocks noChangeAspect="1" noChangeArrowheads="1"/>
                    </pic:cNvPicPr>
                  </pic:nvPicPr>
                  <pic:blipFill>
                    <a:blip r:embed="rId40">
                      <a:extLst>
                        <a:ext uri="{28A0092B-C50C-407E-A947-70E740481C1C}">
                          <a14:useLocalDpi xmlns:a14="http://schemas.microsoft.com/office/drawing/2010/main" val="0"/>
                        </a:ext>
                      </a:extLst>
                    </a:blip>
                    <a:srcRect t="3282" r="2963" b="69078"/>
                    <a:stretch>
                      <a:fillRect/>
                    </a:stretch>
                  </pic:blipFill>
                  <pic:spPr bwMode="auto">
                    <a:xfrm>
                      <a:off x="0" y="0"/>
                      <a:ext cx="6238875" cy="1428750"/>
                    </a:xfrm>
                    <a:prstGeom prst="rect">
                      <a:avLst/>
                    </a:prstGeom>
                    <a:noFill/>
                    <a:ln>
                      <a:noFill/>
                    </a:ln>
                  </pic:spPr>
                </pic:pic>
              </a:graphicData>
            </a:graphic>
          </wp:inline>
        </w:drawing>
      </w:r>
    </w:p>
    <w:p w14:paraId="35F98D36" w14:textId="77777777" w:rsidR="00FC6BCA" w:rsidRPr="00D06AD7" w:rsidRDefault="00FC6BCA" w:rsidP="00FC6BCA">
      <w:pPr>
        <w:jc w:val="both"/>
        <w:textAlignment w:val="baseline"/>
        <w:rPr>
          <w:rFonts w:ascii="Arial Narrow" w:hAnsi="Arial Narrow"/>
          <w:noProof/>
          <w:sz w:val="22"/>
          <w:szCs w:val="22"/>
        </w:rPr>
      </w:pPr>
    </w:p>
    <w:p w14:paraId="41AB2151"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De acuerdo con las gráficas presentadas por Confecámaras se establece que la constitución de microempresas y pequeñas empresas se fortaleció en el paí</w:t>
      </w:r>
      <w:r w:rsidRPr="00D06AD7">
        <w:rPr>
          <w:rFonts w:ascii="Arial Narrow" w:hAnsi="Arial Narrow"/>
          <w:sz w:val="22"/>
          <w:szCs w:val="22"/>
          <w:lang w:val="es-MX"/>
        </w:rPr>
        <w:softHyphen/>
        <w:t>s en el último año. Esto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5D29EBF4"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2C4DCD14"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Por su parte, es necesario destacar que las micro, pequeñas y medianas empresas, según el centro de estudios económicos de la Anif, juegan un papel esencial en la economí</w:t>
      </w:r>
      <w:r w:rsidRPr="00D06AD7">
        <w:rPr>
          <w:rFonts w:ascii="Arial Narrow" w:hAnsi="Arial Narrow"/>
          <w:sz w:val="22"/>
          <w:szCs w:val="22"/>
          <w:lang w:val="es-MX"/>
        </w:rPr>
        <w:softHyphen/>
        <w:t>a colombiana en tal sentido, las mipyme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3FC13F26" w14:textId="77777777" w:rsidR="00FC6BCA" w:rsidRPr="00D06AD7" w:rsidRDefault="00FC6BCA" w:rsidP="00FC6BCA">
      <w:pPr>
        <w:jc w:val="both"/>
        <w:textAlignment w:val="baseline"/>
        <w:rPr>
          <w:rFonts w:ascii="Arial Narrow" w:hAnsi="Arial Narrow"/>
          <w:noProof/>
          <w:sz w:val="22"/>
          <w:szCs w:val="22"/>
        </w:rPr>
      </w:pPr>
    </w:p>
    <w:p w14:paraId="73A06832" w14:textId="77777777" w:rsidR="00FC6BCA" w:rsidRPr="00D06AD7" w:rsidRDefault="00FC6BCA" w:rsidP="00FC6BCA">
      <w:pPr>
        <w:jc w:val="both"/>
        <w:textAlignment w:val="baseline"/>
        <w:rPr>
          <w:rFonts w:ascii="Arial Narrow" w:hAnsi="Arial Narrow"/>
          <w:noProof/>
          <w:sz w:val="22"/>
          <w:szCs w:val="22"/>
        </w:rPr>
      </w:pPr>
      <w:r w:rsidRPr="00D06AD7">
        <w:rPr>
          <w:rFonts w:ascii="Arial Narrow" w:hAnsi="Arial Narrow"/>
          <w:sz w:val="22"/>
          <w:szCs w:val="22"/>
          <w:lang w:val="es-MX"/>
        </w:rPr>
        <w:t>Por otro lado, el departamento nacional de estadí</w:t>
      </w:r>
      <w:r w:rsidRPr="00D06AD7">
        <w:rPr>
          <w:rFonts w:ascii="Arial Narrow" w:hAnsi="Arial Narrow"/>
          <w:sz w:val="22"/>
          <w:szCs w:val="22"/>
          <w:lang w:val="es-MX"/>
        </w:rPr>
        <w:softHyphen/>
        <w:t>stica DANE en la encuesta de micronegocios hace una distinción de dos tipos de unidades económicas, derivadas de la situación en el empleo del propietario: los micronegocios de patronos [as] o empleadores [as] y los micronegocios de personas trabajadoras por cuenta propia. Los resultados obtenidos en 2021 indican que el noventa coma dos por ciento [90,2%] de los propietarios [as] de micronegocios eran trabajadores [as] por cuenta propia y solo el nueve coma ocho por ciento [9,8%] fueron patronos[as] o empleadores[as].</w:t>
      </w:r>
    </w:p>
    <w:p w14:paraId="6BCA4CBC" w14:textId="77777777" w:rsidR="00FC6BCA" w:rsidRPr="00D06AD7" w:rsidRDefault="00FC6BCA" w:rsidP="00FC6BCA">
      <w:pPr>
        <w:jc w:val="both"/>
        <w:textAlignment w:val="baseline"/>
        <w:rPr>
          <w:rFonts w:ascii="Arial Narrow" w:hAnsi="Arial Narrow"/>
          <w:noProof/>
          <w:sz w:val="22"/>
          <w:szCs w:val="22"/>
        </w:rPr>
      </w:pPr>
    </w:p>
    <w:p w14:paraId="4AEEAAD4" w14:textId="77777777" w:rsidR="00FC6BCA" w:rsidRPr="00D06AD7" w:rsidRDefault="00FC6BCA" w:rsidP="00FC6BCA">
      <w:pPr>
        <w:jc w:val="both"/>
        <w:textAlignment w:val="baseline"/>
        <w:rPr>
          <w:rFonts w:ascii="Arial Narrow" w:hAnsi="Arial Narrow"/>
          <w:noProof/>
          <w:sz w:val="22"/>
          <w:szCs w:val="22"/>
        </w:rPr>
      </w:pPr>
      <w:r w:rsidRPr="00D06AD7">
        <w:rPr>
          <w:rFonts w:ascii="Arial Narrow" w:hAnsi="Arial Narrow"/>
          <w:noProof/>
          <w:sz w:val="22"/>
          <w:szCs w:val="22"/>
        </w:rPr>
        <w:drawing>
          <wp:inline distT="0" distB="0" distL="0" distR="0" wp14:anchorId="0162F8C0" wp14:editId="4CED93C6">
            <wp:extent cx="6038850" cy="2371725"/>
            <wp:effectExtent l="0" t="0" r="0" b="9525"/>
            <wp:docPr id="83269707" name="Imagen 83269707" descr="Gráfico,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9707" name="Imagen 83269707" descr="Gráfico, Texto&#10;&#10;Descripción generada automáticamente"/>
                    <pic:cNvPicPr>
                      <a:picLocks noChangeAspect="1" noChangeArrowheads="1"/>
                    </pic:cNvPicPr>
                  </pic:nvPicPr>
                  <pic:blipFill>
                    <a:blip r:embed="rId41">
                      <a:extLst>
                        <a:ext uri="{28A0092B-C50C-407E-A947-70E740481C1C}">
                          <a14:useLocalDpi xmlns:a14="http://schemas.microsoft.com/office/drawing/2010/main" val="0"/>
                        </a:ext>
                      </a:extLst>
                    </a:blip>
                    <a:srcRect l="2005" t="18703" r="5101" b="37483"/>
                    <a:stretch>
                      <a:fillRect/>
                    </a:stretch>
                  </pic:blipFill>
                  <pic:spPr bwMode="auto">
                    <a:xfrm>
                      <a:off x="0" y="0"/>
                      <a:ext cx="6038850" cy="2371725"/>
                    </a:xfrm>
                    <a:prstGeom prst="rect">
                      <a:avLst/>
                    </a:prstGeom>
                    <a:noFill/>
                    <a:ln>
                      <a:noFill/>
                    </a:ln>
                  </pic:spPr>
                </pic:pic>
              </a:graphicData>
            </a:graphic>
          </wp:inline>
        </w:drawing>
      </w:r>
    </w:p>
    <w:p w14:paraId="411C5B76" w14:textId="77777777" w:rsidR="00FC6BCA" w:rsidRPr="00D06AD7" w:rsidRDefault="00FC6BCA" w:rsidP="00FC6BCA">
      <w:pPr>
        <w:ind w:left="-426"/>
        <w:jc w:val="both"/>
        <w:rPr>
          <w:rFonts w:ascii="Arial Narrow" w:hAnsi="Arial Narrow"/>
          <w:noProof/>
          <w:sz w:val="22"/>
          <w:szCs w:val="22"/>
        </w:rPr>
      </w:pPr>
    </w:p>
    <w:p w14:paraId="77ED8C8A" w14:textId="77777777" w:rsidR="00FC6BCA" w:rsidRPr="00D06AD7" w:rsidRDefault="00FC6BCA" w:rsidP="00FC6BCA">
      <w:pPr>
        <w:ind w:left="-426"/>
        <w:jc w:val="both"/>
        <w:rPr>
          <w:rFonts w:ascii="Arial Narrow" w:hAnsi="Arial Narrow"/>
          <w:noProof/>
          <w:sz w:val="22"/>
          <w:szCs w:val="22"/>
        </w:rPr>
      </w:pPr>
      <w:r w:rsidRPr="00D06AD7">
        <w:rPr>
          <w:rFonts w:ascii="Arial Narrow" w:hAnsi="Arial Narrow"/>
          <w:sz w:val="22"/>
          <w:szCs w:val="22"/>
          <w:lang w:val="es-MX"/>
        </w:rPr>
        <w:t>En esta misma encuesta, se evidenció que, en el total nacional, los micro negocios de trabajadores [as] por cuenta propia aumentaron el dos coma siete por ciento [2,7%] y los micronegocios de patronos (as] o empleadores [as] se incrementaron dos coma seis por ciento [2,6%] entre 2020 y 2021. Sin embargo, la cantidad de micronegocios presentó una variación negativa de cuatro coma uno por ciento [4,12%] entre 2019 y 2021, los micronegocios de trabajadores(as) por cuenta propia disminuyeron menos uno coma dos por ciento [-1,2%] y los [as] patronos [las] o empleadores [as] en -un veinticuatro coma cuatro por ciento [24,4]%.</w:t>
      </w:r>
    </w:p>
    <w:p w14:paraId="6F357FB1" w14:textId="77777777" w:rsidR="00FC6BCA" w:rsidRPr="00D06AD7" w:rsidRDefault="00FC6BCA" w:rsidP="00FC6BCA">
      <w:pPr>
        <w:ind w:left="-426"/>
        <w:jc w:val="both"/>
        <w:rPr>
          <w:rFonts w:ascii="Arial Narrow" w:hAnsi="Arial Narrow"/>
          <w:noProof/>
          <w:sz w:val="22"/>
          <w:szCs w:val="22"/>
        </w:rPr>
      </w:pPr>
    </w:p>
    <w:p w14:paraId="7270A95A" w14:textId="77777777" w:rsidR="00FC6BCA" w:rsidRPr="00D06AD7" w:rsidRDefault="00FC6BCA" w:rsidP="00FC6BCA">
      <w:pPr>
        <w:ind w:left="-426"/>
        <w:jc w:val="center"/>
        <w:rPr>
          <w:rFonts w:ascii="Arial Narrow" w:hAnsi="Arial Narrow"/>
          <w:noProof/>
          <w:sz w:val="22"/>
          <w:szCs w:val="22"/>
        </w:rPr>
      </w:pPr>
      <w:r w:rsidRPr="00D06AD7">
        <w:rPr>
          <w:rFonts w:ascii="Arial Narrow" w:hAnsi="Arial Narrow"/>
          <w:noProof/>
          <w:sz w:val="22"/>
          <w:szCs w:val="22"/>
        </w:rPr>
        <w:drawing>
          <wp:inline distT="0" distB="0" distL="0" distR="0" wp14:anchorId="514AEB58" wp14:editId="42338129">
            <wp:extent cx="5400675" cy="1914525"/>
            <wp:effectExtent l="0" t="0" r="9525" b="9525"/>
            <wp:docPr id="549936333" name="Imagen 54993633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36333" name="Imagen 549936333" descr="Interfaz de usuario gráfica, Texto, Aplicación&#10;&#10;Descripción generada automáticamente"/>
                    <pic:cNvPicPr>
                      <a:picLocks noChangeAspect="1" noChangeArrowheads="1"/>
                    </pic:cNvPicPr>
                  </pic:nvPicPr>
                  <pic:blipFill>
                    <a:blip r:embed="rId42">
                      <a:extLst>
                        <a:ext uri="{28A0092B-C50C-407E-A947-70E740481C1C}">
                          <a14:useLocalDpi xmlns:a14="http://schemas.microsoft.com/office/drawing/2010/main" val="0"/>
                        </a:ext>
                      </a:extLst>
                    </a:blip>
                    <a:srcRect r="9810" b="64761"/>
                    <a:stretch>
                      <a:fillRect/>
                    </a:stretch>
                  </pic:blipFill>
                  <pic:spPr bwMode="auto">
                    <a:xfrm>
                      <a:off x="0" y="0"/>
                      <a:ext cx="5400675" cy="1914525"/>
                    </a:xfrm>
                    <a:prstGeom prst="rect">
                      <a:avLst/>
                    </a:prstGeom>
                    <a:noFill/>
                    <a:ln>
                      <a:noFill/>
                    </a:ln>
                  </pic:spPr>
                </pic:pic>
              </a:graphicData>
            </a:graphic>
          </wp:inline>
        </w:drawing>
      </w:r>
    </w:p>
    <w:p w14:paraId="671DCBDE" w14:textId="77777777" w:rsidR="00FC6BCA" w:rsidRPr="00D06AD7" w:rsidRDefault="00FC6BCA" w:rsidP="00FC6BCA">
      <w:pPr>
        <w:ind w:left="-426"/>
        <w:jc w:val="both"/>
        <w:rPr>
          <w:rFonts w:ascii="Arial Narrow" w:hAnsi="Arial Narrow"/>
          <w:noProof/>
          <w:sz w:val="22"/>
          <w:szCs w:val="22"/>
        </w:rPr>
      </w:pPr>
    </w:p>
    <w:p w14:paraId="7D22EC52" w14:textId="0409849E"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 xml:space="preserve">Conforme con lo anterior, los datos presentados demuestran </w:t>
      </w:r>
      <w:r w:rsidR="00CC0E39" w:rsidRPr="00D06AD7">
        <w:rPr>
          <w:rFonts w:ascii="Arial Narrow" w:hAnsi="Arial Narrow"/>
          <w:sz w:val="22"/>
          <w:szCs w:val="22"/>
          <w:lang w:val="es-MX"/>
        </w:rPr>
        <w:t>que,</w:t>
      </w:r>
      <w:r w:rsidRPr="00D06AD7">
        <w:rPr>
          <w:rFonts w:ascii="Arial Narrow" w:hAnsi="Arial Narrow"/>
          <w:sz w:val="22"/>
          <w:szCs w:val="22"/>
          <w:lang w:val="es-MX"/>
        </w:rPr>
        <w:t xml:space="preserve"> en el año 2021, si bien existió un fortalecimiento de los micronegocios de patronos (las) o empleadores(as) y los micronegocios de trabajadores (las) por cuenta propia respecto al 2020, en comparación con el número de micronegocios constituidos para el año 2019, aun todaví</w:t>
      </w:r>
      <w:r w:rsidRPr="00D06AD7">
        <w:rPr>
          <w:rFonts w:ascii="Arial Narrow" w:hAnsi="Arial Narrow"/>
          <w:sz w:val="22"/>
          <w:szCs w:val="22"/>
          <w:lang w:val="es-MX"/>
        </w:rPr>
        <w:softHyphen/>
        <w:t xml:space="preserve">a se </w:t>
      </w:r>
      <w:r w:rsidRPr="00D06AD7">
        <w:rPr>
          <w:rFonts w:ascii="Arial Narrow" w:hAnsi="Arial Narrow"/>
          <w:sz w:val="22"/>
          <w:szCs w:val="22"/>
          <w:lang w:val="es-MX"/>
        </w:rPr>
        <w:lastRenderedPageBreak/>
        <w:t>muestra una disminución significativa del número de micronegocios constituidos hasta la fecha. Esto significa que si se adoptarán criterios diferenciales en favor de las micro, pequeñas y medianas empresas -mipyme para promover la participación de estas en el sistema de compras públicas, se podría suscitar un aumentó en la constitución y el fortalecimiento de los micronegocios en el paí</w:t>
      </w:r>
      <w:r w:rsidRPr="00D06AD7">
        <w:rPr>
          <w:rFonts w:ascii="Arial Narrow" w:hAnsi="Arial Narrow"/>
          <w:sz w:val="22"/>
          <w:szCs w:val="22"/>
          <w:lang w:val="es-MX"/>
        </w:rPr>
        <w:softHyphen/>
        <w:t>s, y generar una reactivación económica que sea igual o superior a lo registrado en el 2019.</w:t>
      </w:r>
    </w:p>
    <w:p w14:paraId="3FD0FC7A"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4F72A35E"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de los proveedores registrados son grandes empresas y un quince por ciento (15,3%)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7BF23F30" w14:textId="77777777" w:rsidR="00FC6BCA" w:rsidRPr="00D06AD7" w:rsidRDefault="00FC6BCA" w:rsidP="00FC6BCA">
      <w:pPr>
        <w:ind w:left="-426"/>
        <w:jc w:val="both"/>
        <w:rPr>
          <w:rFonts w:ascii="Arial Narrow" w:hAnsi="Arial Narrow"/>
          <w:noProof/>
          <w:sz w:val="22"/>
          <w:szCs w:val="22"/>
        </w:rPr>
      </w:pPr>
    </w:p>
    <w:p w14:paraId="176EFFD0"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Desarrollo profesional así</w:t>
      </w:r>
      <w:r w:rsidRPr="00D06AD7">
        <w:rPr>
          <w:rFonts w:ascii="Arial Narrow" w:hAnsi="Arial Narrow"/>
          <w:sz w:val="22"/>
          <w:szCs w:val="22"/>
          <w:lang w:val="es-MX"/>
        </w:rPr>
        <w:softHyphen/>
        <w:t xml:space="preserve"> mismo, en este informe se expuso: “Es obvio que queda mucho por hacer para reducir y a la larga cerrar las brechas de género en el mundo. En una encuesta realizada para este informe, los paí</w:t>
      </w:r>
      <w:r w:rsidRPr="00D06AD7">
        <w:rPr>
          <w:rFonts w:ascii="Arial Narrow" w:hAnsi="Arial Narrow"/>
          <w:sz w:val="22"/>
          <w:szCs w:val="22"/>
          <w:lang w:val="es-MX"/>
        </w:rPr>
        <w:softHyphen/>
        <w:t>ses identificaron la violencia contra la mujer, la brecha salarial de género y la desigual participación en el trabajo no remunerado como los tres problemas más importantes en la desigualdad de género en su paí</w:t>
      </w:r>
      <w:r w:rsidRPr="00D06AD7">
        <w:rPr>
          <w:rFonts w:ascii="Arial Narrow" w:hAnsi="Arial Narrow"/>
          <w:sz w:val="22"/>
          <w:szCs w:val="22"/>
          <w:lang w:val="es-MX"/>
        </w:rPr>
        <w:softHyphen/>
        <w:t>s.</w:t>
      </w:r>
    </w:p>
    <w:p w14:paraId="18588D48"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1830B7E9"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00C1454"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0A749437"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Colombia no es la excepción a la problemática de la inequidad de género en la economí</w:t>
      </w:r>
      <w:r w:rsidRPr="00D06AD7">
        <w:rPr>
          <w:rFonts w:ascii="Arial Narrow" w:hAnsi="Arial Narrow"/>
          <w:sz w:val="22"/>
          <w:szCs w:val="22"/>
          <w:lang w:val="es-MX"/>
        </w:rPr>
        <w:softHyphen/>
        <w:t>a y, por tanto, en la búsqueda del fortalecimiento y emprendimiento femenino se instauran soluciones mediante polí</w:t>
      </w:r>
      <w:r w:rsidRPr="00D06AD7">
        <w:rPr>
          <w:rFonts w:ascii="Arial Narrow" w:hAnsi="Arial Narrow"/>
          <w:sz w:val="22"/>
          <w:szCs w:val="22"/>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566B036" w14:textId="77777777" w:rsidR="00FC6BCA" w:rsidRPr="00D06AD7" w:rsidRDefault="00FC6BCA" w:rsidP="00FC6BCA">
      <w:pPr>
        <w:ind w:left="-426"/>
        <w:jc w:val="both"/>
        <w:rPr>
          <w:rFonts w:ascii="Arial Narrow" w:hAnsi="Arial Narrow"/>
          <w:noProof/>
          <w:sz w:val="22"/>
          <w:szCs w:val="22"/>
        </w:rPr>
      </w:pPr>
    </w:p>
    <w:p w14:paraId="3F82E43B"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1B7A7265"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438340B1"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El foro económico mundial resalta que el avance hacia la equidad de género se estanca en grandes economí</w:t>
      </w:r>
      <w:r w:rsidRPr="00D06AD7">
        <w:rPr>
          <w:rFonts w:ascii="Arial Narrow" w:hAnsi="Arial Narrow"/>
          <w:sz w:val="22"/>
          <w:szCs w:val="22"/>
          <w:lang w:val="es-MX"/>
        </w:rPr>
        <w:softHyphen/>
        <w:t xml:space="preserve">as y sectores industriales. Esta situación se debe a que las mujeres ocupan empleos en los sectores más afectados por los cierres generados por la pandemia del covid 19, sumado a las presiones de sus ocupaciones asistenciales en el hogar. este organismo compara la evolución de las brechas de género en 4 áreas: participación y oportunidad económicas, </w:t>
      </w:r>
      <w:r w:rsidRPr="00D06AD7">
        <w:rPr>
          <w:rFonts w:ascii="Arial Narrow" w:hAnsi="Arial Narrow"/>
          <w:sz w:val="22"/>
          <w:szCs w:val="22"/>
          <w:lang w:val="es-MX"/>
        </w:rPr>
        <w:lastRenderedPageBreak/>
        <w:t>logros educativos, salud y supervivencia, y empoderamiento político" la que nos interesa en este estudio es la brecha económica, donde se destaca que ha experimentado solo una mejora mí</w:t>
      </w:r>
      <w:r w:rsidRPr="00D06AD7">
        <w:rPr>
          <w:rFonts w:ascii="Arial Narrow" w:hAnsi="Arial Narrow"/>
          <w:sz w:val="22"/>
          <w:szCs w:val="22"/>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D55A264"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794392DE"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Magnoni, en todos los sectores económicos que estudiaron, la proporción de las utilidades mensuales promedio respecto de las ventas es del doce coma seis por ciento (126 %) para las empresas de mujeres y catorce coma seis por ciento (14,6%) para hombres.</w:t>
      </w:r>
    </w:p>
    <w:p w14:paraId="306645DC"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5E92E276"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4406A507"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4DF5E76B" w14:textId="4007B038"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 xml:space="preserve">Frente a lo anterior, es conveniente mencionar </w:t>
      </w:r>
      <w:r w:rsidR="00CC0E39" w:rsidRPr="00D06AD7">
        <w:rPr>
          <w:rFonts w:ascii="Arial Narrow" w:hAnsi="Arial Narrow"/>
          <w:sz w:val="22"/>
          <w:szCs w:val="22"/>
          <w:lang w:val="es-MX"/>
        </w:rPr>
        <w:t>que,</w:t>
      </w:r>
      <w:r w:rsidRPr="00D06AD7">
        <w:rPr>
          <w:rFonts w:ascii="Arial Narrow" w:hAnsi="Arial Narrow"/>
          <w:sz w:val="22"/>
          <w:szCs w:val="22"/>
          <w:lang w:val="es-MX"/>
        </w:rPr>
        <w:t xml:space="preserve"> si bien de acuerdo con los datos proporcionados por Confecámaras se han constituido nuevas unidades productivas que están clasificadas como microempresas, en la plataforma del Secop II se demuestra que la mayorí</w:t>
      </w:r>
      <w:r w:rsidRPr="00D06AD7">
        <w:rPr>
          <w:rFonts w:ascii="Arial Narrow" w:hAnsi="Arial Narrow"/>
          <w:sz w:val="22"/>
          <w:szCs w:val="22"/>
          <w:lang w:val="es-MX"/>
        </w:rPr>
        <w:softHyphen/>
        <w:t>a de las empresas registradas tienen la condición de grandes empresas. La poca participación de es mipyme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mipyme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6DBBC098"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56D8876C"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este sentido, se hace indispensable la creación de criterios diferenciales y su incorporación en los procesos de selección que adelantan las entidades del estado, debido a que las mipyme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D06AD7">
        <w:rPr>
          <w:rFonts w:ascii="Arial Narrow" w:hAnsi="Arial Narrow"/>
          <w:sz w:val="22"/>
          <w:szCs w:val="22"/>
          <w:lang w:val="es-MX"/>
        </w:rPr>
        <w:softHyphen/>
        <w:t>a y eficiencia administrativa. En otras palabras, se presenta un beneficio mutuo tanto paras las mipyme, como para las entidades públicas, pues permite un mayor nivel de competitividad y crecimiento en el mercado de las compras públicas.</w:t>
      </w:r>
    </w:p>
    <w:p w14:paraId="4BD00BFB"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07687C8C"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A partir de lo expuesto, se evidencia la necesidad de incorporar los criterios diferenciales previstos en el artículo 22.12.4218. Del decreto 1082 de 2015, relacionados con la inclusión de requisitos habilitantes diferentes y puntajes adicionales en favor de las mipyme.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mipyme.</w:t>
      </w:r>
    </w:p>
    <w:p w14:paraId="4E7EAA9A"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6C63A212" w14:textId="77777777" w:rsidR="00FC6BCA" w:rsidRPr="00D06AD7" w:rsidRDefault="00FC6BCA" w:rsidP="00FC6BCA">
      <w:pPr>
        <w:autoSpaceDE w:val="0"/>
        <w:autoSpaceDN w:val="0"/>
        <w:adjustRightInd w:val="0"/>
        <w:jc w:val="both"/>
        <w:rPr>
          <w:rFonts w:ascii="Arial Narrow" w:hAnsi="Arial Narrow"/>
          <w:b/>
          <w:bCs/>
          <w:sz w:val="22"/>
          <w:szCs w:val="22"/>
          <w:lang w:val="es-MX"/>
        </w:rPr>
      </w:pPr>
      <w:r w:rsidRPr="00D06AD7">
        <w:rPr>
          <w:rFonts w:ascii="Arial Narrow" w:hAnsi="Arial Narrow"/>
          <w:b/>
          <w:bCs/>
          <w:sz w:val="22"/>
          <w:szCs w:val="22"/>
          <w:lang w:val="es-MX"/>
        </w:rPr>
        <w:t>Análisis en relación con los emprendimientos y empresas de mujeres</w:t>
      </w:r>
    </w:p>
    <w:p w14:paraId="454D7B5C"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488244C6"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 xml:space="preserve">En los últimos dos años, se presenta una preocupación dentro del estado colombiano referente a la necesidad de formular propuestas y mecanismos en beneficio de la actividad económica liderada por mujeres que tenga en </w:t>
      </w:r>
      <w:r w:rsidRPr="00D06AD7">
        <w:rPr>
          <w:rFonts w:ascii="Arial Narrow" w:hAnsi="Arial Narrow"/>
          <w:sz w:val="22"/>
          <w:szCs w:val="22"/>
          <w:lang w:val="es-MX"/>
        </w:rPr>
        <w:lastRenderedPageBreak/>
        <w:t>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 creación y la consolidación los emprendimientos y empresas de mujeres.</w:t>
      </w:r>
    </w:p>
    <w:p w14:paraId="48953D4A"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205D262A"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Ante este panorama. Para determinar los términos en los que deben implementarse estos criterios diferenciales, es indispensable la definición de parámetros orientadores desde una perspectiva de polí</w:t>
      </w:r>
      <w:r w:rsidRPr="00D06AD7">
        <w:rPr>
          <w:rFonts w:ascii="Arial Narrow" w:hAnsi="Arial Narrow"/>
          <w:sz w:val="22"/>
          <w:szCs w:val="22"/>
          <w:lang w:val="es-MX"/>
        </w:rPr>
        <w:softHyphen/>
        <w:t>tica pública, y de tal modo, complementar la definición de emprendimiento y empresas de mujeres establecida en el decreto 1082 de 2015, modificado por el decreto 1860 de 2021.</w:t>
      </w:r>
    </w:p>
    <w:p w14:paraId="308DCA69"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4A9AFDFA"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Para entender entonces la necesidad del fomento al desarrollo empresarial y el emprendimiento femenino en Colombia, conviene analizar la posición de la mujer colombiana en la economí</w:t>
      </w:r>
      <w:r w:rsidRPr="00D06AD7">
        <w:rPr>
          <w:rFonts w:ascii="Arial Narrow" w:hAnsi="Arial Narrow"/>
          <w:sz w:val="22"/>
          <w:szCs w:val="22"/>
          <w:lang w:val="es-MX"/>
        </w:rPr>
        <w:softHyphen/>
        <w:t>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asi determinar el apremio de establecer los criterios diferenciales.</w:t>
      </w:r>
    </w:p>
    <w:p w14:paraId="370E45E0"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399B64FD"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2021, el departamento nacional de estadí</w:t>
      </w:r>
      <w:r w:rsidRPr="00D06AD7">
        <w:rPr>
          <w:rFonts w:ascii="Arial Narrow" w:hAnsi="Arial Narrow"/>
          <w:sz w:val="22"/>
          <w:szCs w:val="22"/>
          <w:lang w:val="es-MX"/>
        </w:rPr>
        <w:softHyphen/>
        <w:t>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nueve coma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197E03BF"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126274F4" w14:textId="77777777" w:rsidR="00FC6BCA" w:rsidRPr="00D06AD7" w:rsidRDefault="00FC6BCA" w:rsidP="00FC6BCA">
      <w:pPr>
        <w:autoSpaceDE w:val="0"/>
        <w:autoSpaceDN w:val="0"/>
        <w:adjustRightInd w:val="0"/>
        <w:jc w:val="both"/>
        <w:rPr>
          <w:rFonts w:ascii="Arial Narrow" w:hAnsi="Arial Narrow"/>
          <w:b/>
          <w:bCs/>
          <w:sz w:val="22"/>
          <w:szCs w:val="22"/>
          <w:lang w:val="es-MX"/>
        </w:rPr>
      </w:pPr>
      <w:r w:rsidRPr="00D06AD7">
        <w:rPr>
          <w:rFonts w:ascii="Arial Narrow" w:hAnsi="Arial Narrow"/>
          <w:b/>
          <w:bCs/>
          <w:sz w:val="22"/>
          <w:szCs w:val="22"/>
          <w:lang w:val="es-MX"/>
        </w:rPr>
        <w:t>Gráfico Distribución de propietarios según sexo (porcentaje) total nacional</w:t>
      </w:r>
    </w:p>
    <w:p w14:paraId="662D81D1" w14:textId="77777777" w:rsidR="00FC6BCA" w:rsidRPr="00D06AD7" w:rsidRDefault="00FC6BCA" w:rsidP="00FC6BCA">
      <w:pPr>
        <w:autoSpaceDE w:val="0"/>
        <w:autoSpaceDN w:val="0"/>
        <w:adjustRightInd w:val="0"/>
        <w:jc w:val="both"/>
        <w:rPr>
          <w:rFonts w:ascii="Arial Narrow" w:hAnsi="Arial Narrow"/>
          <w:b/>
          <w:bCs/>
          <w:sz w:val="22"/>
          <w:szCs w:val="22"/>
          <w:lang w:val="es-MX"/>
        </w:rPr>
      </w:pPr>
    </w:p>
    <w:p w14:paraId="7ADA0C35"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noProof/>
          <w:sz w:val="22"/>
          <w:szCs w:val="22"/>
        </w:rPr>
        <w:drawing>
          <wp:inline distT="0" distB="0" distL="0" distR="0" wp14:anchorId="4CEED4D7" wp14:editId="016818DF">
            <wp:extent cx="6296025" cy="1752600"/>
            <wp:effectExtent l="0" t="0" r="9525" b="0"/>
            <wp:docPr id="1997098929" name="Imagen 1997098929"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98929" name="Imagen 1997098929" descr="Imagen que contiene Aplicación&#10;&#10;Descripción generada automáticamente"/>
                    <pic:cNvPicPr>
                      <a:picLocks noChangeAspect="1" noChangeArrowheads="1"/>
                    </pic:cNvPicPr>
                  </pic:nvPicPr>
                  <pic:blipFill>
                    <a:blip r:embed="rId43">
                      <a:extLst>
                        <a:ext uri="{28A0092B-C50C-407E-A947-70E740481C1C}">
                          <a14:useLocalDpi xmlns:a14="http://schemas.microsoft.com/office/drawing/2010/main" val="0"/>
                        </a:ext>
                      </a:extLst>
                    </a:blip>
                    <a:srcRect b="69220"/>
                    <a:stretch>
                      <a:fillRect/>
                    </a:stretch>
                  </pic:blipFill>
                  <pic:spPr bwMode="auto">
                    <a:xfrm>
                      <a:off x="0" y="0"/>
                      <a:ext cx="6296025" cy="1752600"/>
                    </a:xfrm>
                    <a:prstGeom prst="rect">
                      <a:avLst/>
                    </a:prstGeom>
                    <a:noFill/>
                    <a:ln>
                      <a:noFill/>
                    </a:ln>
                  </pic:spPr>
                </pic:pic>
              </a:graphicData>
            </a:graphic>
          </wp:inline>
        </w:drawing>
      </w:r>
    </w:p>
    <w:p w14:paraId="1A1352EE"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razón a la gráfica anterior es viable señalar que efectivamente la participación de las mujeres en la constitución de empresas no ha sido significativa, en comparación con las creadas por los hombres.</w:t>
      </w:r>
    </w:p>
    <w:p w14:paraId="726129BB"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148AF0C2"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En otras palabras, los propietarios de los micronegocios en su mayorí</w:t>
      </w:r>
      <w:r w:rsidRPr="00D06AD7">
        <w:rPr>
          <w:rFonts w:ascii="Arial Narrow" w:hAnsi="Arial Narrow"/>
          <w:sz w:val="22"/>
          <w:szCs w:val="22"/>
          <w:lang w:val="es-MX"/>
        </w:rPr>
        <w:softHyphen/>
        <w:t>a son hombres y, por lo tanto, resulta fundamental establecer criterios diferenciales en favor de los emprendimientos y empresas de mujeres que fortalezca la participación de estas en el sistema de compras públicas.</w:t>
      </w:r>
    </w:p>
    <w:p w14:paraId="314305D7"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7343C7E4"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lastRenderedPageBreak/>
        <w:t>Ahora bien, a nivel nacional, las propietarias de micronegocios aumentaron el dos coma siete por ciento (2,4%) entre el 2020 y 2021 así mismo, los propietarios hombres se incrementaron el dos coma seis por ciento (2,5%) en el mismo periodo.</w:t>
      </w:r>
    </w:p>
    <w:p w14:paraId="0A587E47" w14:textId="77777777" w:rsidR="00FC6BCA" w:rsidRPr="00D06AD7" w:rsidRDefault="00FC6BCA" w:rsidP="00FC6BCA">
      <w:pPr>
        <w:autoSpaceDE w:val="0"/>
        <w:autoSpaceDN w:val="0"/>
        <w:adjustRightInd w:val="0"/>
        <w:jc w:val="both"/>
        <w:rPr>
          <w:rFonts w:ascii="Arial Narrow" w:hAnsi="Arial Narrow"/>
          <w:noProof/>
          <w:sz w:val="22"/>
          <w:szCs w:val="22"/>
        </w:rPr>
      </w:pPr>
    </w:p>
    <w:p w14:paraId="7FF1146C" w14:textId="77777777" w:rsidR="00FC6BCA" w:rsidRPr="00D06AD7" w:rsidRDefault="00FC6BCA" w:rsidP="00FC6BCA">
      <w:pPr>
        <w:autoSpaceDE w:val="0"/>
        <w:autoSpaceDN w:val="0"/>
        <w:adjustRightInd w:val="0"/>
        <w:jc w:val="both"/>
        <w:rPr>
          <w:rFonts w:ascii="Arial Narrow" w:hAnsi="Arial Narrow"/>
          <w:b/>
          <w:bCs/>
          <w:sz w:val="22"/>
          <w:szCs w:val="22"/>
          <w:lang w:val="es-MX"/>
        </w:rPr>
      </w:pPr>
      <w:r w:rsidRPr="00D06AD7">
        <w:rPr>
          <w:rFonts w:ascii="Arial Narrow" w:hAnsi="Arial Narrow"/>
          <w:b/>
          <w:bCs/>
          <w:sz w:val="22"/>
          <w:szCs w:val="22"/>
          <w:lang w:val="es-MX"/>
        </w:rPr>
        <w:t>Variación anual y contribución a la variación del total de propietarios(as) de micronegocios según sexo y dominio geográfico</w:t>
      </w:r>
    </w:p>
    <w:p w14:paraId="5EA980FF" w14:textId="77777777" w:rsidR="00FC6BCA" w:rsidRPr="00D06AD7" w:rsidRDefault="00FC6BCA" w:rsidP="00FC6BCA">
      <w:pPr>
        <w:ind w:left="-426"/>
        <w:jc w:val="both"/>
        <w:rPr>
          <w:rFonts w:ascii="Arial Narrow" w:hAnsi="Arial Narrow"/>
          <w:noProof/>
          <w:sz w:val="22"/>
          <w:szCs w:val="22"/>
        </w:rPr>
      </w:pPr>
    </w:p>
    <w:p w14:paraId="27C6A9F4" w14:textId="77777777" w:rsidR="00FC6BCA" w:rsidRPr="00D06AD7" w:rsidRDefault="00FC6BCA" w:rsidP="00FC6BCA">
      <w:pPr>
        <w:ind w:left="-426"/>
        <w:jc w:val="center"/>
        <w:rPr>
          <w:rFonts w:ascii="Arial Narrow" w:hAnsi="Arial Narrow"/>
          <w:noProof/>
          <w:sz w:val="22"/>
          <w:szCs w:val="22"/>
        </w:rPr>
      </w:pPr>
      <w:r w:rsidRPr="00D06AD7">
        <w:rPr>
          <w:rFonts w:ascii="Arial Narrow" w:hAnsi="Arial Narrow"/>
          <w:noProof/>
          <w:sz w:val="22"/>
          <w:szCs w:val="22"/>
        </w:rPr>
        <w:drawing>
          <wp:inline distT="0" distB="0" distL="0" distR="0" wp14:anchorId="118ED18C" wp14:editId="2F09939F">
            <wp:extent cx="5926347" cy="2076450"/>
            <wp:effectExtent l="0" t="0" r="0" b="0"/>
            <wp:docPr id="1105566268" name="Imagen 1105566268"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66268" name="Imagen 1105566268" descr="Imagen que contiene Aplicación&#10;&#10;Descripción generada automáticamente"/>
                    <pic:cNvPicPr>
                      <a:picLocks noChangeAspect="1" noChangeArrowheads="1"/>
                    </pic:cNvPicPr>
                  </pic:nvPicPr>
                  <pic:blipFill rotWithShape="1">
                    <a:blip r:embed="rId43">
                      <a:extLst>
                        <a:ext uri="{28A0092B-C50C-407E-A947-70E740481C1C}">
                          <a14:useLocalDpi xmlns:a14="http://schemas.microsoft.com/office/drawing/2010/main" val="0"/>
                        </a:ext>
                      </a:extLst>
                    </a:blip>
                    <a:srcRect t="57082" r="5872" b="20485"/>
                    <a:stretch/>
                  </pic:blipFill>
                  <pic:spPr bwMode="auto">
                    <a:xfrm>
                      <a:off x="0" y="0"/>
                      <a:ext cx="5926347" cy="2076450"/>
                    </a:xfrm>
                    <a:prstGeom prst="rect">
                      <a:avLst/>
                    </a:prstGeom>
                    <a:noFill/>
                    <a:ln>
                      <a:noFill/>
                    </a:ln>
                    <a:extLst>
                      <a:ext uri="{53640926-AAD7-44D8-BBD7-CCE9431645EC}">
                        <a14:shadowObscured xmlns:a14="http://schemas.microsoft.com/office/drawing/2010/main"/>
                      </a:ext>
                    </a:extLst>
                  </pic:spPr>
                </pic:pic>
              </a:graphicData>
            </a:graphic>
          </wp:inline>
        </w:drawing>
      </w:r>
    </w:p>
    <w:p w14:paraId="0B72BE06" w14:textId="77777777" w:rsidR="00FC6BCA" w:rsidRPr="00D06AD7" w:rsidRDefault="00FC6BCA" w:rsidP="00FC6BCA">
      <w:pPr>
        <w:ind w:left="-426"/>
        <w:jc w:val="both"/>
        <w:rPr>
          <w:rFonts w:ascii="Arial Narrow" w:hAnsi="Arial Narrow"/>
          <w:noProof/>
          <w:sz w:val="22"/>
          <w:szCs w:val="22"/>
        </w:rPr>
      </w:pPr>
    </w:p>
    <w:p w14:paraId="4BF0B17D"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D06AD7">
        <w:rPr>
          <w:rFonts w:ascii="Arial Narrow" w:hAnsi="Arial Narrow"/>
          <w:sz w:val="22"/>
          <w:szCs w:val="22"/>
          <w:lang w:val="es-MX"/>
        </w:rPr>
        <w:softHyphen/>
        <w:t>s y permite hacer seguimiento a la demografí</w:t>
      </w:r>
      <w:r w:rsidRPr="00D06AD7">
        <w:rPr>
          <w:rFonts w:ascii="Arial Narrow" w:hAnsi="Arial Narrow"/>
          <w:sz w:val="22"/>
          <w:szCs w:val="22"/>
          <w:lang w:val="es-MX"/>
        </w:rPr>
        <w:softHyphen/>
        <w:t>a de empresas por organización jurídica, sectores y tamaño. cómo se señaló en el anterior acápite que realiza un estudio de las mipyme, entre enero y diciembre de 2021 se crearon trecientos siete mil seiscientos setenta y nueve (307.679) unidades productivas, diez coma seis por ciento (10,6%) más que en el mismo periodo de 2020, cuando se ubicaron en dos cientos setenta y ocho mil trecientos dos (278,302). del total de unidades registradas, setenta y cuatro coma cuatro por ciento (74,4 2) corresponden a personas naturales y veinticinco coma seis por ciento (256%) a sociedades.</w:t>
      </w:r>
    </w:p>
    <w:p w14:paraId="6BD5E2EC" w14:textId="77777777" w:rsidR="00FC6BCA" w:rsidRPr="00D06AD7" w:rsidRDefault="00FC6BCA" w:rsidP="00FC6BCA">
      <w:pPr>
        <w:autoSpaceDE w:val="0"/>
        <w:autoSpaceDN w:val="0"/>
        <w:adjustRightInd w:val="0"/>
        <w:jc w:val="both"/>
        <w:rPr>
          <w:rFonts w:ascii="Arial Narrow" w:hAnsi="Arial Narrow"/>
          <w:sz w:val="22"/>
          <w:szCs w:val="22"/>
          <w:lang w:val="es-MX"/>
        </w:rPr>
      </w:pPr>
    </w:p>
    <w:p w14:paraId="5AEA149D" w14:textId="77777777" w:rsidR="00FC6BCA" w:rsidRPr="00D06AD7" w:rsidRDefault="00FC6BCA" w:rsidP="00FC6BCA">
      <w:pPr>
        <w:autoSpaceDE w:val="0"/>
        <w:autoSpaceDN w:val="0"/>
        <w:adjustRightInd w:val="0"/>
        <w:jc w:val="center"/>
        <w:rPr>
          <w:rFonts w:ascii="Arial Narrow" w:hAnsi="Arial Narrow"/>
          <w:b/>
          <w:bCs/>
          <w:sz w:val="22"/>
          <w:szCs w:val="22"/>
          <w:lang w:val="es-MX"/>
        </w:rPr>
      </w:pPr>
      <w:r w:rsidRPr="00D06AD7">
        <w:rPr>
          <w:rFonts w:ascii="Arial Narrow" w:hAnsi="Arial Narrow"/>
          <w:b/>
          <w:bCs/>
          <w:sz w:val="22"/>
          <w:szCs w:val="22"/>
          <w:lang w:val="es-MX"/>
        </w:rPr>
        <w:t>Gráfico, unidades productivas creadas según organización jurídica enero- diciembre 2021/20</w:t>
      </w:r>
    </w:p>
    <w:p w14:paraId="6125B941" w14:textId="77777777" w:rsidR="00FC6BCA" w:rsidRPr="00D06AD7" w:rsidRDefault="00FC6BCA" w:rsidP="00FC6BCA">
      <w:pPr>
        <w:ind w:left="-426"/>
        <w:jc w:val="both"/>
        <w:rPr>
          <w:rFonts w:ascii="Arial Narrow" w:hAnsi="Arial Narrow"/>
          <w:b/>
          <w:bCs/>
          <w:noProof/>
          <w:sz w:val="22"/>
          <w:szCs w:val="22"/>
          <w:lang w:val="es-MX"/>
        </w:rPr>
      </w:pPr>
    </w:p>
    <w:p w14:paraId="7F40D3DE" w14:textId="77777777" w:rsidR="00FC6BCA" w:rsidRPr="00D06AD7" w:rsidRDefault="00FC6BCA" w:rsidP="00FC6BCA">
      <w:pPr>
        <w:autoSpaceDE w:val="0"/>
        <w:autoSpaceDN w:val="0"/>
        <w:adjustRightInd w:val="0"/>
        <w:jc w:val="both"/>
        <w:rPr>
          <w:rFonts w:ascii="Arial Narrow" w:hAnsi="Arial Narrow"/>
          <w:noProof/>
          <w:sz w:val="22"/>
          <w:szCs w:val="22"/>
        </w:rPr>
      </w:pPr>
      <w:r w:rsidRPr="00D06AD7">
        <w:rPr>
          <w:rFonts w:ascii="Arial Narrow" w:hAnsi="Arial Narrow"/>
          <w:noProof/>
          <w:sz w:val="22"/>
          <w:szCs w:val="22"/>
        </w:rPr>
        <w:drawing>
          <wp:inline distT="0" distB="0" distL="0" distR="0" wp14:anchorId="1D70FCBD" wp14:editId="129CA2CF">
            <wp:extent cx="5791200" cy="1333500"/>
            <wp:effectExtent l="0" t="0" r="0" b="0"/>
            <wp:docPr id="1753287751" name="Imagen 175328775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87751" name="Imagen 1753287751" descr="Texto&#10;&#10;Descripción generada automáticamente"/>
                    <pic:cNvPicPr>
                      <a:picLocks noChangeAspect="1" noChangeArrowheads="1"/>
                    </pic:cNvPicPr>
                  </pic:nvPicPr>
                  <pic:blipFill>
                    <a:blip r:embed="rId44">
                      <a:extLst>
                        <a:ext uri="{28A0092B-C50C-407E-A947-70E740481C1C}">
                          <a14:useLocalDpi xmlns:a14="http://schemas.microsoft.com/office/drawing/2010/main" val="0"/>
                        </a:ext>
                      </a:extLst>
                    </a:blip>
                    <a:srcRect t="26991" b="51979"/>
                    <a:stretch>
                      <a:fillRect/>
                    </a:stretch>
                  </pic:blipFill>
                  <pic:spPr bwMode="auto">
                    <a:xfrm>
                      <a:off x="0" y="0"/>
                      <a:ext cx="5791200" cy="1333500"/>
                    </a:xfrm>
                    <a:prstGeom prst="rect">
                      <a:avLst/>
                    </a:prstGeom>
                    <a:noFill/>
                    <a:ln>
                      <a:noFill/>
                    </a:ln>
                  </pic:spPr>
                </pic:pic>
              </a:graphicData>
            </a:graphic>
          </wp:inline>
        </w:drawing>
      </w:r>
    </w:p>
    <w:p w14:paraId="750CE302" w14:textId="77777777"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 xml:space="preserve">De las personas naturales con vocación empresarial entre enero y diciembre del 2021, el sesenta y un coma tres por ciento (61,3 %) fueron mujeres y el treinta y ocho coma siete por ciento (38,7%) fueron hombres. por su parte, en las sociedades creadas durante el mismo periodo, el catorce por ciento (1422) tiene una participación alta de las mujeres </w:t>
      </w:r>
      <w:r w:rsidRPr="00D06AD7">
        <w:rPr>
          <w:rFonts w:ascii="Arial Narrow" w:hAnsi="Arial Narrow"/>
          <w:sz w:val="22"/>
          <w:szCs w:val="22"/>
          <w:lang w:val="es-MX"/>
        </w:rPr>
        <w:lastRenderedPageBreak/>
        <w:t>en el capital, como se expone en el gráfico 5% es decir, hay un porcentaje mínimo de mujeres con una participación importante en el capital de constitución de las sociedades.</w:t>
      </w:r>
    </w:p>
    <w:p w14:paraId="0A6DAB35" w14:textId="77777777" w:rsidR="00FC6BCA" w:rsidRPr="00D06AD7" w:rsidRDefault="00FC6BCA" w:rsidP="00FC6BCA">
      <w:pPr>
        <w:ind w:left="-426"/>
        <w:jc w:val="both"/>
        <w:rPr>
          <w:rFonts w:ascii="Arial Narrow" w:hAnsi="Arial Narrow"/>
          <w:noProof/>
          <w:sz w:val="22"/>
          <w:szCs w:val="22"/>
        </w:rPr>
      </w:pPr>
    </w:p>
    <w:p w14:paraId="2C4DBDE3" w14:textId="77777777" w:rsidR="00FC6BCA" w:rsidRPr="00D06AD7" w:rsidRDefault="00FC6BCA" w:rsidP="00FC6BCA">
      <w:pPr>
        <w:autoSpaceDE w:val="0"/>
        <w:autoSpaceDN w:val="0"/>
        <w:adjustRightInd w:val="0"/>
        <w:jc w:val="center"/>
        <w:rPr>
          <w:rFonts w:ascii="Arial Narrow" w:hAnsi="Arial Narrow"/>
          <w:b/>
          <w:bCs/>
          <w:sz w:val="22"/>
          <w:szCs w:val="22"/>
          <w:lang w:val="es-MX"/>
        </w:rPr>
      </w:pPr>
      <w:r w:rsidRPr="00D06AD7">
        <w:rPr>
          <w:rFonts w:ascii="Arial Narrow" w:hAnsi="Arial Narrow"/>
          <w:b/>
          <w:bCs/>
          <w:sz w:val="22"/>
          <w:szCs w:val="22"/>
          <w:lang w:val="es-MX"/>
        </w:rPr>
        <w:t>Gráfico sexo de las personas naturales creadas enero- diciembre 2021</w:t>
      </w:r>
    </w:p>
    <w:p w14:paraId="3D7A78B1" w14:textId="77777777" w:rsidR="00FC6BCA" w:rsidRPr="00D06AD7" w:rsidRDefault="00FC6BCA" w:rsidP="00FC6BCA">
      <w:pPr>
        <w:autoSpaceDE w:val="0"/>
        <w:autoSpaceDN w:val="0"/>
        <w:adjustRightInd w:val="0"/>
        <w:jc w:val="both"/>
        <w:rPr>
          <w:rFonts w:ascii="Arial Narrow" w:hAnsi="Arial Narrow"/>
          <w:b/>
          <w:bCs/>
          <w:sz w:val="22"/>
          <w:szCs w:val="22"/>
          <w:lang w:val="es-MX"/>
        </w:rPr>
      </w:pPr>
    </w:p>
    <w:p w14:paraId="1E75063B" w14:textId="77777777" w:rsidR="00FC6BCA" w:rsidRPr="00D06AD7" w:rsidRDefault="00FC6BCA" w:rsidP="00FC6BCA">
      <w:pPr>
        <w:autoSpaceDE w:val="0"/>
        <w:autoSpaceDN w:val="0"/>
        <w:adjustRightInd w:val="0"/>
        <w:jc w:val="center"/>
        <w:rPr>
          <w:rFonts w:ascii="Arial Narrow" w:hAnsi="Arial Narrow"/>
          <w:b/>
          <w:bCs/>
          <w:sz w:val="22"/>
          <w:szCs w:val="22"/>
          <w:lang w:val="es-MX"/>
        </w:rPr>
      </w:pPr>
      <w:r w:rsidRPr="00D06AD7">
        <w:rPr>
          <w:rFonts w:ascii="Arial Narrow" w:hAnsi="Arial Narrow"/>
          <w:noProof/>
          <w:sz w:val="22"/>
          <w:szCs w:val="22"/>
        </w:rPr>
        <w:drawing>
          <wp:inline distT="0" distB="0" distL="0" distR="0" wp14:anchorId="1E1EAD9D" wp14:editId="19F72A08">
            <wp:extent cx="2381250" cy="1543050"/>
            <wp:effectExtent l="0" t="0" r="0" b="0"/>
            <wp:docPr id="2002542289" name="Imagen 200254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5">
                      <a:extLst>
                        <a:ext uri="{28A0092B-C50C-407E-A947-70E740481C1C}">
                          <a14:useLocalDpi xmlns:a14="http://schemas.microsoft.com/office/drawing/2010/main" val="0"/>
                        </a:ext>
                      </a:extLst>
                    </a:blip>
                    <a:srcRect l="31950" t="7950" r="27048" b="67702"/>
                    <a:stretch>
                      <a:fillRect/>
                    </a:stretch>
                  </pic:blipFill>
                  <pic:spPr bwMode="auto">
                    <a:xfrm>
                      <a:off x="0" y="0"/>
                      <a:ext cx="2381250" cy="1543050"/>
                    </a:xfrm>
                    <a:prstGeom prst="rect">
                      <a:avLst/>
                    </a:prstGeom>
                    <a:noFill/>
                    <a:ln>
                      <a:noFill/>
                    </a:ln>
                  </pic:spPr>
                </pic:pic>
              </a:graphicData>
            </a:graphic>
          </wp:inline>
        </w:drawing>
      </w:r>
    </w:p>
    <w:p w14:paraId="0A7CB671" w14:textId="77777777" w:rsidR="00FC6BCA" w:rsidRPr="00D06AD7" w:rsidRDefault="00FC6BCA" w:rsidP="00FC6BCA">
      <w:pPr>
        <w:autoSpaceDE w:val="0"/>
        <w:autoSpaceDN w:val="0"/>
        <w:adjustRightInd w:val="0"/>
        <w:jc w:val="both"/>
        <w:rPr>
          <w:rFonts w:ascii="Arial Narrow" w:hAnsi="Arial Narrow"/>
          <w:b/>
          <w:bCs/>
          <w:sz w:val="22"/>
          <w:szCs w:val="22"/>
          <w:lang w:val="es-MX"/>
        </w:rPr>
      </w:pPr>
    </w:p>
    <w:p w14:paraId="6D6FB895" w14:textId="77777777" w:rsidR="00FC6BCA" w:rsidRPr="00D06AD7" w:rsidRDefault="00FC6BCA" w:rsidP="00FC6BCA">
      <w:pPr>
        <w:autoSpaceDE w:val="0"/>
        <w:autoSpaceDN w:val="0"/>
        <w:adjustRightInd w:val="0"/>
        <w:jc w:val="center"/>
        <w:rPr>
          <w:rFonts w:ascii="Arial Narrow" w:hAnsi="Arial Narrow"/>
          <w:b/>
          <w:bCs/>
          <w:sz w:val="22"/>
          <w:szCs w:val="22"/>
          <w:lang w:val="es-MX"/>
        </w:rPr>
      </w:pPr>
      <w:r w:rsidRPr="00D06AD7">
        <w:rPr>
          <w:rFonts w:ascii="Arial Narrow" w:hAnsi="Arial Narrow"/>
          <w:b/>
          <w:bCs/>
          <w:sz w:val="22"/>
          <w:szCs w:val="22"/>
          <w:lang w:val="es-MX"/>
        </w:rPr>
        <w:t>Gráfico. participación de las mujeres en el capital de las sociedades creadas enero - diciembre 2021</w:t>
      </w:r>
    </w:p>
    <w:p w14:paraId="72091A6C" w14:textId="77777777" w:rsidR="00FC6BCA" w:rsidRPr="00D06AD7" w:rsidRDefault="00FC6BCA" w:rsidP="00FC6BCA">
      <w:pPr>
        <w:autoSpaceDE w:val="0"/>
        <w:autoSpaceDN w:val="0"/>
        <w:adjustRightInd w:val="0"/>
        <w:jc w:val="both"/>
        <w:rPr>
          <w:rFonts w:ascii="Arial Narrow" w:hAnsi="Arial Narrow"/>
          <w:noProof/>
          <w:sz w:val="22"/>
          <w:szCs w:val="22"/>
        </w:rPr>
      </w:pPr>
    </w:p>
    <w:p w14:paraId="62478975" w14:textId="77777777" w:rsidR="00FC6BCA" w:rsidRPr="00D06AD7" w:rsidRDefault="00FC6BCA" w:rsidP="00FC6BCA">
      <w:pPr>
        <w:autoSpaceDE w:val="0"/>
        <w:autoSpaceDN w:val="0"/>
        <w:adjustRightInd w:val="0"/>
        <w:jc w:val="center"/>
        <w:rPr>
          <w:rFonts w:ascii="Arial Narrow" w:hAnsi="Arial Narrow"/>
          <w:b/>
          <w:bCs/>
          <w:sz w:val="22"/>
          <w:szCs w:val="22"/>
          <w:lang w:val="es-MX"/>
        </w:rPr>
      </w:pPr>
      <w:r w:rsidRPr="00D06AD7">
        <w:rPr>
          <w:rFonts w:ascii="Arial Narrow" w:hAnsi="Arial Narrow"/>
          <w:noProof/>
          <w:sz w:val="22"/>
          <w:szCs w:val="22"/>
        </w:rPr>
        <w:drawing>
          <wp:inline distT="0" distB="0" distL="0" distR="0" wp14:anchorId="3A142366" wp14:editId="319EE1E0">
            <wp:extent cx="2771775" cy="1343025"/>
            <wp:effectExtent l="0" t="0" r="9525" b="9525"/>
            <wp:docPr id="1068756672" name="Imagen 106875667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56672" name="Imagen 1068756672" descr="Interfaz de usuario gráfica, Aplicación&#10;&#10;Descripción generada automáticamente"/>
                    <pic:cNvPicPr>
                      <a:picLocks noChangeAspect="1" noChangeArrowheads="1"/>
                    </pic:cNvPicPr>
                  </pic:nvPicPr>
                  <pic:blipFill>
                    <a:blip r:embed="rId45">
                      <a:extLst>
                        <a:ext uri="{28A0092B-C50C-407E-A947-70E740481C1C}">
                          <a14:useLocalDpi xmlns:a14="http://schemas.microsoft.com/office/drawing/2010/main" val="0"/>
                        </a:ext>
                      </a:extLst>
                    </a:blip>
                    <a:srcRect l="29056" t="57208" r="23270" b="21567"/>
                    <a:stretch>
                      <a:fillRect/>
                    </a:stretch>
                  </pic:blipFill>
                  <pic:spPr bwMode="auto">
                    <a:xfrm>
                      <a:off x="0" y="0"/>
                      <a:ext cx="2771775" cy="1343025"/>
                    </a:xfrm>
                    <a:prstGeom prst="rect">
                      <a:avLst/>
                    </a:prstGeom>
                    <a:noFill/>
                    <a:ln>
                      <a:noFill/>
                    </a:ln>
                  </pic:spPr>
                </pic:pic>
              </a:graphicData>
            </a:graphic>
          </wp:inline>
        </w:drawing>
      </w:r>
    </w:p>
    <w:p w14:paraId="6D7140D1" w14:textId="77777777" w:rsidR="00FC6BCA" w:rsidRPr="00D06AD7" w:rsidRDefault="00FC6BCA" w:rsidP="00FC6BCA">
      <w:pPr>
        <w:autoSpaceDE w:val="0"/>
        <w:autoSpaceDN w:val="0"/>
        <w:adjustRightInd w:val="0"/>
        <w:jc w:val="center"/>
        <w:rPr>
          <w:rFonts w:ascii="Arial Narrow" w:hAnsi="Arial Narrow"/>
          <w:noProof/>
          <w:sz w:val="22"/>
          <w:szCs w:val="22"/>
        </w:rPr>
      </w:pPr>
      <w:r w:rsidRPr="00D06AD7">
        <w:rPr>
          <w:rFonts w:ascii="Arial Narrow" w:hAnsi="Arial Narrow"/>
          <w:noProof/>
          <w:sz w:val="22"/>
          <w:szCs w:val="22"/>
        </w:rPr>
        <w:t>Fuente RUES</w:t>
      </w:r>
    </w:p>
    <w:p w14:paraId="2CD080AC" w14:textId="77777777" w:rsidR="00FC6BCA" w:rsidRPr="00D06AD7" w:rsidRDefault="00FC6BCA" w:rsidP="00FC6BCA">
      <w:pPr>
        <w:autoSpaceDE w:val="0"/>
        <w:autoSpaceDN w:val="0"/>
        <w:adjustRightInd w:val="0"/>
        <w:jc w:val="both"/>
        <w:rPr>
          <w:rFonts w:ascii="Arial Narrow" w:eastAsia="Calibri" w:hAnsi="Arial Narrow" w:cs="Arial"/>
          <w:sz w:val="22"/>
          <w:szCs w:val="22"/>
          <w:lang w:val="es-ES_tradnl" w:eastAsia="en-US"/>
        </w:rPr>
      </w:pPr>
    </w:p>
    <w:p w14:paraId="55E50BF1" w14:textId="7658C4A8" w:rsidR="00FC6BCA" w:rsidRPr="00D06AD7" w:rsidRDefault="00FC6BCA" w:rsidP="00FC6BCA">
      <w:pPr>
        <w:autoSpaceDE w:val="0"/>
        <w:autoSpaceDN w:val="0"/>
        <w:adjustRightInd w:val="0"/>
        <w:jc w:val="both"/>
        <w:rPr>
          <w:rFonts w:ascii="Arial Narrow" w:hAnsi="Arial Narrow"/>
          <w:sz w:val="22"/>
          <w:szCs w:val="22"/>
          <w:lang w:val="es-MX"/>
        </w:rPr>
      </w:pPr>
      <w:r w:rsidRPr="00D06AD7">
        <w:rPr>
          <w:rFonts w:ascii="Arial Narrow" w:hAnsi="Arial Narrow"/>
          <w:sz w:val="22"/>
          <w:szCs w:val="22"/>
          <w:lang w:val="es-MX"/>
        </w:rPr>
        <w:t>Así mismo, Confecámaras señaló que, de acuerdo con la información del RUES, el cincuenta y dos coma dos por ciento (52</w:t>
      </w:r>
      <w:r w:rsidR="005E75DB" w:rsidRPr="00D06AD7">
        <w:rPr>
          <w:rFonts w:ascii="Arial Narrow" w:hAnsi="Arial Narrow"/>
          <w:sz w:val="22"/>
          <w:szCs w:val="22"/>
          <w:lang w:val="es-MX"/>
        </w:rPr>
        <w:t>,</w:t>
      </w:r>
      <w:r w:rsidRPr="00D06AD7">
        <w:rPr>
          <w:rFonts w:ascii="Arial Narrow" w:hAnsi="Arial Narrow"/>
          <w:sz w:val="22"/>
          <w:szCs w:val="22"/>
          <w:lang w:val="es-MX"/>
        </w:rPr>
        <w:t>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4F080500" w14:textId="77777777" w:rsidR="00FC6BCA" w:rsidRPr="00D06AD7" w:rsidRDefault="00FC6BCA" w:rsidP="00FC6BCA">
      <w:pPr>
        <w:jc w:val="both"/>
        <w:rPr>
          <w:rFonts w:ascii="Arial Narrow" w:hAnsi="Arial Narrow" w:cs="Arial"/>
          <w:bCs/>
          <w:sz w:val="22"/>
          <w:szCs w:val="22"/>
          <w:lang w:val="es-MX"/>
        </w:rPr>
      </w:pPr>
    </w:p>
    <w:p w14:paraId="01B4B2C9" w14:textId="77777777" w:rsidR="00FC6BCA" w:rsidRPr="00D06AD7" w:rsidRDefault="00FC6BCA" w:rsidP="00FC6BCA">
      <w:pPr>
        <w:rPr>
          <w:rFonts w:ascii="Arial Narrow" w:hAnsi="Arial Narrow" w:cs="Arial"/>
          <w:sz w:val="22"/>
          <w:szCs w:val="22"/>
        </w:rPr>
      </w:pPr>
      <w:r w:rsidRPr="00D06AD7">
        <w:rPr>
          <w:rFonts w:ascii="Arial Narrow" w:hAnsi="Arial Narrow" w:cs="Arial"/>
          <w:b/>
          <w:sz w:val="22"/>
          <w:szCs w:val="22"/>
        </w:rPr>
        <w:t>3.2. ANÁLISIS DE LA DEMANDA</w:t>
      </w:r>
      <w:r w:rsidRPr="00D06AD7">
        <w:rPr>
          <w:rFonts w:ascii="Arial Narrow" w:hAnsi="Arial Narrow" w:cs="Arial"/>
          <w:sz w:val="22"/>
          <w:szCs w:val="22"/>
        </w:rPr>
        <w:t>.</w:t>
      </w:r>
    </w:p>
    <w:p w14:paraId="0C3B7E12" w14:textId="77777777" w:rsidR="00FC6BCA" w:rsidRPr="00D06AD7" w:rsidRDefault="00FC6BCA" w:rsidP="00FC6BCA">
      <w:pPr>
        <w:rPr>
          <w:rFonts w:ascii="Arial Narrow" w:hAnsi="Arial Narrow" w:cs="Arial"/>
          <w:sz w:val="22"/>
          <w:szCs w:val="22"/>
        </w:rPr>
      </w:pPr>
    </w:p>
    <w:p w14:paraId="61604318" w14:textId="77777777" w:rsidR="00FC6BCA" w:rsidRPr="00D06AD7" w:rsidRDefault="00FC6BCA" w:rsidP="00FC6BCA">
      <w:pPr>
        <w:jc w:val="both"/>
        <w:rPr>
          <w:rFonts w:ascii="Arial Narrow" w:hAnsi="Arial Narrow" w:cs="Arial"/>
          <w:b/>
          <w:sz w:val="22"/>
          <w:szCs w:val="22"/>
        </w:rPr>
      </w:pPr>
      <w:r w:rsidRPr="00D06AD7">
        <w:rPr>
          <w:rFonts w:ascii="Arial Narrow" w:hAnsi="Arial Narrow" w:cs="Arial"/>
          <w:b/>
          <w:sz w:val="22"/>
          <w:szCs w:val="22"/>
        </w:rPr>
        <w:t>3.2.1. EXPERIENCIA DE LA ENTIDAD EN LA CONTRATACIÓN DE PROCESOS SIMILARES</w:t>
      </w:r>
    </w:p>
    <w:p w14:paraId="44FAD649" w14:textId="77777777" w:rsidR="00FC6BCA" w:rsidRPr="00D06AD7" w:rsidRDefault="00FC6BCA" w:rsidP="00FC6BCA">
      <w:pPr>
        <w:jc w:val="both"/>
        <w:rPr>
          <w:rFonts w:ascii="Arial Narrow" w:hAnsi="Arial Narrow" w:cs="Arial"/>
          <w:sz w:val="22"/>
          <w:szCs w:val="22"/>
        </w:rPr>
      </w:pPr>
    </w:p>
    <w:p w14:paraId="65FB929F" w14:textId="13FFCF89" w:rsidR="00FC6BCA" w:rsidRDefault="00FC6BCA" w:rsidP="00FC6BCA">
      <w:pPr>
        <w:jc w:val="both"/>
        <w:rPr>
          <w:rFonts w:ascii="Arial Narrow" w:hAnsi="Arial Narrow" w:cs="Arial"/>
          <w:sz w:val="22"/>
          <w:szCs w:val="22"/>
        </w:rPr>
      </w:pPr>
      <w:r w:rsidRPr="00D06AD7">
        <w:rPr>
          <w:rFonts w:ascii="Arial Narrow" w:hAnsi="Arial Narrow" w:cs="Arial"/>
          <w:sz w:val="22"/>
          <w:szCs w:val="22"/>
        </w:rPr>
        <w:t xml:space="preserve">Como parte del análisis de la demanda, que busca recopilar la experiencia adquirida </w:t>
      </w:r>
      <w:r w:rsidRPr="00314BC4">
        <w:rPr>
          <w:rFonts w:ascii="Arial Narrow" w:hAnsi="Arial Narrow" w:cs="Arial"/>
          <w:color w:val="000000" w:themeColor="text1"/>
          <w:sz w:val="22"/>
          <w:szCs w:val="22"/>
        </w:rPr>
        <w:t xml:space="preserve">por la entidad a </w:t>
      </w:r>
      <w:r w:rsidRPr="00D06AD7">
        <w:rPr>
          <w:rFonts w:ascii="Arial Narrow" w:hAnsi="Arial Narrow" w:cs="Arial"/>
          <w:sz w:val="22"/>
          <w:szCs w:val="22"/>
        </w:rPr>
        <w:t>lo largo de los procesos similares que se han adelantado, así como las lecciones aprendidas; situaciones estas que han sido un parámetro indispensable a la hora de la estructuración de los nuevos procesos de selección.</w:t>
      </w:r>
    </w:p>
    <w:p w14:paraId="3B996FDD" w14:textId="77777777" w:rsidR="00605C70" w:rsidRDefault="00605C70" w:rsidP="00FC6BCA">
      <w:pPr>
        <w:jc w:val="both"/>
        <w:rPr>
          <w:rFonts w:ascii="Arial Narrow" w:hAnsi="Arial Narrow" w:cs="Arial"/>
          <w:sz w:val="22"/>
          <w:szCs w:val="22"/>
        </w:rPr>
      </w:pPr>
    </w:p>
    <w:p w14:paraId="52464F79" w14:textId="343A1327" w:rsidR="00605C70" w:rsidRPr="00D06AD7" w:rsidRDefault="00605C70" w:rsidP="00FC6BCA">
      <w:pPr>
        <w:jc w:val="both"/>
        <w:rPr>
          <w:rFonts w:ascii="Arial Narrow" w:hAnsi="Arial Narrow" w:cs="Arial"/>
          <w:sz w:val="22"/>
          <w:szCs w:val="22"/>
        </w:rPr>
      </w:pPr>
      <w:r w:rsidRPr="00CC0E39">
        <w:rPr>
          <w:rFonts w:ascii="Arial Narrow" w:hAnsi="Arial Narrow"/>
        </w:rPr>
        <w:t>Una vez se consulta la base de datos de la entidad, no se encuentran procesos que tengan coincidencia espec</w:t>
      </w:r>
      <w:r w:rsidR="004A19A3" w:rsidRPr="00CC0E39">
        <w:rPr>
          <w:rFonts w:ascii="Arial Narrow" w:hAnsi="Arial Narrow"/>
        </w:rPr>
        <w:t>í</w:t>
      </w:r>
      <w:r w:rsidRPr="00CC0E39">
        <w:rPr>
          <w:rFonts w:ascii="Arial Narrow" w:hAnsi="Arial Narrow"/>
        </w:rPr>
        <w:t>fica con el objeto del presente proceso adelantar.</w:t>
      </w:r>
    </w:p>
    <w:p w14:paraId="7F34D15F" w14:textId="77777777" w:rsidR="00FC6BCA" w:rsidRPr="00D06AD7" w:rsidRDefault="00FC6BCA" w:rsidP="00FC6BCA">
      <w:pPr>
        <w:jc w:val="both"/>
        <w:rPr>
          <w:rFonts w:ascii="Arial Narrow" w:eastAsia="Cambria" w:hAnsi="Arial Narrow" w:cs="Arial"/>
          <w:sz w:val="22"/>
          <w:szCs w:val="22"/>
          <w:lang w:val="es-ES_tradnl" w:eastAsia="en-US"/>
        </w:rPr>
      </w:pPr>
    </w:p>
    <w:p w14:paraId="28513421" w14:textId="34512F63" w:rsidR="00FC6BCA" w:rsidRPr="00D06AD7" w:rsidRDefault="00314BC4" w:rsidP="00FC6BCA">
      <w:pPr>
        <w:jc w:val="both"/>
        <w:rPr>
          <w:rFonts w:ascii="Arial Narrow" w:eastAsia="Cambria" w:hAnsi="Arial Narrow" w:cs="Arial"/>
          <w:sz w:val="22"/>
          <w:szCs w:val="22"/>
          <w:lang w:val="es-ES_tradnl" w:eastAsia="en-US"/>
        </w:rPr>
      </w:pPr>
      <w:r>
        <w:rPr>
          <w:rFonts w:ascii="Arial Narrow" w:eastAsia="Cambria" w:hAnsi="Arial Narrow" w:cs="Arial"/>
          <w:sz w:val="22"/>
          <w:szCs w:val="22"/>
          <w:lang w:val="es-ES_tradnl" w:eastAsia="en-US"/>
        </w:rPr>
        <w:lastRenderedPageBreak/>
        <w:t>Por tal razón a</w:t>
      </w:r>
      <w:r w:rsidR="00FC6BCA" w:rsidRPr="00D06AD7">
        <w:rPr>
          <w:rFonts w:ascii="Arial Narrow" w:eastAsia="Cambria" w:hAnsi="Arial Narrow" w:cs="Arial"/>
          <w:sz w:val="22"/>
          <w:szCs w:val="22"/>
          <w:lang w:val="es-ES_tradnl" w:eastAsia="en-US"/>
        </w:rPr>
        <w:t xml:space="preserve"> continuación, detallamos algunos procesos de </w:t>
      </w:r>
      <w:r w:rsidR="009475EF" w:rsidRPr="00CC0E39">
        <w:rPr>
          <w:rFonts w:ascii="Arial Narrow" w:eastAsia="Cambria" w:hAnsi="Arial Narrow" w:cs="Arial"/>
          <w:sz w:val="22"/>
          <w:szCs w:val="22"/>
          <w:lang w:val="es-ES_tradnl" w:eastAsia="en-US"/>
        </w:rPr>
        <w:t>Mínima Cuantía</w:t>
      </w:r>
      <w:r w:rsidR="00605C70" w:rsidRPr="00CC0E39">
        <w:rPr>
          <w:rFonts w:ascii="Arial Narrow" w:eastAsia="Cambria" w:hAnsi="Arial Narrow" w:cs="Arial"/>
          <w:sz w:val="22"/>
          <w:szCs w:val="22"/>
          <w:lang w:val="es-ES_tradnl" w:eastAsia="en-US"/>
        </w:rPr>
        <w:t xml:space="preserve"> de otras entidades</w:t>
      </w:r>
      <w:r w:rsidR="00FC6BCA" w:rsidRPr="00CC0E39">
        <w:rPr>
          <w:rFonts w:ascii="Arial Narrow" w:eastAsia="Cambria" w:hAnsi="Arial Narrow" w:cs="Arial"/>
          <w:sz w:val="22"/>
          <w:szCs w:val="22"/>
          <w:lang w:val="es-ES_tradnl" w:eastAsia="en-US"/>
        </w:rPr>
        <w:t>,</w:t>
      </w:r>
      <w:r w:rsidR="00FC6BCA" w:rsidRPr="00D06AD7">
        <w:rPr>
          <w:rFonts w:ascii="Arial Narrow" w:eastAsia="Cambria" w:hAnsi="Arial Narrow" w:cs="Arial"/>
          <w:sz w:val="22"/>
          <w:szCs w:val="22"/>
          <w:lang w:val="es-ES_tradnl" w:eastAsia="en-US"/>
        </w:rPr>
        <w:t xml:space="preserve"> que se han llevado a cabo, con objetos similares al que se pretende contratar, así:</w:t>
      </w:r>
    </w:p>
    <w:p w14:paraId="4E49B153" w14:textId="77777777" w:rsidR="00FC6BCA" w:rsidRPr="00D06AD7" w:rsidRDefault="00FC6BCA" w:rsidP="00FC6BCA">
      <w:pPr>
        <w:jc w:val="both"/>
        <w:rPr>
          <w:rFonts w:ascii="Arial Narrow" w:eastAsia="Cambria" w:hAnsi="Arial Narrow" w:cs="Arial"/>
          <w:sz w:val="22"/>
          <w:szCs w:val="22"/>
          <w:lang w:val="es-ES_tradnl" w:eastAsia="en-US"/>
        </w:rPr>
      </w:pP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674"/>
        <w:gridCol w:w="1941"/>
        <w:gridCol w:w="1218"/>
        <w:gridCol w:w="2673"/>
        <w:gridCol w:w="1233"/>
      </w:tblGrid>
      <w:tr w:rsidR="00FC6BCA" w:rsidRPr="001E0913" w14:paraId="451B3F80" w14:textId="77777777" w:rsidTr="00126A87">
        <w:trPr>
          <w:trHeight w:val="655"/>
          <w:tblHeader/>
          <w:jc w:val="center"/>
        </w:trPr>
        <w:tc>
          <w:tcPr>
            <w:tcW w:w="876" w:type="dxa"/>
            <w:shd w:val="clear" w:color="auto" w:fill="auto"/>
            <w:vAlign w:val="center"/>
            <w:hideMark/>
          </w:tcPr>
          <w:p w14:paraId="7C24A719"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No. del proceso</w:t>
            </w:r>
          </w:p>
        </w:tc>
        <w:tc>
          <w:tcPr>
            <w:tcW w:w="1674" w:type="dxa"/>
            <w:shd w:val="clear" w:color="auto" w:fill="auto"/>
            <w:vAlign w:val="center"/>
            <w:hideMark/>
          </w:tcPr>
          <w:p w14:paraId="252B6424"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Entidad</w:t>
            </w:r>
          </w:p>
        </w:tc>
        <w:tc>
          <w:tcPr>
            <w:tcW w:w="1941" w:type="dxa"/>
            <w:shd w:val="clear" w:color="auto" w:fill="auto"/>
            <w:vAlign w:val="center"/>
            <w:hideMark/>
          </w:tcPr>
          <w:p w14:paraId="0CAD8EE0"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Consultor</w:t>
            </w:r>
          </w:p>
        </w:tc>
        <w:tc>
          <w:tcPr>
            <w:tcW w:w="1218" w:type="dxa"/>
            <w:shd w:val="clear" w:color="auto" w:fill="auto"/>
            <w:vAlign w:val="center"/>
            <w:hideMark/>
          </w:tcPr>
          <w:p w14:paraId="794EDA06"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Modalidad de selección</w:t>
            </w:r>
          </w:p>
        </w:tc>
        <w:tc>
          <w:tcPr>
            <w:tcW w:w="2673" w:type="dxa"/>
            <w:shd w:val="clear" w:color="auto" w:fill="auto"/>
            <w:vAlign w:val="center"/>
            <w:hideMark/>
          </w:tcPr>
          <w:p w14:paraId="610F104A"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Objeto</w:t>
            </w:r>
          </w:p>
        </w:tc>
        <w:tc>
          <w:tcPr>
            <w:tcW w:w="1233" w:type="dxa"/>
            <w:shd w:val="clear" w:color="auto" w:fill="auto"/>
            <w:vAlign w:val="center"/>
            <w:hideMark/>
          </w:tcPr>
          <w:p w14:paraId="19F0C751" w14:textId="77777777" w:rsidR="00FC6BCA" w:rsidRPr="001E0913" w:rsidRDefault="00FC6BCA" w:rsidP="00823C83">
            <w:pPr>
              <w:jc w:val="center"/>
              <w:rPr>
                <w:rFonts w:ascii="Arial Narrow" w:hAnsi="Arial Narrow"/>
                <w:b/>
                <w:bCs/>
                <w:sz w:val="22"/>
                <w:szCs w:val="22"/>
              </w:rPr>
            </w:pPr>
            <w:r w:rsidRPr="001E0913">
              <w:rPr>
                <w:rFonts w:ascii="Arial Narrow" w:hAnsi="Arial Narrow"/>
                <w:b/>
                <w:bCs/>
                <w:sz w:val="22"/>
                <w:szCs w:val="22"/>
              </w:rPr>
              <w:t>Valor</w:t>
            </w:r>
          </w:p>
        </w:tc>
      </w:tr>
      <w:tr w:rsidR="00FC6BCA" w:rsidRPr="001E0913" w14:paraId="28500EFC" w14:textId="77777777" w:rsidTr="00126A87">
        <w:trPr>
          <w:trHeight w:val="264"/>
          <w:jc w:val="center"/>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15FD982" w14:textId="7C94B6F3" w:rsidR="00FC6BCA" w:rsidRPr="001E0913" w:rsidRDefault="001E0913" w:rsidP="00823C83">
            <w:pPr>
              <w:jc w:val="center"/>
              <w:rPr>
                <w:rFonts w:ascii="Arial Narrow" w:hAnsi="Arial Narrow"/>
                <w:sz w:val="22"/>
                <w:szCs w:val="22"/>
              </w:rPr>
            </w:pPr>
            <w:r w:rsidRPr="001E0913">
              <w:rPr>
                <w:rFonts w:ascii="Arial" w:hAnsi="Arial" w:cs="Arial"/>
                <w:color w:val="000000"/>
                <w:sz w:val="18"/>
                <w:szCs w:val="18"/>
                <w:shd w:val="clear" w:color="auto" w:fill="FFFFFF"/>
              </w:rPr>
              <w:t>SP-MC-021-2023</w:t>
            </w: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14:paraId="1528190F" w14:textId="2DA12FC9" w:rsidR="00FC6BCA" w:rsidRPr="001E0913" w:rsidRDefault="001E0913" w:rsidP="00823C83">
            <w:pPr>
              <w:jc w:val="center"/>
              <w:rPr>
                <w:rFonts w:ascii="Arial Narrow" w:hAnsi="Arial Narrow"/>
                <w:sz w:val="22"/>
                <w:szCs w:val="22"/>
              </w:rPr>
            </w:pPr>
            <w:r w:rsidRPr="001E0913">
              <w:rPr>
                <w:rFonts w:ascii="Arial" w:hAnsi="Arial" w:cs="Arial"/>
                <w:color w:val="000000"/>
                <w:sz w:val="18"/>
                <w:szCs w:val="18"/>
                <w:shd w:val="clear" w:color="auto" w:fill="FFFFFF"/>
              </w:rPr>
              <w:t>MUNICIPIO DE VILLAPINZON</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3E561D34" w14:textId="47F52BE4" w:rsidR="00FC6BCA" w:rsidRPr="001E0913" w:rsidRDefault="001E0913" w:rsidP="00823C83">
            <w:pPr>
              <w:jc w:val="both"/>
              <w:rPr>
                <w:rFonts w:ascii="Arial Narrow" w:hAnsi="Arial Narrow"/>
                <w:sz w:val="22"/>
                <w:szCs w:val="22"/>
              </w:rPr>
            </w:pPr>
            <w:r w:rsidRPr="001E0913">
              <w:rPr>
                <w:rFonts w:ascii="Arial Narrow" w:hAnsi="Arial Narrow"/>
                <w:sz w:val="22"/>
                <w:szCs w:val="22"/>
              </w:rPr>
              <w:tab/>
              <w:t>INGENIERIA, GEOTECNIA Y CONTROL TECNICO SAS</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8AB3C0B" w14:textId="0F80D550" w:rsidR="00FC6BCA" w:rsidRPr="001E0913" w:rsidRDefault="001E0913" w:rsidP="00823C83">
            <w:pPr>
              <w:jc w:val="center"/>
              <w:rPr>
                <w:rFonts w:ascii="Arial Narrow" w:hAnsi="Arial Narrow"/>
                <w:sz w:val="22"/>
                <w:szCs w:val="22"/>
              </w:rPr>
            </w:pPr>
            <w:r w:rsidRPr="001E0913">
              <w:rPr>
                <w:rFonts w:ascii="Arial Narrow" w:hAnsi="Arial Narrow"/>
                <w:sz w:val="22"/>
                <w:szCs w:val="22"/>
              </w:rPr>
              <w:t>INVITACIÓN PÚBLICA</w:t>
            </w: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tcPr>
          <w:p w14:paraId="2C2B37E8" w14:textId="36E43EF6" w:rsidR="00FC6BCA" w:rsidRPr="001E0913" w:rsidRDefault="001E0913" w:rsidP="00823C83">
            <w:pPr>
              <w:jc w:val="both"/>
              <w:rPr>
                <w:rFonts w:ascii="Arial Narrow" w:hAnsi="Arial Narrow"/>
                <w:sz w:val="22"/>
                <w:szCs w:val="22"/>
              </w:rPr>
            </w:pPr>
            <w:r w:rsidRPr="001E0913">
              <w:rPr>
                <w:rFonts w:ascii="Arial" w:hAnsi="Arial" w:cs="Arial"/>
                <w:color w:val="000000"/>
                <w:sz w:val="18"/>
                <w:szCs w:val="18"/>
                <w:shd w:val="clear" w:color="auto" w:fill="FFFFFF"/>
              </w:rPr>
              <w:t>ESTUDIOS DE GEOLOGIA GEOTECNIA Y TOPOGRAFIA PARA LA CONSTRUCCION DE OBRAS DE ESTABILIZACION DE TALUDES O RECUPERACION DE BANCA EN LA VIA QUE COMUNICA HACIA LA VEREDA SAN PEDRO SECTOR CENTRO TECNOLOGIC</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0C84D1" w14:textId="34485C86" w:rsidR="00FC6BCA" w:rsidRPr="001E0913" w:rsidRDefault="001E0913" w:rsidP="00823C83">
            <w:pPr>
              <w:jc w:val="right"/>
              <w:rPr>
                <w:rFonts w:ascii="Arial Narrow" w:hAnsi="Arial Narrow"/>
                <w:sz w:val="22"/>
                <w:szCs w:val="22"/>
              </w:rPr>
            </w:pPr>
            <w:r w:rsidRPr="001E0913">
              <w:rPr>
                <w:rFonts w:ascii="Arial Narrow" w:hAnsi="Arial Narrow"/>
                <w:sz w:val="22"/>
                <w:szCs w:val="22"/>
              </w:rPr>
              <w:t>$</w:t>
            </w:r>
            <w:r w:rsidRPr="001E0913">
              <w:rPr>
                <w:rFonts w:ascii="Arial" w:hAnsi="Arial" w:cs="Arial"/>
                <w:color w:val="000000"/>
                <w:sz w:val="18"/>
                <w:szCs w:val="18"/>
                <w:shd w:val="clear" w:color="auto" w:fill="FFFFFF"/>
              </w:rPr>
              <w:t>31.322.200</w:t>
            </w:r>
          </w:p>
        </w:tc>
      </w:tr>
      <w:tr w:rsidR="00FC6BCA" w:rsidRPr="001E0913" w14:paraId="7A98F5B5" w14:textId="77777777" w:rsidTr="00126A87">
        <w:trPr>
          <w:trHeight w:val="264"/>
          <w:jc w:val="center"/>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25B90D9" w14:textId="2118F223" w:rsidR="00FC6BCA" w:rsidRPr="001E0913" w:rsidRDefault="001E0913" w:rsidP="00823C83">
            <w:pPr>
              <w:jc w:val="center"/>
              <w:rPr>
                <w:rFonts w:ascii="Arial Narrow" w:hAnsi="Arial Narrow"/>
                <w:sz w:val="22"/>
                <w:szCs w:val="22"/>
              </w:rPr>
            </w:pPr>
            <w:r w:rsidRPr="001E0913">
              <w:rPr>
                <w:rFonts w:ascii="Arial" w:hAnsi="Arial" w:cs="Arial"/>
                <w:color w:val="000000"/>
                <w:sz w:val="18"/>
                <w:szCs w:val="18"/>
                <w:shd w:val="clear" w:color="auto" w:fill="FFFFFF"/>
              </w:rPr>
              <w:t>STI-2024-089</w:t>
            </w: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14:paraId="2DD08A42" w14:textId="57110AA3" w:rsidR="00FC6BCA" w:rsidRPr="001E0913" w:rsidRDefault="001E0913" w:rsidP="00823C83">
            <w:pPr>
              <w:jc w:val="center"/>
              <w:rPr>
                <w:rFonts w:ascii="Arial Narrow" w:hAnsi="Arial Narrow"/>
                <w:sz w:val="22"/>
                <w:szCs w:val="22"/>
              </w:rPr>
            </w:pPr>
            <w:r w:rsidRPr="001E0913">
              <w:rPr>
                <w:rFonts w:ascii="Arial" w:hAnsi="Arial" w:cs="Arial"/>
                <w:color w:val="000000"/>
                <w:sz w:val="18"/>
                <w:szCs w:val="18"/>
                <w:shd w:val="clear" w:color="auto" w:fill="FFFFFF"/>
              </w:rPr>
              <w:t>Secretaría Infraestructura, MUNICIPIO DE SEVILLA</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3454CD02" w14:textId="4E0F2AE1" w:rsidR="00FC6BCA" w:rsidRPr="001E0913" w:rsidRDefault="001E0913" w:rsidP="00823C83">
            <w:pPr>
              <w:jc w:val="both"/>
              <w:rPr>
                <w:rFonts w:ascii="Arial Narrow" w:hAnsi="Arial Narrow"/>
                <w:sz w:val="22"/>
                <w:szCs w:val="22"/>
              </w:rPr>
            </w:pPr>
            <w:r w:rsidRPr="001E0913">
              <w:rPr>
                <w:rFonts w:ascii="Arial" w:hAnsi="Arial" w:cs="Arial"/>
                <w:color w:val="000000"/>
                <w:sz w:val="17"/>
                <w:szCs w:val="17"/>
                <w:shd w:val="clear" w:color="auto" w:fill="F5F5F5"/>
              </w:rPr>
              <w:t>DMC</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449A70F" w14:textId="0E3370E6" w:rsidR="00FC6BCA" w:rsidRPr="001E0913" w:rsidRDefault="001E0913" w:rsidP="00823C83">
            <w:pPr>
              <w:jc w:val="center"/>
              <w:rPr>
                <w:rFonts w:ascii="Arial Narrow" w:hAnsi="Arial Narrow"/>
                <w:sz w:val="22"/>
                <w:szCs w:val="22"/>
              </w:rPr>
            </w:pPr>
            <w:r w:rsidRPr="001E0913">
              <w:rPr>
                <w:rFonts w:ascii="Arial Narrow" w:hAnsi="Arial Narrow"/>
                <w:sz w:val="22"/>
                <w:szCs w:val="22"/>
              </w:rPr>
              <w:t>INVITACIÓN PÚBLICA</w:t>
            </w: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tcPr>
          <w:p w14:paraId="089AC26B" w14:textId="7276B757" w:rsidR="00FC6BCA" w:rsidRPr="001E0913" w:rsidRDefault="001E0913" w:rsidP="00823C83">
            <w:pPr>
              <w:jc w:val="both"/>
              <w:rPr>
                <w:rFonts w:ascii="Arial Narrow" w:hAnsi="Arial Narrow"/>
                <w:sz w:val="22"/>
                <w:szCs w:val="22"/>
              </w:rPr>
            </w:pPr>
            <w:r w:rsidRPr="001E0913">
              <w:rPr>
                <w:rFonts w:ascii="Arial" w:hAnsi="Arial" w:cs="Arial"/>
                <w:color w:val="000000"/>
                <w:sz w:val="18"/>
                <w:szCs w:val="18"/>
                <w:shd w:val="clear" w:color="auto" w:fill="FFFFFF"/>
              </w:rPr>
              <w:t>REALIZAR LEVANTAMIENTO PLANIMÉTRICO Y DE GEORREFERENCIACIÓN PARA EL PREDIO CON MATRICULA INMOBILIARIA No. 382-13595, NECESARIO PARA ADELANTAR LOS PROCESOS DE TITULACIÓN Y LEGALIZACIÓN, CON EL FIN DE ENTREGAR LOS DOCUMENTOS REQUERIDOS PARA LA SUBDIVISIÓN DE LA ZONA EN LA QUE SE ENCUENTRA CONSTRUIDO EL NODO DE LA UNIVERSIDAD DEL VALLE, A SU VEZ LOS DOCUMENTOS DE RECTIFICACIÓN DE ÁREA SI FUESEN REQUERIDOS.</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4213FCA" w14:textId="2B14EBD3" w:rsidR="00FC6BCA" w:rsidRPr="001E0913" w:rsidRDefault="001E0913" w:rsidP="00823C83">
            <w:pPr>
              <w:jc w:val="right"/>
              <w:rPr>
                <w:rFonts w:ascii="Arial Narrow" w:hAnsi="Arial Narrow"/>
                <w:sz w:val="22"/>
                <w:szCs w:val="22"/>
              </w:rPr>
            </w:pPr>
            <w:r w:rsidRPr="001E0913">
              <w:rPr>
                <w:rFonts w:ascii="Arial Narrow" w:hAnsi="Arial Narrow"/>
                <w:sz w:val="22"/>
                <w:szCs w:val="22"/>
              </w:rPr>
              <w:t>$</w:t>
            </w:r>
            <w:r w:rsidRPr="001E0913">
              <w:rPr>
                <w:rFonts w:ascii="Arial" w:hAnsi="Arial" w:cs="Arial"/>
                <w:color w:val="000000"/>
                <w:sz w:val="18"/>
                <w:szCs w:val="18"/>
                <w:shd w:val="clear" w:color="auto" w:fill="FFFFFF"/>
              </w:rPr>
              <w:t>2.200.000</w:t>
            </w:r>
          </w:p>
        </w:tc>
      </w:tr>
      <w:tr w:rsidR="00FC6BCA" w:rsidRPr="001E0913" w14:paraId="6573FA0F" w14:textId="77777777" w:rsidTr="00126A87">
        <w:trPr>
          <w:trHeight w:val="264"/>
          <w:jc w:val="center"/>
        </w:trPr>
        <w:tc>
          <w:tcPr>
            <w:tcW w:w="876" w:type="dxa"/>
            <w:shd w:val="clear" w:color="auto" w:fill="auto"/>
            <w:vAlign w:val="center"/>
          </w:tcPr>
          <w:p w14:paraId="59170BFA" w14:textId="3E998770" w:rsidR="00FC6BCA" w:rsidRPr="001E0913" w:rsidRDefault="001E0913" w:rsidP="00823C83">
            <w:pPr>
              <w:jc w:val="center"/>
              <w:rPr>
                <w:rFonts w:ascii="Arial Narrow" w:hAnsi="Arial Narrow"/>
                <w:sz w:val="22"/>
                <w:szCs w:val="22"/>
              </w:rPr>
            </w:pPr>
            <w:r w:rsidRPr="001E0913">
              <w:rPr>
                <w:rFonts w:ascii="Arial" w:hAnsi="Arial" w:cs="Arial"/>
                <w:color w:val="000000"/>
                <w:sz w:val="18"/>
                <w:szCs w:val="18"/>
                <w:shd w:val="clear" w:color="auto" w:fill="FFFFFF"/>
              </w:rPr>
              <w:t>051 DE 2023</w:t>
            </w:r>
          </w:p>
        </w:tc>
        <w:tc>
          <w:tcPr>
            <w:tcW w:w="1674" w:type="dxa"/>
            <w:shd w:val="clear" w:color="auto" w:fill="auto"/>
            <w:vAlign w:val="center"/>
          </w:tcPr>
          <w:p w14:paraId="64334CF6" w14:textId="6E56689A" w:rsidR="00FC6BCA" w:rsidRPr="001E0913" w:rsidRDefault="001E0913" w:rsidP="00823C83">
            <w:pPr>
              <w:jc w:val="center"/>
              <w:rPr>
                <w:rFonts w:ascii="Arial Narrow" w:hAnsi="Arial Narrow"/>
                <w:sz w:val="22"/>
                <w:szCs w:val="22"/>
              </w:rPr>
            </w:pPr>
            <w:r w:rsidRPr="001E0913">
              <w:rPr>
                <w:rFonts w:ascii="Arial Narrow" w:hAnsi="Arial Narrow"/>
                <w:sz w:val="22"/>
                <w:szCs w:val="22"/>
              </w:rPr>
              <w:t>DEPARTAMENTO ADMINISTRATIVO DE PLANEACIÓN, MUNICIPIO DE LA CEJA</w:t>
            </w:r>
          </w:p>
        </w:tc>
        <w:tc>
          <w:tcPr>
            <w:tcW w:w="1941" w:type="dxa"/>
            <w:shd w:val="clear" w:color="auto" w:fill="auto"/>
            <w:vAlign w:val="center"/>
          </w:tcPr>
          <w:p w14:paraId="1F1C5CB9" w14:textId="0B699CA8" w:rsidR="00FC6BCA" w:rsidRPr="001E0913" w:rsidRDefault="001E0913" w:rsidP="00823C83">
            <w:pPr>
              <w:jc w:val="both"/>
              <w:rPr>
                <w:rFonts w:ascii="Arial Narrow" w:hAnsi="Arial Narrow"/>
                <w:sz w:val="22"/>
                <w:szCs w:val="22"/>
              </w:rPr>
            </w:pPr>
            <w:r w:rsidRPr="001E0913">
              <w:rPr>
                <w:rFonts w:ascii="Arial" w:hAnsi="Arial" w:cs="Arial"/>
                <w:color w:val="000000"/>
                <w:sz w:val="17"/>
                <w:szCs w:val="17"/>
                <w:shd w:val="clear" w:color="auto" w:fill="F5F5F5"/>
              </w:rPr>
              <w:t>DCB INGENIERIA Y CONSULTORIA S.A.S.</w:t>
            </w:r>
          </w:p>
        </w:tc>
        <w:tc>
          <w:tcPr>
            <w:tcW w:w="1218" w:type="dxa"/>
            <w:shd w:val="clear" w:color="auto" w:fill="auto"/>
            <w:vAlign w:val="center"/>
          </w:tcPr>
          <w:p w14:paraId="1E1DF981" w14:textId="405F4B19" w:rsidR="00FC6BCA" w:rsidRPr="001E0913" w:rsidRDefault="001E0913" w:rsidP="00823C83">
            <w:pPr>
              <w:jc w:val="center"/>
              <w:rPr>
                <w:rFonts w:ascii="Arial Narrow" w:hAnsi="Arial Narrow"/>
                <w:sz w:val="22"/>
                <w:szCs w:val="22"/>
              </w:rPr>
            </w:pPr>
            <w:r w:rsidRPr="001E0913">
              <w:rPr>
                <w:rFonts w:ascii="Arial Narrow" w:hAnsi="Arial Narrow"/>
                <w:sz w:val="22"/>
                <w:szCs w:val="22"/>
              </w:rPr>
              <w:t>INVITACIÓN PÚBLICA</w:t>
            </w:r>
          </w:p>
        </w:tc>
        <w:tc>
          <w:tcPr>
            <w:tcW w:w="2673" w:type="dxa"/>
            <w:shd w:val="clear" w:color="auto" w:fill="auto"/>
            <w:vAlign w:val="center"/>
          </w:tcPr>
          <w:p w14:paraId="7EF98A99" w14:textId="749A95D3" w:rsidR="00FC6BCA" w:rsidRPr="001E0913" w:rsidRDefault="001E0913" w:rsidP="00823C83">
            <w:pPr>
              <w:jc w:val="both"/>
              <w:rPr>
                <w:rFonts w:ascii="Arial Narrow" w:hAnsi="Arial Narrow"/>
                <w:sz w:val="22"/>
                <w:szCs w:val="22"/>
              </w:rPr>
            </w:pPr>
            <w:r w:rsidRPr="001E0913">
              <w:rPr>
                <w:rFonts w:ascii="Arial" w:hAnsi="Arial" w:cs="Arial"/>
                <w:color w:val="000000"/>
                <w:sz w:val="18"/>
                <w:szCs w:val="18"/>
                <w:shd w:val="clear" w:color="auto" w:fill="FFFFFF"/>
              </w:rPr>
              <w:t>PRESTACION DE SERVICIOS PROFESIONALES EN TOPOGRAFIA EN EL DEPARTAMENTO ADMINISTRATIVO DE PLANEACION</w:t>
            </w:r>
          </w:p>
        </w:tc>
        <w:tc>
          <w:tcPr>
            <w:tcW w:w="1233" w:type="dxa"/>
            <w:shd w:val="clear" w:color="auto" w:fill="auto"/>
            <w:vAlign w:val="center"/>
          </w:tcPr>
          <w:p w14:paraId="2ED967E8" w14:textId="559F2ACC" w:rsidR="00FC6BCA" w:rsidRPr="001E0913" w:rsidRDefault="001E0913" w:rsidP="00823C83">
            <w:pPr>
              <w:jc w:val="right"/>
              <w:rPr>
                <w:rFonts w:ascii="Arial Narrow" w:hAnsi="Arial Narrow"/>
                <w:sz w:val="22"/>
                <w:szCs w:val="22"/>
              </w:rPr>
            </w:pPr>
            <w:r w:rsidRPr="001E0913">
              <w:rPr>
                <w:rFonts w:ascii="Arial Narrow" w:hAnsi="Arial Narrow"/>
                <w:sz w:val="22"/>
                <w:szCs w:val="22"/>
              </w:rPr>
              <w:t>$</w:t>
            </w:r>
            <w:r w:rsidRPr="001E0913">
              <w:rPr>
                <w:rFonts w:ascii="Arial" w:hAnsi="Arial" w:cs="Arial"/>
                <w:color w:val="000000"/>
                <w:sz w:val="18"/>
                <w:szCs w:val="18"/>
                <w:shd w:val="clear" w:color="auto" w:fill="FFFFFF"/>
              </w:rPr>
              <w:t>20.000.000</w:t>
            </w:r>
          </w:p>
        </w:tc>
      </w:tr>
      <w:tr w:rsidR="00FC6BCA" w:rsidRPr="00D06AD7" w14:paraId="15C3089C" w14:textId="77777777" w:rsidTr="00126A87">
        <w:trPr>
          <w:trHeight w:val="264"/>
          <w:jc w:val="center"/>
        </w:trPr>
        <w:tc>
          <w:tcPr>
            <w:tcW w:w="876" w:type="dxa"/>
            <w:shd w:val="clear" w:color="auto" w:fill="auto"/>
            <w:vAlign w:val="center"/>
          </w:tcPr>
          <w:p w14:paraId="2D4CF5EE" w14:textId="280408C7" w:rsidR="00FC6BCA" w:rsidRPr="001E0913" w:rsidRDefault="001E0913" w:rsidP="00823C83">
            <w:pPr>
              <w:jc w:val="center"/>
              <w:rPr>
                <w:rFonts w:ascii="Arial Narrow" w:hAnsi="Arial Narrow"/>
                <w:color w:val="000000" w:themeColor="text1"/>
                <w:sz w:val="22"/>
                <w:szCs w:val="22"/>
              </w:rPr>
            </w:pPr>
            <w:r w:rsidRPr="001E0913">
              <w:rPr>
                <w:rFonts w:ascii="Arial" w:hAnsi="Arial" w:cs="Arial"/>
                <w:color w:val="000000"/>
                <w:sz w:val="18"/>
                <w:szCs w:val="18"/>
                <w:shd w:val="clear" w:color="auto" w:fill="FFFFFF"/>
              </w:rPr>
              <w:t>CMC 013-2022</w:t>
            </w:r>
          </w:p>
        </w:tc>
        <w:tc>
          <w:tcPr>
            <w:tcW w:w="1674" w:type="dxa"/>
            <w:shd w:val="clear" w:color="auto" w:fill="auto"/>
            <w:vAlign w:val="center"/>
          </w:tcPr>
          <w:p w14:paraId="7C837530" w14:textId="7BB6E80F" w:rsidR="00FC6BCA" w:rsidRPr="001E0913" w:rsidRDefault="001E0913" w:rsidP="00823C83">
            <w:pPr>
              <w:jc w:val="center"/>
              <w:rPr>
                <w:rFonts w:ascii="Arial Narrow" w:hAnsi="Arial Narrow"/>
                <w:color w:val="000000" w:themeColor="text1"/>
                <w:sz w:val="22"/>
                <w:szCs w:val="22"/>
              </w:rPr>
            </w:pPr>
            <w:r w:rsidRPr="001E0913">
              <w:rPr>
                <w:rFonts w:ascii="Arial" w:hAnsi="Arial" w:cs="Arial"/>
                <w:color w:val="000000"/>
                <w:sz w:val="18"/>
                <w:szCs w:val="18"/>
                <w:shd w:val="clear" w:color="auto" w:fill="FFFFFF"/>
              </w:rPr>
              <w:t>COMPRAS Y CONTRATACION ALCALDIA DE APARTADO</w:t>
            </w:r>
          </w:p>
        </w:tc>
        <w:tc>
          <w:tcPr>
            <w:tcW w:w="1941" w:type="dxa"/>
            <w:shd w:val="clear" w:color="auto" w:fill="auto"/>
            <w:vAlign w:val="center"/>
          </w:tcPr>
          <w:p w14:paraId="3598B2AD" w14:textId="77777777" w:rsidR="001E0913" w:rsidRPr="001E0913" w:rsidRDefault="001E0913" w:rsidP="001E0913">
            <w:pPr>
              <w:jc w:val="both"/>
              <w:rPr>
                <w:rFonts w:ascii="Arial" w:hAnsi="Arial" w:cs="Arial"/>
                <w:color w:val="000000"/>
                <w:sz w:val="17"/>
                <w:szCs w:val="17"/>
              </w:rPr>
            </w:pPr>
            <w:r w:rsidRPr="001E0913">
              <w:rPr>
                <w:rFonts w:ascii="Arial" w:hAnsi="Arial" w:cs="Arial"/>
                <w:color w:val="000000"/>
                <w:sz w:val="17"/>
                <w:szCs w:val="17"/>
              </w:rPr>
              <w:br/>
            </w:r>
            <w:r w:rsidRPr="001E0913">
              <w:rPr>
                <w:rStyle w:val="vortalspan"/>
                <w:rFonts w:ascii="Arial" w:hAnsi="Arial" w:cs="Arial"/>
                <w:sz w:val="17"/>
                <w:szCs w:val="17"/>
              </w:rPr>
              <w:t>GEO AMAZONIA S.A.S</w:t>
            </w:r>
          </w:p>
          <w:p w14:paraId="5A33A873" w14:textId="43830483" w:rsidR="00FC6BCA" w:rsidRPr="001E0913" w:rsidRDefault="00FC6BCA" w:rsidP="00823C83">
            <w:pPr>
              <w:jc w:val="both"/>
              <w:rPr>
                <w:rFonts w:ascii="Arial Narrow" w:hAnsi="Arial Narrow"/>
                <w:color w:val="000000" w:themeColor="text1"/>
                <w:sz w:val="22"/>
                <w:szCs w:val="22"/>
              </w:rPr>
            </w:pPr>
          </w:p>
        </w:tc>
        <w:tc>
          <w:tcPr>
            <w:tcW w:w="1218" w:type="dxa"/>
            <w:shd w:val="clear" w:color="auto" w:fill="auto"/>
            <w:vAlign w:val="center"/>
          </w:tcPr>
          <w:p w14:paraId="0AD220EB" w14:textId="4B0D833C" w:rsidR="00FC6BCA" w:rsidRPr="001E0913" w:rsidRDefault="001E0913" w:rsidP="00823C83">
            <w:pPr>
              <w:jc w:val="center"/>
              <w:rPr>
                <w:rFonts w:ascii="Arial Narrow" w:hAnsi="Arial Narrow"/>
                <w:color w:val="000000" w:themeColor="text1"/>
                <w:sz w:val="22"/>
                <w:szCs w:val="22"/>
              </w:rPr>
            </w:pPr>
            <w:r w:rsidRPr="001E0913">
              <w:rPr>
                <w:rFonts w:ascii="Arial Narrow" w:hAnsi="Arial Narrow"/>
                <w:color w:val="000000" w:themeColor="text1"/>
                <w:sz w:val="22"/>
                <w:szCs w:val="22"/>
              </w:rPr>
              <w:t>INVITACIÓN PÚBLICA</w:t>
            </w:r>
          </w:p>
        </w:tc>
        <w:tc>
          <w:tcPr>
            <w:tcW w:w="2673" w:type="dxa"/>
            <w:shd w:val="clear" w:color="auto" w:fill="auto"/>
            <w:vAlign w:val="center"/>
          </w:tcPr>
          <w:p w14:paraId="3A458261" w14:textId="717737C4" w:rsidR="00FC6BCA" w:rsidRPr="001E0913" w:rsidRDefault="001E0913" w:rsidP="00823C83">
            <w:pPr>
              <w:jc w:val="both"/>
              <w:rPr>
                <w:rFonts w:ascii="Arial Narrow" w:hAnsi="Arial Narrow"/>
                <w:color w:val="000000" w:themeColor="text1"/>
                <w:sz w:val="22"/>
                <w:szCs w:val="22"/>
              </w:rPr>
            </w:pPr>
            <w:r w:rsidRPr="001E0913">
              <w:rPr>
                <w:rFonts w:ascii="Arial" w:hAnsi="Arial" w:cs="Arial"/>
                <w:color w:val="000000"/>
                <w:sz w:val="18"/>
                <w:szCs w:val="18"/>
                <w:shd w:val="clear" w:color="auto" w:fill="FFFFFF"/>
              </w:rPr>
              <w:t>ESTUDIOS DE TOPOGRAFÍA EN EL MUNICIPIO DE APARTADÓ, INCLUYE CENSO PREDIAL Y ÁREA POR PREDIO</w:t>
            </w:r>
          </w:p>
        </w:tc>
        <w:tc>
          <w:tcPr>
            <w:tcW w:w="1233" w:type="dxa"/>
            <w:shd w:val="clear" w:color="auto" w:fill="auto"/>
            <w:vAlign w:val="center"/>
          </w:tcPr>
          <w:p w14:paraId="17A7A71F" w14:textId="296279CB" w:rsidR="00FC6BCA" w:rsidRPr="00D06AD7" w:rsidRDefault="001E0913" w:rsidP="00823C83">
            <w:pPr>
              <w:jc w:val="right"/>
              <w:rPr>
                <w:rFonts w:ascii="Arial Narrow" w:hAnsi="Arial Narrow"/>
                <w:sz w:val="22"/>
                <w:szCs w:val="22"/>
              </w:rPr>
            </w:pPr>
            <w:r w:rsidRPr="001E0913">
              <w:rPr>
                <w:rFonts w:ascii="Arial Narrow" w:hAnsi="Arial Narrow"/>
                <w:sz w:val="22"/>
                <w:szCs w:val="22"/>
              </w:rPr>
              <w:t>$</w:t>
            </w:r>
            <w:r w:rsidRPr="001E0913">
              <w:rPr>
                <w:rFonts w:ascii="Arial" w:hAnsi="Arial" w:cs="Arial"/>
                <w:color w:val="000000"/>
                <w:sz w:val="18"/>
                <w:szCs w:val="18"/>
                <w:shd w:val="clear" w:color="auto" w:fill="FFFFFF"/>
              </w:rPr>
              <w:t>20.000.000</w:t>
            </w:r>
          </w:p>
        </w:tc>
      </w:tr>
    </w:tbl>
    <w:p w14:paraId="06DDE332" w14:textId="77777777" w:rsidR="00FC6BCA" w:rsidRPr="00D06AD7" w:rsidRDefault="00FC6BCA" w:rsidP="00FC6BCA">
      <w:pPr>
        <w:jc w:val="both"/>
        <w:rPr>
          <w:rFonts w:ascii="Arial Narrow" w:eastAsia="Cambria" w:hAnsi="Arial Narrow" w:cs="Arial"/>
          <w:sz w:val="22"/>
          <w:szCs w:val="22"/>
          <w:lang w:val="es-ES_tradnl" w:eastAsia="en-US"/>
        </w:rPr>
      </w:pPr>
    </w:p>
    <w:p w14:paraId="0961BC47" w14:textId="77777777" w:rsidR="00FC6BCA" w:rsidRPr="00D06AD7" w:rsidRDefault="00FC6BCA" w:rsidP="00FC6BCA">
      <w:pPr>
        <w:jc w:val="both"/>
        <w:rPr>
          <w:rFonts w:ascii="Arial Narrow" w:hAnsi="Arial Narrow" w:cs="Arial"/>
          <w:sz w:val="22"/>
          <w:szCs w:val="22"/>
        </w:rPr>
      </w:pPr>
      <w:r w:rsidRPr="00D06AD7">
        <w:rPr>
          <w:rFonts w:ascii="Arial Narrow" w:hAnsi="Arial Narrow" w:cs="Arial"/>
          <w:b/>
          <w:sz w:val="22"/>
          <w:szCs w:val="22"/>
        </w:rPr>
        <w:t>3.2.2. PARTICIPACIÓN Y COMPORTAMIENTO DE LOS CONSULTORES QUE HAN SIDO SELECCIONADOS EN LOS PROCESOS</w:t>
      </w:r>
    </w:p>
    <w:p w14:paraId="05809934" w14:textId="77777777" w:rsidR="00FC6BCA" w:rsidRPr="00D06AD7" w:rsidRDefault="00FC6BCA" w:rsidP="00FC6BCA">
      <w:pPr>
        <w:contextualSpacing/>
        <w:jc w:val="both"/>
        <w:rPr>
          <w:rFonts w:ascii="Arial Narrow" w:hAnsi="Arial Narrow" w:cs="Arial"/>
          <w:sz w:val="22"/>
          <w:szCs w:val="22"/>
        </w:rPr>
      </w:pPr>
    </w:p>
    <w:p w14:paraId="3714EC1D" w14:textId="372AC997" w:rsidR="001B3FE8" w:rsidRPr="00D06AD7" w:rsidRDefault="00FC6BCA" w:rsidP="00FC6BCA">
      <w:pPr>
        <w:contextualSpacing/>
        <w:jc w:val="both"/>
        <w:rPr>
          <w:rFonts w:ascii="Arial Narrow" w:hAnsi="Arial Narrow" w:cs="Arial"/>
          <w:sz w:val="22"/>
          <w:szCs w:val="22"/>
        </w:rPr>
      </w:pPr>
      <w:r w:rsidRPr="00D06AD7">
        <w:rPr>
          <w:rFonts w:ascii="Arial Narrow" w:hAnsi="Arial Narrow" w:cs="Arial"/>
          <w:sz w:val="22"/>
          <w:szCs w:val="22"/>
        </w:rPr>
        <w:lastRenderedPageBreak/>
        <w:t xml:space="preserve">Durante la vigencia 2023, en desarrollo de los procesos de contratación del INSTITUTO a Nivel Central, se adelantaron </w:t>
      </w:r>
      <w:r w:rsidR="001B3FE8" w:rsidRPr="00D06AD7">
        <w:rPr>
          <w:rFonts w:ascii="Arial Narrow" w:hAnsi="Arial Narrow" w:cs="Arial"/>
          <w:sz w:val="22"/>
          <w:szCs w:val="22"/>
        </w:rPr>
        <w:t>19</w:t>
      </w:r>
      <w:r w:rsidRPr="00D06AD7">
        <w:rPr>
          <w:rFonts w:ascii="Arial Narrow" w:hAnsi="Arial Narrow" w:cs="Arial"/>
          <w:sz w:val="22"/>
          <w:szCs w:val="22"/>
        </w:rPr>
        <w:t xml:space="preserve"> procesos de contratación en la modalidad </w:t>
      </w:r>
      <w:r w:rsidR="009475EF">
        <w:rPr>
          <w:rFonts w:ascii="Arial Narrow" w:hAnsi="Arial Narrow" w:cs="Arial"/>
          <w:sz w:val="22"/>
          <w:szCs w:val="22"/>
        </w:rPr>
        <w:t>Mínima Cuantía</w:t>
      </w:r>
      <w:r w:rsidRPr="00D06AD7">
        <w:rPr>
          <w:rFonts w:ascii="Arial Narrow" w:hAnsi="Arial Narrow" w:cs="Arial"/>
          <w:sz w:val="22"/>
          <w:szCs w:val="22"/>
        </w:rPr>
        <w:t xml:space="preserve">, en los cuales se presentaron aproximadamente </w:t>
      </w:r>
      <w:r w:rsidR="001B3FE8" w:rsidRPr="00D06AD7">
        <w:rPr>
          <w:rFonts w:ascii="Arial Narrow" w:hAnsi="Arial Narrow" w:cs="Arial"/>
          <w:sz w:val="22"/>
          <w:szCs w:val="22"/>
        </w:rPr>
        <w:t xml:space="preserve">97 </w:t>
      </w:r>
      <w:r w:rsidRPr="00D06AD7">
        <w:rPr>
          <w:rFonts w:ascii="Arial Narrow" w:hAnsi="Arial Narrow" w:cs="Arial"/>
          <w:sz w:val="22"/>
          <w:szCs w:val="22"/>
        </w:rPr>
        <w:t>propuestas, por un valor total de $</w:t>
      </w:r>
      <w:r w:rsidR="001B3FE8" w:rsidRPr="00D06AD7">
        <w:rPr>
          <w:rFonts w:ascii="Arial Narrow" w:hAnsi="Arial Narrow" w:cs="Arial"/>
          <w:sz w:val="22"/>
          <w:szCs w:val="22"/>
        </w:rPr>
        <w:t>1.371.556.380,00</w:t>
      </w:r>
    </w:p>
    <w:p w14:paraId="67A3D9FD" w14:textId="77777777" w:rsidR="00FC6BCA" w:rsidRPr="00D06AD7" w:rsidRDefault="00FC6BCA" w:rsidP="00FC6BCA">
      <w:pPr>
        <w:contextualSpacing/>
        <w:jc w:val="both"/>
        <w:rPr>
          <w:rFonts w:ascii="Arial Narrow" w:hAnsi="Arial Narrow" w:cs="Arial"/>
          <w:sz w:val="22"/>
          <w:szCs w:val="22"/>
        </w:rPr>
      </w:pPr>
    </w:p>
    <w:p w14:paraId="13EEBAB2" w14:textId="77777777" w:rsidR="00FC6BCA" w:rsidRPr="00D06AD7" w:rsidRDefault="00FC6BCA" w:rsidP="00FC6BCA">
      <w:pPr>
        <w:contextualSpacing/>
        <w:jc w:val="both"/>
        <w:rPr>
          <w:rFonts w:ascii="Arial Narrow" w:hAnsi="Arial Narrow" w:cs="Arial"/>
          <w:sz w:val="22"/>
          <w:szCs w:val="22"/>
        </w:rPr>
      </w:pPr>
      <w:r w:rsidRPr="00D06AD7">
        <w:rPr>
          <w:rFonts w:ascii="Arial Narrow" w:hAnsi="Arial Narrow" w:cs="Arial"/>
          <w:sz w:val="22"/>
          <w:szCs w:val="22"/>
        </w:rPr>
        <w:t>Lo anterior señala claramente, que el sector ha encontrado en las condiciones establecidas en los pliegos tipo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87CF4D6" w14:textId="77777777" w:rsidR="00FC6BCA" w:rsidRPr="00D06AD7" w:rsidRDefault="00FC6BCA" w:rsidP="00FC6BCA">
      <w:pPr>
        <w:contextualSpacing/>
        <w:jc w:val="both"/>
        <w:rPr>
          <w:rFonts w:ascii="Arial Narrow" w:hAnsi="Arial Narrow" w:cs="Arial"/>
          <w:sz w:val="22"/>
          <w:szCs w:val="22"/>
          <w:highlight w:val="yellow"/>
        </w:rPr>
      </w:pPr>
    </w:p>
    <w:p w14:paraId="7CC99C17" w14:textId="77777777" w:rsidR="00FC6BCA" w:rsidRPr="00D06AD7" w:rsidRDefault="00FC6BCA" w:rsidP="00FC6BCA">
      <w:pPr>
        <w:contextualSpacing/>
        <w:jc w:val="both"/>
        <w:rPr>
          <w:rFonts w:ascii="Arial Narrow" w:hAnsi="Arial Narrow" w:cs="Arial"/>
          <w:sz w:val="22"/>
          <w:szCs w:val="22"/>
        </w:rPr>
      </w:pPr>
      <w:r w:rsidRPr="00D06AD7">
        <w:rPr>
          <w:rFonts w:ascii="Arial Narrow" w:hAnsi="Arial Narrow" w:cs="Arial"/>
          <w:sz w:val="22"/>
          <w:szCs w:val="22"/>
        </w:rPr>
        <w:t>Por otra parte, la entidad consultó en la plataforma del Secop II proveedores que guardan relación con el objeto contractual del presente proceso de selección. Así mismo, verificó el tamaño de la empresa referente a la clasificación de Mipymes, como se presenta a continuación:</w:t>
      </w:r>
    </w:p>
    <w:p w14:paraId="5D762334" w14:textId="77777777" w:rsidR="00FC6BCA" w:rsidRPr="00D06AD7" w:rsidRDefault="00FC6BCA" w:rsidP="00FC6BCA">
      <w:pPr>
        <w:contextualSpacing/>
        <w:jc w:val="both"/>
        <w:rPr>
          <w:rFonts w:ascii="Arial Narrow" w:hAnsi="Arial Narrow" w:cs="Arial"/>
          <w:sz w:val="22"/>
          <w:szCs w:val="22"/>
        </w:rPr>
      </w:pPr>
      <w:r w:rsidRPr="00D06AD7">
        <w:rPr>
          <w:rFonts w:ascii="Arial Narrow" w:hAnsi="Arial Narrow" w:cs="Arial"/>
          <w:noProof/>
          <w:sz w:val="22"/>
          <w:szCs w:val="22"/>
        </w:rPr>
        <w:lastRenderedPageBreak/>
        <w:drawing>
          <wp:inline distT="0" distB="0" distL="0" distR="0" wp14:anchorId="374C1A0E" wp14:editId="7D905017">
            <wp:extent cx="6031230" cy="6952518"/>
            <wp:effectExtent l="0" t="0" r="7620" b="127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31230" cy="6952518"/>
                    </a:xfrm>
                    <a:prstGeom prst="rect">
                      <a:avLst/>
                    </a:prstGeom>
                    <a:noFill/>
                    <a:ln>
                      <a:noFill/>
                    </a:ln>
                  </pic:spPr>
                </pic:pic>
              </a:graphicData>
            </a:graphic>
          </wp:inline>
        </w:drawing>
      </w:r>
    </w:p>
    <w:p w14:paraId="18315DAE" w14:textId="77777777" w:rsidR="00FC6BCA" w:rsidRPr="00D06AD7" w:rsidRDefault="00FC6BCA" w:rsidP="00FC6BCA">
      <w:pPr>
        <w:jc w:val="both"/>
        <w:rPr>
          <w:rFonts w:ascii="Arial Narrow" w:hAnsi="Arial Narrow" w:cs="Arial"/>
          <w:sz w:val="22"/>
          <w:szCs w:val="22"/>
          <w:lang w:val="es-ES"/>
        </w:rPr>
      </w:pPr>
      <w:r w:rsidRPr="00D06AD7">
        <w:rPr>
          <w:rFonts w:ascii="Arial Narrow" w:hAnsi="Arial Narrow" w:cs="Arial"/>
          <w:sz w:val="22"/>
          <w:szCs w:val="22"/>
        </w:rPr>
        <w:lastRenderedPageBreak/>
        <w:t>Así mismo, los consultores que han sido seleccionados en marco de estos procesos, han adelantado la ejecución de los contratos dentro de los requisitos establecidos para tal fin y en la gran mayoría de los casos no se han</w:t>
      </w:r>
      <w:r w:rsidRPr="00D06AD7">
        <w:rPr>
          <w:rFonts w:ascii="Arial Narrow" w:hAnsi="Arial Narrow" w:cs="Arial"/>
          <w:sz w:val="22"/>
          <w:szCs w:val="22"/>
          <w:lang w:val="es-ES"/>
        </w:rPr>
        <w:t xml:space="preserve"> generado riesgos que hayan puesto en peligro la ejecución de dichos contratos.</w:t>
      </w:r>
    </w:p>
    <w:p w14:paraId="42B32CF1" w14:textId="77777777" w:rsidR="0041748F" w:rsidRPr="00D06AD7" w:rsidRDefault="0041748F" w:rsidP="00684E58">
      <w:pPr>
        <w:contextualSpacing/>
        <w:jc w:val="both"/>
        <w:rPr>
          <w:rFonts w:ascii="Arial Narrow" w:hAnsi="Arial Narrow" w:cs="Arial"/>
          <w:color w:val="000000"/>
          <w:sz w:val="22"/>
          <w:szCs w:val="22"/>
          <w:lang w:val="es-ES"/>
        </w:rPr>
      </w:pPr>
    </w:p>
    <w:p w14:paraId="2154A4FA" w14:textId="77777777" w:rsidR="00240A46" w:rsidRPr="00D06AD7" w:rsidRDefault="00240A46" w:rsidP="00684E58">
      <w:pPr>
        <w:jc w:val="both"/>
        <w:rPr>
          <w:rFonts w:ascii="Arial Narrow" w:hAnsi="Arial Narrow" w:cs="Arial"/>
          <w:color w:val="000000"/>
          <w:sz w:val="22"/>
          <w:szCs w:val="22"/>
        </w:rPr>
      </w:pPr>
    </w:p>
    <w:p w14:paraId="3BD8A892" w14:textId="3BE5F225" w:rsidR="00E31A31" w:rsidRPr="00D06AD7" w:rsidRDefault="00372D58" w:rsidP="00372D58">
      <w:pPr>
        <w:contextualSpacing/>
        <w:rPr>
          <w:rFonts w:ascii="Arial Narrow" w:eastAsia="Cambria" w:hAnsi="Arial Narrow" w:cs="Arial"/>
          <w:b/>
          <w:color w:val="000000"/>
          <w:sz w:val="22"/>
          <w:szCs w:val="22"/>
          <w:lang w:val="es-ES_tradnl" w:eastAsia="en-US"/>
        </w:rPr>
      </w:pPr>
      <w:r w:rsidRPr="00D06AD7">
        <w:rPr>
          <w:rFonts w:ascii="Arial Narrow" w:eastAsia="Cambria" w:hAnsi="Arial Narrow" w:cs="Arial"/>
          <w:b/>
          <w:color w:val="000000"/>
          <w:sz w:val="22"/>
          <w:szCs w:val="22"/>
          <w:lang w:val="es-ES_tradnl" w:eastAsia="en-US"/>
        </w:rPr>
        <w:t xml:space="preserve">3.3.3. </w:t>
      </w:r>
      <w:r w:rsidR="00E31A31" w:rsidRPr="00D06AD7">
        <w:rPr>
          <w:rFonts w:ascii="Arial Narrow" w:eastAsia="Cambria" w:hAnsi="Arial Narrow" w:cs="Arial"/>
          <w:b/>
          <w:color w:val="000000"/>
          <w:sz w:val="22"/>
          <w:szCs w:val="22"/>
          <w:lang w:val="es-ES_tradnl" w:eastAsia="en-US"/>
        </w:rPr>
        <w:t>MODALIDAD DE SELECCIÓN</w:t>
      </w:r>
      <w:r w:rsidR="00FA2984" w:rsidRPr="00D06AD7">
        <w:rPr>
          <w:rFonts w:ascii="Arial Narrow" w:eastAsia="Cambria" w:hAnsi="Arial Narrow" w:cs="Arial"/>
          <w:b/>
          <w:color w:val="000000"/>
          <w:sz w:val="22"/>
          <w:szCs w:val="22"/>
          <w:lang w:val="es-ES_tradnl" w:eastAsia="en-US"/>
        </w:rPr>
        <w:t xml:space="preserve">, </w:t>
      </w:r>
      <w:r w:rsidR="00FA2984" w:rsidRPr="00D06AD7">
        <w:rPr>
          <w:rFonts w:ascii="Arial Narrow" w:hAnsi="Arial Narrow" w:cs="Arial"/>
          <w:b/>
          <w:sz w:val="22"/>
          <w:szCs w:val="22"/>
        </w:rPr>
        <w:t xml:space="preserve">SELECCIÓN DEL </w:t>
      </w:r>
      <w:r w:rsidR="00FC6BCA" w:rsidRPr="00D06AD7">
        <w:rPr>
          <w:rFonts w:ascii="Arial Narrow" w:hAnsi="Arial Narrow" w:cs="Arial"/>
          <w:b/>
          <w:sz w:val="22"/>
          <w:szCs w:val="22"/>
        </w:rPr>
        <w:t>CONSULTOR</w:t>
      </w:r>
      <w:r w:rsidR="00FA2984" w:rsidRPr="00D06AD7">
        <w:rPr>
          <w:rFonts w:ascii="Arial Narrow" w:hAnsi="Arial Narrow" w:cs="Arial"/>
          <w:b/>
          <w:sz w:val="22"/>
          <w:szCs w:val="22"/>
        </w:rPr>
        <w:t>. JUSTIFICACIÓN. FUNDAMENTOS JURÍCOS.</w:t>
      </w:r>
    </w:p>
    <w:p w14:paraId="01C7CCD9" w14:textId="77777777" w:rsidR="00E31A31" w:rsidRPr="00D06AD7" w:rsidRDefault="00E31A31" w:rsidP="00E31A31">
      <w:pPr>
        <w:jc w:val="both"/>
        <w:rPr>
          <w:rFonts w:ascii="Arial Narrow" w:eastAsia="Cambria" w:hAnsi="Arial Narrow" w:cs="Arial"/>
          <w:bCs/>
          <w:color w:val="000000"/>
          <w:sz w:val="22"/>
          <w:szCs w:val="22"/>
          <w:lang w:val="es-ES_tradnl" w:eastAsia="en-US"/>
        </w:rPr>
      </w:pPr>
    </w:p>
    <w:p w14:paraId="13B50424" w14:textId="7E7AA069" w:rsidR="00FA2984" w:rsidRPr="00D06AD7" w:rsidRDefault="00FA2984" w:rsidP="00AD6DC2">
      <w:pPr>
        <w:pStyle w:val="Default"/>
        <w:jc w:val="both"/>
        <w:rPr>
          <w:rFonts w:ascii="Arial Narrow" w:eastAsia="Times New Roman" w:hAnsi="Arial Narrow"/>
          <w:sz w:val="22"/>
          <w:szCs w:val="22"/>
          <w:lang w:eastAsia="es-CO"/>
        </w:rPr>
      </w:pPr>
      <w:r w:rsidRPr="00D06AD7">
        <w:rPr>
          <w:rFonts w:ascii="Arial Narrow" w:eastAsia="Times New Roman" w:hAnsi="Arial Narrow"/>
          <w:sz w:val="22"/>
          <w:szCs w:val="22"/>
          <w:lang w:eastAsia="es-CO"/>
        </w:rPr>
        <w:t>La Ley 1150 de 2007, "Por medio de la cual se introducen medidas para la eficiencia y la transparencia en la Ley 80 de 1993 y se dictan otras disposiciones generales sobre la contratación de la Administración Pública", y el Decreto 1082 de 2015, “Por la cual se reglamenta el sistema de compras y contratación pública”</w:t>
      </w:r>
      <w:r w:rsidR="00FF41F9">
        <w:rPr>
          <w:rFonts w:ascii="Arial Narrow" w:eastAsia="Times New Roman" w:hAnsi="Arial Narrow"/>
          <w:sz w:val="22"/>
          <w:szCs w:val="22"/>
          <w:lang w:eastAsia="es-CO"/>
        </w:rPr>
        <w:t>,</w:t>
      </w:r>
      <w:r w:rsidRPr="00D06AD7">
        <w:rPr>
          <w:rFonts w:ascii="Arial Narrow" w:eastAsia="Times New Roman" w:hAnsi="Arial Narrow"/>
          <w:sz w:val="22"/>
          <w:szCs w:val="22"/>
          <w:lang w:eastAsia="es-CO"/>
        </w:rPr>
        <w:t xml:space="preserve"> introduce nuevas e importantes aplicaciones a la mencionada Ley</w:t>
      </w:r>
      <w:r w:rsidR="00AD6DC2">
        <w:rPr>
          <w:rFonts w:ascii="Arial Narrow" w:eastAsia="Times New Roman" w:hAnsi="Arial Narrow"/>
          <w:sz w:val="22"/>
          <w:szCs w:val="22"/>
          <w:lang w:eastAsia="es-CO"/>
        </w:rPr>
        <w:t>, estableciendo</w:t>
      </w:r>
      <w:r w:rsidRPr="00D06AD7">
        <w:rPr>
          <w:rFonts w:ascii="Arial Narrow" w:eastAsia="Times New Roman" w:hAnsi="Arial Narrow"/>
          <w:sz w:val="22"/>
          <w:szCs w:val="22"/>
          <w:lang w:eastAsia="es-CO"/>
        </w:rPr>
        <w:t xml:space="preserve"> cinco (5) modalidades de selección para contratar con el Estado: - licitación pública; - selección abreviada; - </w:t>
      </w:r>
      <w:r w:rsidR="009475EF">
        <w:rPr>
          <w:rFonts w:ascii="Arial Narrow" w:eastAsia="Times New Roman" w:hAnsi="Arial Narrow"/>
          <w:sz w:val="22"/>
          <w:szCs w:val="22"/>
          <w:lang w:eastAsia="es-CO"/>
        </w:rPr>
        <w:t>Concurso de Méritos</w:t>
      </w:r>
      <w:r w:rsidRPr="00D06AD7">
        <w:rPr>
          <w:rFonts w:ascii="Arial Narrow" w:eastAsia="Times New Roman" w:hAnsi="Arial Narrow"/>
          <w:sz w:val="22"/>
          <w:szCs w:val="22"/>
          <w:lang w:eastAsia="es-CO"/>
        </w:rPr>
        <w:t xml:space="preserve">; - contratación directa; y mínima cuantía. </w:t>
      </w:r>
    </w:p>
    <w:p w14:paraId="10634941" w14:textId="77777777" w:rsidR="00FA2984" w:rsidRPr="00D06AD7" w:rsidRDefault="00FA2984" w:rsidP="00FA2984">
      <w:pPr>
        <w:pStyle w:val="Default"/>
        <w:jc w:val="both"/>
        <w:rPr>
          <w:rFonts w:ascii="Arial Narrow" w:eastAsia="Times New Roman" w:hAnsi="Arial Narrow"/>
          <w:sz w:val="22"/>
          <w:szCs w:val="22"/>
          <w:lang w:eastAsia="es-CO"/>
        </w:rPr>
      </w:pPr>
    </w:p>
    <w:p w14:paraId="3AD798D9" w14:textId="77777777" w:rsidR="002F2DA2" w:rsidRPr="00E72200" w:rsidRDefault="002F2DA2" w:rsidP="002F2DA2">
      <w:pPr>
        <w:jc w:val="both"/>
        <w:rPr>
          <w:rFonts w:ascii="Arial Narrow" w:hAnsi="Arial Narrow"/>
          <w:sz w:val="22"/>
        </w:rPr>
      </w:pPr>
      <w:r w:rsidRPr="00901911">
        <w:rPr>
          <w:rFonts w:ascii="Arial Narrow" w:eastAsia="Calibri" w:hAnsi="Arial Narrow" w:cs="CIDFont+F2"/>
          <w:sz w:val="22"/>
          <w:szCs w:val="22"/>
        </w:rPr>
        <w:t>De conformidad con lo dispuesto en el artículo 30 de la Ley 2069 de 2020 reglamentado por el</w:t>
      </w:r>
      <w:r>
        <w:rPr>
          <w:rFonts w:ascii="Arial Narrow" w:eastAsia="Calibri" w:hAnsi="Arial Narrow" w:cs="CIDFont+F2"/>
          <w:sz w:val="22"/>
          <w:szCs w:val="22"/>
        </w:rPr>
        <w:t xml:space="preserve"> </w:t>
      </w:r>
      <w:r w:rsidRPr="00901911">
        <w:rPr>
          <w:rFonts w:ascii="Arial Narrow" w:eastAsia="Calibri" w:hAnsi="Arial Narrow" w:cs="CIDFont+F2"/>
          <w:sz w:val="22"/>
          <w:szCs w:val="22"/>
        </w:rPr>
        <w:t>Decreto 1860 de 2021, el cual establece que cuando el valor del objeto a contratar no supere el 10%</w:t>
      </w:r>
      <w:r>
        <w:rPr>
          <w:rFonts w:ascii="Arial Narrow" w:eastAsia="Calibri" w:hAnsi="Arial Narrow" w:cs="CIDFont+F2"/>
          <w:sz w:val="22"/>
          <w:szCs w:val="22"/>
        </w:rPr>
        <w:t xml:space="preserve"> </w:t>
      </w:r>
      <w:r w:rsidRPr="00901911">
        <w:rPr>
          <w:rFonts w:ascii="Arial Narrow" w:eastAsia="Calibri" w:hAnsi="Arial Narrow" w:cs="CIDFont+F2"/>
          <w:sz w:val="22"/>
          <w:szCs w:val="22"/>
        </w:rPr>
        <w:t>de la menor cuantía de una entidad</w:t>
      </w:r>
      <w:r>
        <w:rPr>
          <w:rFonts w:ascii="Arial Narrow" w:eastAsia="Calibri" w:hAnsi="Arial Narrow" w:cs="CIDFont+F2"/>
          <w:sz w:val="22"/>
          <w:szCs w:val="22"/>
        </w:rPr>
        <w:t xml:space="preserve"> e</w:t>
      </w:r>
      <w:r w:rsidRPr="00901911">
        <w:rPr>
          <w:rFonts w:ascii="Arial Narrow" w:eastAsia="Calibri" w:hAnsi="Arial Narrow" w:cs="CIDFont+F2"/>
          <w:sz w:val="22"/>
          <w:szCs w:val="22"/>
        </w:rPr>
        <w:t>statal, independiente de su objeto, se debe adelantar el</w:t>
      </w:r>
      <w:r>
        <w:rPr>
          <w:rFonts w:ascii="Arial Narrow" w:eastAsia="Calibri" w:hAnsi="Arial Narrow" w:cs="CIDFont+F2"/>
          <w:sz w:val="22"/>
          <w:szCs w:val="22"/>
        </w:rPr>
        <w:t xml:space="preserve"> </w:t>
      </w:r>
      <w:r w:rsidRPr="00901911">
        <w:rPr>
          <w:rFonts w:ascii="Arial Narrow" w:eastAsia="Calibri" w:hAnsi="Arial Narrow" w:cs="CIDFont+F2"/>
          <w:sz w:val="22"/>
          <w:szCs w:val="22"/>
        </w:rPr>
        <w:t>procedimiento de la modalidad de selección de la mínima cuantía</w:t>
      </w:r>
      <w:r w:rsidRPr="00E72200">
        <w:rPr>
          <w:rFonts w:ascii="Arial Narrow" w:eastAsia="Calibri" w:hAnsi="Arial Narrow"/>
          <w:sz w:val="22"/>
        </w:rPr>
        <w:t>.</w:t>
      </w:r>
    </w:p>
    <w:p w14:paraId="226C8E94" w14:textId="2BA62267" w:rsidR="00FA2984" w:rsidRPr="00D06AD7" w:rsidRDefault="00FA2984" w:rsidP="00FA2984">
      <w:pPr>
        <w:pStyle w:val="Default"/>
        <w:jc w:val="both"/>
        <w:rPr>
          <w:rFonts w:ascii="Arial Narrow" w:eastAsia="Times New Roman" w:hAnsi="Arial Narrow"/>
          <w:sz w:val="22"/>
          <w:szCs w:val="22"/>
          <w:lang w:eastAsia="es-CO"/>
        </w:rPr>
      </w:pPr>
      <w:r w:rsidRPr="00D06AD7">
        <w:rPr>
          <w:rFonts w:ascii="Arial Narrow" w:eastAsia="Times New Roman" w:hAnsi="Arial Narrow"/>
          <w:sz w:val="22"/>
          <w:szCs w:val="22"/>
          <w:lang w:eastAsia="es-CO"/>
        </w:rPr>
        <w:t xml:space="preserve"> </w:t>
      </w:r>
    </w:p>
    <w:p w14:paraId="39A691C4" w14:textId="0B97519B" w:rsidR="00FA2984" w:rsidRPr="00D06AD7" w:rsidRDefault="002F2DA2" w:rsidP="00FA2984">
      <w:pPr>
        <w:pStyle w:val="Default"/>
        <w:jc w:val="both"/>
        <w:rPr>
          <w:rFonts w:ascii="Arial Narrow" w:eastAsia="Times New Roman" w:hAnsi="Arial Narrow"/>
          <w:sz w:val="22"/>
          <w:szCs w:val="22"/>
          <w:lang w:eastAsia="es-CO"/>
        </w:rPr>
      </w:pPr>
      <w:r>
        <w:rPr>
          <w:rFonts w:ascii="Arial Narrow" w:eastAsia="Times New Roman" w:hAnsi="Arial Narrow"/>
          <w:sz w:val="22"/>
          <w:szCs w:val="22"/>
          <w:lang w:eastAsia="es-CO"/>
        </w:rPr>
        <w:t>En virtud de</w:t>
      </w:r>
      <w:r w:rsidR="00FA2984" w:rsidRPr="00D06AD7">
        <w:rPr>
          <w:rFonts w:ascii="Arial Narrow" w:eastAsia="Times New Roman" w:hAnsi="Arial Narrow"/>
          <w:sz w:val="22"/>
          <w:szCs w:val="22"/>
          <w:lang w:eastAsia="es-CO"/>
        </w:rPr>
        <w:t xml:space="preserve"> la necesidad que pretende satisfacer la entidad pública y el estudio de precios realizado, se determinó que el presupuesto oficial asciende </w:t>
      </w:r>
      <w:r w:rsidR="00FA2984" w:rsidRPr="00A26FA7">
        <w:rPr>
          <w:rFonts w:ascii="Arial Narrow" w:eastAsia="Times New Roman" w:hAnsi="Arial Narrow"/>
          <w:sz w:val="22"/>
          <w:szCs w:val="22"/>
          <w:lang w:eastAsia="es-CO"/>
        </w:rPr>
        <w:t xml:space="preserve">a </w:t>
      </w:r>
      <w:r w:rsidR="00AA1AD1" w:rsidRPr="00A26FA7">
        <w:rPr>
          <w:rFonts w:ascii="Arial Narrow" w:eastAsia="Times New Roman" w:hAnsi="Arial Narrow"/>
          <w:b/>
          <w:bCs/>
          <w:sz w:val="22"/>
          <w:szCs w:val="22"/>
          <w:lang w:eastAsia="es-CO"/>
        </w:rPr>
        <w:t xml:space="preserve">TREINTA Y SIETE MILLONES CUATROCIENTOS NOVENTA Y NUEVE MIL NOVECIENTOS NOVENTA Y CUATRO </w:t>
      </w:r>
      <w:r w:rsidR="005D4266" w:rsidRPr="00A26FA7">
        <w:rPr>
          <w:rFonts w:ascii="Arial Narrow" w:eastAsia="Times New Roman" w:hAnsi="Arial Narrow"/>
          <w:b/>
          <w:bCs/>
          <w:sz w:val="22"/>
          <w:szCs w:val="22"/>
          <w:lang w:eastAsia="es-CO"/>
        </w:rPr>
        <w:t xml:space="preserve">PESOS </w:t>
      </w:r>
      <w:r w:rsidR="00FA2984" w:rsidRPr="00A26FA7">
        <w:rPr>
          <w:rFonts w:ascii="Arial Narrow" w:eastAsia="Times New Roman" w:hAnsi="Arial Narrow"/>
          <w:b/>
          <w:bCs/>
          <w:sz w:val="22"/>
          <w:szCs w:val="22"/>
          <w:lang w:eastAsia="es-CO"/>
        </w:rPr>
        <w:t>($</w:t>
      </w:r>
      <w:r w:rsidR="005D4266" w:rsidRPr="00A26FA7">
        <w:rPr>
          <w:rFonts w:ascii="Arial Narrow" w:eastAsia="Times New Roman" w:hAnsi="Arial Narrow"/>
          <w:b/>
          <w:bCs/>
          <w:sz w:val="22"/>
          <w:szCs w:val="22"/>
          <w:lang w:eastAsia="es-CO"/>
        </w:rPr>
        <w:t>37.</w:t>
      </w:r>
      <w:r w:rsidR="00AA1AD1" w:rsidRPr="00A26FA7">
        <w:rPr>
          <w:rFonts w:ascii="Arial Narrow" w:eastAsia="Times New Roman" w:hAnsi="Arial Narrow"/>
          <w:b/>
          <w:bCs/>
          <w:sz w:val="22"/>
          <w:szCs w:val="22"/>
          <w:lang w:eastAsia="es-CO"/>
        </w:rPr>
        <w:t>499</w:t>
      </w:r>
      <w:r w:rsidR="005D4266" w:rsidRPr="00A26FA7">
        <w:rPr>
          <w:rFonts w:ascii="Arial Narrow" w:eastAsia="Times New Roman" w:hAnsi="Arial Narrow"/>
          <w:b/>
          <w:bCs/>
          <w:sz w:val="22"/>
          <w:szCs w:val="22"/>
          <w:lang w:eastAsia="es-CO"/>
        </w:rPr>
        <w:t>.</w:t>
      </w:r>
      <w:r w:rsidR="00A26FA7" w:rsidRPr="00A26FA7">
        <w:rPr>
          <w:rFonts w:ascii="Arial Narrow" w:eastAsia="Times New Roman" w:hAnsi="Arial Narrow"/>
          <w:b/>
          <w:bCs/>
          <w:sz w:val="22"/>
          <w:szCs w:val="22"/>
          <w:lang w:eastAsia="es-CO"/>
        </w:rPr>
        <w:t>994</w:t>
      </w:r>
      <w:r w:rsidR="00FA2984" w:rsidRPr="00A26FA7">
        <w:rPr>
          <w:rFonts w:ascii="Arial Narrow" w:eastAsia="Times New Roman" w:hAnsi="Arial Narrow"/>
          <w:b/>
          <w:bCs/>
          <w:sz w:val="22"/>
          <w:szCs w:val="22"/>
          <w:lang w:eastAsia="es-CO"/>
        </w:rPr>
        <w:t>,00)</w:t>
      </w:r>
      <w:r w:rsidR="00FA2984" w:rsidRPr="00A26FA7">
        <w:rPr>
          <w:rFonts w:ascii="Arial Narrow" w:eastAsia="Times New Roman" w:hAnsi="Arial Narrow"/>
          <w:sz w:val="22"/>
          <w:szCs w:val="22"/>
          <w:lang w:eastAsia="es-CO"/>
        </w:rPr>
        <w:t xml:space="preserve"> M</w:t>
      </w:r>
      <w:r w:rsidR="00722445" w:rsidRPr="00A26FA7">
        <w:rPr>
          <w:rFonts w:ascii="Arial Narrow" w:eastAsia="Times New Roman" w:hAnsi="Arial Narrow"/>
          <w:sz w:val="22"/>
          <w:szCs w:val="22"/>
          <w:lang w:eastAsia="es-CO"/>
        </w:rPr>
        <w:t>[ [</w:t>
      </w:r>
      <w:r w:rsidR="00FA2984" w:rsidRPr="00A26FA7">
        <w:rPr>
          <w:rFonts w:ascii="Arial Narrow" w:eastAsia="Times New Roman" w:hAnsi="Arial Narrow"/>
          <w:sz w:val="22"/>
          <w:szCs w:val="22"/>
          <w:lang w:eastAsia="es-CO"/>
        </w:rPr>
        <w:t>/CTE INCLUIDO IVA</w:t>
      </w:r>
      <w:r w:rsidR="00FA2984" w:rsidRPr="00D06AD7">
        <w:rPr>
          <w:rFonts w:ascii="Arial Narrow" w:eastAsia="Times New Roman" w:hAnsi="Arial Narrow"/>
          <w:sz w:val="22"/>
          <w:szCs w:val="22"/>
          <w:lang w:eastAsia="es-CO"/>
        </w:rPr>
        <w:t xml:space="preserve"> y todos los costos directos e indirectos que se ocasionen por el hecho de la suscripción, ejecución y terminación del contrato. </w:t>
      </w:r>
    </w:p>
    <w:p w14:paraId="6A18938A" w14:textId="77777777" w:rsidR="00FA2984" w:rsidRPr="00D06AD7" w:rsidRDefault="00FA2984" w:rsidP="00FA2984">
      <w:pPr>
        <w:pStyle w:val="Default"/>
        <w:jc w:val="both"/>
        <w:rPr>
          <w:rFonts w:ascii="Arial Narrow" w:eastAsia="Times New Roman" w:hAnsi="Arial Narrow"/>
          <w:sz w:val="22"/>
          <w:szCs w:val="22"/>
          <w:lang w:eastAsia="es-CO"/>
        </w:rPr>
      </w:pPr>
    </w:p>
    <w:p w14:paraId="4632E96A" w14:textId="27B61D04" w:rsidR="00FA2984" w:rsidRPr="00D06AD7" w:rsidRDefault="002F2DA2" w:rsidP="00FA2984">
      <w:pPr>
        <w:pStyle w:val="Default"/>
        <w:jc w:val="both"/>
        <w:rPr>
          <w:rFonts w:ascii="Arial Narrow" w:eastAsia="Times New Roman" w:hAnsi="Arial Narrow"/>
          <w:sz w:val="22"/>
          <w:szCs w:val="22"/>
          <w:lang w:eastAsia="es-CO"/>
        </w:rPr>
      </w:pPr>
      <w:r>
        <w:rPr>
          <w:rFonts w:ascii="Arial Narrow" w:eastAsia="Times New Roman" w:hAnsi="Arial Narrow"/>
          <w:sz w:val="22"/>
          <w:szCs w:val="22"/>
          <w:lang w:eastAsia="es-CO"/>
        </w:rPr>
        <w:t xml:space="preserve">Conforme con lo anotado, </w:t>
      </w:r>
      <w:r w:rsidR="00FA2984" w:rsidRPr="00D06AD7">
        <w:rPr>
          <w:rFonts w:ascii="Arial Narrow" w:eastAsia="Times New Roman" w:hAnsi="Arial Narrow"/>
          <w:sz w:val="22"/>
          <w:szCs w:val="22"/>
          <w:lang w:eastAsia="es-CO"/>
        </w:rPr>
        <w:t xml:space="preserve">el proceso de </w:t>
      </w:r>
      <w:r>
        <w:rPr>
          <w:rFonts w:ascii="Arial Narrow" w:eastAsia="Times New Roman" w:hAnsi="Arial Narrow"/>
          <w:sz w:val="22"/>
          <w:szCs w:val="22"/>
          <w:lang w:eastAsia="es-CO"/>
        </w:rPr>
        <w:t xml:space="preserve">selección </w:t>
      </w:r>
      <w:r w:rsidR="003D01BB">
        <w:rPr>
          <w:rFonts w:ascii="Arial Narrow" w:eastAsia="Times New Roman" w:hAnsi="Arial Narrow"/>
          <w:sz w:val="22"/>
          <w:szCs w:val="22"/>
          <w:lang w:eastAsia="es-CO"/>
        </w:rPr>
        <w:t xml:space="preserve">que se adelantará corresponde a la modalidad de MÍNIMA CUANTÍA, toda vez que el valor del presupuesto oficial estimado del proceso no es superior al diez por ciento (10%) de la menor cuantía del presupuesto del INVÍAS, el cual se surtirá </w:t>
      </w:r>
      <w:r w:rsidR="003D01BB">
        <w:rPr>
          <w:rFonts w:ascii="Arial Narrow" w:hAnsi="Arial Narrow" w:cs="CIDFont+F2"/>
          <w:sz w:val="22"/>
          <w:szCs w:val="22"/>
        </w:rPr>
        <w:t xml:space="preserve">acorde con las reglas previstas en el Decreto 1860 de 2021 y </w:t>
      </w:r>
      <w:r w:rsidR="00FA2984" w:rsidRPr="00D06AD7">
        <w:rPr>
          <w:rFonts w:ascii="Arial Narrow" w:eastAsia="Times New Roman" w:hAnsi="Arial Narrow"/>
          <w:sz w:val="22"/>
          <w:szCs w:val="22"/>
          <w:lang w:eastAsia="es-CO"/>
        </w:rPr>
        <w:t>dando cumplimiento a los principios de transparencia, economía y responsabilidad,</w:t>
      </w:r>
      <w:r w:rsidR="003D01BB">
        <w:rPr>
          <w:rFonts w:ascii="Arial Narrow" w:eastAsia="Times New Roman" w:hAnsi="Arial Narrow"/>
          <w:sz w:val="22"/>
          <w:szCs w:val="22"/>
          <w:lang w:eastAsia="es-CO"/>
        </w:rPr>
        <w:t xml:space="preserve"> previstos en el Estatuto de Contratación Pública</w:t>
      </w:r>
      <w:r w:rsidR="00FA2984" w:rsidRPr="00D06AD7">
        <w:rPr>
          <w:rFonts w:ascii="Arial Narrow" w:eastAsia="Times New Roman" w:hAnsi="Arial Narrow"/>
          <w:sz w:val="22"/>
          <w:szCs w:val="22"/>
          <w:lang w:eastAsia="es-CO"/>
        </w:rPr>
        <w:t xml:space="preserve">. </w:t>
      </w:r>
    </w:p>
    <w:p w14:paraId="0A3CCECD" w14:textId="6083D785" w:rsidR="00FA2984" w:rsidRPr="00D06AD7" w:rsidRDefault="00FA2984" w:rsidP="00FA2984">
      <w:pPr>
        <w:pStyle w:val="Default"/>
        <w:jc w:val="both"/>
        <w:rPr>
          <w:rFonts w:ascii="Arial Narrow" w:eastAsia="Times New Roman" w:hAnsi="Arial Narrow"/>
          <w:sz w:val="22"/>
          <w:szCs w:val="22"/>
          <w:lang w:eastAsia="es-CO"/>
        </w:rPr>
      </w:pPr>
    </w:p>
    <w:p w14:paraId="2A315FDA" w14:textId="034701D3" w:rsidR="00FA2984" w:rsidRDefault="00FA2984" w:rsidP="00FA2984">
      <w:pPr>
        <w:pStyle w:val="Default"/>
        <w:jc w:val="both"/>
        <w:rPr>
          <w:rFonts w:ascii="Arial Narrow" w:eastAsia="Times New Roman" w:hAnsi="Arial Narrow"/>
          <w:sz w:val="22"/>
          <w:szCs w:val="22"/>
          <w:lang w:eastAsia="es-CO"/>
        </w:rPr>
      </w:pPr>
      <w:r w:rsidRPr="00D06AD7">
        <w:rPr>
          <w:rFonts w:ascii="Arial Narrow" w:eastAsia="Times New Roman" w:hAnsi="Arial Narrow"/>
          <w:sz w:val="22"/>
          <w:szCs w:val="22"/>
          <w:lang w:eastAsia="es-CO"/>
        </w:rPr>
        <w:t>El Decreto 1082 de 2015 en su Artículo 2.2.1.2.1.5.2</w:t>
      </w:r>
      <w:r w:rsidR="00DC0025">
        <w:rPr>
          <w:rFonts w:ascii="Arial Narrow" w:eastAsia="Times New Roman" w:hAnsi="Arial Narrow"/>
          <w:sz w:val="22"/>
          <w:szCs w:val="22"/>
          <w:lang w:eastAsia="es-CO"/>
        </w:rPr>
        <w:t xml:space="preserve">, modificado por el artículo 2º del Decreto </w:t>
      </w:r>
      <w:r w:rsidR="000B1F68">
        <w:rPr>
          <w:rFonts w:ascii="Arial Narrow" w:eastAsia="Times New Roman" w:hAnsi="Arial Narrow"/>
          <w:sz w:val="22"/>
          <w:szCs w:val="22"/>
          <w:lang w:eastAsia="es-CO"/>
        </w:rPr>
        <w:t xml:space="preserve">1860 de 2021, </w:t>
      </w:r>
      <w:r w:rsidRPr="00D06AD7">
        <w:rPr>
          <w:rFonts w:ascii="Arial Narrow" w:eastAsia="Times New Roman" w:hAnsi="Arial Narrow"/>
          <w:sz w:val="22"/>
          <w:szCs w:val="22"/>
          <w:lang w:eastAsia="es-CO"/>
        </w:rPr>
        <w:t>señala el procedimiento para la contratación de mínima cuantía, a</w:t>
      </w:r>
      <w:r w:rsidR="00F20DEB">
        <w:rPr>
          <w:rFonts w:ascii="Arial Narrow" w:eastAsia="Times New Roman" w:hAnsi="Arial Narrow"/>
          <w:sz w:val="22"/>
          <w:szCs w:val="22"/>
          <w:lang w:eastAsia="es-CO"/>
        </w:rPr>
        <w:t>sí</w:t>
      </w:r>
      <w:r w:rsidRPr="00D06AD7">
        <w:rPr>
          <w:rFonts w:ascii="Arial Narrow" w:eastAsia="Times New Roman" w:hAnsi="Arial Narrow"/>
          <w:sz w:val="22"/>
          <w:szCs w:val="22"/>
          <w:lang w:eastAsia="es-CO"/>
        </w:rPr>
        <w:t xml:space="preserve">: </w:t>
      </w:r>
    </w:p>
    <w:p w14:paraId="5A5BFC26" w14:textId="77777777" w:rsidR="000B1F68" w:rsidRPr="00D06AD7" w:rsidRDefault="000B1F68" w:rsidP="00FA2984">
      <w:pPr>
        <w:pStyle w:val="Default"/>
        <w:jc w:val="both"/>
        <w:rPr>
          <w:rFonts w:ascii="Arial Narrow" w:eastAsia="Times New Roman" w:hAnsi="Arial Narrow"/>
          <w:sz w:val="22"/>
          <w:szCs w:val="22"/>
          <w:lang w:eastAsia="es-CO"/>
        </w:rPr>
      </w:pPr>
    </w:p>
    <w:p w14:paraId="18B479BA" w14:textId="5659A784" w:rsidR="00FA2984" w:rsidRPr="00D06AD7" w:rsidRDefault="00FA2984" w:rsidP="00FA2984">
      <w:pPr>
        <w:pStyle w:val="Default"/>
        <w:jc w:val="both"/>
        <w:rPr>
          <w:rFonts w:ascii="Arial Narrow" w:hAnsi="Arial Narrow"/>
          <w:sz w:val="22"/>
          <w:szCs w:val="22"/>
        </w:rPr>
      </w:pPr>
      <w:r w:rsidRPr="00D06AD7">
        <w:rPr>
          <w:rFonts w:ascii="Arial Narrow" w:hAnsi="Arial Narrow"/>
          <w:sz w:val="22"/>
          <w:szCs w:val="22"/>
        </w:rPr>
        <w:t>“</w:t>
      </w:r>
      <w:r w:rsidRPr="00D06AD7">
        <w:rPr>
          <w:rFonts w:ascii="Arial Narrow" w:hAnsi="Arial Narrow"/>
          <w:i/>
          <w:iCs/>
          <w:sz w:val="22"/>
          <w:szCs w:val="22"/>
        </w:rPr>
        <w:t xml:space="preserve">1.La Entidad Estatal debe señalar en la invitación a participar en procesos de mínima cuantía la información a la que se refieren los numerales 2, 3 </w:t>
      </w:r>
      <w:r w:rsidR="00DC0025">
        <w:rPr>
          <w:rFonts w:ascii="Arial Narrow" w:hAnsi="Arial Narrow"/>
          <w:i/>
          <w:iCs/>
          <w:sz w:val="22"/>
          <w:szCs w:val="22"/>
        </w:rPr>
        <w:t>y</w:t>
      </w:r>
      <w:r w:rsidRPr="00D06AD7">
        <w:rPr>
          <w:rFonts w:ascii="Arial Narrow" w:hAnsi="Arial Narrow"/>
          <w:i/>
          <w:iCs/>
          <w:sz w:val="22"/>
          <w:szCs w:val="22"/>
        </w:rPr>
        <w:t xml:space="preserve"> 4 del artículo anterior, y la forma como el interesado debe acreditar su capacidad jurídica y la experiencia mínima, si se exige esta última, y el cumplimiento de las condiciones técnicas exigidas</w:t>
      </w:r>
      <w:r w:rsidR="00DC0025">
        <w:rPr>
          <w:rFonts w:ascii="Arial Narrow" w:hAnsi="Arial Narrow"/>
          <w:i/>
          <w:iCs/>
          <w:sz w:val="22"/>
          <w:szCs w:val="22"/>
        </w:rPr>
        <w:t>, incluyendo las obligaciones de las partes del futuro contrato.</w:t>
      </w:r>
    </w:p>
    <w:p w14:paraId="5EAE87D2" w14:textId="2A286570" w:rsidR="00FA2984" w:rsidRPr="00D06AD7" w:rsidRDefault="00FA2984" w:rsidP="00FA2984">
      <w:pPr>
        <w:pStyle w:val="Default"/>
        <w:jc w:val="both"/>
        <w:rPr>
          <w:rFonts w:ascii="Arial Narrow" w:hAnsi="Arial Narrow"/>
          <w:sz w:val="22"/>
          <w:szCs w:val="22"/>
        </w:rPr>
      </w:pPr>
    </w:p>
    <w:p w14:paraId="689D666B" w14:textId="487C6179" w:rsidR="00FA2984" w:rsidRPr="00D06AD7" w:rsidRDefault="00FA2984" w:rsidP="00FA2984">
      <w:pPr>
        <w:pStyle w:val="Default"/>
        <w:jc w:val="both"/>
        <w:rPr>
          <w:rFonts w:ascii="Arial Narrow" w:hAnsi="Arial Narrow"/>
          <w:sz w:val="22"/>
          <w:szCs w:val="22"/>
        </w:rPr>
      </w:pPr>
      <w:r w:rsidRPr="00D06AD7">
        <w:rPr>
          <w:rFonts w:ascii="Arial Narrow" w:hAnsi="Arial Narrow"/>
          <w:i/>
          <w:iCs/>
          <w:sz w:val="22"/>
          <w:szCs w:val="22"/>
        </w:rPr>
        <w:t xml:space="preserve">2.La Entidad Estatal </w:t>
      </w:r>
      <w:r w:rsidR="00DC0025">
        <w:rPr>
          <w:rFonts w:ascii="Arial Narrow" w:hAnsi="Arial Narrow"/>
          <w:i/>
          <w:iCs/>
          <w:sz w:val="22"/>
          <w:szCs w:val="22"/>
        </w:rPr>
        <w:t>podrá</w:t>
      </w:r>
      <w:r w:rsidR="00DC0025" w:rsidRPr="00D06AD7">
        <w:rPr>
          <w:rFonts w:ascii="Arial Narrow" w:hAnsi="Arial Narrow"/>
          <w:i/>
          <w:iCs/>
          <w:sz w:val="22"/>
          <w:szCs w:val="22"/>
        </w:rPr>
        <w:t xml:space="preserve"> </w:t>
      </w:r>
      <w:r w:rsidRPr="00D06AD7">
        <w:rPr>
          <w:rFonts w:ascii="Arial Narrow" w:hAnsi="Arial Narrow"/>
          <w:i/>
          <w:iCs/>
          <w:sz w:val="22"/>
          <w:szCs w:val="22"/>
        </w:rPr>
        <w:t xml:space="preserve">exigir una capacidad financiera mínima cuando no hace el pago contra entrega a satisfacción de los bienes, obras o servicios. Si la Entidad Estatal exige capacidad financiera debe indicar cómo hará la verificación correspondiente. </w:t>
      </w:r>
    </w:p>
    <w:p w14:paraId="796EFC9F" w14:textId="508D4396" w:rsidR="00FA2984" w:rsidRPr="00D06AD7" w:rsidRDefault="00FA2984" w:rsidP="00FA2984">
      <w:pPr>
        <w:pStyle w:val="Default"/>
        <w:jc w:val="both"/>
        <w:rPr>
          <w:rFonts w:ascii="Arial Narrow" w:hAnsi="Arial Narrow"/>
          <w:sz w:val="22"/>
          <w:szCs w:val="22"/>
        </w:rPr>
      </w:pPr>
    </w:p>
    <w:p w14:paraId="31DE533A" w14:textId="0C0E431F" w:rsidR="00FA2984" w:rsidRPr="007D7379" w:rsidRDefault="00FA2984" w:rsidP="00FA2984">
      <w:pPr>
        <w:pStyle w:val="Default"/>
        <w:jc w:val="both"/>
        <w:rPr>
          <w:rFonts w:ascii="Arial Narrow" w:hAnsi="Arial Narrow"/>
          <w:i/>
          <w:iCs/>
          <w:sz w:val="22"/>
          <w:szCs w:val="22"/>
        </w:rPr>
      </w:pPr>
      <w:r w:rsidRPr="00D06AD7">
        <w:rPr>
          <w:rFonts w:ascii="Arial Narrow" w:hAnsi="Arial Narrow"/>
          <w:i/>
          <w:iCs/>
          <w:sz w:val="22"/>
          <w:szCs w:val="22"/>
        </w:rPr>
        <w:t xml:space="preserve">3. La invitación se </w:t>
      </w:r>
      <w:r w:rsidR="00205709">
        <w:rPr>
          <w:rFonts w:ascii="Arial Narrow" w:hAnsi="Arial Narrow"/>
          <w:i/>
          <w:iCs/>
          <w:sz w:val="22"/>
          <w:szCs w:val="22"/>
        </w:rPr>
        <w:t>publicará</w:t>
      </w:r>
      <w:r w:rsidR="00205709" w:rsidRPr="00D06AD7">
        <w:rPr>
          <w:rFonts w:ascii="Arial Narrow" w:hAnsi="Arial Narrow"/>
          <w:i/>
          <w:iCs/>
          <w:sz w:val="22"/>
          <w:szCs w:val="22"/>
        </w:rPr>
        <w:t xml:space="preserve"> </w:t>
      </w:r>
      <w:r w:rsidRPr="00D06AD7">
        <w:rPr>
          <w:rFonts w:ascii="Arial Narrow" w:hAnsi="Arial Narrow"/>
          <w:i/>
          <w:iCs/>
          <w:sz w:val="22"/>
          <w:szCs w:val="22"/>
        </w:rPr>
        <w:t>por un término no inferior a un (1) día hábil</w:t>
      </w:r>
      <w:r w:rsidR="00205709">
        <w:rPr>
          <w:rFonts w:ascii="Arial Narrow" w:hAnsi="Arial Narrow"/>
          <w:i/>
          <w:iCs/>
          <w:sz w:val="22"/>
          <w:szCs w:val="22"/>
        </w:rPr>
        <w:t xml:space="preserve"> para que los interesados se informen de su contenido y </w:t>
      </w:r>
      <w:r w:rsidRPr="00D06AD7">
        <w:rPr>
          <w:rFonts w:ascii="Arial Narrow" w:hAnsi="Arial Narrow"/>
          <w:i/>
          <w:iCs/>
          <w:sz w:val="22"/>
          <w:szCs w:val="22"/>
        </w:rPr>
        <w:t>formul</w:t>
      </w:r>
      <w:r w:rsidR="00205709">
        <w:rPr>
          <w:rFonts w:ascii="Arial Narrow" w:hAnsi="Arial Narrow"/>
          <w:i/>
          <w:iCs/>
          <w:sz w:val="22"/>
          <w:szCs w:val="22"/>
        </w:rPr>
        <w:t>e</w:t>
      </w:r>
      <w:r w:rsidRPr="00D06AD7">
        <w:rPr>
          <w:rFonts w:ascii="Arial Narrow" w:hAnsi="Arial Narrow"/>
          <w:i/>
          <w:iCs/>
          <w:sz w:val="22"/>
          <w:szCs w:val="22"/>
        </w:rPr>
        <w:t>n observaciones o comentarios</w:t>
      </w:r>
      <w:r w:rsidR="005E10AA">
        <w:rPr>
          <w:rFonts w:ascii="Arial Narrow" w:hAnsi="Arial Narrow"/>
          <w:i/>
          <w:iCs/>
          <w:sz w:val="22"/>
          <w:szCs w:val="22"/>
        </w:rPr>
        <w:t xml:space="preserve">, los cuales </w:t>
      </w:r>
      <w:r w:rsidRPr="00D06AD7">
        <w:rPr>
          <w:rFonts w:ascii="Arial Narrow" w:hAnsi="Arial Narrow"/>
          <w:i/>
          <w:iCs/>
          <w:sz w:val="22"/>
          <w:szCs w:val="22"/>
        </w:rPr>
        <w:t xml:space="preserve">serán contestados por la Entidad Estatal antes del </w:t>
      </w:r>
      <w:r w:rsidR="00AF570F">
        <w:rPr>
          <w:rFonts w:ascii="Arial Narrow" w:hAnsi="Arial Narrow"/>
          <w:i/>
          <w:iCs/>
          <w:sz w:val="22"/>
          <w:szCs w:val="22"/>
        </w:rPr>
        <w:t>inicio</w:t>
      </w:r>
      <w:r w:rsidR="00AF570F" w:rsidRPr="00D06AD7">
        <w:rPr>
          <w:rFonts w:ascii="Arial Narrow" w:hAnsi="Arial Narrow"/>
          <w:i/>
          <w:iCs/>
          <w:sz w:val="22"/>
          <w:szCs w:val="22"/>
        </w:rPr>
        <w:t xml:space="preserve"> </w:t>
      </w:r>
      <w:r w:rsidRPr="00D06AD7">
        <w:rPr>
          <w:rFonts w:ascii="Arial Narrow" w:hAnsi="Arial Narrow"/>
          <w:i/>
          <w:iCs/>
          <w:sz w:val="22"/>
          <w:szCs w:val="22"/>
        </w:rPr>
        <w:t xml:space="preserve">del plazo para presentar ofertas. </w:t>
      </w:r>
      <w:r w:rsidR="00FA2F94" w:rsidRPr="007D7379">
        <w:rPr>
          <w:rFonts w:ascii="Arial Narrow" w:hAnsi="Arial Narrow"/>
          <w:i/>
          <w:iCs/>
          <w:sz w:val="22"/>
          <w:szCs w:val="22"/>
        </w:rPr>
        <w:t>De conformidad con el parágrafo del presente artículo, dentro del mismo término para formular observaciones se podrán presentar las solicitudes para limitar la convocatoria a Mipyme colombianas.</w:t>
      </w:r>
    </w:p>
    <w:p w14:paraId="392BAE77" w14:textId="2BC4D028" w:rsidR="00FA2984" w:rsidRPr="00D06AD7" w:rsidRDefault="00FA2984" w:rsidP="00FA2984">
      <w:pPr>
        <w:pStyle w:val="Default"/>
        <w:jc w:val="both"/>
        <w:rPr>
          <w:rFonts w:ascii="Arial Narrow" w:hAnsi="Arial Narrow"/>
          <w:sz w:val="22"/>
          <w:szCs w:val="22"/>
        </w:rPr>
      </w:pPr>
    </w:p>
    <w:p w14:paraId="136162A7" w14:textId="1D8598CD" w:rsidR="001E60A7" w:rsidRDefault="00FA2984" w:rsidP="00FA2984">
      <w:pPr>
        <w:pStyle w:val="Default"/>
        <w:jc w:val="both"/>
        <w:rPr>
          <w:rFonts w:ascii="Arial Narrow" w:hAnsi="Arial Narrow"/>
          <w:i/>
          <w:iCs/>
          <w:sz w:val="22"/>
          <w:szCs w:val="22"/>
        </w:rPr>
      </w:pPr>
      <w:r w:rsidRPr="00D06AD7">
        <w:rPr>
          <w:rFonts w:ascii="Arial Narrow" w:hAnsi="Arial Narrow"/>
          <w:i/>
          <w:iCs/>
          <w:sz w:val="22"/>
          <w:szCs w:val="22"/>
        </w:rPr>
        <w:lastRenderedPageBreak/>
        <w:t>4.</w:t>
      </w:r>
      <w:r w:rsidR="001E60A7" w:rsidRPr="007D7379">
        <w:rPr>
          <w:rFonts w:ascii="Arial Narrow" w:hAnsi="Arial Narrow"/>
          <w:i/>
          <w:iCs/>
          <w:sz w:val="22"/>
          <w:szCs w:val="22"/>
        </w:rPr>
        <w:t xml:space="preserve"> .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w:t>
      </w:r>
      <w:r w:rsidR="001E60A7">
        <w:rPr>
          <w:rFonts w:ascii="Arial Narrow" w:hAnsi="Arial Narrow"/>
          <w:i/>
          <w:iCs/>
          <w:sz w:val="22"/>
          <w:szCs w:val="22"/>
        </w:rPr>
        <w:t>.</w:t>
      </w:r>
    </w:p>
    <w:p w14:paraId="0AED8F0C" w14:textId="7D414D93" w:rsidR="0003733C" w:rsidRDefault="001E60A7" w:rsidP="007D7379">
      <w:pPr>
        <w:pStyle w:val="NormalWeb"/>
        <w:shd w:val="clear" w:color="auto" w:fill="FFFFFF"/>
        <w:jc w:val="both"/>
        <w:rPr>
          <w:rFonts w:ascii="Work Sans" w:hAnsi="Work Sans"/>
          <w:color w:val="333333"/>
          <w:sz w:val="25"/>
          <w:szCs w:val="25"/>
        </w:rPr>
      </w:pPr>
      <w:r>
        <w:rPr>
          <w:rFonts w:ascii="Arial Narrow" w:hAnsi="Arial Narrow"/>
          <w:i/>
          <w:iCs/>
          <w:sz w:val="22"/>
          <w:szCs w:val="22"/>
        </w:rPr>
        <w:t xml:space="preserve">5. </w:t>
      </w:r>
      <w:r w:rsidR="00FA2984" w:rsidRPr="00D06AD7">
        <w:rPr>
          <w:rFonts w:ascii="Arial Narrow" w:hAnsi="Arial Narrow"/>
          <w:i/>
          <w:iCs/>
          <w:sz w:val="22"/>
          <w:szCs w:val="22"/>
        </w:rPr>
        <w:t xml:space="preserve">La Entidad Estatal debe revisar las ofertas económicas y verificar que la de menor precio cumple con las </w:t>
      </w:r>
      <w:r w:rsidR="005A34E1">
        <w:rPr>
          <w:rFonts w:ascii="Arial Narrow" w:hAnsi="Arial Narrow"/>
          <w:i/>
          <w:iCs/>
          <w:sz w:val="22"/>
          <w:szCs w:val="22"/>
        </w:rPr>
        <w:t>c</w:t>
      </w:r>
      <w:r w:rsidR="00FA2984" w:rsidRPr="00D06AD7">
        <w:rPr>
          <w:rFonts w:ascii="Arial Narrow" w:hAnsi="Arial Narrow"/>
          <w:i/>
          <w:iCs/>
          <w:sz w:val="22"/>
          <w:szCs w:val="22"/>
        </w:rPr>
        <w:t>ondiciones de la invitación. Si ésta no cumple</w:t>
      </w:r>
      <w:r w:rsidR="003574F2">
        <w:rPr>
          <w:rFonts w:ascii="Arial Narrow" w:hAnsi="Arial Narrow"/>
          <w:i/>
          <w:iCs/>
          <w:sz w:val="22"/>
          <w:szCs w:val="22"/>
        </w:rPr>
        <w:t>,</w:t>
      </w:r>
      <w:r w:rsidR="00FA2984" w:rsidRPr="00D06AD7">
        <w:rPr>
          <w:rFonts w:ascii="Arial Narrow" w:hAnsi="Arial Narrow"/>
          <w:i/>
          <w:iCs/>
          <w:sz w:val="22"/>
          <w:szCs w:val="22"/>
        </w:rPr>
        <w:t xml:space="preserve"> la Entidad Estatal debe verificar el cumplimento de los requisitos de la invitación de la oferta con el segundo mejor precio, y así sucesivamente. </w:t>
      </w:r>
      <w:r w:rsidR="0003733C" w:rsidRPr="007D7379">
        <w:rPr>
          <w:rFonts w:ascii="Arial Narrow" w:hAnsi="Arial Narrow"/>
          <w:i/>
          <w:iCs/>
          <w:sz w:val="22"/>
          <w:szCs w:val="22"/>
        </w:rPr>
        <w:t>Lo anterior sin perjuicio de la oportunidad que deberán otorgar las Entidades Estatales para subsanar las ofertas, en los términos del artículo </w:t>
      </w:r>
      <w:hyperlink r:id="rId47" w:anchor="5" w:history="1">
        <w:r w:rsidR="0003733C" w:rsidRPr="007D7379">
          <w:rPr>
            <w:rFonts w:ascii="Arial Narrow" w:hAnsi="Arial Narrow"/>
            <w:i/>
            <w:iCs/>
            <w:sz w:val="22"/>
            <w:szCs w:val="22"/>
          </w:rPr>
          <w:t>5 </w:t>
        </w:r>
      </w:hyperlink>
      <w:r w:rsidR="0003733C" w:rsidRPr="007D7379">
        <w:rPr>
          <w:rFonts w:ascii="Arial Narrow" w:hAnsi="Arial Narrow"/>
          <w:i/>
          <w:iCs/>
          <w:sz w:val="22"/>
          <w:szCs w:val="22"/>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71C8E2F7" w14:textId="27F26F7E" w:rsidR="005E190F" w:rsidRDefault="00FC74A7" w:rsidP="007D7379">
      <w:pPr>
        <w:pStyle w:val="NormalWeb"/>
        <w:shd w:val="clear" w:color="auto" w:fill="FFFFFF"/>
        <w:jc w:val="both"/>
        <w:rPr>
          <w:rFonts w:ascii="Work Sans" w:hAnsi="Work Sans"/>
          <w:color w:val="333333"/>
          <w:sz w:val="25"/>
          <w:szCs w:val="25"/>
        </w:rPr>
      </w:pPr>
      <w:r>
        <w:rPr>
          <w:rFonts w:ascii="Arial Narrow" w:hAnsi="Arial Narrow"/>
          <w:i/>
          <w:iCs/>
          <w:sz w:val="22"/>
          <w:szCs w:val="22"/>
        </w:rPr>
        <w:t>6</w:t>
      </w:r>
      <w:r w:rsidR="00FA2984" w:rsidRPr="00D06AD7">
        <w:rPr>
          <w:rFonts w:ascii="Arial Narrow" w:hAnsi="Arial Narrow"/>
          <w:i/>
          <w:iCs/>
          <w:sz w:val="22"/>
          <w:szCs w:val="22"/>
        </w:rPr>
        <w:t xml:space="preserve">. La Entidad Estatal debe publicar el informe de evaluación durante </w:t>
      </w:r>
      <w:r w:rsidR="0048029A">
        <w:rPr>
          <w:rFonts w:ascii="Arial Narrow" w:hAnsi="Arial Narrow"/>
          <w:i/>
          <w:iCs/>
          <w:sz w:val="22"/>
          <w:szCs w:val="22"/>
        </w:rPr>
        <w:t xml:space="preserve">mínimo </w:t>
      </w:r>
      <w:r w:rsidR="00FA2984" w:rsidRPr="00D06AD7">
        <w:rPr>
          <w:rFonts w:ascii="Arial Narrow" w:hAnsi="Arial Narrow"/>
          <w:i/>
          <w:iCs/>
          <w:sz w:val="22"/>
          <w:szCs w:val="22"/>
        </w:rPr>
        <w:t>un (1) día hábil</w:t>
      </w:r>
      <w:r w:rsidR="005E190F" w:rsidRPr="007D7379">
        <w:rPr>
          <w:rFonts w:ascii="Arial Narrow" w:hAnsi="Arial Narrow"/>
          <w:i/>
          <w:iCs/>
          <w:sz w:val="22"/>
          <w:szCs w:val="22"/>
        </w:rPr>
        <w:t>, para que durante este término los oferentes presenten las observaciones que deberán ser respondidas por la Entidad Estatal antes de realizar la aceptación de la oferta seleccionada.</w:t>
      </w:r>
    </w:p>
    <w:p w14:paraId="747A7FC1" w14:textId="39429FF8" w:rsidR="00FA2984" w:rsidRPr="00D06AD7" w:rsidRDefault="005E190F" w:rsidP="00FA2984">
      <w:pPr>
        <w:pStyle w:val="Default"/>
        <w:jc w:val="both"/>
        <w:rPr>
          <w:rFonts w:ascii="Arial Narrow" w:hAnsi="Arial Narrow"/>
          <w:sz w:val="22"/>
          <w:szCs w:val="22"/>
        </w:rPr>
      </w:pPr>
      <w:r>
        <w:rPr>
          <w:rFonts w:ascii="Arial Narrow" w:hAnsi="Arial Narrow"/>
          <w:i/>
          <w:iCs/>
          <w:sz w:val="22"/>
          <w:szCs w:val="22"/>
        </w:rPr>
        <w:t>7</w:t>
      </w:r>
      <w:r w:rsidR="00FA2984" w:rsidRPr="00D06AD7">
        <w:rPr>
          <w:rFonts w:ascii="Arial Narrow" w:hAnsi="Arial Narrow"/>
          <w:i/>
          <w:iCs/>
          <w:sz w:val="22"/>
          <w:szCs w:val="22"/>
        </w:rPr>
        <w:t>.</w:t>
      </w:r>
      <w:r>
        <w:rPr>
          <w:rFonts w:ascii="Arial Narrow" w:hAnsi="Arial Narrow"/>
          <w:i/>
          <w:iCs/>
          <w:sz w:val="22"/>
          <w:szCs w:val="22"/>
        </w:rPr>
        <w:t xml:space="preserve"> </w:t>
      </w:r>
      <w:r w:rsidR="00FA2984" w:rsidRPr="00D06AD7">
        <w:rPr>
          <w:rFonts w:ascii="Arial Narrow" w:hAnsi="Arial Narrow"/>
          <w:i/>
          <w:iCs/>
          <w:sz w:val="22"/>
          <w:szCs w:val="22"/>
        </w:rPr>
        <w:t xml:space="preserve">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w:t>
      </w:r>
    </w:p>
    <w:p w14:paraId="1A8404AE" w14:textId="70511670" w:rsidR="00FA2984" w:rsidRPr="00D06AD7" w:rsidRDefault="00FA2984" w:rsidP="00FA2984">
      <w:pPr>
        <w:pStyle w:val="Default"/>
        <w:jc w:val="both"/>
        <w:rPr>
          <w:rFonts w:ascii="Arial Narrow" w:hAnsi="Arial Narrow"/>
          <w:sz w:val="22"/>
          <w:szCs w:val="22"/>
        </w:rPr>
      </w:pPr>
    </w:p>
    <w:p w14:paraId="55B43A89" w14:textId="10A1B3E6" w:rsidR="00FA2984" w:rsidRPr="00D06AD7" w:rsidRDefault="005E190F" w:rsidP="00FA2984">
      <w:pPr>
        <w:pStyle w:val="Default"/>
        <w:jc w:val="both"/>
        <w:rPr>
          <w:rFonts w:ascii="Arial Narrow" w:hAnsi="Arial Narrow"/>
          <w:sz w:val="22"/>
          <w:szCs w:val="22"/>
        </w:rPr>
      </w:pPr>
      <w:r>
        <w:rPr>
          <w:rFonts w:ascii="Arial Narrow" w:hAnsi="Arial Narrow"/>
          <w:i/>
          <w:iCs/>
          <w:sz w:val="22"/>
          <w:szCs w:val="22"/>
        </w:rPr>
        <w:t>8</w:t>
      </w:r>
      <w:r w:rsidR="00FA2984" w:rsidRPr="00D06AD7">
        <w:rPr>
          <w:rFonts w:ascii="Arial Narrow" w:hAnsi="Arial Narrow"/>
          <w:i/>
          <w:iCs/>
          <w:sz w:val="22"/>
          <w:szCs w:val="22"/>
        </w:rPr>
        <w:t xml:space="preserve">. En caso de empate, la Entidad Estatal </w:t>
      </w:r>
      <w:r w:rsidR="00030215" w:rsidRPr="007D7379">
        <w:rPr>
          <w:rFonts w:ascii="Arial Narrow" w:hAnsi="Arial Narrow"/>
          <w:i/>
          <w:iCs/>
          <w:sz w:val="22"/>
          <w:szCs w:val="22"/>
        </w:rPr>
        <w:t>aplicará los criterios de que trata el artículo </w:t>
      </w:r>
      <w:hyperlink r:id="rId48" w:anchor="35" w:history="1">
        <w:r w:rsidR="00030215" w:rsidRPr="007D7379">
          <w:rPr>
            <w:rFonts w:ascii="Arial Narrow" w:hAnsi="Arial Narrow"/>
            <w:i/>
            <w:iCs/>
            <w:sz w:val="22"/>
            <w:szCs w:val="22"/>
          </w:rPr>
          <w:t>35 </w:t>
        </w:r>
      </w:hyperlink>
      <w:r w:rsidR="00030215" w:rsidRPr="007D7379">
        <w:rPr>
          <w:rFonts w:ascii="Arial Narrow" w:hAnsi="Arial Narrow"/>
          <w:i/>
          <w:iCs/>
          <w:sz w:val="22"/>
          <w:szCs w:val="22"/>
        </w:rPr>
        <w:t>de la Ley 2069 de 2020, conforme a los med</w:t>
      </w:r>
      <w:r w:rsidR="00B114AB">
        <w:rPr>
          <w:rFonts w:ascii="Arial Narrow" w:hAnsi="Arial Narrow"/>
          <w:i/>
          <w:iCs/>
          <w:sz w:val="22"/>
          <w:szCs w:val="22"/>
        </w:rPr>
        <w:t>i</w:t>
      </w:r>
      <w:r w:rsidR="00030215" w:rsidRPr="007D7379">
        <w:rPr>
          <w:rFonts w:ascii="Arial Narrow" w:hAnsi="Arial Narrow"/>
          <w:i/>
          <w:iCs/>
          <w:sz w:val="22"/>
          <w:szCs w:val="22"/>
        </w:rPr>
        <w:t>os de acreditación del artículo 2.2.1.2.4.2.17. del presente Decreto o las normas que los modifiquen, adicionen o sustituyan.</w:t>
      </w:r>
    </w:p>
    <w:p w14:paraId="7E3683DD" w14:textId="30BDF02E" w:rsidR="00FA2984" w:rsidRPr="00D06AD7" w:rsidRDefault="00FA2984" w:rsidP="00FA2984">
      <w:pPr>
        <w:pStyle w:val="Default"/>
        <w:jc w:val="both"/>
        <w:rPr>
          <w:rFonts w:ascii="Arial Narrow" w:hAnsi="Arial Narrow"/>
          <w:sz w:val="22"/>
          <w:szCs w:val="22"/>
        </w:rPr>
      </w:pPr>
    </w:p>
    <w:p w14:paraId="0C218379" w14:textId="79028AD3" w:rsidR="007D7379" w:rsidRDefault="007D7379" w:rsidP="00FA2984">
      <w:pPr>
        <w:pStyle w:val="Default"/>
        <w:jc w:val="both"/>
        <w:rPr>
          <w:rFonts w:ascii="Arial Narrow" w:hAnsi="Arial Narrow"/>
          <w:i/>
          <w:iCs/>
          <w:sz w:val="22"/>
          <w:szCs w:val="22"/>
        </w:rPr>
      </w:pPr>
      <w:r>
        <w:rPr>
          <w:rFonts w:ascii="Arial Narrow" w:hAnsi="Arial Narrow"/>
          <w:i/>
          <w:iCs/>
          <w:sz w:val="22"/>
          <w:szCs w:val="22"/>
        </w:rPr>
        <w:t>9</w:t>
      </w:r>
      <w:r w:rsidR="00FA2984" w:rsidRPr="00D06AD7">
        <w:rPr>
          <w:rFonts w:ascii="Arial Narrow" w:hAnsi="Arial Narrow"/>
          <w:i/>
          <w:iCs/>
          <w:sz w:val="22"/>
          <w:szCs w:val="22"/>
        </w:rPr>
        <w:t>. La oferta y su aceptación constituyen el contrato</w:t>
      </w:r>
      <w:r w:rsidR="00030215">
        <w:rPr>
          <w:rFonts w:ascii="Arial Narrow" w:hAnsi="Arial Narrow"/>
          <w:i/>
          <w:iCs/>
          <w:sz w:val="22"/>
          <w:szCs w:val="22"/>
        </w:rPr>
        <w:t xml:space="preserve"> estatal</w:t>
      </w:r>
      <w:r w:rsidR="00FA2984" w:rsidRPr="00D06AD7">
        <w:rPr>
          <w:rFonts w:ascii="Arial Narrow" w:hAnsi="Arial Narrow"/>
          <w:i/>
          <w:iCs/>
          <w:sz w:val="22"/>
          <w:szCs w:val="22"/>
        </w:rPr>
        <w:t>.</w:t>
      </w:r>
    </w:p>
    <w:p w14:paraId="24C4A18F" w14:textId="77777777" w:rsidR="007D7379" w:rsidRDefault="007D7379" w:rsidP="00FA2984">
      <w:pPr>
        <w:pStyle w:val="Default"/>
        <w:jc w:val="both"/>
        <w:rPr>
          <w:rFonts w:ascii="Arial Narrow" w:hAnsi="Arial Narrow"/>
          <w:i/>
          <w:iCs/>
          <w:sz w:val="22"/>
          <w:szCs w:val="22"/>
        </w:rPr>
      </w:pPr>
    </w:p>
    <w:p w14:paraId="0C6DBD49" w14:textId="735609B8" w:rsidR="00FA2984" w:rsidRPr="007D7379" w:rsidRDefault="005D4266" w:rsidP="00FA2984">
      <w:pPr>
        <w:pStyle w:val="Default"/>
        <w:jc w:val="both"/>
        <w:rPr>
          <w:rFonts w:ascii="Arial Narrow" w:hAnsi="Arial Narrow"/>
          <w:i/>
          <w:iCs/>
          <w:sz w:val="22"/>
          <w:szCs w:val="22"/>
        </w:rPr>
      </w:pPr>
      <w:r w:rsidRPr="007D7379">
        <w:rPr>
          <w:rFonts w:ascii="Arial Narrow" w:hAnsi="Arial Narrow"/>
          <w:i/>
          <w:iCs/>
          <w:sz w:val="22"/>
          <w:szCs w:val="22"/>
        </w:rPr>
        <w:t>PARÁGRAFO.</w:t>
      </w:r>
      <w:r w:rsidR="007D7379" w:rsidRPr="007D7379">
        <w:rPr>
          <w:rFonts w:ascii="Arial Narrow" w:hAnsi="Arial Narrow"/>
          <w:i/>
          <w:iCs/>
          <w:sz w:val="22"/>
          <w:szCs w:val="22"/>
        </w:rPr>
        <w:t> De conformidad con el parágrafo </w:t>
      </w:r>
      <w:hyperlink r:id="rId49" w:anchor="30.p1" w:history="1">
        <w:r w:rsidR="007D7379" w:rsidRPr="007D7379">
          <w:rPr>
            <w:rFonts w:ascii="Arial Narrow" w:hAnsi="Arial Narrow"/>
            <w:i/>
            <w:iCs/>
            <w:sz w:val="22"/>
            <w:szCs w:val="22"/>
          </w:rPr>
          <w:t>1 </w:t>
        </w:r>
      </w:hyperlink>
      <w:r w:rsidR="007D7379" w:rsidRPr="007D7379">
        <w:rPr>
          <w:rFonts w:ascii="Arial Narrow" w:hAnsi="Arial Narrow"/>
          <w:i/>
          <w:iCs/>
          <w:sz w:val="22"/>
          <w:szCs w:val="22"/>
        </w:rPr>
        <w:t>del artículo </w:t>
      </w:r>
      <w:hyperlink r:id="rId50" w:anchor="30" w:history="1">
        <w:r w:rsidR="007D7379" w:rsidRPr="007D7379">
          <w:rPr>
            <w:rFonts w:ascii="Arial Narrow" w:hAnsi="Arial Narrow"/>
            <w:i/>
            <w:iCs/>
            <w:sz w:val="22"/>
            <w:szCs w:val="22"/>
          </w:rPr>
          <w:t>30 </w:t>
        </w:r>
      </w:hyperlink>
      <w:r w:rsidR="007D7379" w:rsidRPr="007D7379">
        <w:rPr>
          <w:rFonts w:ascii="Arial Narrow" w:hAnsi="Arial Narrow"/>
          <w:i/>
          <w:iCs/>
          <w:sz w:val="22"/>
          <w:szCs w:val="22"/>
        </w:rPr>
        <w:t>y el artículo </w:t>
      </w:r>
      <w:hyperlink r:id="rId51" w:anchor="34" w:history="1">
        <w:r w:rsidR="007D7379" w:rsidRPr="007D7379">
          <w:rPr>
            <w:rFonts w:ascii="Arial Narrow" w:hAnsi="Arial Narrow"/>
            <w:i/>
            <w:iCs/>
            <w:sz w:val="22"/>
            <w:szCs w:val="22"/>
          </w:rPr>
          <w:t>34 </w:t>
        </w:r>
      </w:hyperlink>
      <w:r w:rsidR="007D7379" w:rsidRPr="007D7379">
        <w:rPr>
          <w:rFonts w:ascii="Arial Narrow" w:hAnsi="Arial Narrow"/>
          <w:i/>
          <w:iCs/>
          <w:sz w:val="22"/>
          <w:szCs w:val="22"/>
        </w:rPr>
        <w:t>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r w:rsidR="00FA2984" w:rsidRPr="00D06AD7">
        <w:rPr>
          <w:rFonts w:ascii="Arial Narrow" w:hAnsi="Arial Narrow"/>
          <w:i/>
          <w:iCs/>
          <w:sz w:val="22"/>
          <w:szCs w:val="22"/>
        </w:rPr>
        <w:t xml:space="preserve">” </w:t>
      </w:r>
    </w:p>
    <w:p w14:paraId="741A58E3" w14:textId="2023E5D1" w:rsidR="00FA2984" w:rsidRPr="00D06AD7" w:rsidRDefault="00FA2984" w:rsidP="00FA2984">
      <w:pPr>
        <w:jc w:val="both"/>
        <w:rPr>
          <w:rFonts w:ascii="Arial Narrow" w:hAnsi="Arial Narrow"/>
          <w:sz w:val="22"/>
          <w:szCs w:val="22"/>
        </w:rPr>
      </w:pPr>
    </w:p>
    <w:p w14:paraId="39D5F9BB" w14:textId="77777777" w:rsidR="00FA2984" w:rsidRDefault="00FA2984" w:rsidP="00FA2984">
      <w:pPr>
        <w:jc w:val="both"/>
        <w:rPr>
          <w:rFonts w:ascii="Arial Narrow" w:hAnsi="Arial Narrow" w:cs="Arial"/>
          <w:bCs/>
          <w:sz w:val="22"/>
          <w:szCs w:val="22"/>
        </w:rPr>
      </w:pPr>
    </w:p>
    <w:p w14:paraId="5C2CE187" w14:textId="77777777" w:rsidR="007D7379" w:rsidRDefault="007D7379" w:rsidP="00FA2984">
      <w:pPr>
        <w:jc w:val="both"/>
        <w:rPr>
          <w:rFonts w:ascii="Arial Narrow" w:hAnsi="Arial Narrow" w:cs="Arial"/>
          <w:bCs/>
          <w:sz w:val="22"/>
          <w:szCs w:val="22"/>
        </w:rPr>
      </w:pPr>
    </w:p>
    <w:p w14:paraId="21031EAB" w14:textId="77777777" w:rsidR="007D7379" w:rsidRDefault="007D7379" w:rsidP="00FA2984">
      <w:pPr>
        <w:jc w:val="both"/>
        <w:rPr>
          <w:rFonts w:ascii="Arial Narrow" w:hAnsi="Arial Narrow" w:cs="Arial"/>
          <w:bCs/>
          <w:sz w:val="22"/>
          <w:szCs w:val="22"/>
        </w:rPr>
      </w:pPr>
    </w:p>
    <w:p w14:paraId="445954BC" w14:textId="77777777" w:rsidR="007D7379" w:rsidRPr="00D06AD7" w:rsidRDefault="007D7379" w:rsidP="00FA2984">
      <w:pPr>
        <w:jc w:val="both"/>
        <w:rPr>
          <w:rFonts w:ascii="Arial Narrow" w:hAnsi="Arial Narrow" w:cs="Arial"/>
          <w:bCs/>
          <w:sz w:val="22"/>
          <w:szCs w:val="22"/>
        </w:rPr>
      </w:pPr>
    </w:p>
    <w:p w14:paraId="2B9BF410" w14:textId="77777777" w:rsidR="00C64C07" w:rsidRPr="00D06AD7" w:rsidRDefault="00372D58" w:rsidP="007D36FF">
      <w:pPr>
        <w:pStyle w:val="Listavistosa-nfasis11"/>
        <w:jc w:val="center"/>
        <w:rPr>
          <w:rFonts w:ascii="Arial Narrow" w:eastAsia="Calibri" w:hAnsi="Arial Narrow" w:cs="Arial"/>
          <w:sz w:val="22"/>
          <w:szCs w:val="22"/>
          <w:lang w:eastAsia="es-CO"/>
        </w:rPr>
      </w:pPr>
      <w:r w:rsidRPr="00D06AD7">
        <w:rPr>
          <w:rFonts w:ascii="Arial Narrow" w:hAnsi="Arial Narrow" w:cs="Arial"/>
          <w:b/>
          <w:sz w:val="22"/>
          <w:szCs w:val="22"/>
        </w:rPr>
        <w:lastRenderedPageBreak/>
        <w:t xml:space="preserve">4. </w:t>
      </w:r>
      <w:r w:rsidR="00C64C07" w:rsidRPr="00D06AD7">
        <w:rPr>
          <w:rFonts w:ascii="Arial Narrow" w:hAnsi="Arial Narrow" w:cs="Arial"/>
          <w:b/>
          <w:sz w:val="22"/>
          <w:szCs w:val="22"/>
        </w:rPr>
        <w:t>OBJETO DEL CONTRATO</w:t>
      </w:r>
    </w:p>
    <w:p w14:paraId="18EEC648" w14:textId="77777777" w:rsidR="00C64C07" w:rsidRPr="00D06AD7" w:rsidRDefault="00C64C07" w:rsidP="00C64C07">
      <w:pPr>
        <w:jc w:val="both"/>
        <w:rPr>
          <w:rFonts w:ascii="Arial Narrow" w:hAnsi="Arial Narrow" w:cs="Arial"/>
          <w:b/>
          <w:bCs/>
          <w:sz w:val="22"/>
          <w:szCs w:val="22"/>
        </w:rPr>
      </w:pPr>
    </w:p>
    <w:p w14:paraId="1FFEE255" w14:textId="2F0ADC96" w:rsidR="00AD578A" w:rsidRPr="009D2FF1" w:rsidRDefault="00D626BA" w:rsidP="009D2FF1">
      <w:pPr>
        <w:pStyle w:val="InviasNormal"/>
        <w:spacing w:before="0" w:after="0"/>
        <w:rPr>
          <w:sz w:val="22"/>
          <w:szCs w:val="22"/>
        </w:rPr>
      </w:pPr>
      <w:r w:rsidRPr="00D06AD7">
        <w:rPr>
          <w:b/>
          <w:bCs/>
          <w:sz w:val="22"/>
          <w:szCs w:val="22"/>
        </w:rPr>
        <w:t>OBJETO:</w:t>
      </w:r>
      <w:r w:rsidRPr="00D06AD7">
        <w:rPr>
          <w:b/>
          <w:bCs/>
          <w:noProof/>
          <w:sz w:val="22"/>
          <w:szCs w:val="22"/>
          <w:lang w:val="es-ES"/>
        </w:rPr>
        <w:t xml:space="preserve"> </w:t>
      </w:r>
      <w:r w:rsidR="00DE43E4" w:rsidRPr="00123B5A">
        <w:rPr>
          <w:rFonts w:cs="Arial"/>
          <w:b/>
          <w:bCs/>
          <w:sz w:val="22"/>
          <w:szCs w:val="22"/>
          <w:lang w:val="es-ES"/>
        </w:rPr>
        <w:t xml:space="preserve">“CONTRATAR LOS SERVICIOS PARA EL LEVANTAMIENTO TOPOGRÁFICO DE LOS PROYECTOS DE LAS VÍAS REGIONALES EN EL MARCO DEL PROGRAMA CAMINOS COMUNITARIOS DE LA PAZ TOTAL A CARGO DE LA DIRECCIÓN TERRITORIAL </w:t>
      </w:r>
      <w:r w:rsidR="005D4266">
        <w:rPr>
          <w:rFonts w:cs="Arial"/>
          <w:b/>
          <w:bCs/>
          <w:sz w:val="22"/>
          <w:szCs w:val="22"/>
          <w:lang w:val="es-ES"/>
        </w:rPr>
        <w:t>CALDAS</w:t>
      </w:r>
      <w:r w:rsidR="00DE43E4" w:rsidRPr="00123B5A">
        <w:rPr>
          <w:rFonts w:cs="Arial"/>
          <w:b/>
          <w:bCs/>
          <w:sz w:val="22"/>
          <w:szCs w:val="22"/>
          <w:lang w:val="es-ES"/>
        </w:rPr>
        <w:t>”</w:t>
      </w:r>
      <w:r w:rsidR="00DE43E4">
        <w:rPr>
          <w:rFonts w:cs="Arial"/>
          <w:b/>
          <w:bCs/>
          <w:sz w:val="22"/>
          <w:szCs w:val="22"/>
          <w:lang w:val="es-ES"/>
        </w:rPr>
        <w:t>.</w:t>
      </w:r>
    </w:p>
    <w:p w14:paraId="083E70DC" w14:textId="77777777" w:rsidR="00C64C07" w:rsidRPr="00D06AD7" w:rsidRDefault="00C64C07" w:rsidP="00C64C07">
      <w:pPr>
        <w:jc w:val="both"/>
        <w:rPr>
          <w:rFonts w:ascii="Arial Narrow" w:hAnsi="Arial Narrow" w:cs="Arial"/>
          <w:b/>
          <w:bCs/>
          <w:sz w:val="22"/>
          <w:szCs w:val="22"/>
        </w:rPr>
      </w:pPr>
    </w:p>
    <w:p w14:paraId="5E7C5660" w14:textId="77777777" w:rsidR="00C64C07" w:rsidRPr="00D06AD7" w:rsidRDefault="00C64C07" w:rsidP="00C64C07">
      <w:pPr>
        <w:jc w:val="both"/>
        <w:rPr>
          <w:rFonts w:ascii="Arial Narrow" w:hAnsi="Arial Narrow" w:cs="Arial"/>
          <w:bCs/>
          <w:sz w:val="22"/>
          <w:szCs w:val="22"/>
        </w:rPr>
      </w:pPr>
      <w:r w:rsidRPr="00D06AD7">
        <w:rPr>
          <w:rFonts w:ascii="Arial Narrow" w:hAnsi="Arial Narrow" w:cs="Arial"/>
          <w:bCs/>
          <w:sz w:val="22"/>
          <w:szCs w:val="22"/>
        </w:rPr>
        <w:t xml:space="preserve">A lo largo de las contrataciones adelantadas por el INVIAS, el objeto ha sido determinado de manera general, no </w:t>
      </w:r>
      <w:r w:rsidR="00705EAE" w:rsidRPr="00D06AD7">
        <w:rPr>
          <w:rFonts w:ascii="Arial Narrow" w:hAnsi="Arial Narrow" w:cs="Arial"/>
          <w:bCs/>
          <w:sz w:val="22"/>
          <w:szCs w:val="22"/>
        </w:rPr>
        <w:t>obstante,</w:t>
      </w:r>
      <w:r w:rsidRPr="00D06AD7">
        <w:rPr>
          <w:rFonts w:ascii="Arial Narrow" w:hAnsi="Arial Narrow" w:cs="Arial"/>
          <w:bCs/>
          <w:sz w:val="22"/>
          <w:szCs w:val="22"/>
        </w:rPr>
        <w:t xml:space="preserve"> dentro del alcance del mismo se desglosa de manera clara y precisa la totalidad de actividades que deben ser de</w:t>
      </w:r>
      <w:r w:rsidR="00372D58" w:rsidRPr="00D06AD7">
        <w:rPr>
          <w:rFonts w:ascii="Arial Narrow" w:hAnsi="Arial Narrow" w:cs="Arial"/>
          <w:bCs/>
          <w:sz w:val="22"/>
          <w:szCs w:val="22"/>
        </w:rPr>
        <w:t>sarrolladas en marco del mismo.</w:t>
      </w:r>
    </w:p>
    <w:p w14:paraId="630A9264" w14:textId="77777777" w:rsidR="0061787A" w:rsidRPr="00D06AD7" w:rsidRDefault="0061787A" w:rsidP="00C64C07">
      <w:pPr>
        <w:jc w:val="both"/>
        <w:rPr>
          <w:rFonts w:ascii="Arial Narrow" w:hAnsi="Arial Narrow" w:cs="Arial"/>
          <w:bCs/>
          <w:sz w:val="22"/>
          <w:szCs w:val="22"/>
        </w:rPr>
      </w:pPr>
    </w:p>
    <w:p w14:paraId="07842B32" w14:textId="137D0679" w:rsidR="00C64C07" w:rsidRPr="00D06AD7" w:rsidRDefault="00372D58" w:rsidP="00906DD8">
      <w:pPr>
        <w:pStyle w:val="Listavistosa-nfasis11"/>
        <w:ind w:left="0"/>
        <w:jc w:val="both"/>
        <w:rPr>
          <w:rFonts w:ascii="Arial Narrow" w:hAnsi="Arial Narrow" w:cs="Arial"/>
          <w:b/>
          <w:sz w:val="22"/>
          <w:szCs w:val="22"/>
        </w:rPr>
      </w:pPr>
      <w:r w:rsidRPr="00D06AD7">
        <w:rPr>
          <w:rFonts w:ascii="Arial Narrow" w:hAnsi="Arial Narrow" w:cs="Arial"/>
          <w:b/>
          <w:sz w:val="22"/>
          <w:szCs w:val="22"/>
        </w:rPr>
        <w:t xml:space="preserve">4.1. </w:t>
      </w:r>
      <w:r w:rsidR="00C64C07" w:rsidRPr="00D06AD7">
        <w:rPr>
          <w:rFonts w:ascii="Arial Narrow" w:hAnsi="Arial Narrow" w:cs="Arial"/>
          <w:b/>
          <w:sz w:val="22"/>
          <w:szCs w:val="22"/>
        </w:rPr>
        <w:t xml:space="preserve">SISTEMAS DE CONTRATACIÓN PARA EL OBJETO A CONTRATAR (DETERMINACION DEL </w:t>
      </w:r>
      <w:r w:rsidR="00906DD8">
        <w:rPr>
          <w:rFonts w:ascii="Arial Narrow" w:hAnsi="Arial Narrow" w:cs="Arial"/>
          <w:b/>
          <w:sz w:val="22"/>
          <w:szCs w:val="22"/>
        </w:rPr>
        <w:t>P</w:t>
      </w:r>
      <w:r w:rsidR="00C64C07" w:rsidRPr="00D06AD7">
        <w:rPr>
          <w:rFonts w:ascii="Arial Narrow" w:hAnsi="Arial Narrow" w:cs="Arial"/>
          <w:b/>
          <w:sz w:val="22"/>
          <w:szCs w:val="22"/>
        </w:rPr>
        <w:t>RESUPUESTO)</w:t>
      </w:r>
    </w:p>
    <w:p w14:paraId="7479E17F" w14:textId="77777777" w:rsidR="00C64C07" w:rsidRPr="00D06AD7" w:rsidRDefault="00C64C07" w:rsidP="00C64C07">
      <w:pPr>
        <w:pStyle w:val="Listavistosa-nfasis11"/>
        <w:jc w:val="both"/>
        <w:rPr>
          <w:rFonts w:ascii="Arial Narrow" w:hAnsi="Arial Narrow" w:cs="Arial"/>
          <w:sz w:val="22"/>
          <w:szCs w:val="22"/>
        </w:rPr>
      </w:pPr>
    </w:p>
    <w:p w14:paraId="3C71A3FC" w14:textId="7ED94F69" w:rsidR="008D554A" w:rsidRPr="00D06AD7" w:rsidRDefault="008D554A" w:rsidP="008D554A">
      <w:pPr>
        <w:pStyle w:val="InviasNormal"/>
        <w:spacing w:before="0" w:after="0"/>
        <w:rPr>
          <w:rFonts w:cs="Arial"/>
          <w:sz w:val="22"/>
          <w:szCs w:val="22"/>
          <w:lang w:val="es-CO"/>
        </w:rPr>
      </w:pPr>
      <w:r w:rsidRPr="00D06AD7">
        <w:rPr>
          <w:rFonts w:cs="Arial"/>
          <w:bCs/>
          <w:sz w:val="22"/>
          <w:szCs w:val="22"/>
        </w:rPr>
        <w:t xml:space="preserve">Para la estimación de los presupuestos de las consultorías, dentro de las cuales se ubica este contrato de Estudios </w:t>
      </w:r>
      <w:r w:rsidR="00D200AD">
        <w:rPr>
          <w:rFonts w:cs="Arial"/>
          <w:bCs/>
          <w:sz w:val="22"/>
          <w:szCs w:val="22"/>
        </w:rPr>
        <w:t>de Topografía</w:t>
      </w:r>
      <w:r w:rsidRPr="00D06AD7">
        <w:rPr>
          <w:rFonts w:cs="Arial"/>
          <w:bCs/>
          <w:sz w:val="22"/>
          <w:szCs w:val="22"/>
        </w:rPr>
        <w:t>, el Instituto estima el costo de los servicios de Consultoría teniendo en cuenta un sistema estructurado de cálculo y pago de estos servicios</w:t>
      </w:r>
      <w:r w:rsidR="00542687">
        <w:rPr>
          <w:rFonts w:cs="Arial"/>
          <w:sz w:val="22"/>
          <w:szCs w:val="22"/>
          <w:lang w:val="es-CO"/>
        </w:rPr>
        <w:t>, c</w:t>
      </w:r>
      <w:r w:rsidRPr="00D06AD7">
        <w:rPr>
          <w:rFonts w:cs="Arial"/>
          <w:sz w:val="22"/>
          <w:szCs w:val="22"/>
          <w:lang w:val="es-CO"/>
        </w:rPr>
        <w:t>onformado por los costos que tiene la elaboración de cada uno de los entregables  objeto de esta contratación y resulta de un análisis pormenorizado de la utilización del(os) especialista(s), profesional(es) y demás personal de apoyo, responsable(s) y entre otros costos directamente en: la elaboración de metodología, metodología particular; recopilación, revisión, análisis y procesamiento de información primaria y secundaria; elaboración de entregables parciales con todos sus soportes; disponibilidad en la revisión conjunta en las fechas previamente acordadas; disponibilidad para visitar el sitio del proyecto; disponibilidad para atender socializaciones del proyecto; y/o atender los comités o reuniones programadas por  la Entidad; elaboración del Anexo final hasta la aprobación final por parte de la aceptación de la Entidad; adicionalmente, contempló cargas prestacionales, gastos generados por la utilización de equipos y software especializados y logística necesaria para la realización de la labor; y demás actividades propias para el cumplimiento a los alcances de los volúmenes establecidos en el Anexo Técnico, elaboración conforme a los Requerimientos Técnicos y de los requisitos técnicos establecidos por la Entidad y exigencias de la misma, así como de la Normatividad vigente.</w:t>
      </w:r>
    </w:p>
    <w:p w14:paraId="4914C25F" w14:textId="77777777" w:rsidR="008D554A" w:rsidRPr="00D06AD7" w:rsidRDefault="008D554A" w:rsidP="00C64C07">
      <w:pPr>
        <w:autoSpaceDE w:val="0"/>
        <w:autoSpaceDN w:val="0"/>
        <w:adjustRightInd w:val="0"/>
        <w:contextualSpacing/>
        <w:jc w:val="both"/>
        <w:rPr>
          <w:rFonts w:ascii="Arial Narrow" w:hAnsi="Arial Narrow" w:cs="Arial"/>
          <w:bCs/>
          <w:sz w:val="22"/>
          <w:szCs w:val="22"/>
        </w:rPr>
      </w:pPr>
    </w:p>
    <w:p w14:paraId="50CAC949" w14:textId="77777777" w:rsidR="00850D2F" w:rsidRPr="00D06AD7" w:rsidRDefault="00850D2F" w:rsidP="00850D2F">
      <w:pPr>
        <w:pStyle w:val="InviasNormal"/>
        <w:spacing w:before="0" w:after="0"/>
        <w:rPr>
          <w:rFonts w:cs="Arial"/>
          <w:sz w:val="22"/>
          <w:szCs w:val="22"/>
          <w:lang w:val="es-CO"/>
        </w:rPr>
      </w:pPr>
    </w:p>
    <w:p w14:paraId="0E98C6E5" w14:textId="77777777" w:rsidR="00850D2F" w:rsidRPr="00D06AD7" w:rsidRDefault="00850D2F" w:rsidP="00850D2F">
      <w:pPr>
        <w:pStyle w:val="Prrafodelista"/>
        <w:autoSpaceDE w:val="0"/>
        <w:autoSpaceDN w:val="0"/>
        <w:adjustRightInd w:val="0"/>
        <w:ind w:left="720" w:hanging="360"/>
        <w:contextualSpacing/>
        <w:jc w:val="both"/>
        <w:rPr>
          <w:rFonts w:ascii="Arial Narrow" w:hAnsi="Arial Narrow" w:cs="Arial"/>
          <w:b/>
          <w:sz w:val="22"/>
          <w:szCs w:val="22"/>
        </w:rPr>
      </w:pPr>
      <w:r w:rsidRPr="00D06AD7">
        <w:rPr>
          <w:rFonts w:ascii="Arial Narrow" w:hAnsi="Arial Narrow" w:cs="Arial"/>
          <w:b/>
          <w:sz w:val="22"/>
          <w:szCs w:val="22"/>
        </w:rPr>
        <w:t>TIPO DE FACTURACIÓN</w:t>
      </w:r>
    </w:p>
    <w:p w14:paraId="1612FCB6" w14:textId="77777777" w:rsidR="00850D2F" w:rsidRPr="00D06AD7" w:rsidRDefault="00850D2F" w:rsidP="00850D2F">
      <w:pPr>
        <w:pStyle w:val="paragraph"/>
        <w:spacing w:before="0" w:beforeAutospacing="0" w:after="0" w:afterAutospacing="0"/>
        <w:jc w:val="both"/>
        <w:textAlignment w:val="baseline"/>
        <w:rPr>
          <w:rStyle w:val="normaltextrun"/>
          <w:rFonts w:ascii="Arial Narrow" w:hAnsi="Arial Narrow" w:cs="Arial"/>
          <w:sz w:val="22"/>
          <w:szCs w:val="22"/>
        </w:rPr>
      </w:pPr>
    </w:p>
    <w:p w14:paraId="454DC17C" w14:textId="5A1FB858" w:rsidR="00850D2F" w:rsidRPr="00D06AD7" w:rsidRDefault="00850D2F" w:rsidP="00850D2F">
      <w:pPr>
        <w:autoSpaceDE w:val="0"/>
        <w:autoSpaceDN w:val="0"/>
        <w:adjustRightInd w:val="0"/>
        <w:jc w:val="both"/>
        <w:rPr>
          <w:rFonts w:ascii="Arial Narrow" w:hAnsi="Arial Narrow" w:cs="Arial"/>
          <w:sz w:val="22"/>
          <w:szCs w:val="22"/>
        </w:rPr>
      </w:pPr>
      <w:r w:rsidRPr="00D06AD7">
        <w:rPr>
          <w:rFonts w:ascii="Arial Narrow" w:hAnsi="Arial Narrow" w:cs="Arial"/>
          <w:sz w:val="22"/>
          <w:szCs w:val="22"/>
        </w:rPr>
        <w:t xml:space="preserve">El valor del contrato será reconocido mediante </w:t>
      </w:r>
      <w:r w:rsidRPr="00D06AD7">
        <w:rPr>
          <w:rFonts w:ascii="Arial Narrow" w:hAnsi="Arial Narrow" w:cs="Arial"/>
          <w:b/>
          <w:bCs/>
          <w:sz w:val="22"/>
          <w:szCs w:val="22"/>
        </w:rPr>
        <w:t>ACTAS MENSUALES DE COSTOS</w:t>
      </w:r>
      <w:r w:rsidRPr="00D06AD7">
        <w:rPr>
          <w:rFonts w:ascii="Arial Narrow" w:hAnsi="Arial Narrow" w:cs="Arial"/>
          <w:sz w:val="22"/>
          <w:szCs w:val="22"/>
        </w:rPr>
        <w:t xml:space="preserve"> estimado así:</w:t>
      </w:r>
    </w:p>
    <w:p w14:paraId="7A19FD8C" w14:textId="77777777" w:rsidR="00850D2F" w:rsidRPr="00D06AD7" w:rsidRDefault="00850D2F" w:rsidP="00850D2F">
      <w:pPr>
        <w:autoSpaceDE w:val="0"/>
        <w:autoSpaceDN w:val="0"/>
        <w:adjustRightInd w:val="0"/>
        <w:jc w:val="both"/>
        <w:rPr>
          <w:rFonts w:ascii="Arial Narrow" w:hAnsi="Arial Narrow" w:cs="Arial"/>
          <w:sz w:val="22"/>
          <w:szCs w:val="22"/>
        </w:rPr>
      </w:pPr>
    </w:p>
    <w:p w14:paraId="32F0F1B9" w14:textId="77777777" w:rsidR="00850D2F" w:rsidRPr="00D06AD7" w:rsidRDefault="00850D2F" w:rsidP="00850D2F">
      <w:pPr>
        <w:jc w:val="both"/>
        <w:rPr>
          <w:rFonts w:ascii="Arial Narrow" w:hAnsi="Arial Narrow" w:cs="Arial"/>
          <w:sz w:val="22"/>
          <w:szCs w:val="22"/>
        </w:rPr>
      </w:pPr>
      <w:r w:rsidRPr="00D06AD7">
        <w:rPr>
          <w:rFonts w:ascii="Arial Narrow" w:hAnsi="Arial Narrow" w:cs="Arial"/>
          <w:sz w:val="22"/>
          <w:szCs w:val="22"/>
        </w:rPr>
        <w:t xml:space="preserve">El INSTITUTO pagará al CONSULTOR los costos del “Estudio de Topografía” de manera mensual, según el área ejecutada y debidamente aprobada por la supervisión designada por la entidad, según las condiciones establecidas en el numeral inmediatamente anterior; mediante el reconocimiento de los costos descritos en la propuesta económica aprobada por el Instituto y efectivamente empleado en el mes de ejecución  de los trabajos, previa presentación y aprobación de un informe ejecutivo, presentado por el Representante Legal o responsable, donde describa las actividades adelantadas en el mes, los cuales deberán ser incluidos en el informe mensual de Consultoría aprobado por parte del supervisor. </w:t>
      </w:r>
    </w:p>
    <w:p w14:paraId="60761900" w14:textId="77777777" w:rsidR="00850D2F" w:rsidRPr="00D06AD7" w:rsidRDefault="00850D2F" w:rsidP="00850D2F">
      <w:pPr>
        <w:jc w:val="both"/>
        <w:rPr>
          <w:rFonts w:ascii="Arial Narrow" w:hAnsi="Arial Narrow" w:cs="Arial"/>
          <w:sz w:val="22"/>
          <w:szCs w:val="22"/>
        </w:rPr>
      </w:pPr>
    </w:p>
    <w:p w14:paraId="2DAA0A30" w14:textId="77777777" w:rsidR="00850D2F" w:rsidRPr="00D06AD7" w:rsidRDefault="00850D2F" w:rsidP="00850D2F">
      <w:pPr>
        <w:jc w:val="both"/>
        <w:rPr>
          <w:rFonts w:ascii="Arial Narrow" w:hAnsi="Arial Narrow" w:cs="Arial"/>
          <w:sz w:val="22"/>
          <w:szCs w:val="22"/>
        </w:rPr>
      </w:pPr>
      <w:r w:rsidRPr="00D06AD7">
        <w:rPr>
          <w:rFonts w:ascii="Arial Narrow" w:hAnsi="Arial Narrow" w:cs="Arial"/>
          <w:sz w:val="22"/>
          <w:szCs w:val="22"/>
        </w:rPr>
        <w:t>El personal a involucrar en las actividades podrá ser vinculado laboralmente o por contrato de prestación de servicios, por lo cual, el consultor deberá presentar de manera clara y ordenada, lo siguiente:</w:t>
      </w:r>
    </w:p>
    <w:p w14:paraId="6F55B092" w14:textId="77777777" w:rsidR="00850D2F" w:rsidRPr="00D06AD7" w:rsidRDefault="00850D2F" w:rsidP="00850D2F">
      <w:pPr>
        <w:jc w:val="both"/>
        <w:rPr>
          <w:rFonts w:ascii="Arial Narrow" w:hAnsi="Arial Narrow" w:cs="Arial"/>
          <w:sz w:val="22"/>
          <w:szCs w:val="22"/>
        </w:rPr>
      </w:pPr>
    </w:p>
    <w:p w14:paraId="4563C8C6" w14:textId="77777777" w:rsidR="00850D2F" w:rsidRPr="00D06AD7" w:rsidRDefault="00850D2F" w:rsidP="00EC17FC">
      <w:pPr>
        <w:pStyle w:val="Prrafodelista"/>
        <w:numPr>
          <w:ilvl w:val="0"/>
          <w:numId w:val="31"/>
        </w:numPr>
        <w:spacing w:line="256" w:lineRule="auto"/>
        <w:contextualSpacing/>
        <w:jc w:val="both"/>
        <w:rPr>
          <w:rFonts w:ascii="Arial Narrow" w:hAnsi="Arial Narrow" w:cs="Arial"/>
          <w:sz w:val="22"/>
          <w:szCs w:val="22"/>
          <w:lang w:eastAsia="es-CO"/>
        </w:rPr>
      </w:pPr>
      <w:r w:rsidRPr="00D06AD7">
        <w:rPr>
          <w:rFonts w:ascii="Arial Narrow" w:hAnsi="Arial Narrow" w:cs="Arial"/>
          <w:sz w:val="22"/>
          <w:szCs w:val="22"/>
          <w:lang w:eastAsia="es-CO"/>
        </w:rPr>
        <w:lastRenderedPageBreak/>
        <w:t>Relación de personal vinculado directamente por la empresa o en el caso de consorcios, a través del Consorcio o uno de los Consorciados, acompañado de los aportes a Seguridad Social, que participó dicho periodo a facturar.</w:t>
      </w:r>
    </w:p>
    <w:p w14:paraId="201A37F6" w14:textId="77777777" w:rsidR="00850D2F" w:rsidRPr="00D06AD7" w:rsidRDefault="00850D2F" w:rsidP="00850D2F">
      <w:pPr>
        <w:jc w:val="both"/>
        <w:rPr>
          <w:rFonts w:ascii="Arial Narrow" w:hAnsi="Arial Narrow" w:cs="Arial"/>
          <w:sz w:val="22"/>
          <w:szCs w:val="22"/>
        </w:rPr>
      </w:pPr>
    </w:p>
    <w:p w14:paraId="28E19EA7" w14:textId="23F52E2F" w:rsidR="00850D2F" w:rsidRPr="00D06AD7" w:rsidRDefault="00850D2F" w:rsidP="00EC17FC">
      <w:pPr>
        <w:pStyle w:val="Prrafodelista"/>
        <w:numPr>
          <w:ilvl w:val="0"/>
          <w:numId w:val="31"/>
        </w:numPr>
        <w:spacing w:line="256" w:lineRule="auto"/>
        <w:contextualSpacing/>
        <w:jc w:val="both"/>
        <w:rPr>
          <w:rFonts w:ascii="Arial Narrow" w:hAnsi="Arial Narrow" w:cs="Arial"/>
          <w:sz w:val="22"/>
          <w:szCs w:val="22"/>
          <w:lang w:eastAsia="es-CO"/>
        </w:rPr>
      </w:pPr>
      <w:r w:rsidRPr="00D06AD7">
        <w:rPr>
          <w:rFonts w:ascii="Arial Narrow" w:hAnsi="Arial Narrow" w:cs="Arial"/>
          <w:sz w:val="22"/>
          <w:szCs w:val="22"/>
          <w:lang w:eastAsia="es-CO"/>
        </w:rPr>
        <w:t xml:space="preserve">Relación </w:t>
      </w:r>
      <w:r w:rsidR="00A27A4A">
        <w:rPr>
          <w:rFonts w:ascii="Arial Narrow" w:hAnsi="Arial Narrow" w:cs="Arial"/>
          <w:sz w:val="22"/>
          <w:szCs w:val="22"/>
          <w:lang w:eastAsia="es-CO"/>
        </w:rPr>
        <w:t xml:space="preserve">de </w:t>
      </w:r>
      <w:r w:rsidRPr="00D06AD7">
        <w:rPr>
          <w:rFonts w:ascii="Arial Narrow" w:hAnsi="Arial Narrow" w:cs="Arial"/>
          <w:sz w:val="22"/>
          <w:szCs w:val="22"/>
          <w:lang w:eastAsia="es-CO"/>
        </w:rPr>
        <w:t>personal vinculado a través de contrato de prestación de servicios, acompañado de los aportes a Seguridad Social del periodo a facturar.</w:t>
      </w:r>
    </w:p>
    <w:p w14:paraId="72902EAD" w14:textId="77777777" w:rsidR="00850D2F" w:rsidRPr="00D06AD7" w:rsidRDefault="00850D2F" w:rsidP="00850D2F">
      <w:pPr>
        <w:pStyle w:val="Prrafodelista"/>
        <w:jc w:val="both"/>
        <w:rPr>
          <w:rFonts w:ascii="Arial Narrow" w:hAnsi="Arial Narrow" w:cs="Arial"/>
          <w:sz w:val="22"/>
          <w:szCs w:val="22"/>
          <w:lang w:eastAsia="es-CO"/>
        </w:rPr>
      </w:pPr>
    </w:p>
    <w:p w14:paraId="205BA407" w14:textId="77777777" w:rsidR="00850D2F" w:rsidRPr="00D06AD7" w:rsidRDefault="00850D2F" w:rsidP="00850D2F">
      <w:pPr>
        <w:spacing w:line="256" w:lineRule="auto"/>
        <w:jc w:val="both"/>
        <w:rPr>
          <w:rFonts w:ascii="Arial Narrow" w:hAnsi="Arial Narrow" w:cs="Arial"/>
          <w:sz w:val="22"/>
          <w:szCs w:val="22"/>
        </w:rPr>
      </w:pPr>
      <w:r w:rsidRPr="00D06AD7">
        <w:rPr>
          <w:rFonts w:ascii="Arial Narrow" w:hAnsi="Arial Narrow" w:cs="Arial"/>
          <w:sz w:val="22"/>
          <w:szCs w:val="22"/>
        </w:rPr>
        <w:t xml:space="preserve">Sin perjuicio de lo anterior, el consultor y supervisor serán responsables de verificar el cumplimiento de los aportes al Sistema General de la Seguridad Social por parte del personal vinculado a las actividades. </w:t>
      </w:r>
    </w:p>
    <w:p w14:paraId="76B059B6" w14:textId="77777777" w:rsidR="00850D2F" w:rsidRPr="00D06AD7" w:rsidRDefault="00850D2F" w:rsidP="00850D2F">
      <w:pPr>
        <w:jc w:val="both"/>
        <w:rPr>
          <w:rFonts w:ascii="Arial Narrow" w:hAnsi="Arial Narrow" w:cs="Arial"/>
          <w:sz w:val="22"/>
          <w:szCs w:val="22"/>
        </w:rPr>
      </w:pPr>
    </w:p>
    <w:p w14:paraId="666E8BA8" w14:textId="71C87843" w:rsidR="00850D2F" w:rsidRPr="00D06AD7" w:rsidRDefault="00850D2F" w:rsidP="00850D2F">
      <w:pPr>
        <w:jc w:val="both"/>
        <w:rPr>
          <w:rFonts w:ascii="Arial Narrow" w:hAnsi="Arial Narrow" w:cs="Arial"/>
          <w:sz w:val="22"/>
          <w:szCs w:val="22"/>
        </w:rPr>
      </w:pPr>
      <w:r w:rsidRPr="00D06AD7">
        <w:rPr>
          <w:rFonts w:ascii="Arial Narrow" w:hAnsi="Arial Narrow" w:cs="Arial"/>
          <w:sz w:val="22"/>
          <w:szCs w:val="22"/>
        </w:rPr>
        <w:t>Lo anterior deberá estar acompañado de certificación de paz y salvo expedida por el revisor fiscal o el repres</w:t>
      </w:r>
      <w:r w:rsidR="00E47F02">
        <w:rPr>
          <w:rFonts w:ascii="Arial Narrow" w:hAnsi="Arial Narrow" w:cs="Arial"/>
          <w:sz w:val="22"/>
          <w:szCs w:val="22"/>
        </w:rPr>
        <w:t>e</w:t>
      </w:r>
      <w:r w:rsidRPr="00D06AD7">
        <w:rPr>
          <w:rFonts w:ascii="Arial Narrow" w:hAnsi="Arial Narrow" w:cs="Arial"/>
          <w:sz w:val="22"/>
          <w:szCs w:val="22"/>
        </w:rPr>
        <w:t>nta</w:t>
      </w:r>
      <w:r w:rsidR="00866B32">
        <w:rPr>
          <w:rFonts w:ascii="Arial Narrow" w:hAnsi="Arial Narrow" w:cs="Arial"/>
          <w:sz w:val="22"/>
          <w:szCs w:val="22"/>
        </w:rPr>
        <w:t>n</w:t>
      </w:r>
      <w:r w:rsidRPr="00D06AD7">
        <w:rPr>
          <w:rFonts w:ascii="Arial Narrow" w:hAnsi="Arial Narrow" w:cs="Arial"/>
          <w:sz w:val="22"/>
          <w:szCs w:val="22"/>
        </w:rPr>
        <w:t>te legal (quien aplique).</w:t>
      </w:r>
    </w:p>
    <w:p w14:paraId="39F0A5A4" w14:textId="77777777" w:rsidR="00850D2F" w:rsidRPr="00D06AD7" w:rsidRDefault="00850D2F" w:rsidP="00850D2F">
      <w:pPr>
        <w:jc w:val="both"/>
        <w:rPr>
          <w:rFonts w:ascii="Arial Narrow" w:hAnsi="Arial Narrow" w:cs="Arial"/>
          <w:sz w:val="22"/>
          <w:szCs w:val="22"/>
        </w:rPr>
      </w:pPr>
    </w:p>
    <w:p w14:paraId="600F56D9" w14:textId="4D6B0DC6" w:rsidR="00850D2F" w:rsidRPr="00D06AD7" w:rsidRDefault="00850D2F" w:rsidP="00850D2F">
      <w:pPr>
        <w:jc w:val="both"/>
        <w:rPr>
          <w:rFonts w:ascii="Arial Narrow" w:hAnsi="Arial Narrow" w:cs="Arial"/>
          <w:sz w:val="22"/>
          <w:szCs w:val="22"/>
        </w:rPr>
      </w:pPr>
      <w:r w:rsidRPr="00D06AD7">
        <w:rPr>
          <w:rFonts w:ascii="Arial Narrow" w:hAnsi="Arial Narrow" w:cs="Arial"/>
          <w:sz w:val="22"/>
          <w:szCs w:val="22"/>
        </w:rPr>
        <w:t xml:space="preserve">En todo caso, tales pagos de la Consultoría deberán corresponder al entregable y/o producto aprobado por </w:t>
      </w:r>
      <w:r w:rsidR="00E47F02">
        <w:rPr>
          <w:rFonts w:ascii="Arial Narrow" w:hAnsi="Arial Narrow" w:cs="Arial"/>
          <w:sz w:val="22"/>
          <w:szCs w:val="22"/>
        </w:rPr>
        <w:t xml:space="preserve">el </w:t>
      </w:r>
      <w:r w:rsidRPr="00D06AD7">
        <w:rPr>
          <w:rFonts w:ascii="Arial Narrow" w:hAnsi="Arial Narrow" w:cs="Arial"/>
          <w:sz w:val="22"/>
          <w:szCs w:val="22"/>
        </w:rPr>
        <w:t xml:space="preserve">supervisor, el cual incluye todos los recursos de personal y demás costos relacionados en el ítem, invertidos por el Consultor en el proyecto durante el periodo a facturar, de acuerdo con el cronograma de actividades presentado por el Consultor y aprobado por el supervisor, y a las modificaciones propias que se generen en el desarrollo del contrato avaladas </w:t>
      </w:r>
      <w:r w:rsidR="005D4266" w:rsidRPr="00D06AD7">
        <w:rPr>
          <w:rFonts w:ascii="Arial Narrow" w:hAnsi="Arial Narrow" w:cs="Arial"/>
          <w:sz w:val="22"/>
          <w:szCs w:val="22"/>
        </w:rPr>
        <w:t>por el</w:t>
      </w:r>
      <w:r w:rsidRPr="00D06AD7">
        <w:rPr>
          <w:rFonts w:ascii="Arial Narrow" w:hAnsi="Arial Narrow" w:cs="Arial"/>
          <w:sz w:val="22"/>
          <w:szCs w:val="22"/>
        </w:rPr>
        <w:t xml:space="preserve"> INSTITUTO. </w:t>
      </w:r>
    </w:p>
    <w:p w14:paraId="4783AD9B" w14:textId="77777777" w:rsidR="00850D2F" w:rsidRPr="00D06AD7" w:rsidRDefault="00850D2F" w:rsidP="00850D2F">
      <w:pPr>
        <w:jc w:val="both"/>
        <w:rPr>
          <w:rFonts w:ascii="Arial Narrow" w:hAnsi="Arial Narrow" w:cs="Arial"/>
          <w:sz w:val="22"/>
          <w:szCs w:val="22"/>
        </w:rPr>
      </w:pPr>
    </w:p>
    <w:p w14:paraId="21A7E6EE" w14:textId="3990A78F" w:rsidR="00850D2F" w:rsidRPr="00D06AD7" w:rsidRDefault="00850D2F" w:rsidP="00850D2F">
      <w:pPr>
        <w:jc w:val="both"/>
        <w:rPr>
          <w:rFonts w:ascii="Arial Narrow" w:hAnsi="Arial Narrow" w:cs="Arial"/>
          <w:sz w:val="22"/>
          <w:szCs w:val="22"/>
        </w:rPr>
      </w:pPr>
      <w:r w:rsidRPr="00605C70">
        <w:rPr>
          <w:rFonts w:ascii="Arial Narrow" w:hAnsi="Arial Narrow" w:cs="Arial"/>
          <w:b/>
          <w:bCs/>
          <w:sz w:val="22"/>
          <w:szCs w:val="22"/>
        </w:rPr>
        <w:t>Nota 1:</w:t>
      </w:r>
      <w:r w:rsidRPr="00D06AD7">
        <w:rPr>
          <w:rFonts w:ascii="Arial Narrow" w:hAnsi="Arial Narrow" w:cs="Arial"/>
          <w:sz w:val="22"/>
          <w:szCs w:val="22"/>
        </w:rPr>
        <w:t xml:space="preserve"> El incumplimiento en la entrega de los productos, según lo establecido en el presente documento</w:t>
      </w:r>
      <w:r w:rsidR="00B11187">
        <w:rPr>
          <w:rFonts w:ascii="Arial Narrow" w:hAnsi="Arial Narrow" w:cs="Arial"/>
          <w:sz w:val="22"/>
          <w:szCs w:val="22"/>
        </w:rPr>
        <w:t>,</w:t>
      </w:r>
      <w:r w:rsidRPr="00D06AD7">
        <w:rPr>
          <w:rFonts w:ascii="Arial Narrow" w:hAnsi="Arial Narrow" w:cs="Arial"/>
          <w:sz w:val="22"/>
          <w:szCs w:val="22"/>
        </w:rPr>
        <w:t xml:space="preserve"> además de generar las sanciones y multas a que haya lugar, no dará derecho a gastos adicionales ni a derecho a reclamación por sobrecostos u otros gastos en que incurra el Consultor, por procesamiento de información, ajustes de entregables o mayores tiempos de profesionales. </w:t>
      </w:r>
    </w:p>
    <w:p w14:paraId="41530736" w14:textId="77777777" w:rsidR="00850D2F" w:rsidRPr="00D06AD7" w:rsidRDefault="00850D2F" w:rsidP="00850D2F">
      <w:pPr>
        <w:jc w:val="both"/>
        <w:rPr>
          <w:rFonts w:ascii="Arial Narrow" w:hAnsi="Arial Narrow" w:cs="Arial"/>
          <w:sz w:val="22"/>
          <w:szCs w:val="22"/>
        </w:rPr>
      </w:pPr>
    </w:p>
    <w:p w14:paraId="294878C9" w14:textId="77777777" w:rsidR="00850D2F" w:rsidRPr="00D06AD7" w:rsidRDefault="00850D2F" w:rsidP="00850D2F">
      <w:pPr>
        <w:jc w:val="both"/>
        <w:rPr>
          <w:rFonts w:ascii="Arial Narrow" w:hAnsi="Arial Narrow" w:cs="Arial"/>
          <w:sz w:val="22"/>
          <w:szCs w:val="22"/>
        </w:rPr>
      </w:pPr>
      <w:r w:rsidRPr="00605C70">
        <w:rPr>
          <w:rFonts w:ascii="Arial Narrow" w:hAnsi="Arial Narrow" w:cs="Arial"/>
          <w:b/>
          <w:bCs/>
          <w:sz w:val="22"/>
          <w:szCs w:val="22"/>
        </w:rPr>
        <w:t>Nota 2:</w:t>
      </w:r>
      <w:r w:rsidRPr="00D06AD7">
        <w:rPr>
          <w:rFonts w:ascii="Arial Narrow" w:hAnsi="Arial Narrow" w:cs="Arial"/>
          <w:sz w:val="22"/>
          <w:szCs w:val="22"/>
        </w:rPr>
        <w:t xml:space="preserve"> Todos los costos relacionados por parte del consultor en el ítem propuesto en la oferta económica, incluye todo lo necesario para su ejecución; es decir, el costo incluirá personal a involucrar como topógrafo, cadeneros, equipos de topografía, software y hardware de procesamiento, equipos de cómputo, camioneta o transporte para llegar a los puntos establecidos en cada proyecto, combustibles, peajes,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y demás gastos generados por la realización de trabajos de campo, igualmente incluye los honorarios del Consultor,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A su vez el costo incluye el exceso en la causación de los costos previstos en la propuesta del consultor, y demás costos indirectos en que él incurra por la ejecución del contrato, así como adquisición de información primaria y secundaria y ejecución de actividades y labores de Consultoría.</w:t>
      </w:r>
    </w:p>
    <w:p w14:paraId="5C4E8C83" w14:textId="77777777" w:rsidR="00850D2F" w:rsidRPr="00D06AD7" w:rsidRDefault="00850D2F" w:rsidP="00850D2F">
      <w:pPr>
        <w:jc w:val="both"/>
        <w:rPr>
          <w:rFonts w:ascii="Arial Narrow" w:hAnsi="Arial Narrow" w:cs="Arial"/>
          <w:sz w:val="22"/>
          <w:szCs w:val="22"/>
        </w:rPr>
      </w:pPr>
    </w:p>
    <w:p w14:paraId="4C716118" w14:textId="77777777" w:rsidR="00850D2F" w:rsidRPr="00D06AD7" w:rsidRDefault="00850D2F" w:rsidP="00850D2F">
      <w:pPr>
        <w:jc w:val="both"/>
        <w:rPr>
          <w:rFonts w:ascii="Arial Narrow" w:hAnsi="Arial Narrow" w:cs="Arial"/>
          <w:sz w:val="22"/>
          <w:szCs w:val="22"/>
        </w:rPr>
      </w:pPr>
      <w:r w:rsidRPr="00605C70">
        <w:rPr>
          <w:rFonts w:ascii="Arial Narrow" w:hAnsi="Arial Narrow" w:cs="Arial"/>
          <w:b/>
          <w:bCs/>
          <w:sz w:val="22"/>
          <w:szCs w:val="22"/>
        </w:rPr>
        <w:t>Nota 3:</w:t>
      </w:r>
      <w:r w:rsidRPr="00D06AD7">
        <w:rPr>
          <w:rFonts w:ascii="Arial Narrow" w:hAnsi="Arial Narrow" w:cs="Arial"/>
          <w:sz w:val="22"/>
          <w:szCs w:val="22"/>
        </w:rPr>
        <w:t xml:space="preserve"> El consultor, deberá anexar certificado juramentado, donde establezca que los vehículos utilizados en el periodo a facturar cumplen con los requerimientos mínimos para su utilización y circulación en las zonas a realizar las actividades.</w:t>
      </w:r>
    </w:p>
    <w:p w14:paraId="34A6B7F3"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7AEBC422" w14:textId="77777777" w:rsidR="00850D2F" w:rsidRPr="00D06AD7" w:rsidRDefault="00850D2F" w:rsidP="00850D2F">
      <w:pPr>
        <w:autoSpaceDE w:val="0"/>
        <w:autoSpaceDN w:val="0"/>
        <w:adjustRightInd w:val="0"/>
        <w:jc w:val="both"/>
        <w:rPr>
          <w:rFonts w:ascii="Arial Narrow" w:hAnsi="Arial Narrow" w:cs="Arial"/>
          <w:sz w:val="22"/>
          <w:szCs w:val="22"/>
        </w:rPr>
      </w:pPr>
      <w:r w:rsidRPr="00D06AD7">
        <w:rPr>
          <w:rFonts w:ascii="Arial Narrow" w:hAnsi="Arial Narrow" w:cs="Arial"/>
          <w:sz w:val="22"/>
          <w:szCs w:val="22"/>
        </w:rPr>
        <w:t>Si el CONSULTOR no presenta la factura del acta dentro de los términos establecidos en el contrato, se aplicará la sanción correspondiente, de conformidad con lo establecido en la Resolución No. 718 de 2022.</w:t>
      </w:r>
    </w:p>
    <w:p w14:paraId="41D04AE8" w14:textId="77777777" w:rsidR="00850D2F" w:rsidRPr="00D06AD7" w:rsidRDefault="00850D2F" w:rsidP="00850D2F">
      <w:pPr>
        <w:autoSpaceDE w:val="0"/>
        <w:autoSpaceDN w:val="0"/>
        <w:adjustRightInd w:val="0"/>
        <w:jc w:val="both"/>
        <w:rPr>
          <w:rFonts w:ascii="Arial Narrow" w:hAnsi="Arial Narrow" w:cs="Arial"/>
          <w:sz w:val="22"/>
          <w:szCs w:val="22"/>
        </w:rPr>
      </w:pPr>
    </w:p>
    <w:p w14:paraId="6ED6782D" w14:textId="77777777" w:rsidR="00850D2F" w:rsidRPr="00D06AD7" w:rsidRDefault="00850D2F" w:rsidP="00850D2F">
      <w:pPr>
        <w:autoSpaceDE w:val="0"/>
        <w:autoSpaceDN w:val="0"/>
        <w:adjustRightInd w:val="0"/>
        <w:jc w:val="both"/>
        <w:rPr>
          <w:rFonts w:ascii="Arial Narrow" w:hAnsi="Arial Narrow" w:cs="Arial"/>
          <w:sz w:val="22"/>
          <w:szCs w:val="22"/>
        </w:rPr>
      </w:pPr>
      <w:r w:rsidRPr="00D06AD7">
        <w:rPr>
          <w:rFonts w:ascii="Arial Narrow" w:hAnsi="Arial Narrow" w:cs="Arial"/>
          <w:sz w:val="22"/>
          <w:szCs w:val="22"/>
        </w:rPr>
        <w:lastRenderedPageBreak/>
        <w:t>El Supervisor o el Gestor del contrato deberá verificar al inicio del trabajo y periódicamente, el cumplimiento por parte del CONSULTOR de la obligación de afiliación al Sistema de Gestión de Seguridad y Salud en el Trabajo SG-SST (Decreto 1443 de 2014, art 27) y el cumplimiento de la Resolución 312 de 2019 y el Decreto 531 de 2020, Resoluciones 666 y 679 de 2020.</w:t>
      </w:r>
    </w:p>
    <w:p w14:paraId="41CF2FCE"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4469BEB6" w14:textId="4FFAC67A"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 xml:space="preserve">Para el pago mensual de los entregables realizados, el Consultor debe anexar a la correspondiente factura, copia de la comunicación donde el supervisor o el que el mismo designe manifieste en forma clara y expresa la aprobación del correspondiente (junto con todos los documentos y soportes asociados a ellos), y relacione los aspectos técnicos más relevantes del producto aprobado, y copia del radicado donde se hace entrega en forma magnética al INVIAS, de acuerdo al CRONOGRAMA DE TRABAJO Y PLAN DE INVERSIONES presentado por el Consultor y aprobado por la supervisión. Únicamente será </w:t>
      </w:r>
      <w:r w:rsidR="005D4266" w:rsidRPr="00D06AD7">
        <w:rPr>
          <w:rFonts w:ascii="Arial Narrow" w:hAnsi="Arial Narrow" w:cs="Arial"/>
          <w:sz w:val="22"/>
          <w:szCs w:val="22"/>
        </w:rPr>
        <w:t>objeto de</w:t>
      </w:r>
      <w:r w:rsidRPr="00D06AD7">
        <w:rPr>
          <w:rFonts w:ascii="Arial Narrow" w:hAnsi="Arial Narrow" w:cs="Arial"/>
          <w:sz w:val="22"/>
          <w:szCs w:val="22"/>
        </w:rPr>
        <w:t xml:space="preserve"> pago, el área de Estudio de Topografía aprobada por supervisión, en el periodo o mes a facturar.</w:t>
      </w:r>
    </w:p>
    <w:p w14:paraId="27C633E5"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79C1A19E"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El consultor bajo su responsabilidad debe garantizar que todo el personal que adelanta las actividades de consultoría para la elaboración de los entregables de los Estudios de Topografía, estén en cumplimiento de todas las normas legales vigentes, respecto a salarios, prestaciones sociales y demás requisitos que la actividad específica así lo amerite.</w:t>
      </w:r>
    </w:p>
    <w:p w14:paraId="14622AE7"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1514A72D"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Las facturas deberán ser presentadas por el Consultor para el respectivo trámite por parte de la entidad, dentro de los cinco (5) días calendario siguientes al recibo a satisfacción por parte del supervisor de los productos y/o entregables definidos para la realización de los pagos y en la propuesta presentada. El pago se efectuará dentro de los cuarenta y cinco (45) días calendario siguientes de la aprobación de los documentos requeridos para tal fin, ante el Grupo de Cuentas por Pagar de la Subdirección Financiera del Instituto o, si a ello hubiere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descrito en el artículo 2.2.1.1.2.4.2 del Decreto 1082 de 2015. La fecha en que se hagan efectivos los pagos se determinará según lo previsto en la normatividad vigente del Instituto. En todo caso el anterior pago estará sujeto a la disponibilidad de apropiaciones presupuestales del Instituto según el Programa Anual Mensualizado de Caja (PAC).</w:t>
      </w:r>
    </w:p>
    <w:p w14:paraId="545E3938"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3DC60B4F"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Además de lo anterior, el Consultor deberá remitir al Instituto la certificación bancaria con la información necesaria para el pago de las facturas, como es el número de cuenta corriente o cuenta de ahorros con la cual el Grupo de Tesorería de la Subdirección Financiera abonará los pagos en desarrollo de la ejecución del contrato. En tal evento, se entenderá como fecha de pago la del abono efectivo en la respectiva cuenta. Si el Consultor no cumple con la anterior obligación, se establece como fecha de pago la fecha de disponibilidad del cheque en la caja de la División de Tesorería.</w:t>
      </w:r>
    </w:p>
    <w:p w14:paraId="71ACBA1A"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7AC194E1"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El Instituto Nacional de Vías realizará el pago al Consultor, una vez el supervisor apruebe los entregables (junto con todos los documentos y soportes asociados a ellos) que presente el Consultor, conforme a las exigencias definidas en el presente proceso.</w:t>
      </w:r>
    </w:p>
    <w:p w14:paraId="6F7985C1"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240D2D6F"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Los pagos se realizarán dando estricto cumplimiento al cronograma de trabajo presentado por el Consultor y aprobado por el INVIAS.</w:t>
      </w:r>
    </w:p>
    <w:p w14:paraId="2894B997"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6CA0AD85"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 xml:space="preserve">El INVÍAS pagará dentro de los sesenta (60) días calendario, siguientes a la fecha de presentación de la misma o, si a ello hubiere lugar, dentro de los sesenta (60) días calendario, siguientes a la fecha en que el CONTRATISTA subsane las glosas que formule. </w:t>
      </w:r>
    </w:p>
    <w:p w14:paraId="6B2DB516"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p>
    <w:p w14:paraId="5388EAE0" w14:textId="77777777" w:rsidR="00850D2F" w:rsidRPr="00D06AD7" w:rsidRDefault="00850D2F" w:rsidP="00850D2F">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lastRenderedPageBreak/>
        <w:t>En todo caso los pagos estarán sujetos a la disponibilidad de apropiaciones presupuestales del Instituto según el Programa Anual Mensualizado de Caja (PAC).</w:t>
      </w:r>
    </w:p>
    <w:p w14:paraId="46A78424" w14:textId="77777777" w:rsidR="00850D2F" w:rsidRPr="00D06AD7" w:rsidRDefault="00850D2F" w:rsidP="00850D2F">
      <w:pPr>
        <w:autoSpaceDE w:val="0"/>
        <w:autoSpaceDN w:val="0"/>
        <w:adjustRightInd w:val="0"/>
        <w:rPr>
          <w:rFonts w:ascii="Arial Narrow" w:hAnsi="Arial Narrow" w:cs="Arial"/>
          <w:sz w:val="22"/>
          <w:szCs w:val="22"/>
          <w:lang w:eastAsia="es-ES"/>
        </w:rPr>
      </w:pPr>
    </w:p>
    <w:p w14:paraId="21C6E652" w14:textId="77777777" w:rsidR="00CB18A8" w:rsidRPr="00D06AD7" w:rsidRDefault="00CB18A8" w:rsidP="00BC1956">
      <w:pPr>
        <w:pStyle w:val="Default"/>
        <w:jc w:val="both"/>
        <w:rPr>
          <w:rFonts w:ascii="Arial Narrow" w:hAnsi="Arial Narrow"/>
          <w:sz w:val="22"/>
          <w:szCs w:val="22"/>
        </w:rPr>
      </w:pPr>
    </w:p>
    <w:p w14:paraId="667EADF4" w14:textId="65457F48" w:rsidR="00C64C07" w:rsidRPr="00D06AD7" w:rsidRDefault="00372D58" w:rsidP="007D36FF">
      <w:pPr>
        <w:pStyle w:val="Default"/>
        <w:widowControl w:val="0"/>
        <w:ind w:left="1506"/>
        <w:jc w:val="center"/>
        <w:rPr>
          <w:rFonts w:ascii="Arial Narrow" w:hAnsi="Arial Narrow"/>
          <w:b/>
          <w:color w:val="auto"/>
          <w:sz w:val="22"/>
          <w:szCs w:val="22"/>
        </w:rPr>
      </w:pPr>
      <w:r w:rsidRPr="00D06AD7">
        <w:rPr>
          <w:rFonts w:ascii="Arial Narrow" w:hAnsi="Arial Narrow"/>
          <w:b/>
          <w:color w:val="auto"/>
          <w:sz w:val="22"/>
          <w:szCs w:val="22"/>
        </w:rPr>
        <w:t xml:space="preserve">5. </w:t>
      </w:r>
      <w:r w:rsidR="00C64C07" w:rsidRPr="00D06AD7">
        <w:rPr>
          <w:rFonts w:ascii="Arial Narrow" w:hAnsi="Arial Narrow"/>
          <w:b/>
          <w:color w:val="auto"/>
          <w:sz w:val="22"/>
          <w:szCs w:val="22"/>
        </w:rPr>
        <w:t xml:space="preserve">PLAZO DEL CONTRATO DE </w:t>
      </w:r>
      <w:r w:rsidR="001A19A4">
        <w:rPr>
          <w:rFonts w:ascii="Arial Narrow" w:hAnsi="Arial Narrow"/>
          <w:b/>
          <w:color w:val="auto"/>
          <w:sz w:val="22"/>
          <w:szCs w:val="22"/>
        </w:rPr>
        <w:t>CONSULTORÍA</w:t>
      </w:r>
    </w:p>
    <w:p w14:paraId="24E46580" w14:textId="77777777" w:rsidR="00C64C07" w:rsidRPr="00D06AD7" w:rsidRDefault="00C64C07" w:rsidP="00C64C07">
      <w:pPr>
        <w:pStyle w:val="Default"/>
        <w:jc w:val="both"/>
        <w:rPr>
          <w:rFonts w:ascii="Arial Narrow" w:hAnsi="Arial Narrow"/>
          <w:color w:val="auto"/>
          <w:sz w:val="22"/>
          <w:szCs w:val="22"/>
        </w:rPr>
      </w:pPr>
    </w:p>
    <w:p w14:paraId="69169CA4" w14:textId="18433F56" w:rsidR="00983DB5" w:rsidRPr="00D06AD7" w:rsidRDefault="00C64C07" w:rsidP="00983DB5">
      <w:pPr>
        <w:jc w:val="both"/>
        <w:rPr>
          <w:rFonts w:ascii="Arial Narrow" w:hAnsi="Arial Narrow" w:cs="Arial"/>
          <w:b/>
          <w:bCs/>
          <w:noProof/>
          <w:sz w:val="22"/>
          <w:szCs w:val="22"/>
          <w:lang w:val="es-ES"/>
        </w:rPr>
      </w:pPr>
      <w:r w:rsidRPr="00D06AD7">
        <w:rPr>
          <w:rFonts w:ascii="Arial Narrow" w:hAnsi="Arial Narrow" w:cs="Arial"/>
          <w:bCs/>
          <w:noProof/>
          <w:sz w:val="22"/>
          <w:szCs w:val="22"/>
          <w:lang w:val="es-ES"/>
        </w:rPr>
        <w:t xml:space="preserve">El pazo del presente contrato </w:t>
      </w:r>
      <w:r w:rsidRPr="00A26FA7">
        <w:rPr>
          <w:rFonts w:ascii="Arial Narrow" w:hAnsi="Arial Narrow" w:cs="Arial"/>
          <w:bCs/>
          <w:noProof/>
          <w:sz w:val="22"/>
          <w:szCs w:val="22"/>
          <w:lang w:val="es-ES"/>
        </w:rPr>
        <w:t>será</w:t>
      </w:r>
      <w:r w:rsidR="00385600" w:rsidRPr="00A26FA7">
        <w:rPr>
          <w:rFonts w:ascii="Arial Narrow" w:hAnsi="Arial Narrow" w:cs="Arial"/>
          <w:bCs/>
          <w:noProof/>
          <w:sz w:val="22"/>
          <w:szCs w:val="22"/>
          <w:lang w:val="es-ES"/>
        </w:rPr>
        <w:t xml:space="preserve"> de</w:t>
      </w:r>
      <w:r w:rsidRPr="00A26FA7">
        <w:rPr>
          <w:rFonts w:ascii="Arial Narrow" w:hAnsi="Arial Narrow" w:cs="Arial"/>
          <w:bCs/>
          <w:noProof/>
          <w:sz w:val="22"/>
          <w:szCs w:val="22"/>
          <w:lang w:val="es-ES"/>
        </w:rPr>
        <w:t xml:space="preserve"> </w:t>
      </w:r>
      <w:r w:rsidR="005D4266" w:rsidRPr="00A26FA7">
        <w:rPr>
          <w:rFonts w:ascii="Arial Narrow" w:hAnsi="Arial Narrow" w:cs="Arial"/>
          <w:b/>
          <w:noProof/>
          <w:sz w:val="22"/>
          <w:szCs w:val="22"/>
          <w:lang w:val="es-ES"/>
        </w:rPr>
        <w:t>UN</w:t>
      </w:r>
      <w:r w:rsidR="001A73A5" w:rsidRPr="00A26FA7">
        <w:rPr>
          <w:rFonts w:ascii="Arial Narrow" w:hAnsi="Arial Narrow" w:cs="Arial"/>
          <w:b/>
          <w:noProof/>
          <w:sz w:val="22"/>
          <w:szCs w:val="22"/>
          <w:lang w:val="es-ES"/>
        </w:rPr>
        <w:t xml:space="preserve"> (</w:t>
      </w:r>
      <w:r w:rsidR="005D4266" w:rsidRPr="00A26FA7">
        <w:rPr>
          <w:rFonts w:ascii="Arial Narrow" w:hAnsi="Arial Narrow" w:cs="Arial"/>
          <w:b/>
          <w:noProof/>
          <w:sz w:val="22"/>
          <w:szCs w:val="22"/>
          <w:lang w:val="es-ES"/>
        </w:rPr>
        <w:t>1</w:t>
      </w:r>
      <w:r w:rsidR="001A73A5" w:rsidRPr="00A26FA7">
        <w:rPr>
          <w:rFonts w:ascii="Arial Narrow" w:hAnsi="Arial Narrow" w:cs="Arial"/>
          <w:b/>
          <w:noProof/>
          <w:sz w:val="22"/>
          <w:szCs w:val="22"/>
          <w:lang w:val="es-ES"/>
        </w:rPr>
        <w:t xml:space="preserve">) </w:t>
      </w:r>
      <w:r w:rsidR="00A26FA7" w:rsidRPr="00A26FA7">
        <w:rPr>
          <w:rFonts w:ascii="Arial Narrow" w:hAnsi="Arial Narrow" w:cs="Arial"/>
          <w:b/>
          <w:noProof/>
          <w:sz w:val="22"/>
          <w:szCs w:val="22"/>
          <w:lang w:val="es-ES"/>
        </w:rPr>
        <w:t>MES</w:t>
      </w:r>
      <w:r w:rsidR="00983DB5" w:rsidRPr="00A26FA7">
        <w:rPr>
          <w:rFonts w:ascii="Arial Narrow" w:hAnsi="Arial Narrow" w:cs="Arial"/>
          <w:noProof/>
          <w:sz w:val="22"/>
          <w:szCs w:val="22"/>
          <w:lang w:val="es-ES"/>
        </w:rPr>
        <w:t>,</w:t>
      </w:r>
      <w:r w:rsidR="00983DB5" w:rsidRPr="00D06AD7">
        <w:rPr>
          <w:rFonts w:ascii="Arial Narrow" w:hAnsi="Arial Narrow" w:cs="Arial"/>
          <w:noProof/>
          <w:sz w:val="22"/>
          <w:szCs w:val="22"/>
          <w:lang w:val="es-ES"/>
        </w:rPr>
        <w:t xml:space="preserve"> contados a partir de la orden de inicio</w:t>
      </w:r>
      <w:r w:rsidR="00983DB5" w:rsidRPr="00D06AD7">
        <w:rPr>
          <w:rFonts w:ascii="Arial Narrow" w:hAnsi="Arial Narrow" w:cs="Arial"/>
          <w:b/>
          <w:bCs/>
          <w:noProof/>
          <w:sz w:val="22"/>
          <w:szCs w:val="22"/>
          <w:lang w:val="es-ES"/>
        </w:rPr>
        <w:t>.</w:t>
      </w:r>
    </w:p>
    <w:p w14:paraId="5962293D" w14:textId="25D4F74F" w:rsidR="006A2E83" w:rsidRPr="00D06AD7" w:rsidRDefault="006A2E83" w:rsidP="00983DB5">
      <w:pPr>
        <w:jc w:val="both"/>
        <w:rPr>
          <w:rFonts w:ascii="Arial Narrow" w:hAnsi="Arial Narrow" w:cs="Arial"/>
          <w:b/>
          <w:bCs/>
          <w:noProof/>
          <w:sz w:val="22"/>
          <w:szCs w:val="22"/>
          <w:lang w:val="es-ES"/>
        </w:rPr>
      </w:pPr>
    </w:p>
    <w:p w14:paraId="1F11E110" w14:textId="77777777" w:rsidR="00C74DE6" w:rsidRPr="00D06AD7" w:rsidRDefault="00C74DE6" w:rsidP="00C64C07">
      <w:pPr>
        <w:jc w:val="both"/>
        <w:rPr>
          <w:rFonts w:ascii="Arial Narrow" w:hAnsi="Arial Narrow" w:cs="Arial"/>
          <w:b/>
          <w:bCs/>
          <w:noProof/>
          <w:sz w:val="22"/>
          <w:szCs w:val="22"/>
          <w:lang w:val="es-ES"/>
        </w:rPr>
      </w:pPr>
    </w:p>
    <w:p w14:paraId="0BF3D4A5" w14:textId="77777777" w:rsidR="00C64C07" w:rsidRPr="00D06AD7" w:rsidRDefault="00C74DE6" w:rsidP="007D36FF">
      <w:pPr>
        <w:pStyle w:val="Default"/>
        <w:widowControl w:val="0"/>
        <w:ind w:left="1506"/>
        <w:jc w:val="center"/>
        <w:rPr>
          <w:rFonts w:ascii="Arial Narrow" w:hAnsi="Arial Narrow"/>
          <w:b/>
          <w:bCs/>
          <w:sz w:val="22"/>
          <w:szCs w:val="22"/>
          <w:lang w:val="es-ES"/>
        </w:rPr>
      </w:pPr>
      <w:r w:rsidRPr="00D06AD7">
        <w:rPr>
          <w:rFonts w:ascii="Arial Narrow" w:hAnsi="Arial Narrow"/>
          <w:b/>
          <w:bCs/>
          <w:sz w:val="22"/>
          <w:szCs w:val="22"/>
          <w:lang w:val="es-ES"/>
        </w:rPr>
        <w:t xml:space="preserve">6.  </w:t>
      </w:r>
      <w:r w:rsidR="00C64C07" w:rsidRPr="00D06AD7">
        <w:rPr>
          <w:rFonts w:ascii="Arial Narrow" w:hAnsi="Arial Narrow"/>
          <w:b/>
          <w:bCs/>
          <w:sz w:val="22"/>
          <w:szCs w:val="22"/>
          <w:lang w:val="es-ES"/>
        </w:rPr>
        <w:t>DISPONIBILIDAD PRESUPUESTAL</w:t>
      </w:r>
    </w:p>
    <w:p w14:paraId="24316967" w14:textId="77777777" w:rsidR="00C64C07" w:rsidRPr="00D06AD7" w:rsidRDefault="00C64C07" w:rsidP="00C64C07">
      <w:pPr>
        <w:pStyle w:val="Default"/>
        <w:jc w:val="both"/>
        <w:outlineLvl w:val="0"/>
        <w:rPr>
          <w:rFonts w:ascii="Arial Narrow" w:hAnsi="Arial Narrow"/>
          <w:color w:val="auto"/>
          <w:sz w:val="22"/>
          <w:szCs w:val="22"/>
        </w:rPr>
      </w:pPr>
    </w:p>
    <w:p w14:paraId="16A55562" w14:textId="77777777" w:rsidR="00CB18A8" w:rsidRPr="00D06AD7" w:rsidRDefault="00CB18A8" w:rsidP="00C64C07">
      <w:pPr>
        <w:pStyle w:val="Default"/>
        <w:jc w:val="both"/>
        <w:outlineLvl w:val="0"/>
        <w:rPr>
          <w:rFonts w:ascii="Arial Narrow" w:hAnsi="Arial Narrow"/>
          <w:color w:val="auto"/>
          <w:sz w:val="22"/>
          <w:szCs w:val="22"/>
        </w:rPr>
      </w:pPr>
    </w:p>
    <w:p w14:paraId="5FC95695" w14:textId="51717A4B" w:rsidR="00C64C07" w:rsidRPr="00D06AD7" w:rsidRDefault="00E45F99" w:rsidP="007D36FF">
      <w:pPr>
        <w:pStyle w:val="Default"/>
        <w:widowControl w:val="0"/>
        <w:jc w:val="both"/>
        <w:rPr>
          <w:rFonts w:ascii="Arial Narrow" w:hAnsi="Arial Narrow"/>
          <w:b/>
          <w:bCs/>
          <w:sz w:val="22"/>
          <w:szCs w:val="22"/>
          <w:lang w:val="es-ES"/>
        </w:rPr>
      </w:pPr>
      <w:r w:rsidRPr="00D06AD7">
        <w:rPr>
          <w:rFonts w:ascii="Arial Narrow" w:hAnsi="Arial Narrow"/>
          <w:b/>
          <w:bCs/>
          <w:sz w:val="22"/>
          <w:szCs w:val="22"/>
          <w:lang w:val="es-ES"/>
        </w:rPr>
        <w:t>6.1.</w:t>
      </w:r>
      <w:r w:rsidR="00C74DE6" w:rsidRPr="00D06AD7">
        <w:rPr>
          <w:rFonts w:ascii="Arial Narrow" w:hAnsi="Arial Narrow"/>
          <w:b/>
          <w:bCs/>
          <w:sz w:val="22"/>
          <w:szCs w:val="22"/>
          <w:lang w:val="es-ES"/>
        </w:rPr>
        <w:t xml:space="preserve"> </w:t>
      </w:r>
      <w:r w:rsidR="00C64C07" w:rsidRPr="00D06AD7">
        <w:rPr>
          <w:rFonts w:ascii="Arial Narrow" w:hAnsi="Arial Narrow"/>
          <w:b/>
          <w:bCs/>
          <w:sz w:val="22"/>
          <w:szCs w:val="22"/>
          <w:lang w:val="es-ES"/>
        </w:rPr>
        <w:t xml:space="preserve">CERTIFICADO DE DISPONIBILIDAD PRESUPUESTAL VIGENCIA </w:t>
      </w:r>
      <w:r w:rsidR="00DC59D6" w:rsidRPr="00D06AD7">
        <w:rPr>
          <w:rFonts w:ascii="Arial Narrow" w:hAnsi="Arial Narrow"/>
          <w:b/>
          <w:bCs/>
          <w:sz w:val="22"/>
          <w:szCs w:val="22"/>
          <w:lang w:val="es-ES"/>
        </w:rPr>
        <w:t>202</w:t>
      </w:r>
      <w:r w:rsidR="001A73A5" w:rsidRPr="00D06AD7">
        <w:rPr>
          <w:rFonts w:ascii="Arial Narrow" w:hAnsi="Arial Narrow"/>
          <w:b/>
          <w:bCs/>
          <w:sz w:val="22"/>
          <w:szCs w:val="22"/>
          <w:lang w:val="es-ES"/>
        </w:rPr>
        <w:t>4</w:t>
      </w:r>
    </w:p>
    <w:p w14:paraId="4A0B84FE" w14:textId="77777777" w:rsidR="00C64C07" w:rsidRPr="00D06AD7" w:rsidRDefault="00C64C07" w:rsidP="00C64C07">
      <w:pPr>
        <w:pStyle w:val="InviasNormal"/>
        <w:spacing w:before="0" w:after="0"/>
        <w:rPr>
          <w:rFonts w:cs="Arial"/>
          <w:b/>
          <w:sz w:val="22"/>
          <w:szCs w:val="22"/>
          <w:lang w:val="es-CO"/>
        </w:rPr>
      </w:pPr>
    </w:p>
    <w:p w14:paraId="36F9EF92" w14:textId="1FE97392" w:rsidR="00BC1956" w:rsidRPr="00D06AD7" w:rsidRDefault="00BC1956" w:rsidP="00BC1956">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lang w:val="x-none"/>
        </w:rPr>
        <w:t xml:space="preserve">El Instituto </w:t>
      </w:r>
      <w:bookmarkStart w:id="5" w:name="_Toc326656667"/>
      <w:r w:rsidRPr="00D06AD7">
        <w:rPr>
          <w:rFonts w:ascii="Arial Narrow" w:hAnsi="Arial Narrow" w:cs="Arial"/>
          <w:sz w:val="22"/>
          <w:szCs w:val="22"/>
          <w:lang w:val="x-none"/>
        </w:rPr>
        <w:t xml:space="preserve">para la atención del compromiso derivado del presente proceso de selección, cuenta con la </w:t>
      </w:r>
      <w:r w:rsidRPr="00D06AD7">
        <w:rPr>
          <w:rFonts w:ascii="Arial Narrow" w:hAnsi="Arial Narrow" w:cs="Arial"/>
          <w:sz w:val="22"/>
          <w:szCs w:val="22"/>
        </w:rPr>
        <w:t>siguiente Certificado de Disponibilidad Presupuestal:</w:t>
      </w:r>
    </w:p>
    <w:p w14:paraId="5A037AAF" w14:textId="77777777" w:rsidR="00D5787E" w:rsidRPr="00D06AD7" w:rsidRDefault="00D5787E" w:rsidP="00BC1956">
      <w:pPr>
        <w:tabs>
          <w:tab w:val="left" w:pos="-142"/>
        </w:tabs>
        <w:autoSpaceDE w:val="0"/>
        <w:autoSpaceDN w:val="0"/>
        <w:adjustRightInd w:val="0"/>
        <w:jc w:val="both"/>
        <w:rPr>
          <w:rFonts w:ascii="Arial Narrow" w:hAnsi="Arial Narrow" w:cs="Arial"/>
          <w:sz w:val="22"/>
          <w:szCs w:val="22"/>
        </w:rPr>
      </w:pPr>
    </w:p>
    <w:bookmarkEnd w:id="5"/>
    <w:p w14:paraId="2D689213" w14:textId="77777777" w:rsidR="00BC1956" w:rsidRPr="00D06AD7" w:rsidRDefault="00BC1956" w:rsidP="00BC1956">
      <w:pPr>
        <w:rPr>
          <w:rFonts w:ascii="Arial Narrow" w:hAnsi="Arial Narrow" w:cs="Arial"/>
          <w:sz w:val="22"/>
          <w:szCs w:val="22"/>
        </w:rPr>
      </w:pPr>
    </w:p>
    <w:tbl>
      <w:tblPr>
        <w:tblStyle w:val="Tabladecuadrcula41"/>
        <w:tblW w:w="7294" w:type="dxa"/>
        <w:jc w:val="center"/>
        <w:tblInd w:w="0" w:type="dxa"/>
        <w:tblLook w:val="00A0" w:firstRow="1" w:lastRow="0" w:firstColumn="1" w:lastColumn="0" w:noHBand="0" w:noVBand="0"/>
      </w:tblPr>
      <w:tblGrid>
        <w:gridCol w:w="1170"/>
        <w:gridCol w:w="2877"/>
        <w:gridCol w:w="3247"/>
      </w:tblGrid>
      <w:tr w:rsidR="00BC1956" w:rsidRPr="00D06AD7" w14:paraId="7B94C70D" w14:textId="77777777" w:rsidTr="00142F1A">
        <w:trPr>
          <w:cnfStyle w:val="100000000000" w:firstRow="1" w:lastRow="0" w:firstColumn="0" w:lastColumn="0" w:oddVBand="0" w:evenVBand="0" w:oddHBand="0" w:evenHBand="0" w:firstRowFirstColumn="0" w:firstRowLastColumn="0" w:lastRowFirstColumn="0" w:lastRowLastColumn="0"/>
          <w:trHeight w:val="788"/>
          <w:jc w:val="center"/>
        </w:trPr>
        <w:tc>
          <w:tcPr>
            <w:cnfStyle w:val="001000000000" w:firstRow="0" w:lastRow="0" w:firstColumn="1" w:lastColumn="0" w:oddVBand="0" w:evenVBand="0" w:oddHBand="0" w:evenHBand="0" w:firstRowFirstColumn="0" w:firstRowLastColumn="0" w:lastRowFirstColumn="0" w:lastRowLastColumn="0"/>
            <w:tcW w:w="1170" w:type="dxa"/>
          </w:tcPr>
          <w:p w14:paraId="1FB8BB2C" w14:textId="77777777" w:rsidR="00BC1956" w:rsidRPr="00142F1A" w:rsidRDefault="00BC1956" w:rsidP="000359A9">
            <w:pPr>
              <w:jc w:val="center"/>
              <w:rPr>
                <w:rFonts w:ascii="Arial Narrow" w:hAnsi="Arial Narrow" w:cs="Arial"/>
                <w:b w:val="0"/>
                <w:bCs w:val="0"/>
                <w:caps/>
                <w:color w:val="FFFFFF" w:themeColor="background1"/>
                <w:sz w:val="22"/>
                <w:szCs w:val="22"/>
                <w:lang w:val="es-ES"/>
              </w:rPr>
            </w:pPr>
            <w:r w:rsidRPr="00142F1A">
              <w:rPr>
                <w:rFonts w:ascii="Arial Narrow" w:hAnsi="Arial Narrow" w:cs="Arial"/>
                <w:caps/>
                <w:color w:val="FFFFFF" w:themeColor="background1"/>
                <w:sz w:val="22"/>
                <w:szCs w:val="22"/>
                <w:lang w:val="es-ES"/>
              </w:rPr>
              <w:t>CDP</w:t>
            </w:r>
          </w:p>
        </w:tc>
        <w:tc>
          <w:tcPr>
            <w:cnfStyle w:val="000010000000" w:firstRow="0" w:lastRow="0" w:firstColumn="0" w:lastColumn="0" w:oddVBand="1" w:evenVBand="0" w:oddHBand="0" w:evenHBand="0" w:firstRowFirstColumn="0" w:firstRowLastColumn="0" w:lastRowFirstColumn="0" w:lastRowLastColumn="0"/>
            <w:tcW w:w="2877" w:type="dxa"/>
          </w:tcPr>
          <w:p w14:paraId="0CF1396A" w14:textId="77777777" w:rsidR="00BC1956" w:rsidRPr="00142F1A" w:rsidRDefault="00BC1956" w:rsidP="000359A9">
            <w:pPr>
              <w:jc w:val="center"/>
              <w:rPr>
                <w:rFonts w:ascii="Arial Narrow" w:hAnsi="Arial Narrow" w:cs="Arial"/>
                <w:b w:val="0"/>
                <w:bCs w:val="0"/>
                <w:caps/>
                <w:color w:val="FFFFFF" w:themeColor="background1"/>
                <w:sz w:val="22"/>
                <w:szCs w:val="22"/>
                <w:lang w:val="es-ES"/>
              </w:rPr>
            </w:pPr>
            <w:r w:rsidRPr="00142F1A">
              <w:rPr>
                <w:rFonts w:ascii="Arial Narrow" w:hAnsi="Arial Narrow" w:cs="Arial"/>
                <w:caps/>
                <w:color w:val="FFFFFF" w:themeColor="background1"/>
                <w:sz w:val="22"/>
                <w:szCs w:val="22"/>
                <w:lang w:val="es-ES"/>
              </w:rPr>
              <w:t xml:space="preserve">fecha </w:t>
            </w:r>
          </w:p>
        </w:tc>
        <w:tc>
          <w:tcPr>
            <w:tcW w:w="3247" w:type="dxa"/>
          </w:tcPr>
          <w:p w14:paraId="1D34545A" w14:textId="77777777" w:rsidR="00BC1956" w:rsidRPr="00142F1A" w:rsidRDefault="00BC1956" w:rsidP="000359A9">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aps/>
                <w:color w:val="FFFFFF" w:themeColor="background1"/>
                <w:sz w:val="22"/>
                <w:szCs w:val="22"/>
                <w:lang w:val="es-ES"/>
              </w:rPr>
            </w:pPr>
            <w:r w:rsidRPr="00142F1A">
              <w:rPr>
                <w:rFonts w:ascii="Arial Narrow" w:hAnsi="Arial Narrow" w:cs="Arial"/>
                <w:caps/>
                <w:color w:val="FFFFFF" w:themeColor="background1"/>
                <w:sz w:val="22"/>
                <w:szCs w:val="22"/>
                <w:lang w:val="es-ES"/>
              </w:rPr>
              <w:t>VALOR CERTIFICADO DE DISPONIBILIDAD PRESUPUESTAL</w:t>
            </w:r>
          </w:p>
        </w:tc>
      </w:tr>
      <w:tr w:rsidR="00D66529" w:rsidRPr="00D06AD7" w14:paraId="7799EF89" w14:textId="77777777" w:rsidTr="00142F1A">
        <w:trPr>
          <w:cnfStyle w:val="000000100000" w:firstRow="0" w:lastRow="0" w:firstColumn="0" w:lastColumn="0" w:oddVBand="0" w:evenVBand="0" w:oddHBand="1" w:evenHBand="0" w:firstRowFirstColumn="0" w:firstRowLastColumn="0" w:lastRowFirstColumn="0" w:lastRowLastColumn="0"/>
          <w:trHeight w:val="460"/>
          <w:jc w:val="center"/>
        </w:trPr>
        <w:tc>
          <w:tcPr>
            <w:cnfStyle w:val="001000000000" w:firstRow="0" w:lastRow="0" w:firstColumn="1" w:lastColumn="0" w:oddVBand="0" w:evenVBand="0" w:oddHBand="0" w:evenHBand="0" w:firstRowFirstColumn="0" w:firstRowLastColumn="0" w:lastRowFirstColumn="0" w:lastRowLastColumn="0"/>
            <w:tcW w:w="1170" w:type="dxa"/>
          </w:tcPr>
          <w:p w14:paraId="15A52D12" w14:textId="1D5F66FD" w:rsidR="00D66529" w:rsidRPr="00D06AD7" w:rsidRDefault="005D4266" w:rsidP="00D66529">
            <w:pPr>
              <w:jc w:val="center"/>
              <w:rPr>
                <w:rFonts w:ascii="Arial Narrow" w:hAnsi="Arial Narrow" w:cs="Arial"/>
                <w:b w:val="0"/>
                <w:bCs w:val="0"/>
                <w:caps/>
                <w:color w:val="FF0000"/>
                <w:sz w:val="22"/>
                <w:szCs w:val="22"/>
                <w:lang w:val="es-ES"/>
              </w:rPr>
            </w:pPr>
            <w:r>
              <w:rPr>
                <w:rFonts w:ascii="Arial Narrow" w:hAnsi="Arial Narrow"/>
                <w:sz w:val="22"/>
                <w:szCs w:val="22"/>
              </w:rPr>
              <w:t>103624</w:t>
            </w:r>
          </w:p>
        </w:tc>
        <w:tc>
          <w:tcPr>
            <w:cnfStyle w:val="000010000000" w:firstRow="0" w:lastRow="0" w:firstColumn="0" w:lastColumn="0" w:oddVBand="1" w:evenVBand="0" w:oddHBand="0" w:evenHBand="0" w:firstRowFirstColumn="0" w:firstRowLastColumn="0" w:lastRowFirstColumn="0" w:lastRowLastColumn="0"/>
            <w:tcW w:w="2877" w:type="dxa"/>
          </w:tcPr>
          <w:p w14:paraId="7CBEBC04" w14:textId="7EFB37F9" w:rsidR="00D66529" w:rsidRPr="00D06AD7" w:rsidRDefault="005D4266" w:rsidP="00D66529">
            <w:pPr>
              <w:jc w:val="center"/>
              <w:rPr>
                <w:rFonts w:ascii="Arial Narrow" w:hAnsi="Arial Narrow" w:cs="Arial"/>
                <w:b/>
                <w:bCs/>
                <w:caps/>
                <w:color w:val="FF0000"/>
                <w:sz w:val="22"/>
                <w:szCs w:val="22"/>
                <w:lang w:val="es-ES"/>
              </w:rPr>
            </w:pPr>
            <w:r>
              <w:rPr>
                <w:rFonts w:ascii="Arial Narrow" w:hAnsi="Arial Narrow"/>
                <w:b/>
                <w:bCs/>
                <w:sz w:val="22"/>
                <w:szCs w:val="22"/>
              </w:rPr>
              <w:t>16/05/2024</w:t>
            </w:r>
          </w:p>
        </w:tc>
        <w:tc>
          <w:tcPr>
            <w:tcW w:w="3247" w:type="dxa"/>
          </w:tcPr>
          <w:p w14:paraId="3C3FD34C" w14:textId="686E5C30" w:rsidR="00D66529" w:rsidRPr="00D06AD7" w:rsidRDefault="00451040" w:rsidP="00D6652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22"/>
                <w:szCs w:val="22"/>
              </w:rPr>
            </w:pPr>
            <w:r w:rsidRPr="00D06AD7">
              <w:rPr>
                <w:rFonts w:ascii="Arial Narrow" w:hAnsi="Arial Narrow" w:cs="Calibri"/>
                <w:b/>
                <w:bCs/>
                <w:sz w:val="22"/>
                <w:szCs w:val="22"/>
              </w:rPr>
              <w:t xml:space="preserve">$     </w:t>
            </w:r>
            <w:r w:rsidR="005D4266">
              <w:rPr>
                <w:rFonts w:ascii="Arial Narrow" w:hAnsi="Arial Narrow" w:cs="Calibri"/>
                <w:b/>
                <w:bCs/>
                <w:sz w:val="22"/>
                <w:szCs w:val="22"/>
              </w:rPr>
              <w:t>37.500.000</w:t>
            </w:r>
          </w:p>
        </w:tc>
      </w:tr>
    </w:tbl>
    <w:p w14:paraId="67874E4F" w14:textId="3FCCCFC9" w:rsidR="00C627A6" w:rsidRPr="00D06AD7" w:rsidRDefault="00C627A6" w:rsidP="00C627A6">
      <w:pPr>
        <w:pStyle w:val="Ttulo3"/>
        <w:contextualSpacing/>
        <w:rPr>
          <w:rFonts w:cs="Arial"/>
          <w:b w:val="0"/>
          <w:szCs w:val="22"/>
        </w:rPr>
      </w:pPr>
      <w:r w:rsidRPr="00D06AD7">
        <w:rPr>
          <w:rFonts w:cs="Arial"/>
          <w:b w:val="0"/>
          <w:szCs w:val="22"/>
        </w:rPr>
        <w:t>La necesidad se encuentra incluida en el Plan Anual de Adquisiciones de la Entidad.</w:t>
      </w:r>
    </w:p>
    <w:p w14:paraId="4CD40A22" w14:textId="77777777" w:rsidR="00BC1956" w:rsidRPr="00D06AD7" w:rsidRDefault="00BC1956" w:rsidP="00BC1956">
      <w:pPr>
        <w:rPr>
          <w:rFonts w:ascii="Arial Narrow" w:hAnsi="Arial Narrow" w:cs="Arial"/>
          <w:sz w:val="22"/>
          <w:szCs w:val="22"/>
        </w:rPr>
      </w:pPr>
    </w:p>
    <w:p w14:paraId="7D95A798" w14:textId="77777777" w:rsidR="00980DCD" w:rsidRPr="00D06AD7" w:rsidRDefault="00980DCD" w:rsidP="007D36FF">
      <w:pPr>
        <w:pStyle w:val="Default"/>
        <w:widowControl w:val="0"/>
        <w:ind w:left="1506"/>
        <w:jc w:val="center"/>
        <w:rPr>
          <w:rFonts w:ascii="Arial Narrow" w:hAnsi="Arial Narrow"/>
          <w:b/>
          <w:bCs/>
          <w:sz w:val="22"/>
          <w:szCs w:val="22"/>
          <w:lang w:val="es-ES"/>
        </w:rPr>
      </w:pPr>
    </w:p>
    <w:p w14:paraId="714B6BF9" w14:textId="77777777" w:rsidR="00C64C07" w:rsidRPr="00D06AD7" w:rsidRDefault="00C74DE6" w:rsidP="007D36FF">
      <w:pPr>
        <w:pStyle w:val="Default"/>
        <w:widowControl w:val="0"/>
        <w:ind w:left="1506"/>
        <w:jc w:val="center"/>
        <w:rPr>
          <w:rFonts w:ascii="Arial Narrow" w:hAnsi="Arial Narrow"/>
          <w:b/>
          <w:bCs/>
          <w:sz w:val="22"/>
          <w:szCs w:val="22"/>
          <w:lang w:val="es-ES"/>
        </w:rPr>
      </w:pPr>
      <w:r w:rsidRPr="00D06AD7">
        <w:rPr>
          <w:rFonts w:ascii="Arial Narrow" w:hAnsi="Arial Narrow"/>
          <w:b/>
          <w:bCs/>
          <w:sz w:val="22"/>
          <w:szCs w:val="22"/>
          <w:lang w:val="es-ES"/>
        </w:rPr>
        <w:t xml:space="preserve">7.  </w:t>
      </w:r>
      <w:r w:rsidR="00C64C07" w:rsidRPr="00D06AD7">
        <w:rPr>
          <w:rFonts w:ascii="Arial Narrow" w:hAnsi="Arial Narrow"/>
          <w:b/>
          <w:bCs/>
          <w:sz w:val="22"/>
          <w:szCs w:val="22"/>
          <w:lang w:val="es-ES"/>
        </w:rPr>
        <w:t>PRESUPUESTO OFICIAL</w:t>
      </w:r>
    </w:p>
    <w:p w14:paraId="757A361A" w14:textId="77777777" w:rsidR="00081CD3" w:rsidRPr="00D06AD7" w:rsidRDefault="00081CD3" w:rsidP="00803D6B">
      <w:pPr>
        <w:jc w:val="both"/>
        <w:rPr>
          <w:rFonts w:ascii="Arial Narrow" w:hAnsi="Arial Narrow" w:cs="Arial"/>
          <w:bCs/>
          <w:sz w:val="22"/>
          <w:szCs w:val="22"/>
          <w:lang w:val="es-ES"/>
        </w:rPr>
      </w:pPr>
    </w:p>
    <w:p w14:paraId="30DFB1E9" w14:textId="49E98CF8" w:rsidR="00D66529" w:rsidRPr="00D06AD7" w:rsidRDefault="002D67F0" w:rsidP="00D66529">
      <w:pPr>
        <w:jc w:val="both"/>
        <w:rPr>
          <w:rFonts w:ascii="Arial Narrow" w:hAnsi="Arial Narrow" w:cs="Calibri"/>
          <w:b/>
          <w:bCs/>
          <w:sz w:val="22"/>
          <w:szCs w:val="22"/>
        </w:rPr>
      </w:pPr>
      <w:r w:rsidRPr="00D06AD7">
        <w:rPr>
          <w:rFonts w:ascii="Arial Narrow" w:hAnsi="Arial Narrow" w:cs="Arial"/>
          <w:bCs/>
          <w:sz w:val="22"/>
          <w:szCs w:val="22"/>
          <w:lang w:val="es-ES"/>
        </w:rPr>
        <w:t xml:space="preserve">El Presupuesto Oficial del presente proceso de Contratación es de: </w:t>
      </w:r>
      <w:r w:rsidR="00A26FA7" w:rsidRPr="00A26FA7">
        <w:rPr>
          <w:rFonts w:ascii="Arial Narrow" w:hAnsi="Arial Narrow"/>
          <w:b/>
          <w:bCs/>
          <w:sz w:val="22"/>
          <w:szCs w:val="22"/>
        </w:rPr>
        <w:t>($37.499.994,00)</w:t>
      </w:r>
      <w:r w:rsidR="00A26FA7">
        <w:rPr>
          <w:rFonts w:ascii="Arial Narrow" w:hAnsi="Arial Narrow"/>
          <w:b/>
          <w:bCs/>
          <w:sz w:val="22"/>
          <w:szCs w:val="22"/>
        </w:rPr>
        <w:t xml:space="preserve"> </w:t>
      </w:r>
      <w:r w:rsidR="00A26FA7" w:rsidRPr="00A26FA7">
        <w:rPr>
          <w:rFonts w:ascii="Arial Narrow" w:hAnsi="Arial Narrow"/>
          <w:b/>
          <w:bCs/>
          <w:sz w:val="22"/>
          <w:szCs w:val="22"/>
        </w:rPr>
        <w:t>TREINTA Y SIETE MILLONES CUATROCIENTOS NOVENTA Y NUEVE MIL NOVECIENTOS NOVENTA Y CUATRO PESOS</w:t>
      </w:r>
      <w:r w:rsidR="00C16CEF" w:rsidRPr="00A26FA7">
        <w:rPr>
          <w:rFonts w:ascii="Arial Narrow" w:hAnsi="Arial Narrow" w:cs="Arial"/>
          <w:b/>
          <w:bCs/>
          <w:noProof/>
          <w:sz w:val="22"/>
          <w:szCs w:val="22"/>
          <w:shd w:val="clear" w:color="auto" w:fill="FFFFFF" w:themeFill="background1"/>
          <w:lang w:val="es-ES"/>
        </w:rPr>
        <w:t>, inlcuido IVA.</w:t>
      </w:r>
    </w:p>
    <w:p w14:paraId="55036D2D" w14:textId="683AE0F4" w:rsidR="007B53FB" w:rsidRDefault="007B53FB" w:rsidP="00803D6B">
      <w:pPr>
        <w:jc w:val="both"/>
        <w:rPr>
          <w:rFonts w:ascii="Arial Narrow" w:hAnsi="Arial Narrow" w:cs="Arial"/>
          <w:bCs/>
          <w:sz w:val="22"/>
          <w:szCs w:val="22"/>
        </w:rPr>
      </w:pPr>
    </w:p>
    <w:p w14:paraId="7F802A5D" w14:textId="77777777" w:rsidR="00C64C07" w:rsidRPr="00D06AD7" w:rsidRDefault="00C74DE6" w:rsidP="007D36FF">
      <w:pPr>
        <w:pStyle w:val="Default"/>
        <w:widowControl w:val="0"/>
        <w:jc w:val="both"/>
        <w:rPr>
          <w:rFonts w:ascii="Arial Narrow" w:hAnsi="Arial Narrow"/>
          <w:sz w:val="22"/>
          <w:szCs w:val="22"/>
        </w:rPr>
      </w:pPr>
      <w:r w:rsidRPr="00D06AD7">
        <w:rPr>
          <w:rFonts w:ascii="Arial Narrow" w:hAnsi="Arial Narrow"/>
          <w:b/>
          <w:bCs/>
          <w:sz w:val="22"/>
          <w:szCs w:val="22"/>
          <w:lang w:val="es-ES"/>
        </w:rPr>
        <w:t xml:space="preserve">7.1. </w:t>
      </w:r>
      <w:r w:rsidR="00C64C07" w:rsidRPr="00D06AD7">
        <w:rPr>
          <w:rFonts w:ascii="Arial Narrow" w:hAnsi="Arial Narrow"/>
          <w:b/>
          <w:bCs/>
          <w:sz w:val="22"/>
          <w:szCs w:val="22"/>
          <w:lang w:val="es-ES"/>
        </w:rPr>
        <w:t>CONDICIONES DE PAGO</w:t>
      </w:r>
    </w:p>
    <w:p w14:paraId="188E0F09" w14:textId="77777777" w:rsidR="00C64C07" w:rsidRPr="00D06AD7" w:rsidRDefault="00C64C07" w:rsidP="00C64C07">
      <w:pPr>
        <w:pStyle w:val="InviasNormal"/>
        <w:spacing w:before="0" w:after="0"/>
        <w:rPr>
          <w:rFonts w:cs="Arial"/>
          <w:sz w:val="22"/>
          <w:szCs w:val="22"/>
        </w:rPr>
      </w:pPr>
    </w:p>
    <w:p w14:paraId="1CE38212" w14:textId="2F9C8149" w:rsidR="00C64C07" w:rsidRPr="00D06AD7" w:rsidRDefault="007D6EA3" w:rsidP="00C64C07">
      <w:pPr>
        <w:pStyle w:val="InviasNormal"/>
        <w:spacing w:before="0" w:after="0"/>
        <w:rPr>
          <w:rFonts w:cs="Arial"/>
          <w:sz w:val="22"/>
          <w:szCs w:val="22"/>
          <w:lang w:val="es-CO"/>
        </w:rPr>
      </w:pPr>
      <w:r w:rsidRPr="00D06AD7">
        <w:rPr>
          <w:rFonts w:cs="Arial"/>
          <w:sz w:val="22"/>
          <w:szCs w:val="22"/>
          <w:lang w:val="es-CO"/>
        </w:rPr>
        <w:t xml:space="preserve">Las Condiciones de pago están indicadas en </w:t>
      </w:r>
      <w:r w:rsidR="001A73A5" w:rsidRPr="00D06AD7">
        <w:rPr>
          <w:rFonts w:cs="Arial"/>
          <w:sz w:val="22"/>
          <w:szCs w:val="22"/>
          <w:lang w:val="es-CO"/>
        </w:rPr>
        <w:t>la invitación pública</w:t>
      </w:r>
      <w:r w:rsidRPr="00D06AD7">
        <w:rPr>
          <w:rFonts w:cs="Arial"/>
          <w:sz w:val="22"/>
          <w:szCs w:val="22"/>
          <w:lang w:val="es-CO"/>
        </w:rPr>
        <w:t xml:space="preserve"> del presente proceso de selección.</w:t>
      </w:r>
    </w:p>
    <w:p w14:paraId="5F01B00C" w14:textId="77777777" w:rsidR="007D6EA3" w:rsidRPr="00D06AD7" w:rsidRDefault="007D6EA3" w:rsidP="00C64C07">
      <w:pPr>
        <w:pStyle w:val="InviasNormal"/>
        <w:spacing w:before="0" w:after="0"/>
        <w:rPr>
          <w:rFonts w:cs="Arial"/>
          <w:sz w:val="22"/>
          <w:szCs w:val="22"/>
        </w:rPr>
      </w:pPr>
    </w:p>
    <w:p w14:paraId="5ECBAF73" w14:textId="77777777" w:rsidR="00C64C07" w:rsidRPr="00D06AD7" w:rsidRDefault="00C74DE6" w:rsidP="007D36FF">
      <w:pPr>
        <w:pStyle w:val="Default"/>
        <w:widowControl w:val="0"/>
        <w:jc w:val="both"/>
        <w:rPr>
          <w:rFonts w:ascii="Arial Narrow" w:hAnsi="Arial Narrow"/>
          <w:b/>
          <w:sz w:val="22"/>
          <w:szCs w:val="22"/>
        </w:rPr>
      </w:pPr>
      <w:r w:rsidRPr="00D06AD7">
        <w:rPr>
          <w:rFonts w:ascii="Arial Narrow" w:hAnsi="Arial Narrow"/>
          <w:b/>
          <w:sz w:val="22"/>
          <w:szCs w:val="22"/>
        </w:rPr>
        <w:t xml:space="preserve">7.2. </w:t>
      </w:r>
      <w:r w:rsidR="00C64C07" w:rsidRPr="00D06AD7">
        <w:rPr>
          <w:rFonts w:ascii="Arial Narrow" w:hAnsi="Arial Narrow"/>
          <w:b/>
          <w:bCs/>
          <w:sz w:val="22"/>
          <w:szCs w:val="22"/>
          <w:lang w:val="es-ES"/>
        </w:rPr>
        <w:t>ANTICIPO</w:t>
      </w:r>
      <w:r w:rsidR="00C64C07" w:rsidRPr="00D06AD7">
        <w:rPr>
          <w:rFonts w:ascii="Arial Narrow" w:hAnsi="Arial Narrow"/>
          <w:b/>
          <w:sz w:val="22"/>
          <w:szCs w:val="22"/>
        </w:rPr>
        <w:t xml:space="preserve"> </w:t>
      </w:r>
    </w:p>
    <w:p w14:paraId="4716A89E" w14:textId="77777777" w:rsidR="00C64C07" w:rsidRPr="00D06AD7" w:rsidRDefault="00C64C07" w:rsidP="00C64C07">
      <w:pPr>
        <w:pStyle w:val="InviasNormal"/>
        <w:spacing w:before="0" w:after="0"/>
        <w:rPr>
          <w:rFonts w:cs="Arial"/>
          <w:b/>
          <w:sz w:val="22"/>
          <w:szCs w:val="22"/>
        </w:rPr>
      </w:pPr>
    </w:p>
    <w:p w14:paraId="4F93F6AF" w14:textId="2778E9F9" w:rsidR="00C64C07" w:rsidRPr="00D06AD7" w:rsidRDefault="001A73A5" w:rsidP="00C64C07">
      <w:pPr>
        <w:tabs>
          <w:tab w:val="left" w:pos="-142"/>
        </w:tabs>
        <w:autoSpaceDE w:val="0"/>
        <w:autoSpaceDN w:val="0"/>
        <w:adjustRightInd w:val="0"/>
        <w:jc w:val="both"/>
        <w:rPr>
          <w:rFonts w:ascii="Arial Narrow" w:hAnsi="Arial Narrow" w:cs="Arial"/>
          <w:sz w:val="22"/>
          <w:szCs w:val="22"/>
        </w:rPr>
      </w:pPr>
      <w:r w:rsidRPr="00D06AD7">
        <w:rPr>
          <w:rFonts w:ascii="Arial Narrow" w:hAnsi="Arial Narrow" w:cs="Arial"/>
          <w:sz w:val="22"/>
          <w:szCs w:val="22"/>
        </w:rPr>
        <w:t>Según lo indicado en la Invitación Pública.</w:t>
      </w:r>
    </w:p>
    <w:p w14:paraId="0603197C" w14:textId="77777777" w:rsidR="001A73A5" w:rsidRPr="00D06AD7" w:rsidRDefault="001A73A5" w:rsidP="00C64C07">
      <w:pPr>
        <w:tabs>
          <w:tab w:val="left" w:pos="-142"/>
        </w:tabs>
        <w:autoSpaceDE w:val="0"/>
        <w:autoSpaceDN w:val="0"/>
        <w:adjustRightInd w:val="0"/>
        <w:jc w:val="both"/>
        <w:rPr>
          <w:rFonts w:ascii="Arial Narrow" w:hAnsi="Arial Narrow" w:cs="Arial"/>
          <w:sz w:val="22"/>
          <w:szCs w:val="22"/>
          <w:lang w:val="es-ES"/>
        </w:rPr>
      </w:pPr>
    </w:p>
    <w:p w14:paraId="7A6B89B0" w14:textId="77777777" w:rsidR="00CD3DA8" w:rsidRPr="00D06AD7" w:rsidRDefault="00CD3DA8" w:rsidP="00C64C07">
      <w:pPr>
        <w:tabs>
          <w:tab w:val="left" w:pos="-142"/>
        </w:tabs>
        <w:autoSpaceDE w:val="0"/>
        <w:autoSpaceDN w:val="0"/>
        <w:adjustRightInd w:val="0"/>
        <w:jc w:val="both"/>
        <w:rPr>
          <w:rFonts w:ascii="Arial Narrow" w:hAnsi="Arial Narrow" w:cs="Arial"/>
          <w:sz w:val="22"/>
          <w:szCs w:val="22"/>
          <w:lang w:val="es-ES"/>
        </w:rPr>
      </w:pPr>
    </w:p>
    <w:p w14:paraId="0A8E1748" w14:textId="6AC0DAB3" w:rsidR="00C64C07" w:rsidRPr="00D06AD7" w:rsidRDefault="00C74DE6" w:rsidP="007D36FF">
      <w:pPr>
        <w:jc w:val="center"/>
        <w:rPr>
          <w:rFonts w:ascii="Arial Narrow" w:eastAsia="Cambria" w:hAnsi="Arial Narrow" w:cs="Arial"/>
          <w:b/>
          <w:sz w:val="22"/>
          <w:szCs w:val="22"/>
          <w:lang w:val="es-ES_tradnl" w:eastAsia="en-US"/>
        </w:rPr>
      </w:pPr>
      <w:r w:rsidRPr="00D06AD7">
        <w:rPr>
          <w:rFonts w:ascii="Arial Narrow" w:eastAsia="Cambria" w:hAnsi="Arial Narrow" w:cs="Arial"/>
          <w:b/>
          <w:sz w:val="22"/>
          <w:szCs w:val="22"/>
          <w:lang w:val="es-ES_tradnl" w:eastAsia="en-US"/>
        </w:rPr>
        <w:t xml:space="preserve">8. </w:t>
      </w:r>
      <w:r w:rsidR="00197382" w:rsidRPr="00D06AD7">
        <w:rPr>
          <w:rFonts w:ascii="Arial Narrow" w:hAnsi="Arial Narrow" w:cs="Arial"/>
          <w:b/>
          <w:sz w:val="22"/>
          <w:szCs w:val="22"/>
        </w:rPr>
        <w:t>REQUISITOS HABILITANTES Y SU VERIFICACION</w:t>
      </w:r>
    </w:p>
    <w:p w14:paraId="081FDFD4" w14:textId="77777777" w:rsidR="00C64C07" w:rsidRPr="00D06AD7" w:rsidRDefault="00C64C07" w:rsidP="00C64C07">
      <w:pPr>
        <w:pStyle w:val="Listavistosa-nfasis11"/>
        <w:ind w:left="0"/>
        <w:jc w:val="both"/>
        <w:rPr>
          <w:rFonts w:ascii="Arial Narrow" w:hAnsi="Arial Narrow" w:cs="Arial"/>
          <w:b/>
          <w:sz w:val="22"/>
          <w:szCs w:val="22"/>
        </w:rPr>
      </w:pPr>
    </w:p>
    <w:p w14:paraId="49DA841C" w14:textId="77777777" w:rsidR="00C64C07" w:rsidRPr="00D06AD7" w:rsidRDefault="00C74DE6" w:rsidP="00C74DE6">
      <w:pPr>
        <w:jc w:val="both"/>
        <w:rPr>
          <w:rFonts w:ascii="Arial Narrow" w:hAnsi="Arial Narrow" w:cs="Arial"/>
          <w:b/>
          <w:sz w:val="22"/>
          <w:szCs w:val="22"/>
        </w:rPr>
      </w:pPr>
      <w:r w:rsidRPr="00D06AD7">
        <w:rPr>
          <w:rFonts w:ascii="Arial Narrow" w:hAnsi="Arial Narrow" w:cs="Arial"/>
          <w:b/>
          <w:sz w:val="22"/>
          <w:szCs w:val="22"/>
        </w:rPr>
        <w:t xml:space="preserve">8.1. </w:t>
      </w:r>
      <w:r w:rsidR="00C64C07" w:rsidRPr="00D06AD7">
        <w:rPr>
          <w:rFonts w:ascii="Arial Narrow" w:hAnsi="Arial Narrow" w:cs="Arial"/>
          <w:b/>
          <w:sz w:val="22"/>
          <w:szCs w:val="22"/>
        </w:rPr>
        <w:t>REQUISITOS HABILITANTES</w:t>
      </w:r>
    </w:p>
    <w:p w14:paraId="5F0AF392" w14:textId="77777777" w:rsidR="00C64C07" w:rsidRPr="00D06AD7" w:rsidRDefault="00C64C07" w:rsidP="00C64C07">
      <w:pPr>
        <w:pStyle w:val="Listavistosa-nfasis11"/>
        <w:ind w:left="0"/>
        <w:jc w:val="both"/>
        <w:rPr>
          <w:rFonts w:ascii="Arial Narrow" w:hAnsi="Arial Narrow" w:cs="Arial"/>
          <w:b/>
          <w:sz w:val="22"/>
          <w:szCs w:val="22"/>
        </w:rPr>
      </w:pPr>
    </w:p>
    <w:p w14:paraId="422F1A3B" w14:textId="77777777" w:rsidR="00C64C07" w:rsidRPr="00D06AD7" w:rsidRDefault="00C64C07" w:rsidP="00C64C07">
      <w:pPr>
        <w:pStyle w:val="Listavistosa-nfasis11"/>
        <w:ind w:left="0"/>
        <w:jc w:val="both"/>
        <w:rPr>
          <w:rFonts w:ascii="Arial Narrow" w:hAnsi="Arial Narrow" w:cs="Arial"/>
          <w:sz w:val="22"/>
          <w:szCs w:val="22"/>
        </w:rPr>
      </w:pPr>
      <w:r w:rsidRPr="00D06AD7">
        <w:rPr>
          <w:rFonts w:ascii="Arial Narrow" w:hAnsi="Arial Narrow" w:cs="Arial"/>
          <w:sz w:val="22"/>
          <w:szCs w:val="22"/>
        </w:rPr>
        <w:lastRenderedPageBreak/>
        <w:t xml:space="preserve">Para la determinación de los requisitos habilitantes, que deben ser acreditados por parte de los proponentes, la entidad ha procedido de conformidad con lo establecido en el artículo </w:t>
      </w:r>
      <w:r w:rsidR="00E454C4" w:rsidRPr="00D06AD7">
        <w:rPr>
          <w:rFonts w:ascii="Arial Narrow" w:hAnsi="Arial Narrow" w:cs="Arial"/>
          <w:sz w:val="22"/>
          <w:szCs w:val="22"/>
        </w:rPr>
        <w:t>2.2.1.1.1.6.2</w:t>
      </w:r>
      <w:r w:rsidRPr="00D06AD7">
        <w:rPr>
          <w:rFonts w:ascii="Arial Narrow" w:hAnsi="Arial Narrow" w:cs="Arial"/>
          <w:sz w:val="22"/>
          <w:szCs w:val="22"/>
        </w:rPr>
        <w:t xml:space="preserve"> del Decreto 1082 de 2015, que señala:</w:t>
      </w:r>
    </w:p>
    <w:p w14:paraId="240E1C62" w14:textId="77777777" w:rsidR="00C64C07" w:rsidRPr="00D06AD7" w:rsidRDefault="00C64C07" w:rsidP="00C64C07">
      <w:pPr>
        <w:autoSpaceDE w:val="0"/>
        <w:autoSpaceDN w:val="0"/>
        <w:adjustRightInd w:val="0"/>
        <w:jc w:val="both"/>
        <w:rPr>
          <w:rFonts w:ascii="Arial Narrow" w:hAnsi="Arial Narrow" w:cs="Arial"/>
          <w:sz w:val="22"/>
          <w:szCs w:val="22"/>
        </w:rPr>
      </w:pPr>
    </w:p>
    <w:p w14:paraId="4C639200" w14:textId="77777777" w:rsidR="00C64C07" w:rsidRPr="00D06AD7" w:rsidRDefault="00C64C07" w:rsidP="00C64C07">
      <w:pPr>
        <w:pStyle w:val="Listavistosa-nfasis11"/>
        <w:ind w:left="708" w:right="616"/>
        <w:jc w:val="both"/>
        <w:rPr>
          <w:rFonts w:ascii="Arial Narrow" w:hAnsi="Arial Narrow" w:cs="Arial"/>
          <w:i/>
          <w:sz w:val="22"/>
          <w:szCs w:val="22"/>
        </w:rPr>
      </w:pPr>
      <w:r w:rsidRPr="00D06AD7">
        <w:rPr>
          <w:rFonts w:ascii="Arial Narrow" w:hAnsi="Arial Narrow" w:cs="Arial"/>
          <w:b/>
          <w:bCs/>
          <w:i/>
          <w:iCs/>
          <w:sz w:val="22"/>
          <w:szCs w:val="22"/>
        </w:rPr>
        <w:t>“Determinación de los Requisitos Habilitantes</w:t>
      </w:r>
      <w:r w:rsidRPr="00D06AD7">
        <w:rPr>
          <w:rFonts w:ascii="Arial Narrow" w:hAnsi="Arial Narrow" w:cs="Arial"/>
          <w:i/>
          <w:iCs/>
          <w:sz w:val="22"/>
          <w:szCs w:val="22"/>
        </w:rPr>
        <w:t xml:space="preserve">. </w:t>
      </w:r>
      <w:r w:rsidRPr="00D06AD7">
        <w:rPr>
          <w:rFonts w:ascii="Arial Narrow" w:hAnsi="Arial Narrow" w:cs="Arial"/>
          <w:i/>
          <w:sz w:val="22"/>
          <w:szCs w:val="22"/>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D06AD7" w:rsidRDefault="00C64C07" w:rsidP="00C64C07">
      <w:pPr>
        <w:pStyle w:val="Listavistosa-nfasis11"/>
        <w:ind w:left="0"/>
        <w:jc w:val="both"/>
        <w:rPr>
          <w:rFonts w:ascii="Arial Narrow" w:hAnsi="Arial Narrow" w:cs="Arial"/>
          <w:sz w:val="22"/>
          <w:szCs w:val="22"/>
        </w:rPr>
      </w:pPr>
    </w:p>
    <w:p w14:paraId="4147C950" w14:textId="0DC9DFE5" w:rsidR="00197382" w:rsidRPr="00D06AD7" w:rsidRDefault="00197382" w:rsidP="00197382">
      <w:pPr>
        <w:jc w:val="both"/>
        <w:rPr>
          <w:rFonts w:ascii="Arial Narrow" w:hAnsi="Arial Narrow" w:cs="Arial"/>
          <w:sz w:val="22"/>
          <w:szCs w:val="22"/>
        </w:rPr>
      </w:pPr>
      <w:r w:rsidRPr="00D06AD7">
        <w:rPr>
          <w:rFonts w:ascii="Arial Narrow" w:hAnsi="Arial Narrow" w:cs="Arial"/>
          <w:sz w:val="22"/>
          <w:szCs w:val="22"/>
        </w:rPr>
        <w:t xml:space="preserve">La Entidad verificará los requisitos habilitantes dentro del término señalado en el Cronograma </w:t>
      </w:r>
      <w:r w:rsidR="00C8572A" w:rsidRPr="00D06AD7">
        <w:rPr>
          <w:rFonts w:ascii="Arial Narrow" w:hAnsi="Arial Narrow" w:cs="Arial"/>
          <w:sz w:val="22"/>
          <w:szCs w:val="22"/>
        </w:rPr>
        <w:t>de la invitación pública</w:t>
      </w:r>
      <w:r w:rsidRPr="00D06AD7">
        <w:rPr>
          <w:rFonts w:ascii="Arial Narrow" w:hAnsi="Arial Narrow" w:cs="Arial"/>
          <w:sz w:val="22"/>
          <w:szCs w:val="22"/>
        </w:rPr>
        <w:t xml:space="preserve"> de acuerdo con los soportes documentales que acompañan la propuesta presentada. </w:t>
      </w:r>
    </w:p>
    <w:p w14:paraId="7A02DEE5" w14:textId="77777777" w:rsidR="00197382" w:rsidRPr="00D06AD7" w:rsidRDefault="00197382" w:rsidP="00197382">
      <w:pPr>
        <w:jc w:val="both"/>
        <w:rPr>
          <w:rFonts w:ascii="Arial Narrow" w:hAnsi="Arial Narrow" w:cs="Arial"/>
          <w:sz w:val="22"/>
          <w:szCs w:val="22"/>
        </w:rPr>
      </w:pPr>
    </w:p>
    <w:p w14:paraId="5B2DF96A" w14:textId="77777777" w:rsidR="00197382" w:rsidRPr="00D06AD7" w:rsidRDefault="00197382" w:rsidP="00197382">
      <w:pPr>
        <w:jc w:val="both"/>
        <w:rPr>
          <w:rFonts w:ascii="Arial Narrow" w:hAnsi="Arial Narrow" w:cs="Arial"/>
          <w:sz w:val="22"/>
          <w:szCs w:val="22"/>
        </w:rPr>
      </w:pPr>
      <w:r w:rsidRPr="00D06AD7">
        <w:rPr>
          <w:rFonts w:ascii="Arial Narrow" w:hAnsi="Arial Narrow" w:cs="Arial"/>
          <w:sz w:val="22"/>
          <w:szCs w:val="22"/>
        </w:rPr>
        <w:t>Los requisitos habilitantes serán objeto de verificación. Por lo tanto, si la propuesta cumple con todos los aspectos se evaluarán como “</w:t>
      </w:r>
      <w:r w:rsidRPr="00D06AD7">
        <w:rPr>
          <w:rFonts w:ascii="Arial Narrow" w:hAnsi="Arial Narrow" w:cs="Arial"/>
          <w:i/>
          <w:sz w:val="22"/>
          <w:szCs w:val="22"/>
        </w:rPr>
        <w:t>cumple</w:t>
      </w:r>
      <w:r w:rsidRPr="00D06AD7">
        <w:rPr>
          <w:rFonts w:ascii="Arial Narrow" w:hAnsi="Arial Narrow" w:cs="Arial"/>
          <w:sz w:val="22"/>
          <w:szCs w:val="22"/>
        </w:rPr>
        <w:t>”. En caso contrario, se evaluará como “</w:t>
      </w:r>
      <w:r w:rsidRPr="00D06AD7">
        <w:rPr>
          <w:rFonts w:ascii="Arial Narrow" w:hAnsi="Arial Narrow" w:cs="Arial"/>
          <w:i/>
          <w:sz w:val="22"/>
          <w:szCs w:val="22"/>
        </w:rPr>
        <w:t>no cumple</w:t>
      </w:r>
      <w:r w:rsidRPr="00D06AD7">
        <w:rPr>
          <w:rFonts w:ascii="Arial Narrow" w:hAnsi="Arial Narrow" w:cs="Arial"/>
          <w:sz w:val="22"/>
          <w:szCs w:val="22"/>
        </w:rPr>
        <w:t xml:space="preserve">”. </w:t>
      </w:r>
    </w:p>
    <w:p w14:paraId="0DC64C06" w14:textId="77777777" w:rsidR="00197382" w:rsidRPr="00D06AD7" w:rsidRDefault="00197382" w:rsidP="00197382">
      <w:pPr>
        <w:jc w:val="both"/>
        <w:rPr>
          <w:rFonts w:ascii="Arial Narrow" w:hAnsi="Arial Narrow" w:cs="Arial"/>
          <w:sz w:val="22"/>
          <w:szCs w:val="22"/>
        </w:rPr>
      </w:pPr>
    </w:p>
    <w:p w14:paraId="0B5F46F8" w14:textId="704F1AB2" w:rsidR="00197382" w:rsidRPr="00D06AD7" w:rsidRDefault="00197382" w:rsidP="00197382">
      <w:pPr>
        <w:jc w:val="both"/>
        <w:rPr>
          <w:rFonts w:ascii="Arial Narrow" w:hAnsi="Arial Narrow" w:cs="Arial"/>
          <w:sz w:val="22"/>
          <w:szCs w:val="22"/>
        </w:rPr>
      </w:pPr>
      <w:r w:rsidRPr="00D06AD7">
        <w:rPr>
          <w:rFonts w:ascii="Arial Narrow" w:hAnsi="Arial Narrow" w:cs="Arial"/>
          <w:sz w:val="22"/>
          <w:szCs w:val="22"/>
        </w:rPr>
        <w:t xml:space="preserve">De conformidad con la normativa aplicable, la Entidad realizará la verificación de requisitos habilitantes de los Proponentes (personas naturales o jurídicas nacionales o extranjeras domiciliadas o con sucursal en Colombia, Proponentes Plurales) y los documentos señalados </w:t>
      </w:r>
      <w:r w:rsidR="00C8572A" w:rsidRPr="00D06AD7">
        <w:rPr>
          <w:rFonts w:ascii="Arial Narrow" w:hAnsi="Arial Narrow" w:cs="Arial"/>
          <w:sz w:val="22"/>
          <w:szCs w:val="22"/>
        </w:rPr>
        <w:t>la invitación pública.</w:t>
      </w:r>
      <w:r w:rsidRPr="00D06AD7">
        <w:rPr>
          <w:rFonts w:ascii="Arial Narrow" w:hAnsi="Arial Narrow" w:cs="Arial"/>
          <w:sz w:val="22"/>
          <w:szCs w:val="22"/>
        </w:rPr>
        <w:t xml:space="preserve"> </w:t>
      </w:r>
    </w:p>
    <w:p w14:paraId="613241D4" w14:textId="77777777" w:rsidR="00197382" w:rsidRPr="00D06AD7" w:rsidRDefault="00197382" w:rsidP="00197382">
      <w:pPr>
        <w:jc w:val="both"/>
        <w:rPr>
          <w:rFonts w:ascii="Arial Narrow" w:hAnsi="Arial Narrow" w:cs="Arial"/>
          <w:sz w:val="22"/>
          <w:szCs w:val="22"/>
        </w:rPr>
      </w:pPr>
    </w:p>
    <w:p w14:paraId="60144286" w14:textId="0B65C68B" w:rsidR="00197382" w:rsidRPr="00D06AD7" w:rsidRDefault="00197382" w:rsidP="00197382">
      <w:pPr>
        <w:jc w:val="both"/>
        <w:rPr>
          <w:rFonts w:ascii="Arial Narrow" w:hAnsi="Arial Narrow" w:cs="Arial"/>
          <w:sz w:val="22"/>
          <w:szCs w:val="22"/>
        </w:rPr>
      </w:pPr>
      <w:r w:rsidRPr="00D06AD7">
        <w:rPr>
          <w:rFonts w:ascii="Arial Narrow" w:hAnsi="Arial Narrow" w:cs="Arial"/>
          <w:sz w:val="22"/>
          <w:szCs w:val="22"/>
        </w:rPr>
        <w:t xml:space="preserve">La Entidad no podrá exigir requisitos habilitantes diferentes a los señalados en </w:t>
      </w:r>
      <w:r w:rsidR="001B340C" w:rsidRPr="00D06AD7">
        <w:rPr>
          <w:rFonts w:ascii="Arial Narrow" w:hAnsi="Arial Narrow" w:cs="Arial"/>
          <w:sz w:val="22"/>
          <w:szCs w:val="22"/>
        </w:rPr>
        <w:t xml:space="preserve">la invitación pública. </w:t>
      </w:r>
    </w:p>
    <w:p w14:paraId="0448E6B9" w14:textId="77777777" w:rsidR="00197382" w:rsidRPr="00D06AD7" w:rsidRDefault="00197382" w:rsidP="00197382">
      <w:pPr>
        <w:rPr>
          <w:rFonts w:ascii="Arial Narrow" w:hAnsi="Arial Narrow" w:cs="Arial"/>
          <w:sz w:val="22"/>
          <w:szCs w:val="22"/>
        </w:rPr>
      </w:pPr>
    </w:p>
    <w:p w14:paraId="7BC80B17" w14:textId="77777777" w:rsidR="00197382" w:rsidRPr="00D06AD7" w:rsidRDefault="00197382" w:rsidP="00197382">
      <w:pPr>
        <w:pStyle w:val="Ttulo2"/>
        <w:keepLines/>
        <w:numPr>
          <w:ilvl w:val="0"/>
          <w:numId w:val="0"/>
        </w:numPr>
        <w:jc w:val="both"/>
        <w:rPr>
          <w:rFonts w:cs="Arial"/>
          <w:b/>
          <w:sz w:val="22"/>
          <w:szCs w:val="22"/>
        </w:rPr>
      </w:pPr>
      <w:bookmarkStart w:id="6" w:name="_Toc77230738"/>
      <w:r w:rsidRPr="00D06AD7">
        <w:rPr>
          <w:rFonts w:cs="Arial"/>
          <w:b/>
          <w:sz w:val="22"/>
          <w:szCs w:val="22"/>
        </w:rPr>
        <w:t>GENERALIDADES</w:t>
      </w:r>
      <w:bookmarkEnd w:id="6"/>
    </w:p>
    <w:p w14:paraId="445E60EC" w14:textId="77777777" w:rsidR="00197382" w:rsidRPr="00D06AD7" w:rsidRDefault="00197382" w:rsidP="00197382">
      <w:pPr>
        <w:rPr>
          <w:rFonts w:ascii="Arial Narrow" w:hAnsi="Arial Narrow" w:cs="Arial"/>
          <w:sz w:val="22"/>
          <w:szCs w:val="22"/>
        </w:rPr>
      </w:pPr>
    </w:p>
    <w:p w14:paraId="4DB7ECD2" w14:textId="77777777" w:rsidR="001B340C" w:rsidRPr="00D06AD7" w:rsidRDefault="001B340C" w:rsidP="00EC17FC">
      <w:pPr>
        <w:pStyle w:val="InviasNormal"/>
        <w:numPr>
          <w:ilvl w:val="0"/>
          <w:numId w:val="32"/>
        </w:numPr>
        <w:spacing w:line="276" w:lineRule="auto"/>
        <w:rPr>
          <w:rFonts w:eastAsia="Cambria" w:cs="Arial"/>
          <w:sz w:val="22"/>
          <w:szCs w:val="22"/>
          <w:lang w:val="es-ES_tradnl" w:eastAsia="en-US"/>
        </w:rPr>
      </w:pPr>
      <w:r w:rsidRPr="00D06AD7">
        <w:rPr>
          <w:rFonts w:eastAsia="Cambria" w:cs="Arial"/>
          <w:sz w:val="22"/>
          <w:szCs w:val="22"/>
          <w:lang w:val="es-ES_tradnl" w:eastAsia="en-US"/>
        </w:rPr>
        <w:t>Únicamente se consideran habilitados aquellos proponentes que cumplan todos los requisitos habilitantes, según lo señalado en la presente Invitación.</w:t>
      </w:r>
    </w:p>
    <w:p w14:paraId="7118985D" w14:textId="7FAC1F8A" w:rsidR="001B340C" w:rsidRPr="006F093F" w:rsidRDefault="001B340C" w:rsidP="00CD22A9">
      <w:pPr>
        <w:pStyle w:val="InviasNormal"/>
        <w:numPr>
          <w:ilvl w:val="0"/>
          <w:numId w:val="32"/>
        </w:numPr>
        <w:spacing w:line="276" w:lineRule="auto"/>
        <w:rPr>
          <w:rFonts w:eastAsia="Cambria" w:cs="Arial"/>
          <w:sz w:val="22"/>
          <w:szCs w:val="22"/>
          <w:lang w:val="es-ES_tradnl" w:eastAsia="en-US"/>
        </w:rPr>
      </w:pPr>
      <w:r w:rsidRPr="006F093F">
        <w:rPr>
          <w:rFonts w:eastAsia="Cambria" w:cs="Arial"/>
          <w:sz w:val="22"/>
          <w:szCs w:val="22"/>
          <w:lang w:val="es-ES_tradnl" w:eastAsia="en-US"/>
        </w:rPr>
        <w:t>En el caso de proponentes plurales, los que se dé a entender algo distinto y, en todo caso, se realizará de acuerdo con las reglas de la invitación.</w:t>
      </w:r>
    </w:p>
    <w:p w14:paraId="579A24B1"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7" w:name="_Toc26253784"/>
      <w:bookmarkStart w:id="8" w:name="_Toc26260111"/>
      <w:bookmarkStart w:id="9" w:name="_Toc26263577"/>
      <w:bookmarkStart w:id="10" w:name="_Toc26253786"/>
      <w:bookmarkStart w:id="11" w:name="_Toc26260113"/>
      <w:bookmarkStart w:id="12" w:name="_Toc26263579"/>
      <w:bookmarkStart w:id="13" w:name="_Toc508648267"/>
      <w:bookmarkStart w:id="14" w:name="_Toc508984051"/>
      <w:bookmarkStart w:id="15" w:name="_Toc509843882"/>
      <w:bookmarkStart w:id="16" w:name="_Toc511924790"/>
      <w:bookmarkStart w:id="17" w:name="_Toc75867687"/>
      <w:bookmarkEnd w:id="7"/>
      <w:bookmarkEnd w:id="8"/>
      <w:bookmarkEnd w:id="9"/>
      <w:bookmarkEnd w:id="10"/>
      <w:bookmarkEnd w:id="11"/>
      <w:bookmarkEnd w:id="12"/>
      <w:r w:rsidRPr="00D06AD7">
        <w:rPr>
          <w:rFonts w:ascii="Arial Narrow" w:hAnsi="Arial Narrow" w:cs="Arial"/>
          <w:b/>
          <w:color w:val="000000"/>
          <w:sz w:val="22"/>
          <w:szCs w:val="22"/>
        </w:rPr>
        <w:t>CAPACIDAD JURÍDICA</w:t>
      </w:r>
      <w:bookmarkEnd w:id="13"/>
      <w:bookmarkEnd w:id="14"/>
      <w:bookmarkEnd w:id="15"/>
      <w:bookmarkEnd w:id="16"/>
      <w:bookmarkEnd w:id="17"/>
      <w:r w:rsidRPr="00D06AD7">
        <w:rPr>
          <w:rFonts w:ascii="Arial Narrow" w:hAnsi="Arial Narrow" w:cs="Arial"/>
          <w:b/>
          <w:color w:val="000000"/>
          <w:sz w:val="22"/>
          <w:szCs w:val="22"/>
        </w:rPr>
        <w:t xml:space="preserve"> </w:t>
      </w:r>
    </w:p>
    <w:p w14:paraId="4F7E6C59"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eastAsia="Cambria" w:hAnsi="Arial Narrow" w:cs="Arial"/>
          <w:sz w:val="22"/>
          <w:szCs w:val="22"/>
          <w:lang w:val="es-ES_tradnl" w:eastAsia="en-US"/>
        </w:rPr>
      </w:pPr>
      <w:r w:rsidRPr="00D06AD7">
        <w:rPr>
          <w:rFonts w:ascii="Arial Narrow" w:eastAsia="Cambria" w:hAnsi="Arial Narrow" w:cs="Arial"/>
          <w:sz w:val="22"/>
          <w:szCs w:val="22"/>
          <w:lang w:val="es-ES_tradnl" w:eastAsia="en-US"/>
        </w:rPr>
        <w:t>Los interesados podrán participar como proponentes bajo alguna de las siguientes modalidades siempre y cuando cumplan los requisitos exigidos en la invitación:</w:t>
      </w:r>
    </w:p>
    <w:p w14:paraId="400F6833" w14:textId="77777777" w:rsidR="001B340C" w:rsidRPr="00D06AD7" w:rsidRDefault="001B340C" w:rsidP="00EC17FC">
      <w:pPr>
        <w:numPr>
          <w:ilvl w:val="0"/>
          <w:numId w:val="33"/>
        </w:numPr>
        <w:tabs>
          <w:tab w:val="left" w:pos="-142"/>
        </w:tabs>
        <w:autoSpaceDE w:val="0"/>
        <w:autoSpaceDN w:val="0"/>
        <w:adjustRightInd w:val="0"/>
        <w:spacing w:before="120" w:after="240" w:line="276" w:lineRule="auto"/>
        <w:jc w:val="both"/>
        <w:rPr>
          <w:rFonts w:ascii="Arial Narrow" w:eastAsia="Cambria" w:hAnsi="Arial Narrow" w:cs="Arial"/>
          <w:sz w:val="22"/>
          <w:szCs w:val="22"/>
          <w:lang w:val="es-ES_tradnl" w:eastAsia="en-US"/>
        </w:rPr>
      </w:pPr>
      <w:r w:rsidRPr="00D06AD7">
        <w:rPr>
          <w:rFonts w:ascii="Arial Narrow" w:eastAsia="Cambria" w:hAnsi="Arial Narrow" w:cs="Arial"/>
          <w:sz w:val="22"/>
          <w:szCs w:val="22"/>
          <w:lang w:val="es-ES_tradnl" w:eastAsia="en-US"/>
        </w:rPr>
        <w:t>Individualmente como: a) personas naturales nacionales o extranjeras, b) personas jurídicas nacionales o extranjeras.</w:t>
      </w:r>
    </w:p>
    <w:p w14:paraId="2A1D4C83" w14:textId="77777777" w:rsidR="001B340C" w:rsidRPr="00D06AD7" w:rsidRDefault="001B340C" w:rsidP="00EC17FC">
      <w:pPr>
        <w:numPr>
          <w:ilvl w:val="0"/>
          <w:numId w:val="33"/>
        </w:num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eastAsia="Cambria" w:hAnsi="Arial Narrow" w:cs="Arial"/>
          <w:sz w:val="22"/>
          <w:szCs w:val="22"/>
          <w:lang w:val="es-ES_tradnl" w:eastAsia="en-US"/>
        </w:rPr>
        <w:t xml:space="preserve">Conjuntamente, como proponentes plurales en cualquiera de las formas de asociación previstas en el artículo 7 de la Ley </w:t>
      </w:r>
      <w:r w:rsidRPr="00D06AD7">
        <w:rPr>
          <w:rFonts w:ascii="Arial Narrow" w:hAnsi="Arial Narrow" w:cs="Arial"/>
          <w:sz w:val="22"/>
          <w:szCs w:val="22"/>
        </w:rPr>
        <w:t>80 de 1993.</w:t>
      </w:r>
    </w:p>
    <w:p w14:paraId="410D0B37"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Los proponentes deben:</w:t>
      </w:r>
    </w:p>
    <w:p w14:paraId="2C741DB7" w14:textId="77777777" w:rsidR="001B340C" w:rsidRPr="00D06AD7" w:rsidRDefault="001B340C" w:rsidP="00EC17FC">
      <w:pPr>
        <w:numPr>
          <w:ilvl w:val="0"/>
          <w:numId w:val="34"/>
        </w:num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Tener capacidad jurídica para la presentación de la oferta.</w:t>
      </w:r>
    </w:p>
    <w:p w14:paraId="7DA4BC0F" w14:textId="77777777" w:rsidR="001B340C" w:rsidRPr="00D06AD7" w:rsidRDefault="001B340C" w:rsidP="00EC17FC">
      <w:pPr>
        <w:numPr>
          <w:ilvl w:val="0"/>
          <w:numId w:val="34"/>
        </w:num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lastRenderedPageBreak/>
        <w:t>Tener capacidad jurídica para la celebración del contrato y ejecución de la oferta.</w:t>
      </w:r>
    </w:p>
    <w:p w14:paraId="33CF8FB3" w14:textId="77777777" w:rsidR="001B340C" w:rsidRPr="00D06AD7" w:rsidRDefault="001B340C" w:rsidP="00EC17FC">
      <w:pPr>
        <w:pStyle w:val="Prrafodelista"/>
        <w:numPr>
          <w:ilvl w:val="0"/>
          <w:numId w:val="34"/>
        </w:numPr>
        <w:spacing w:after="200" w:line="276" w:lineRule="auto"/>
        <w:contextualSpacing/>
        <w:jc w:val="both"/>
        <w:rPr>
          <w:rFonts w:ascii="Arial Narrow" w:hAnsi="Arial Narrow" w:cs="Arial"/>
          <w:sz w:val="22"/>
          <w:szCs w:val="22"/>
          <w:lang w:eastAsia="es-CO"/>
        </w:rPr>
      </w:pPr>
      <w:r w:rsidRPr="00D06AD7">
        <w:rPr>
          <w:rFonts w:ascii="Arial Narrow" w:hAnsi="Arial Narrow" w:cs="Arial"/>
          <w:sz w:val="22"/>
          <w:szCs w:val="22"/>
          <w:lang w:eastAsia="es-CO"/>
        </w:rPr>
        <w:t>No estar incursos en ninguna de las circunstancias de inhabilidad, incompatibilidad, conflicto de interés o prohibición para contratar previstas en la Constitución y en la ley.</w:t>
      </w:r>
    </w:p>
    <w:p w14:paraId="3CC8906F" w14:textId="77777777" w:rsidR="001B340C" w:rsidRPr="00D06AD7" w:rsidRDefault="001B340C" w:rsidP="00EC17FC">
      <w:pPr>
        <w:numPr>
          <w:ilvl w:val="0"/>
          <w:numId w:val="34"/>
        </w:num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No estar reportado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559B3F5"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La entidad consultará los Antecedentes Judiciales en línea en los registros de las bases de datos, al igual que el Certificado de Antecedentes Disciplinarios conforme al artículo 1 de la Ley 1238 de 2008 y el Registro Nacional de Medidas Correctivas del Ministerio de Defensa Nacional – Policía Nacional, de acuerdo con lo dispuesto en el artículo 183 de la Ley 1801 de 2016 –Código Nacional de Seguridad y Convivencia–.</w:t>
      </w:r>
    </w:p>
    <w:p w14:paraId="35036928"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18" w:name="_Toc508648269"/>
      <w:bookmarkStart w:id="19" w:name="_Toc508984053"/>
      <w:bookmarkStart w:id="20" w:name="_Toc509843884"/>
      <w:bookmarkStart w:id="21" w:name="_Toc511924791"/>
      <w:bookmarkStart w:id="22" w:name="_Toc75867688"/>
      <w:r w:rsidRPr="00D06AD7">
        <w:rPr>
          <w:rFonts w:ascii="Arial Narrow" w:hAnsi="Arial Narrow" w:cs="Arial"/>
          <w:b/>
          <w:color w:val="000000"/>
          <w:sz w:val="22"/>
          <w:szCs w:val="22"/>
        </w:rPr>
        <w:t>EXISTENCIA Y REPRESENTACIÓN LEGAL</w:t>
      </w:r>
      <w:bookmarkEnd w:id="18"/>
      <w:bookmarkEnd w:id="19"/>
      <w:bookmarkEnd w:id="20"/>
      <w:bookmarkEnd w:id="21"/>
      <w:bookmarkEnd w:id="22"/>
    </w:p>
    <w:p w14:paraId="5EE5FECB"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La existencia y representación legal de los proponentes individuales o miembros de los proponentes plurales se acreditará de acuerdo con las siguientes reglas:</w:t>
      </w:r>
    </w:p>
    <w:p w14:paraId="386CA03B"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23" w:name="_Toc75867689"/>
      <w:r w:rsidRPr="00D06AD7">
        <w:rPr>
          <w:rFonts w:ascii="Arial Narrow" w:hAnsi="Arial Narrow" w:cs="Arial"/>
          <w:b/>
          <w:color w:val="000000"/>
          <w:sz w:val="22"/>
          <w:szCs w:val="22"/>
        </w:rPr>
        <w:t>PERSONAS NATURALES</w:t>
      </w:r>
      <w:bookmarkEnd w:id="23"/>
    </w:p>
    <w:p w14:paraId="3A4BB793"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 xml:space="preserve">Deben presentar los siguientes documentos en copia simple: </w:t>
      </w:r>
    </w:p>
    <w:p w14:paraId="05CE4877" w14:textId="77777777" w:rsidR="001B340C" w:rsidRPr="00D06AD7" w:rsidRDefault="001B340C" w:rsidP="00EC17FC">
      <w:pPr>
        <w:numPr>
          <w:ilvl w:val="0"/>
          <w:numId w:val="35"/>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Persona natural de nacionalidad colombiana: cédula de ciudadanía.</w:t>
      </w:r>
    </w:p>
    <w:p w14:paraId="55BEAA56" w14:textId="77777777" w:rsidR="001B340C" w:rsidRPr="00D06AD7" w:rsidRDefault="001B340C" w:rsidP="00EC17FC">
      <w:pPr>
        <w:numPr>
          <w:ilvl w:val="0"/>
          <w:numId w:val="35"/>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 xml:space="preserve">Persona natural extranjera con residencia en Colombia: cédula de extranjería vigente expedida por la autoridad competente. </w:t>
      </w:r>
    </w:p>
    <w:p w14:paraId="0E998C6C" w14:textId="77777777" w:rsidR="001B340C" w:rsidRPr="00D06AD7" w:rsidRDefault="001B340C" w:rsidP="00EC17FC">
      <w:pPr>
        <w:numPr>
          <w:ilvl w:val="0"/>
          <w:numId w:val="35"/>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Persona natural extranjera sin domicilio en Colombia: pasaporte.</w:t>
      </w:r>
    </w:p>
    <w:p w14:paraId="6E86B6BA" w14:textId="77777777" w:rsidR="00142586" w:rsidRDefault="00142586" w:rsidP="001B340C">
      <w:pPr>
        <w:keepNext/>
        <w:spacing w:before="120" w:after="240"/>
        <w:ind w:left="709" w:hanging="709"/>
        <w:outlineLvl w:val="1"/>
        <w:rPr>
          <w:rFonts w:ascii="Arial Narrow" w:hAnsi="Arial Narrow" w:cs="Arial"/>
          <w:b/>
          <w:color w:val="000000"/>
          <w:sz w:val="22"/>
          <w:szCs w:val="22"/>
        </w:rPr>
      </w:pPr>
      <w:bookmarkStart w:id="24" w:name="_Toc26253790"/>
      <w:bookmarkStart w:id="25" w:name="_Toc26260117"/>
      <w:bookmarkStart w:id="26" w:name="_Toc26263583"/>
      <w:bookmarkStart w:id="27" w:name="_Toc75867690"/>
      <w:bookmarkEnd w:id="24"/>
      <w:bookmarkEnd w:id="25"/>
      <w:bookmarkEnd w:id="26"/>
    </w:p>
    <w:p w14:paraId="33ACC348" w14:textId="728EE226" w:rsidR="001B340C" w:rsidRPr="00D06AD7" w:rsidRDefault="001B340C" w:rsidP="001B340C">
      <w:pPr>
        <w:keepNext/>
        <w:spacing w:before="120" w:after="240"/>
        <w:ind w:left="709" w:hanging="709"/>
        <w:outlineLvl w:val="1"/>
        <w:rPr>
          <w:rFonts w:ascii="Arial Narrow" w:hAnsi="Arial Narrow" w:cs="Arial"/>
          <w:b/>
          <w:color w:val="000000"/>
          <w:sz w:val="22"/>
          <w:szCs w:val="22"/>
        </w:rPr>
      </w:pPr>
      <w:r w:rsidRPr="00D06AD7">
        <w:rPr>
          <w:rFonts w:ascii="Arial Narrow" w:hAnsi="Arial Narrow" w:cs="Arial"/>
          <w:b/>
          <w:color w:val="000000"/>
          <w:sz w:val="22"/>
          <w:szCs w:val="22"/>
        </w:rPr>
        <w:t>PERSONAS JURÍDICAS</w:t>
      </w:r>
      <w:bookmarkEnd w:id="27"/>
    </w:p>
    <w:p w14:paraId="05CC75E7"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 xml:space="preserve">Deben presentar los siguientes documentos: </w:t>
      </w:r>
    </w:p>
    <w:p w14:paraId="0FD3E31B" w14:textId="77777777" w:rsidR="001B340C" w:rsidRPr="00D06AD7" w:rsidRDefault="001B340C" w:rsidP="00EC17FC">
      <w:pPr>
        <w:numPr>
          <w:ilvl w:val="0"/>
          <w:numId w:val="38"/>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 xml:space="preserve">Persona jurídica nacional o extranjera con sucursal en Colombia: </w:t>
      </w:r>
    </w:p>
    <w:p w14:paraId="4EBC4186" w14:textId="77777777" w:rsidR="001B340C" w:rsidRPr="00D06AD7" w:rsidRDefault="001B340C" w:rsidP="00EC17FC">
      <w:pPr>
        <w:pStyle w:val="Prrafodelista"/>
        <w:numPr>
          <w:ilvl w:val="0"/>
          <w:numId w:val="36"/>
        </w:numPr>
        <w:spacing w:after="200" w:line="276" w:lineRule="auto"/>
        <w:ind w:left="1080"/>
        <w:contextualSpacing/>
        <w:jc w:val="both"/>
        <w:rPr>
          <w:rFonts w:ascii="Arial Narrow" w:hAnsi="Arial Narrow" w:cs="Arial"/>
          <w:sz w:val="22"/>
          <w:szCs w:val="22"/>
          <w:lang w:eastAsia="es-CO"/>
        </w:rPr>
      </w:pPr>
      <w:r w:rsidRPr="00D06AD7">
        <w:rPr>
          <w:rFonts w:ascii="Arial Narrow" w:hAnsi="Arial Narrow" w:cs="Arial"/>
          <w:sz w:val="22"/>
          <w:szCs w:val="22"/>
          <w:lang w:eastAsia="es-CO"/>
        </w:rPr>
        <w:t>Certificado de existencia y representación legal expedido por la Cámara de Comercio o autoridad competente, en el que se verificará:</w:t>
      </w:r>
    </w:p>
    <w:p w14:paraId="272A8CCB" w14:textId="77777777" w:rsidR="001B340C" w:rsidRPr="00D06AD7" w:rsidRDefault="001B340C" w:rsidP="00EC17FC">
      <w:pPr>
        <w:pStyle w:val="InviasNormal"/>
        <w:numPr>
          <w:ilvl w:val="1"/>
          <w:numId w:val="36"/>
        </w:numPr>
        <w:spacing w:line="276" w:lineRule="auto"/>
        <w:ind w:left="1800"/>
        <w:rPr>
          <w:rFonts w:cs="Arial"/>
          <w:sz w:val="22"/>
          <w:szCs w:val="22"/>
          <w:lang w:val="es-CO" w:eastAsia="es-CO"/>
        </w:rPr>
      </w:pPr>
      <w:r w:rsidRPr="00D06AD7">
        <w:rPr>
          <w:rFonts w:cs="Arial"/>
          <w:sz w:val="22"/>
          <w:szCs w:val="22"/>
          <w:lang w:val="es-CO" w:eastAsia="es-CO"/>
        </w:rPr>
        <w:t xml:space="preserve">Fecha de expedición del certificado no mayor a treinta (30) días calendario anteriores a la fecha de cierre del proceso de contratación. En caso de modificarse la fecha de cierre del proceso, se </w:t>
      </w:r>
      <w:r w:rsidRPr="00D06AD7">
        <w:rPr>
          <w:rFonts w:cs="Arial"/>
          <w:sz w:val="22"/>
          <w:szCs w:val="22"/>
          <w:lang w:val="es-CO" w:eastAsia="es-CO"/>
        </w:rPr>
        <w:lastRenderedPageBreak/>
        <w:t>tendrá como referencia para establecer el plazo de vigencia del certificado de existencia y representación legal la fecha originalmente establecida en la invitación.</w:t>
      </w:r>
    </w:p>
    <w:p w14:paraId="26681CCB" w14:textId="77777777" w:rsidR="001B340C" w:rsidRPr="00D06AD7" w:rsidRDefault="001B340C" w:rsidP="00EC17FC">
      <w:pPr>
        <w:pStyle w:val="InviasNormal"/>
        <w:numPr>
          <w:ilvl w:val="1"/>
          <w:numId w:val="36"/>
        </w:numPr>
        <w:spacing w:line="276" w:lineRule="auto"/>
        <w:ind w:left="1800"/>
        <w:rPr>
          <w:rFonts w:cs="Arial"/>
          <w:sz w:val="22"/>
          <w:szCs w:val="22"/>
          <w:lang w:val="es-CO" w:eastAsia="es-CO"/>
        </w:rPr>
      </w:pPr>
      <w:r w:rsidRPr="00D06AD7">
        <w:rPr>
          <w:rFonts w:cs="Arial"/>
          <w:sz w:val="22"/>
          <w:szCs w:val="22"/>
          <w:lang w:val="es-CO" w:eastAsia="es-CO"/>
        </w:rPr>
        <w:t xml:space="preserve">Que el objeto de la sociedad permita ejecutar las actividades descritas en el objeto del presente proceso de contratación. </w:t>
      </w:r>
    </w:p>
    <w:p w14:paraId="03255172" w14:textId="77777777" w:rsidR="001B340C" w:rsidRPr="00D06AD7" w:rsidRDefault="001B340C" w:rsidP="00EC17FC">
      <w:pPr>
        <w:pStyle w:val="Prrafodelista"/>
        <w:numPr>
          <w:ilvl w:val="1"/>
          <w:numId w:val="36"/>
        </w:numPr>
        <w:spacing w:after="200" w:line="276" w:lineRule="auto"/>
        <w:ind w:left="1843"/>
        <w:contextualSpacing/>
        <w:jc w:val="both"/>
        <w:rPr>
          <w:rFonts w:ascii="Arial Narrow" w:hAnsi="Arial Narrow" w:cs="Arial"/>
          <w:sz w:val="22"/>
          <w:szCs w:val="22"/>
          <w:lang w:eastAsia="es-CO"/>
        </w:rPr>
      </w:pPr>
      <w:r w:rsidRPr="00D06AD7">
        <w:rPr>
          <w:rFonts w:ascii="Arial Narrow" w:hAnsi="Arial Narrow" w:cs="Arial"/>
          <w:sz w:val="22"/>
          <w:szCs w:val="22"/>
          <w:lang w:eastAsia="es-CO"/>
        </w:rPr>
        <w:t>Las personas jurídicas nacionales y extranjeras deberán acreditar que su duración no será inferior a la del plazo del contrato y un año más. Para efectos de la evaluación, este plazo será contado a partir de la fecha del cierre del proceso de contratación.</w:t>
      </w:r>
    </w:p>
    <w:p w14:paraId="49B230A5" w14:textId="77777777" w:rsidR="001B340C" w:rsidRPr="00D06AD7" w:rsidRDefault="001B340C" w:rsidP="00EC17FC">
      <w:pPr>
        <w:pStyle w:val="InviasNormal"/>
        <w:numPr>
          <w:ilvl w:val="1"/>
          <w:numId w:val="36"/>
        </w:numPr>
        <w:spacing w:line="276" w:lineRule="auto"/>
        <w:ind w:left="1800"/>
        <w:rPr>
          <w:rFonts w:cs="Arial"/>
          <w:sz w:val="22"/>
          <w:szCs w:val="22"/>
          <w:lang w:val="es-CO" w:eastAsia="es-CO"/>
        </w:rPr>
      </w:pPr>
      <w:r w:rsidRPr="00D06AD7">
        <w:rPr>
          <w:rFonts w:cs="Arial"/>
          <w:sz w:val="22"/>
          <w:szCs w:val="22"/>
          <w:lang w:val="es-CO" w:eastAsia="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401068E" w14:textId="77777777" w:rsidR="001B340C" w:rsidRPr="00D06AD7" w:rsidRDefault="001B340C" w:rsidP="00EC17FC">
      <w:pPr>
        <w:pStyle w:val="InviasNormal"/>
        <w:numPr>
          <w:ilvl w:val="1"/>
          <w:numId w:val="36"/>
        </w:numPr>
        <w:spacing w:line="276" w:lineRule="auto"/>
        <w:ind w:left="1800"/>
        <w:rPr>
          <w:rFonts w:cs="Arial"/>
          <w:sz w:val="22"/>
          <w:szCs w:val="22"/>
          <w:lang w:val="es-CO" w:eastAsia="es-CO"/>
        </w:rPr>
      </w:pPr>
      <w:r w:rsidRPr="00D06AD7">
        <w:rPr>
          <w:rFonts w:cs="Arial"/>
          <w:sz w:val="22"/>
          <w:szCs w:val="22"/>
          <w:lang w:val="es-CO" w:eastAsia="es-CO"/>
        </w:rPr>
        <w:t>El nombramiento del revisor fiscal en caso de que exista.</w:t>
      </w:r>
    </w:p>
    <w:p w14:paraId="4665538C" w14:textId="77777777" w:rsidR="001B340C" w:rsidRPr="00D06AD7" w:rsidRDefault="001B340C" w:rsidP="00EC17FC">
      <w:pPr>
        <w:pStyle w:val="Invias-VietaNumerada"/>
        <w:numPr>
          <w:ilvl w:val="1"/>
          <w:numId w:val="36"/>
        </w:numPr>
        <w:spacing w:before="120" w:after="240" w:line="276" w:lineRule="auto"/>
        <w:ind w:left="1800"/>
        <w:rPr>
          <w:rFonts w:cs="Arial"/>
          <w:sz w:val="22"/>
          <w:szCs w:val="22"/>
          <w:lang w:val="es-CO" w:eastAsia="es-CO"/>
        </w:rPr>
      </w:pPr>
      <w:r w:rsidRPr="00D06AD7">
        <w:rPr>
          <w:rFonts w:cs="Arial"/>
          <w:sz w:val="22"/>
          <w:szCs w:val="22"/>
          <w:lang w:val="es-CO" w:eastAsia="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842F328" w14:textId="77777777" w:rsidR="001B340C" w:rsidRPr="00D06AD7" w:rsidRDefault="001B340C" w:rsidP="00EC17FC">
      <w:pPr>
        <w:pStyle w:val="InviasNormal"/>
        <w:numPr>
          <w:ilvl w:val="0"/>
          <w:numId w:val="36"/>
        </w:numPr>
        <w:spacing w:line="276" w:lineRule="auto"/>
        <w:ind w:left="1080"/>
        <w:rPr>
          <w:rFonts w:cs="Arial"/>
          <w:sz w:val="22"/>
          <w:szCs w:val="22"/>
          <w:lang w:val="es-CO" w:eastAsia="es-CO"/>
        </w:rPr>
      </w:pPr>
      <w:r w:rsidRPr="00D06AD7">
        <w:rPr>
          <w:rFonts w:cs="Arial"/>
          <w:sz w:val="22"/>
          <w:szCs w:val="22"/>
          <w:lang w:val="es-CO" w:eastAsia="es-CO"/>
        </w:rPr>
        <w:t>Certificación del revisor fiscal en caso de ser sociedad anónima colombiana, en la que conste si es abierta o cerrada.</w:t>
      </w:r>
    </w:p>
    <w:p w14:paraId="7B772270" w14:textId="77777777" w:rsidR="001B340C" w:rsidRPr="00D06AD7" w:rsidRDefault="001B340C" w:rsidP="00EC17FC">
      <w:pPr>
        <w:pStyle w:val="InviasNormal"/>
        <w:numPr>
          <w:ilvl w:val="0"/>
          <w:numId w:val="36"/>
        </w:numPr>
        <w:spacing w:line="276" w:lineRule="auto"/>
        <w:ind w:left="1080"/>
        <w:rPr>
          <w:rFonts w:cs="Arial"/>
          <w:sz w:val="22"/>
          <w:szCs w:val="22"/>
          <w:lang w:val="es-CO" w:eastAsia="es-CO"/>
        </w:rPr>
      </w:pPr>
      <w:r w:rsidRPr="00D06AD7">
        <w:rPr>
          <w:rFonts w:cs="Arial"/>
          <w:sz w:val="22"/>
          <w:szCs w:val="22"/>
          <w:lang w:val="es-CO" w:eastAsia="es-CO"/>
        </w:rPr>
        <w:t>Fotocopia del documento de identificación del representante legal.</w:t>
      </w:r>
    </w:p>
    <w:p w14:paraId="24712BE2" w14:textId="77777777" w:rsidR="001B340C" w:rsidRPr="00D06AD7" w:rsidRDefault="001B340C" w:rsidP="001B340C">
      <w:pPr>
        <w:pStyle w:val="InviasNormal"/>
        <w:spacing w:line="276" w:lineRule="auto"/>
        <w:ind w:left="357"/>
        <w:rPr>
          <w:rFonts w:cs="Arial"/>
          <w:sz w:val="22"/>
          <w:szCs w:val="22"/>
          <w:lang w:val="es-CO" w:eastAsia="es-CO"/>
        </w:rPr>
      </w:pPr>
      <w:r w:rsidRPr="00D06AD7">
        <w:rPr>
          <w:rFonts w:cs="Arial"/>
          <w:sz w:val="22"/>
          <w:szCs w:val="22"/>
          <w:lang w:val="es-CO" w:eastAsia="es-CO"/>
        </w:rPr>
        <w:t xml:space="preserve">En el caso de las sucursales de las personas jurídicas extranjeras y como quiera que la sucursal en Colombia no es una persona jurídica diferente a la matriz, se tendrá en cuenta la fecha de constitución de esta última. </w:t>
      </w:r>
    </w:p>
    <w:p w14:paraId="24AD470F" w14:textId="77777777" w:rsidR="001B340C" w:rsidRPr="00D06AD7" w:rsidRDefault="001B340C" w:rsidP="001B340C">
      <w:pPr>
        <w:pStyle w:val="InviasNormal"/>
        <w:spacing w:line="276" w:lineRule="auto"/>
        <w:ind w:left="357"/>
        <w:rPr>
          <w:rFonts w:cs="Arial"/>
          <w:sz w:val="22"/>
          <w:szCs w:val="22"/>
          <w:lang w:val="es-CO" w:eastAsia="es-CO"/>
        </w:rPr>
      </w:pPr>
      <w:r w:rsidRPr="00D06AD7">
        <w:rPr>
          <w:rFonts w:cs="Arial"/>
          <w:sz w:val="22"/>
          <w:szCs w:val="22"/>
          <w:lang w:val="es-CO" w:eastAsia="es-CO"/>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268BC8A4" w14:textId="77777777" w:rsidR="001B340C" w:rsidRPr="00D06AD7" w:rsidRDefault="001B340C" w:rsidP="00EC17FC">
      <w:pPr>
        <w:numPr>
          <w:ilvl w:val="0"/>
          <w:numId w:val="38"/>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Persona jurídica extranjera sin sucursal o domicilio en Colombia: Documentos que acrediten la existencia y representación legal de la sociedad extranjera, legalizados de conformidad con lo establecido en la presente invitación, en los que debe constar como mínimo los siguientes aspectos:</w:t>
      </w:r>
    </w:p>
    <w:p w14:paraId="5B9D0C46"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Nombre o razón social completa.</w:t>
      </w:r>
    </w:p>
    <w:p w14:paraId="32ECCB52"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lastRenderedPageBreak/>
        <w:t>Nombre del representante legal o de la persona facultada para comprometer a la persona jurídica.</w:t>
      </w:r>
    </w:p>
    <w:p w14:paraId="4140E63A"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Que el objeto de la sociedad permita ejecutar las actividades descritas en el objeto del presente proceso de selección.</w:t>
      </w:r>
    </w:p>
    <w:p w14:paraId="71CD05F3" w14:textId="77777777" w:rsidR="001B340C" w:rsidRPr="00D06AD7" w:rsidRDefault="001B340C" w:rsidP="00EC17FC">
      <w:pPr>
        <w:pStyle w:val="InviasNormal"/>
        <w:numPr>
          <w:ilvl w:val="0"/>
          <w:numId w:val="37"/>
        </w:numPr>
        <w:spacing w:line="276" w:lineRule="auto"/>
        <w:ind w:left="1843"/>
        <w:rPr>
          <w:rFonts w:cs="Arial"/>
          <w:sz w:val="22"/>
          <w:szCs w:val="22"/>
          <w:lang w:val="es-CO" w:eastAsia="es-CO"/>
        </w:rPr>
      </w:pPr>
      <w:r w:rsidRPr="00D06AD7">
        <w:rPr>
          <w:rFonts w:cs="Arial"/>
          <w:sz w:val="22"/>
          <w:szCs w:val="22"/>
          <w:lang w:val="es-CO" w:eastAsia="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16A3509"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 xml:space="preserve">Tipo, número y fecha del documento de constitución o creación. </w:t>
      </w:r>
    </w:p>
    <w:p w14:paraId="42817A8D"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Fecha y clase de documento por el cual se reconoce la personería jurídica.</w:t>
      </w:r>
    </w:p>
    <w:p w14:paraId="7C475CB8"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 xml:space="preserve">Acreditar que su duración no será inferior a la del plazo del contrato y un año más. Para efectos de la evaluación, este plazo será contado a partir de la fecha de cierre del proceso de contratación. </w:t>
      </w:r>
    </w:p>
    <w:p w14:paraId="58BCF574" w14:textId="77777777" w:rsidR="001B340C" w:rsidRPr="00D06AD7" w:rsidRDefault="001B340C" w:rsidP="00EC17FC">
      <w:pPr>
        <w:pStyle w:val="InviasNormal"/>
        <w:numPr>
          <w:ilvl w:val="0"/>
          <w:numId w:val="37"/>
        </w:numPr>
        <w:spacing w:line="276" w:lineRule="auto"/>
        <w:rPr>
          <w:rFonts w:cs="Arial"/>
          <w:sz w:val="22"/>
          <w:szCs w:val="22"/>
          <w:lang w:val="es-CO" w:eastAsia="es-CO"/>
        </w:rPr>
      </w:pPr>
      <w:r w:rsidRPr="00D06AD7">
        <w:rPr>
          <w:rFonts w:cs="Arial"/>
          <w:sz w:val="22"/>
          <w:szCs w:val="22"/>
          <w:lang w:val="es-CO" w:eastAsia="es-CO"/>
        </w:rPr>
        <w:t>Fotocopia del documento de identificación del representante legal.</w:t>
      </w:r>
    </w:p>
    <w:p w14:paraId="642151A8" w14:textId="77777777" w:rsidR="001B340C" w:rsidRPr="00D06AD7" w:rsidRDefault="001B340C" w:rsidP="001B340C">
      <w:pPr>
        <w:pStyle w:val="InviasNormal"/>
        <w:spacing w:line="276" w:lineRule="auto"/>
        <w:ind w:left="357"/>
        <w:rPr>
          <w:rFonts w:cs="Arial"/>
          <w:sz w:val="22"/>
          <w:szCs w:val="22"/>
          <w:lang w:val="es-CO" w:eastAsia="es-CO"/>
        </w:rPr>
      </w:pPr>
      <w:r w:rsidRPr="00D06AD7">
        <w:rPr>
          <w:rFonts w:cs="Arial"/>
          <w:sz w:val="22"/>
          <w:szCs w:val="22"/>
          <w:lang w:val="es-CO" w:eastAsia="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6D469729" w14:textId="77777777" w:rsidR="001B340C" w:rsidRPr="00D06AD7" w:rsidRDefault="001B340C" w:rsidP="00EC17FC">
      <w:pPr>
        <w:pStyle w:val="InviasNormal"/>
        <w:numPr>
          <w:ilvl w:val="0"/>
          <w:numId w:val="38"/>
        </w:numPr>
        <w:spacing w:line="276" w:lineRule="auto"/>
        <w:rPr>
          <w:rFonts w:cs="Arial"/>
          <w:sz w:val="22"/>
          <w:szCs w:val="22"/>
          <w:lang w:val="es-CO" w:eastAsia="es-CO"/>
        </w:rPr>
      </w:pPr>
      <w:r w:rsidRPr="00D06AD7">
        <w:rPr>
          <w:rFonts w:cs="Arial"/>
          <w:sz w:val="22"/>
          <w:szCs w:val="22"/>
          <w:lang w:val="es-CO" w:eastAsia="es-CO"/>
        </w:rPr>
        <w:t>Las entidades estatales deben presentar los siguientes documentos para acreditar su existencia:</w:t>
      </w:r>
    </w:p>
    <w:p w14:paraId="4821E6C5"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579EFC8A"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 xml:space="preserve">NOTA: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094B2655"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Fecha de expedición del documento equivalente que acredite su existencia, con una expedición no mayor a treinta (30) días calendario anteriores a la fecha de cierre del Proceso de Contratación.</w:t>
      </w:r>
    </w:p>
    <w:p w14:paraId="230A4972"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 xml:space="preserve">Que el objeto incluya todas las actividades objeto del proceso. </w:t>
      </w:r>
    </w:p>
    <w:p w14:paraId="5CB06797"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lastRenderedPageBreak/>
        <w:t>•</w:t>
      </w:r>
      <w:r w:rsidRPr="00D06AD7">
        <w:rPr>
          <w:rFonts w:cs="Arial"/>
          <w:sz w:val="22"/>
          <w:szCs w:val="22"/>
          <w:lang w:val="es-CO" w:eastAsia="es-CO"/>
        </w:rPr>
        <w:tab/>
        <w:t>La duración deberá ser por lo menos igual al plazo estimado del contrato y un (1) año más.</w:t>
      </w:r>
    </w:p>
    <w:p w14:paraId="7682E923"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 xml:space="preserve">Para efectos del Pliego de Condiciones, el plazo de ejecución del contrato será el indicado en el numeral “1.1 Objeto, presupuesto oficial, plazo y ubicación”. </w:t>
      </w:r>
    </w:p>
    <w:p w14:paraId="1736E964"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 xml:space="preserve">Si el representante legal tiene restricciones para contraer obligaciones en nombre de la misma, deberá acreditar autorización suficiente del órgano social para contraer obligaciones en nombre de la sociedad o de la Entidad. </w:t>
      </w:r>
    </w:p>
    <w:p w14:paraId="30A4569A"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 xml:space="preserve">La ausencia definitiva de autorización suficiente o el no aporte de dicho documento una vez solicitado por la Entidad, determinará la falta de capacidad jurídica para presentar la oferta, y por tanto su rechazo. </w:t>
      </w:r>
    </w:p>
    <w:p w14:paraId="2B9B3168" w14:textId="77777777"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w:t>
      </w:r>
      <w:r w:rsidRPr="00D06AD7">
        <w:rPr>
          <w:rFonts w:cs="Arial"/>
          <w:sz w:val="22"/>
          <w:szCs w:val="22"/>
          <w:lang w:val="es-CO" w:eastAsia="es-CO"/>
        </w:rPr>
        <w:tab/>
        <w:t>El nombramiento del revisor fiscal en caso de que esté obligado a tenerlo.</w:t>
      </w:r>
    </w:p>
    <w:p w14:paraId="7BC325FD"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28" w:name="_Toc75867691"/>
      <w:r w:rsidRPr="00D06AD7">
        <w:rPr>
          <w:rFonts w:ascii="Arial Narrow" w:hAnsi="Arial Narrow" w:cs="Arial"/>
          <w:b/>
          <w:color w:val="000000"/>
          <w:sz w:val="22"/>
          <w:szCs w:val="22"/>
        </w:rPr>
        <w:t>PROPONENTES PLURALES</w:t>
      </w:r>
      <w:bookmarkEnd w:id="28"/>
      <w:r w:rsidRPr="00D06AD7">
        <w:rPr>
          <w:rFonts w:ascii="Arial Narrow" w:hAnsi="Arial Narrow" w:cs="Arial"/>
          <w:b/>
          <w:color w:val="000000"/>
          <w:sz w:val="22"/>
          <w:szCs w:val="22"/>
        </w:rPr>
        <w:t xml:space="preserve"> </w:t>
      </w:r>
    </w:p>
    <w:p w14:paraId="0895587E"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 xml:space="preserve">El documento de conformación de proponentes plurales debe: </w:t>
      </w:r>
    </w:p>
    <w:p w14:paraId="64709DBB" w14:textId="77777777" w:rsidR="001B340C" w:rsidRPr="00D06AD7" w:rsidRDefault="001B340C" w:rsidP="00EC17FC">
      <w:pPr>
        <w:numPr>
          <w:ilvl w:val="0"/>
          <w:numId w:val="39"/>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4F600578" w14:textId="77777777" w:rsidR="001B340C" w:rsidRPr="00D06AD7" w:rsidRDefault="001B340C" w:rsidP="001B340C">
      <w:pPr>
        <w:spacing w:line="276" w:lineRule="auto"/>
        <w:ind w:left="720"/>
        <w:contextualSpacing/>
        <w:jc w:val="both"/>
        <w:rPr>
          <w:rFonts w:ascii="Arial Narrow" w:hAnsi="Arial Narrow" w:cs="Arial"/>
          <w:sz w:val="22"/>
          <w:szCs w:val="22"/>
        </w:rPr>
      </w:pPr>
    </w:p>
    <w:p w14:paraId="31BEB412" w14:textId="77777777" w:rsidR="001B340C" w:rsidRPr="00D06AD7" w:rsidRDefault="001B340C" w:rsidP="00EC17FC">
      <w:pPr>
        <w:numPr>
          <w:ilvl w:val="0"/>
          <w:numId w:val="39"/>
        </w:numPr>
        <w:spacing w:after="160" w:line="276" w:lineRule="auto"/>
        <w:contextualSpacing/>
        <w:jc w:val="both"/>
        <w:rPr>
          <w:rFonts w:ascii="Arial Narrow" w:hAnsi="Arial Narrow" w:cs="Arial"/>
          <w:sz w:val="22"/>
          <w:szCs w:val="22"/>
        </w:rPr>
      </w:pPr>
      <w:r w:rsidRPr="00D06AD7">
        <w:rPr>
          <w:rFonts w:ascii="Arial Narrow" w:hAnsi="Arial Narrow" w:cs="Arial"/>
          <w:sz w:val="22"/>
          <w:szCs w:val="22"/>
        </w:rPr>
        <w:t>Acreditar el nombramiento de un representante y un suplente, este último en caso de considerarlo conveniente,  cuya intervención deberá quedar definida en el Formato 2 – Conformación de Proponente Plural (Formato 2A- Consorcios) (Formato 2B- Uniones Temporales), de todas las personas naturales y/o jurídicas asociadas, con facultades suficientes para la representación sin limitaciones de todos y cada uno de los integrantes, en todos los aspectos que se requieran para presentar la oferta, para la suscripción y ejecución del contrato, así como también la facultad para firmar el acta de terminación y liquidación.</w:t>
      </w:r>
    </w:p>
    <w:p w14:paraId="7C0EEA75" w14:textId="77777777" w:rsidR="001B340C" w:rsidRPr="00D06AD7" w:rsidRDefault="001B340C" w:rsidP="00EC17FC">
      <w:pPr>
        <w:pStyle w:val="InviasNormal"/>
        <w:numPr>
          <w:ilvl w:val="0"/>
          <w:numId w:val="39"/>
        </w:numPr>
        <w:spacing w:line="276" w:lineRule="auto"/>
        <w:rPr>
          <w:rFonts w:cs="Arial"/>
          <w:sz w:val="22"/>
          <w:szCs w:val="22"/>
          <w:lang w:val="es-CO" w:eastAsia="es-CO"/>
        </w:rPr>
      </w:pPr>
      <w:r w:rsidRPr="00D06AD7">
        <w:rPr>
          <w:rFonts w:cs="Arial"/>
          <w:sz w:val="22"/>
          <w:szCs w:val="22"/>
          <w:lang w:val="es-CO" w:eastAsia="es-CO"/>
        </w:rPr>
        <w:t>Aportar fotocopia de la cédula de ciudadanía del representante principal y suplente de la estructura plural.</w:t>
      </w:r>
    </w:p>
    <w:p w14:paraId="63457520" w14:textId="77777777" w:rsidR="001B340C" w:rsidRPr="00D06AD7" w:rsidRDefault="001B340C" w:rsidP="00EC17FC">
      <w:pPr>
        <w:numPr>
          <w:ilvl w:val="0"/>
          <w:numId w:val="39"/>
        </w:numPr>
        <w:spacing w:after="160"/>
        <w:contextualSpacing/>
        <w:jc w:val="both"/>
        <w:rPr>
          <w:rFonts w:ascii="Arial Narrow" w:hAnsi="Arial Narrow" w:cs="Arial"/>
          <w:sz w:val="22"/>
          <w:szCs w:val="22"/>
        </w:rPr>
      </w:pPr>
      <w:r w:rsidRPr="00D06AD7">
        <w:rPr>
          <w:rFonts w:ascii="Arial Narrow" w:hAnsi="Arial Narrow" w:cs="Arial"/>
          <w:sz w:val="22"/>
          <w:szCs w:val="22"/>
        </w:rPr>
        <w:t>El proponente plural debe señalar expresamente cuál es el porcentaje de participación de cada uno de sus miembros. La sumatoria del porcentaje de participación no podrá ser diferente al 100%.</w:t>
      </w:r>
    </w:p>
    <w:p w14:paraId="7AAB38BE" w14:textId="77777777" w:rsidR="001B340C" w:rsidRPr="00D06AD7" w:rsidRDefault="001B340C" w:rsidP="001B340C">
      <w:pPr>
        <w:ind w:left="720"/>
        <w:contextualSpacing/>
        <w:jc w:val="both"/>
        <w:rPr>
          <w:rFonts w:ascii="Arial Narrow" w:hAnsi="Arial Narrow" w:cs="Arial"/>
          <w:sz w:val="22"/>
          <w:szCs w:val="22"/>
        </w:rPr>
      </w:pPr>
    </w:p>
    <w:p w14:paraId="15ACD55A" w14:textId="77777777" w:rsidR="001B340C" w:rsidRPr="00D06AD7" w:rsidRDefault="001B340C" w:rsidP="00EC17FC">
      <w:pPr>
        <w:numPr>
          <w:ilvl w:val="0"/>
          <w:numId w:val="39"/>
        </w:numPr>
        <w:spacing w:after="160"/>
        <w:contextualSpacing/>
        <w:jc w:val="both"/>
        <w:rPr>
          <w:rFonts w:ascii="Arial Narrow" w:hAnsi="Arial Narrow" w:cs="Arial"/>
          <w:sz w:val="22"/>
          <w:szCs w:val="22"/>
        </w:rPr>
      </w:pPr>
      <w:r w:rsidRPr="00D06AD7">
        <w:rPr>
          <w:rFonts w:ascii="Arial Narrow" w:hAnsi="Arial Narrow" w:cs="Arial"/>
          <w:sz w:val="22"/>
          <w:szCs w:val="22"/>
        </w:rPr>
        <w:t xml:space="preserve">En la etapa contractual, no podrán modificarse los porcentajes de participación sin el consentimiento previo de la entidad. </w:t>
      </w:r>
    </w:p>
    <w:p w14:paraId="228188C8" w14:textId="77777777" w:rsidR="001B340C" w:rsidRPr="00D06AD7" w:rsidRDefault="001B340C" w:rsidP="001B340C">
      <w:pPr>
        <w:ind w:left="360"/>
        <w:rPr>
          <w:rFonts w:ascii="Arial Narrow" w:hAnsi="Arial Narrow" w:cs="Arial"/>
          <w:sz w:val="22"/>
          <w:szCs w:val="22"/>
        </w:rPr>
      </w:pPr>
    </w:p>
    <w:p w14:paraId="5E692524" w14:textId="77777777" w:rsidR="001B340C" w:rsidRPr="00D06AD7" w:rsidRDefault="001B340C" w:rsidP="001B340C">
      <w:pPr>
        <w:tabs>
          <w:tab w:val="left" w:pos="-142"/>
        </w:tabs>
        <w:autoSpaceDE w:val="0"/>
        <w:autoSpaceDN w:val="0"/>
        <w:adjustRightInd w:val="0"/>
        <w:spacing w:before="120" w:after="240" w:line="276" w:lineRule="auto"/>
        <w:jc w:val="both"/>
        <w:rPr>
          <w:rFonts w:ascii="Arial Narrow" w:hAnsi="Arial Narrow" w:cs="Arial"/>
          <w:sz w:val="22"/>
          <w:szCs w:val="22"/>
        </w:rPr>
      </w:pPr>
      <w:r w:rsidRPr="00D06AD7">
        <w:rPr>
          <w:rFonts w:ascii="Arial Narrow" w:hAnsi="Arial Narrow" w:cs="Arial"/>
          <w:sz w:val="22"/>
          <w:szCs w:val="22"/>
        </w:rPr>
        <w:t>Dicho documento debe estar firmado por todos los integrantes del proponente plural y en el caso del miembro persona jurídica, por el representante legal de dicha persona o por el apoderado de cualquiera de los anteriores.</w:t>
      </w:r>
    </w:p>
    <w:p w14:paraId="02C2B0AC"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29" w:name="_Toc75867692"/>
      <w:r w:rsidRPr="00D06AD7">
        <w:rPr>
          <w:rFonts w:ascii="Arial Narrow" w:hAnsi="Arial Narrow" w:cs="Arial"/>
          <w:b/>
          <w:color w:val="000000"/>
          <w:sz w:val="22"/>
          <w:szCs w:val="22"/>
        </w:rPr>
        <w:lastRenderedPageBreak/>
        <w:t>CERTIFICACIÓN DE PAGOS DE SEGURIDAD SOCIAL Y APORTES LEGALES</w:t>
      </w:r>
      <w:bookmarkEnd w:id="29"/>
    </w:p>
    <w:p w14:paraId="02005AC1" w14:textId="77777777" w:rsidR="001B340C" w:rsidRPr="00D06AD7" w:rsidRDefault="001B340C" w:rsidP="001B340C">
      <w:pPr>
        <w:keepNext/>
        <w:spacing w:before="120" w:after="240"/>
        <w:ind w:left="709" w:hanging="709"/>
        <w:outlineLvl w:val="1"/>
        <w:rPr>
          <w:rFonts w:ascii="Arial Narrow" w:hAnsi="Arial Narrow" w:cs="Arial"/>
          <w:b/>
          <w:color w:val="000000"/>
          <w:sz w:val="22"/>
          <w:szCs w:val="22"/>
        </w:rPr>
      </w:pPr>
      <w:bookmarkStart w:id="30" w:name="_Toc34652095"/>
      <w:bookmarkStart w:id="31" w:name="_Toc34652194"/>
      <w:bookmarkStart w:id="32" w:name="_Toc34652294"/>
      <w:bookmarkStart w:id="33" w:name="_Toc34652659"/>
      <w:bookmarkStart w:id="34" w:name="_Toc34652780"/>
      <w:bookmarkStart w:id="35" w:name="_Toc34653329"/>
      <w:bookmarkStart w:id="36" w:name="_Toc34654075"/>
      <w:bookmarkStart w:id="37" w:name="_Toc34654180"/>
      <w:bookmarkStart w:id="38" w:name="_Toc36199096"/>
      <w:bookmarkStart w:id="39" w:name="_Toc36199832"/>
      <w:bookmarkStart w:id="40" w:name="_Toc36199960"/>
      <w:bookmarkStart w:id="41" w:name="_Toc36200089"/>
      <w:bookmarkStart w:id="42" w:name="_Toc75867693"/>
      <w:bookmarkEnd w:id="30"/>
      <w:bookmarkEnd w:id="31"/>
      <w:bookmarkEnd w:id="32"/>
      <w:bookmarkEnd w:id="33"/>
      <w:bookmarkEnd w:id="34"/>
      <w:bookmarkEnd w:id="35"/>
      <w:bookmarkEnd w:id="36"/>
      <w:bookmarkEnd w:id="37"/>
      <w:bookmarkEnd w:id="38"/>
      <w:bookmarkEnd w:id="39"/>
      <w:bookmarkEnd w:id="40"/>
      <w:bookmarkEnd w:id="41"/>
      <w:r w:rsidRPr="00D06AD7">
        <w:rPr>
          <w:rFonts w:ascii="Arial Narrow" w:hAnsi="Arial Narrow" w:cs="Arial"/>
          <w:b/>
          <w:color w:val="000000"/>
          <w:sz w:val="22"/>
          <w:szCs w:val="22"/>
        </w:rPr>
        <w:t>PERSONAS JURÍDICAS</w:t>
      </w:r>
      <w:bookmarkEnd w:id="42"/>
    </w:p>
    <w:p w14:paraId="62A64E4B" w14:textId="77777777"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El proponente persona jurídica debe presentar el Formato 4 – Pagos de seguridad social y 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6D2E6616" w14:textId="77777777" w:rsidR="00D06AD7" w:rsidRPr="00D06AD7" w:rsidRDefault="00D06AD7" w:rsidP="001B340C">
      <w:pPr>
        <w:spacing w:line="276" w:lineRule="auto"/>
        <w:jc w:val="both"/>
        <w:rPr>
          <w:rFonts w:ascii="Arial Narrow" w:hAnsi="Arial Narrow" w:cs="Arial"/>
          <w:sz w:val="22"/>
          <w:szCs w:val="22"/>
        </w:rPr>
      </w:pPr>
    </w:p>
    <w:p w14:paraId="21167C38" w14:textId="45B28894"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La entidad no exigirá las planillas de pago. Basta el certificado suscrito por el revisor fiscal, en los casos requeridos por la ley, o por el representante legal que así lo acredite, de acuerdo al párrafo anterior.</w:t>
      </w:r>
    </w:p>
    <w:p w14:paraId="637335EA" w14:textId="77777777" w:rsidR="00D06AD7" w:rsidRPr="00D06AD7" w:rsidRDefault="00D06AD7" w:rsidP="001B340C">
      <w:pPr>
        <w:spacing w:line="276" w:lineRule="auto"/>
        <w:jc w:val="both"/>
        <w:rPr>
          <w:rFonts w:ascii="Arial Narrow" w:hAnsi="Arial Narrow" w:cs="Arial"/>
          <w:sz w:val="22"/>
          <w:szCs w:val="22"/>
        </w:rPr>
      </w:pPr>
    </w:p>
    <w:p w14:paraId="76A82E88" w14:textId="5A3FFA53"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 xml:space="preserve">Cuando la persona jurídica está exonerada de estas obligaciones en los términos previstos en el artículo 65 de la Ley 1819 de 2016 debe indicarlo en el Formato 4 – Pagos de seguridad social y aportes legales. </w:t>
      </w:r>
    </w:p>
    <w:p w14:paraId="4A8D2B79" w14:textId="77777777" w:rsidR="00D06AD7" w:rsidRPr="00D06AD7" w:rsidRDefault="00D06AD7" w:rsidP="001B340C">
      <w:pPr>
        <w:spacing w:line="276" w:lineRule="auto"/>
        <w:jc w:val="both"/>
        <w:rPr>
          <w:rFonts w:ascii="Arial Narrow" w:hAnsi="Arial Narrow" w:cs="Arial"/>
          <w:sz w:val="22"/>
          <w:szCs w:val="22"/>
        </w:rPr>
      </w:pPr>
    </w:p>
    <w:p w14:paraId="2D0E0E78" w14:textId="55E84433"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Esta misma previsión aplica para las personas jurídicas extranjeras con domicilio o sucursal en Colombia, las cuales deben acreditar este requisito respecto del personal vinculado en Colombia.</w:t>
      </w:r>
    </w:p>
    <w:p w14:paraId="0F4DDD33" w14:textId="77777777" w:rsidR="001B340C" w:rsidRPr="00D06AD7" w:rsidRDefault="001B340C" w:rsidP="00067166">
      <w:pPr>
        <w:keepNext/>
        <w:spacing w:before="120" w:after="240"/>
        <w:ind w:left="709" w:hanging="709"/>
        <w:outlineLvl w:val="1"/>
        <w:rPr>
          <w:rFonts w:ascii="Arial Narrow" w:hAnsi="Arial Narrow" w:cs="Arial"/>
          <w:b/>
          <w:color w:val="000000"/>
          <w:sz w:val="22"/>
          <w:szCs w:val="22"/>
        </w:rPr>
      </w:pPr>
      <w:bookmarkStart w:id="43" w:name="_Toc34652097"/>
      <w:bookmarkStart w:id="44" w:name="_Toc34652196"/>
      <w:bookmarkStart w:id="45" w:name="_Toc34652296"/>
      <w:bookmarkStart w:id="46" w:name="_Toc34652661"/>
      <w:bookmarkStart w:id="47" w:name="_Toc34652782"/>
      <w:bookmarkStart w:id="48" w:name="_Toc34654077"/>
      <w:bookmarkStart w:id="49" w:name="_Toc34654182"/>
      <w:bookmarkStart w:id="50" w:name="_Toc36199098"/>
      <w:bookmarkStart w:id="51" w:name="_Toc36199834"/>
      <w:bookmarkStart w:id="52" w:name="_Toc36199962"/>
      <w:bookmarkStart w:id="53" w:name="_Toc36200091"/>
      <w:bookmarkStart w:id="54" w:name="_Toc75867694"/>
      <w:bookmarkEnd w:id="43"/>
      <w:bookmarkEnd w:id="44"/>
      <w:bookmarkEnd w:id="45"/>
      <w:bookmarkEnd w:id="46"/>
      <w:bookmarkEnd w:id="47"/>
      <w:bookmarkEnd w:id="48"/>
      <w:bookmarkEnd w:id="49"/>
      <w:bookmarkEnd w:id="50"/>
      <w:bookmarkEnd w:id="51"/>
      <w:bookmarkEnd w:id="52"/>
      <w:bookmarkEnd w:id="53"/>
      <w:r w:rsidRPr="00D06AD7">
        <w:rPr>
          <w:rFonts w:ascii="Arial Narrow" w:hAnsi="Arial Narrow" w:cs="Arial"/>
          <w:b/>
          <w:color w:val="000000"/>
          <w:sz w:val="22"/>
          <w:szCs w:val="22"/>
        </w:rPr>
        <w:t>PERSONAS NATURALES</w:t>
      </w:r>
      <w:bookmarkEnd w:id="54"/>
      <w:r w:rsidRPr="00D06AD7">
        <w:rPr>
          <w:rFonts w:ascii="Arial Narrow" w:hAnsi="Arial Narrow" w:cs="Arial"/>
          <w:b/>
          <w:color w:val="000000"/>
          <w:sz w:val="22"/>
          <w:szCs w:val="22"/>
        </w:rPr>
        <w:t xml:space="preserve"> </w:t>
      </w:r>
    </w:p>
    <w:p w14:paraId="392BAB92" w14:textId="77777777" w:rsidR="001B340C" w:rsidRPr="00D06AD7" w:rsidRDefault="001B340C" w:rsidP="001B340C">
      <w:pPr>
        <w:jc w:val="both"/>
        <w:rPr>
          <w:rFonts w:ascii="Arial Narrow" w:hAnsi="Arial Narrow" w:cs="Arial"/>
          <w:sz w:val="22"/>
          <w:szCs w:val="22"/>
        </w:rPr>
      </w:pPr>
      <w:r w:rsidRPr="00D06AD7">
        <w:rPr>
          <w:rFonts w:ascii="Arial Narrow" w:hAnsi="Arial Narrow" w:cs="Arial"/>
          <w:sz w:val="22"/>
          <w:szCs w:val="22"/>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6E661488" w14:textId="77777777" w:rsidR="00D06AD7" w:rsidRPr="00D06AD7" w:rsidRDefault="00D06AD7" w:rsidP="001B340C">
      <w:pPr>
        <w:jc w:val="both"/>
        <w:rPr>
          <w:rFonts w:ascii="Arial Narrow" w:hAnsi="Arial Narrow" w:cs="Arial"/>
          <w:sz w:val="22"/>
          <w:szCs w:val="22"/>
        </w:rPr>
      </w:pPr>
    </w:p>
    <w:p w14:paraId="5B61C2CC" w14:textId="280F4F68" w:rsidR="001B340C" w:rsidRPr="00D06AD7" w:rsidRDefault="001B340C" w:rsidP="001B340C">
      <w:pPr>
        <w:jc w:val="both"/>
        <w:rPr>
          <w:rFonts w:ascii="Arial Narrow" w:hAnsi="Arial Narrow" w:cs="Arial"/>
          <w:sz w:val="22"/>
          <w:szCs w:val="22"/>
        </w:rPr>
      </w:pPr>
      <w:r w:rsidRPr="00D06AD7">
        <w:rPr>
          <w:rFonts w:ascii="Arial Narrow" w:hAnsi="Arial Narrow" w:cs="Arial"/>
          <w:sz w:val="22"/>
          <w:szCs w:val="22"/>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5F805B6B" w14:textId="77777777" w:rsidR="00D06AD7" w:rsidRPr="00D06AD7" w:rsidRDefault="00D06AD7" w:rsidP="001B340C">
      <w:pPr>
        <w:jc w:val="both"/>
        <w:rPr>
          <w:rFonts w:ascii="Arial Narrow" w:hAnsi="Arial Narrow" w:cs="Arial"/>
          <w:sz w:val="22"/>
          <w:szCs w:val="22"/>
        </w:rPr>
      </w:pPr>
    </w:p>
    <w:p w14:paraId="507B063E" w14:textId="5D2E97BF" w:rsidR="001B340C" w:rsidRPr="00D06AD7" w:rsidRDefault="001B340C" w:rsidP="001B340C">
      <w:pPr>
        <w:jc w:val="both"/>
        <w:rPr>
          <w:rFonts w:ascii="Arial Narrow" w:hAnsi="Arial Narrow" w:cs="Arial"/>
          <w:sz w:val="22"/>
          <w:szCs w:val="22"/>
        </w:rPr>
      </w:pPr>
      <w:r w:rsidRPr="00D06AD7">
        <w:rPr>
          <w:rFonts w:ascii="Arial Narrow" w:hAnsi="Arial Narrow" w:cs="Arial"/>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1AAB5536" w14:textId="77777777" w:rsidR="001B340C" w:rsidRPr="00D06AD7" w:rsidRDefault="001B340C" w:rsidP="001B340C">
      <w:pPr>
        <w:jc w:val="both"/>
        <w:rPr>
          <w:rFonts w:ascii="Arial Narrow" w:hAnsi="Arial Narrow" w:cs="Arial"/>
          <w:sz w:val="22"/>
          <w:szCs w:val="22"/>
        </w:rPr>
      </w:pPr>
      <w:r w:rsidRPr="00D06AD7">
        <w:rPr>
          <w:rFonts w:ascii="Arial Narrow" w:hAnsi="Arial Narrow" w:cs="Arial"/>
          <w:sz w:val="22"/>
          <w:szCs w:val="22"/>
        </w:rPr>
        <w:t>Esta misma previsión aplica para las personas naturales extranjeras con domicilio en Colombia las cuales deberán acreditar este requisito respecto del personal vinculado en Colombia.</w:t>
      </w:r>
    </w:p>
    <w:p w14:paraId="65B470BC" w14:textId="77777777" w:rsidR="00D06AD7" w:rsidRPr="00D06AD7" w:rsidRDefault="00D06AD7" w:rsidP="00067166">
      <w:pPr>
        <w:keepNext/>
        <w:spacing w:before="120" w:after="240"/>
        <w:ind w:left="709" w:hanging="709"/>
        <w:outlineLvl w:val="1"/>
        <w:rPr>
          <w:rFonts w:ascii="Arial Narrow" w:hAnsi="Arial Narrow" w:cs="Arial"/>
          <w:b/>
          <w:color w:val="000000"/>
          <w:sz w:val="22"/>
          <w:szCs w:val="22"/>
        </w:rPr>
      </w:pPr>
      <w:bookmarkStart w:id="55" w:name="_Toc34652099"/>
      <w:bookmarkStart w:id="56" w:name="_Toc34652198"/>
      <w:bookmarkStart w:id="57" w:name="_Toc34652298"/>
      <w:bookmarkStart w:id="58" w:name="_Toc34652663"/>
      <w:bookmarkStart w:id="59" w:name="_Toc34652784"/>
      <w:bookmarkStart w:id="60" w:name="_Toc34654079"/>
      <w:bookmarkStart w:id="61" w:name="_Toc34654184"/>
      <w:bookmarkStart w:id="62" w:name="_Toc36199100"/>
      <w:bookmarkStart w:id="63" w:name="_Toc36199836"/>
      <w:bookmarkStart w:id="64" w:name="_Toc36199964"/>
      <w:bookmarkStart w:id="65" w:name="_Toc36200093"/>
      <w:bookmarkStart w:id="66" w:name="_Toc26253796"/>
      <w:bookmarkStart w:id="67" w:name="_Toc26260123"/>
      <w:bookmarkStart w:id="68" w:name="_Toc26263589"/>
      <w:bookmarkStart w:id="69" w:name="_Toc26253797"/>
      <w:bookmarkStart w:id="70" w:name="_Toc26260124"/>
      <w:bookmarkStart w:id="71" w:name="_Toc26263590"/>
      <w:bookmarkStart w:id="72" w:name="_Toc26253798"/>
      <w:bookmarkStart w:id="73" w:name="_Toc26260125"/>
      <w:bookmarkStart w:id="74" w:name="_Toc26263591"/>
      <w:bookmarkStart w:id="75" w:name="_Toc7586769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64FD98BD" w14:textId="24C99DB8" w:rsidR="001B340C" w:rsidRPr="00D06AD7" w:rsidRDefault="001B340C" w:rsidP="00067166">
      <w:pPr>
        <w:keepNext/>
        <w:spacing w:before="120" w:after="240"/>
        <w:ind w:left="709" w:hanging="709"/>
        <w:outlineLvl w:val="1"/>
        <w:rPr>
          <w:rFonts w:ascii="Arial Narrow" w:hAnsi="Arial Narrow" w:cs="Arial"/>
          <w:b/>
          <w:color w:val="000000"/>
          <w:sz w:val="22"/>
          <w:szCs w:val="22"/>
        </w:rPr>
      </w:pPr>
      <w:r w:rsidRPr="00D06AD7">
        <w:rPr>
          <w:rFonts w:ascii="Arial Narrow" w:hAnsi="Arial Narrow" w:cs="Arial"/>
          <w:b/>
          <w:color w:val="000000"/>
          <w:sz w:val="22"/>
          <w:szCs w:val="22"/>
        </w:rPr>
        <w:t>PROPONENTES PLURALES</w:t>
      </w:r>
      <w:bookmarkEnd w:id="75"/>
      <w:r w:rsidRPr="00D06AD7">
        <w:rPr>
          <w:rFonts w:ascii="Arial Narrow" w:hAnsi="Arial Narrow" w:cs="Arial"/>
          <w:b/>
          <w:color w:val="000000"/>
          <w:sz w:val="22"/>
          <w:szCs w:val="22"/>
        </w:rPr>
        <w:t xml:space="preserve"> </w:t>
      </w:r>
    </w:p>
    <w:p w14:paraId="6FD9671E" w14:textId="77777777"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Cada uno de los integrantes del proponente plural debe suscribir por separado la declaración de la que tratan los numerales anteriores.</w:t>
      </w:r>
    </w:p>
    <w:p w14:paraId="0255EFA6" w14:textId="77777777" w:rsidR="001B340C" w:rsidRPr="00D06AD7" w:rsidRDefault="001B340C" w:rsidP="00067166">
      <w:pPr>
        <w:keepNext/>
        <w:spacing w:before="120" w:after="240"/>
        <w:ind w:left="709" w:hanging="709"/>
        <w:outlineLvl w:val="1"/>
        <w:rPr>
          <w:rFonts w:ascii="Arial Narrow" w:hAnsi="Arial Narrow" w:cs="Arial"/>
          <w:b/>
          <w:color w:val="000000"/>
          <w:sz w:val="22"/>
          <w:szCs w:val="22"/>
        </w:rPr>
      </w:pPr>
      <w:bookmarkStart w:id="76" w:name="_Toc75867696"/>
      <w:r w:rsidRPr="00D06AD7">
        <w:rPr>
          <w:rFonts w:ascii="Arial Narrow" w:hAnsi="Arial Narrow" w:cs="Arial"/>
          <w:b/>
          <w:color w:val="000000"/>
          <w:sz w:val="22"/>
          <w:szCs w:val="22"/>
        </w:rPr>
        <w:lastRenderedPageBreak/>
        <w:t>SEGURIDAD SOCIAL PARA LA ACEPTACIÓN DE LA OFERTA</w:t>
      </w:r>
      <w:bookmarkStart w:id="77" w:name="_Hlk511410135"/>
      <w:bookmarkEnd w:id="76"/>
    </w:p>
    <w:p w14:paraId="35D76F9F" w14:textId="77777777"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 xml:space="preserve">El proponente seleccionado debe presentar, para la aceptación de la oferta, ante la dependencia respectiva, la declaración donde acredite el pago correspondiente a seguridad social y aportes legales cuando a ello haya lugar. </w:t>
      </w:r>
    </w:p>
    <w:p w14:paraId="41E5E224" w14:textId="77777777" w:rsidR="00D06AD7" w:rsidRPr="00D06AD7" w:rsidRDefault="00D06AD7" w:rsidP="001B340C">
      <w:pPr>
        <w:spacing w:line="276" w:lineRule="auto"/>
        <w:jc w:val="both"/>
        <w:rPr>
          <w:rFonts w:ascii="Arial Narrow" w:hAnsi="Arial Narrow" w:cs="Arial"/>
          <w:sz w:val="22"/>
          <w:szCs w:val="22"/>
        </w:rPr>
      </w:pPr>
    </w:p>
    <w:p w14:paraId="24E20912" w14:textId="1B19A544" w:rsidR="001B340C" w:rsidRPr="00D06AD7" w:rsidRDefault="001B340C" w:rsidP="001B340C">
      <w:pPr>
        <w:spacing w:line="276" w:lineRule="auto"/>
        <w:jc w:val="both"/>
        <w:rPr>
          <w:rFonts w:ascii="Arial Narrow" w:hAnsi="Arial Narrow" w:cs="Arial"/>
          <w:sz w:val="22"/>
          <w:szCs w:val="22"/>
        </w:rPr>
      </w:pPr>
      <w:r w:rsidRPr="00D06AD7">
        <w:rPr>
          <w:rFonts w:ascii="Arial Narrow" w:hAnsi="Arial Narrow" w:cs="Arial"/>
          <w:sz w:val="22"/>
          <w:szCs w:val="22"/>
        </w:rPr>
        <w:t>En caso de que la persona natural o jurídica no tenga o haya tenido dentro de los seis (6) meses anteriores a la fecha de aceptación de la oferta personal a cargo, y por ende no esté obligado a efectuar el pago de aportes legales y seguridad social debe indicar esta circunstancia en la mencionada certificación, bajo la gravedad de juramento.</w:t>
      </w:r>
    </w:p>
    <w:p w14:paraId="0E82CE02" w14:textId="77777777" w:rsidR="001B340C" w:rsidRPr="00D06AD7" w:rsidRDefault="001B340C" w:rsidP="001B340C">
      <w:pPr>
        <w:spacing w:line="276" w:lineRule="auto"/>
        <w:jc w:val="both"/>
        <w:rPr>
          <w:rFonts w:ascii="Arial Narrow" w:hAnsi="Arial Narrow" w:cs="Arial"/>
          <w:sz w:val="22"/>
          <w:szCs w:val="22"/>
        </w:rPr>
      </w:pPr>
    </w:p>
    <w:p w14:paraId="4B25EDBB" w14:textId="77777777" w:rsidR="001B340C" w:rsidRPr="00D06AD7" w:rsidRDefault="001B340C" w:rsidP="00067166">
      <w:pPr>
        <w:keepNext/>
        <w:spacing w:before="120" w:after="240"/>
        <w:ind w:left="709" w:hanging="709"/>
        <w:outlineLvl w:val="1"/>
        <w:rPr>
          <w:rFonts w:ascii="Arial Narrow" w:hAnsi="Arial Narrow" w:cs="Arial"/>
          <w:b/>
          <w:color w:val="000000"/>
          <w:sz w:val="22"/>
          <w:szCs w:val="22"/>
        </w:rPr>
      </w:pPr>
      <w:bookmarkStart w:id="78" w:name="_Toc39134631"/>
      <w:bookmarkStart w:id="79" w:name="_Toc39135595"/>
      <w:bookmarkStart w:id="80" w:name="_Toc39135711"/>
      <w:bookmarkStart w:id="81" w:name="_Toc39134632"/>
      <w:bookmarkStart w:id="82" w:name="_Toc39135596"/>
      <w:bookmarkStart w:id="83" w:name="_Toc39135712"/>
      <w:bookmarkStart w:id="84" w:name="_Toc26253802"/>
      <w:bookmarkStart w:id="85" w:name="_Toc26260129"/>
      <w:bookmarkStart w:id="86" w:name="_Toc26263595"/>
      <w:bookmarkStart w:id="87" w:name="_Toc26253803"/>
      <w:bookmarkStart w:id="88" w:name="_Toc26260130"/>
      <w:bookmarkStart w:id="89" w:name="_Toc26263596"/>
      <w:bookmarkStart w:id="90" w:name="_Toc26253804"/>
      <w:bookmarkStart w:id="91" w:name="_Toc26260131"/>
      <w:bookmarkStart w:id="92" w:name="_Toc26263597"/>
      <w:bookmarkStart w:id="93" w:name="_Toc26253805"/>
      <w:bookmarkStart w:id="94" w:name="_Toc26260132"/>
      <w:bookmarkStart w:id="95" w:name="_Toc26263598"/>
      <w:bookmarkStart w:id="96" w:name="_Toc508648271"/>
      <w:bookmarkStart w:id="97" w:name="_Toc508984055"/>
      <w:bookmarkStart w:id="98" w:name="_Toc509843886"/>
      <w:bookmarkStart w:id="99" w:name="_Toc511924793"/>
      <w:bookmarkStart w:id="100" w:name="_Toc75867697"/>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D06AD7">
        <w:rPr>
          <w:rFonts w:ascii="Arial Narrow" w:hAnsi="Arial Narrow" w:cs="Arial"/>
          <w:b/>
          <w:color w:val="000000"/>
          <w:sz w:val="22"/>
          <w:szCs w:val="22"/>
        </w:rPr>
        <w:t>EXPERIENCIA</w:t>
      </w:r>
      <w:bookmarkEnd w:id="96"/>
      <w:bookmarkEnd w:id="97"/>
      <w:bookmarkEnd w:id="98"/>
      <w:bookmarkEnd w:id="99"/>
      <w:bookmarkEnd w:id="100"/>
      <w:r w:rsidRPr="00D06AD7">
        <w:rPr>
          <w:rFonts w:ascii="Arial Narrow" w:hAnsi="Arial Narrow" w:cs="Arial"/>
          <w:b/>
          <w:color w:val="000000"/>
          <w:sz w:val="22"/>
          <w:szCs w:val="22"/>
        </w:rPr>
        <w:t xml:space="preserve"> </w:t>
      </w:r>
    </w:p>
    <w:p w14:paraId="091DF1F5" w14:textId="4E1E17B5" w:rsidR="001B340C" w:rsidRPr="00D06AD7" w:rsidRDefault="001B340C" w:rsidP="001B340C">
      <w:pPr>
        <w:pStyle w:val="InviasNormal"/>
        <w:spacing w:line="276" w:lineRule="auto"/>
        <w:rPr>
          <w:rFonts w:cs="Arial"/>
          <w:sz w:val="22"/>
          <w:szCs w:val="22"/>
          <w:lang w:val="es-CO" w:eastAsia="es-CO"/>
        </w:rPr>
      </w:pPr>
      <w:r w:rsidRPr="00D06AD7">
        <w:rPr>
          <w:rFonts w:cs="Arial"/>
          <w:sz w:val="22"/>
          <w:szCs w:val="22"/>
          <w:lang w:val="es-CO" w:eastAsia="es-CO"/>
        </w:rPr>
        <w:t>Los proponentes deben cumplir con el requisito habilitante de experiencia, el cual se acreditará mediante: i) la presentación del Formato 3 – Experiencia y ii) copia de alguno de los documentos válidos para acreditar la experiencia requerida señalados en el numeral 4.5.4 y 4.5.5</w:t>
      </w:r>
      <w:r w:rsidR="00067166" w:rsidRPr="00D06AD7">
        <w:rPr>
          <w:rFonts w:cs="Arial"/>
          <w:sz w:val="22"/>
          <w:szCs w:val="22"/>
          <w:lang w:val="es-CO" w:eastAsia="es-CO"/>
        </w:rPr>
        <w:t xml:space="preserve"> de la invitación pública.</w:t>
      </w:r>
    </w:p>
    <w:p w14:paraId="518C1BC5" w14:textId="283492A3" w:rsidR="00B66C6B" w:rsidRPr="00D06AD7" w:rsidRDefault="001B340C" w:rsidP="00D06AD7">
      <w:pPr>
        <w:pStyle w:val="InviasNormal"/>
        <w:spacing w:line="276" w:lineRule="auto"/>
        <w:rPr>
          <w:rFonts w:cs="Arial"/>
          <w:sz w:val="22"/>
          <w:szCs w:val="22"/>
        </w:rPr>
      </w:pPr>
      <w:r w:rsidRPr="00D06AD7">
        <w:rPr>
          <w:rFonts w:cs="Arial"/>
          <w:sz w:val="22"/>
          <w:szCs w:val="22"/>
          <w:lang w:val="es-CO" w:eastAsia="es-CO"/>
        </w:rPr>
        <w:t>Los proponentes podrán acreditar experiencia proveniente de contratos celebrados con particulares o entidades estatales</w:t>
      </w:r>
      <w:r w:rsidRPr="00D06AD7">
        <w:rPr>
          <w:rFonts w:cs="Arial"/>
          <w:sz w:val="22"/>
          <w:szCs w:val="22"/>
          <w:lang w:val="es-CO"/>
        </w:rPr>
        <w:t xml:space="preserve">. </w:t>
      </w:r>
    </w:p>
    <w:p w14:paraId="0712450A" w14:textId="77777777" w:rsidR="004312B6" w:rsidRPr="00D06AD7" w:rsidRDefault="004312B6" w:rsidP="00EC17FC">
      <w:pPr>
        <w:pStyle w:val="Capitulo1"/>
        <w:numPr>
          <w:ilvl w:val="0"/>
          <w:numId w:val="19"/>
        </w:numPr>
        <w:rPr>
          <w:rFonts w:ascii="Arial Narrow" w:hAnsi="Arial Narrow"/>
          <w:color w:val="auto"/>
          <w:sz w:val="22"/>
          <w:szCs w:val="22"/>
        </w:rPr>
      </w:pPr>
      <w:bookmarkStart w:id="101" w:name="_Toc504124483"/>
      <w:bookmarkStart w:id="102" w:name="_Toc508648244"/>
      <w:bookmarkStart w:id="103" w:name="_Toc508984028"/>
      <w:bookmarkStart w:id="104" w:name="_Toc509843858"/>
      <w:bookmarkStart w:id="105" w:name="_Toc511924766"/>
      <w:bookmarkStart w:id="106" w:name="_Toc520226855"/>
      <w:bookmarkStart w:id="107" w:name="_Toc520297825"/>
      <w:bookmarkStart w:id="108" w:name="_Toc520317090"/>
      <w:bookmarkStart w:id="109" w:name="_Toc533083691"/>
      <w:bookmarkStart w:id="110" w:name="_Toc35616181"/>
      <w:bookmarkStart w:id="111" w:name="_Toc40113312"/>
      <w:bookmarkStart w:id="112" w:name="_Toc58777468"/>
      <w:r w:rsidRPr="00D06AD7">
        <w:rPr>
          <w:rFonts w:ascii="Arial Narrow" w:hAnsi="Arial Narrow"/>
          <w:color w:val="auto"/>
          <w:sz w:val="22"/>
          <w:szCs w:val="22"/>
        </w:rPr>
        <w:t>CLASIFICADOR DE BIENES Y SERVICIOS DE NACIONES UNIDAS (UNSPSC)</w:t>
      </w:r>
      <w:bookmarkEnd w:id="101"/>
      <w:bookmarkEnd w:id="102"/>
      <w:bookmarkEnd w:id="103"/>
      <w:bookmarkEnd w:id="104"/>
      <w:bookmarkEnd w:id="105"/>
      <w:bookmarkEnd w:id="106"/>
      <w:bookmarkEnd w:id="107"/>
      <w:bookmarkEnd w:id="108"/>
      <w:bookmarkEnd w:id="109"/>
      <w:bookmarkEnd w:id="110"/>
      <w:bookmarkEnd w:id="111"/>
      <w:bookmarkEnd w:id="112"/>
    </w:p>
    <w:p w14:paraId="62EF3665" w14:textId="77777777" w:rsidR="004312B6" w:rsidRPr="00D06AD7" w:rsidRDefault="004312B6" w:rsidP="004312B6">
      <w:pPr>
        <w:spacing w:line="276" w:lineRule="auto"/>
        <w:jc w:val="both"/>
        <w:rPr>
          <w:rFonts w:ascii="Arial Narrow" w:eastAsia="Arial" w:hAnsi="Arial Narrow" w:cs="Arial"/>
          <w:sz w:val="22"/>
          <w:szCs w:val="22"/>
        </w:rPr>
      </w:pPr>
      <w:r w:rsidRPr="00D06AD7">
        <w:rPr>
          <w:rFonts w:ascii="Arial Narrow" w:hAnsi="Arial Narrow" w:cs="Arial"/>
          <w:sz w:val="22"/>
          <w:szCs w:val="22"/>
        </w:rPr>
        <w:t>El contrato de interventoría</w:t>
      </w:r>
      <w:r w:rsidRPr="00D06AD7">
        <w:rPr>
          <w:rFonts w:ascii="Arial Narrow" w:eastAsia="Arial" w:hAnsi="Arial Narrow" w:cs="Arial"/>
          <w:sz w:val="22"/>
          <w:szCs w:val="22"/>
        </w:rPr>
        <w:t xml:space="preserve"> </w:t>
      </w:r>
      <w:r w:rsidRPr="00D06AD7">
        <w:rPr>
          <w:rFonts w:ascii="Arial Narrow" w:hAnsi="Arial Narrow" w:cs="Arial"/>
          <w:sz w:val="22"/>
          <w:szCs w:val="22"/>
        </w:rPr>
        <w:t>del</w:t>
      </w:r>
      <w:r w:rsidRPr="00D06AD7">
        <w:rPr>
          <w:rFonts w:ascii="Arial Narrow" w:eastAsia="Arial" w:hAnsi="Arial Narrow" w:cs="Arial"/>
          <w:sz w:val="22"/>
          <w:szCs w:val="22"/>
        </w:rPr>
        <w:t xml:space="preserve"> </w:t>
      </w:r>
      <w:r w:rsidRPr="00D06AD7">
        <w:rPr>
          <w:rFonts w:ascii="Arial Narrow" w:hAnsi="Arial Narrow" w:cs="Arial"/>
          <w:sz w:val="22"/>
          <w:szCs w:val="22"/>
        </w:rPr>
        <w:t>presente</w:t>
      </w:r>
      <w:r w:rsidRPr="00D06AD7">
        <w:rPr>
          <w:rFonts w:ascii="Arial Narrow" w:eastAsia="Arial" w:hAnsi="Arial Narrow" w:cs="Arial"/>
          <w:sz w:val="22"/>
          <w:szCs w:val="22"/>
        </w:rPr>
        <w:t xml:space="preserve"> </w:t>
      </w:r>
      <w:r w:rsidRPr="00D06AD7">
        <w:rPr>
          <w:rFonts w:ascii="Arial Narrow" w:hAnsi="Arial Narrow" w:cs="Arial"/>
          <w:sz w:val="22"/>
          <w:szCs w:val="22"/>
        </w:rPr>
        <w:t>proceso</w:t>
      </w:r>
      <w:r w:rsidRPr="00D06AD7">
        <w:rPr>
          <w:rFonts w:ascii="Arial Narrow" w:eastAsia="Arial" w:hAnsi="Arial Narrow" w:cs="Arial"/>
          <w:sz w:val="22"/>
          <w:szCs w:val="22"/>
        </w:rPr>
        <w:t xml:space="preserve"> </w:t>
      </w:r>
      <w:r w:rsidRPr="00D06AD7">
        <w:rPr>
          <w:rFonts w:ascii="Arial Narrow" w:hAnsi="Arial Narrow" w:cs="Arial"/>
          <w:sz w:val="22"/>
          <w:szCs w:val="22"/>
        </w:rPr>
        <w:t>de</w:t>
      </w:r>
      <w:r w:rsidRPr="00D06AD7">
        <w:rPr>
          <w:rFonts w:ascii="Arial Narrow" w:eastAsia="Arial" w:hAnsi="Arial Narrow" w:cs="Arial"/>
          <w:sz w:val="22"/>
          <w:szCs w:val="22"/>
        </w:rPr>
        <w:t xml:space="preserve"> </w:t>
      </w:r>
      <w:r w:rsidRPr="00D06AD7">
        <w:rPr>
          <w:rFonts w:ascii="Arial Narrow" w:hAnsi="Arial Narrow" w:cs="Arial"/>
          <w:sz w:val="22"/>
          <w:szCs w:val="22"/>
        </w:rPr>
        <w:t>contratación</w:t>
      </w:r>
      <w:r w:rsidRPr="00D06AD7">
        <w:rPr>
          <w:rFonts w:ascii="Arial Narrow" w:eastAsia="Arial" w:hAnsi="Arial Narrow" w:cs="Arial"/>
          <w:sz w:val="22"/>
          <w:szCs w:val="22"/>
        </w:rPr>
        <w:t xml:space="preserve"> </w:t>
      </w:r>
      <w:r w:rsidRPr="00D06AD7">
        <w:rPr>
          <w:rFonts w:ascii="Arial Narrow" w:hAnsi="Arial Narrow" w:cs="Arial"/>
          <w:sz w:val="22"/>
          <w:szCs w:val="22"/>
        </w:rPr>
        <w:t>está</w:t>
      </w:r>
      <w:r w:rsidRPr="00D06AD7">
        <w:rPr>
          <w:rFonts w:ascii="Arial Narrow" w:eastAsia="Arial" w:hAnsi="Arial Narrow" w:cs="Arial"/>
          <w:sz w:val="22"/>
          <w:szCs w:val="22"/>
        </w:rPr>
        <w:t xml:space="preserve"> </w:t>
      </w:r>
      <w:r w:rsidRPr="00D06AD7">
        <w:rPr>
          <w:rFonts w:ascii="Arial Narrow" w:hAnsi="Arial Narrow" w:cs="Arial"/>
          <w:sz w:val="22"/>
          <w:szCs w:val="22"/>
        </w:rPr>
        <w:t>codificado</w:t>
      </w:r>
      <w:r w:rsidRPr="00D06AD7">
        <w:rPr>
          <w:rFonts w:ascii="Arial Narrow" w:eastAsia="Arial" w:hAnsi="Arial Narrow" w:cs="Arial"/>
          <w:sz w:val="22"/>
          <w:szCs w:val="22"/>
        </w:rPr>
        <w:t xml:space="preserve"> </w:t>
      </w:r>
      <w:r w:rsidRPr="00D06AD7">
        <w:rPr>
          <w:rFonts w:ascii="Arial Narrow" w:hAnsi="Arial Narrow" w:cs="Arial"/>
          <w:sz w:val="22"/>
          <w:szCs w:val="22"/>
        </w:rPr>
        <w:t>en</w:t>
      </w:r>
      <w:r w:rsidRPr="00D06AD7">
        <w:rPr>
          <w:rFonts w:ascii="Arial Narrow" w:eastAsia="Arial" w:hAnsi="Arial Narrow" w:cs="Arial"/>
          <w:sz w:val="22"/>
          <w:szCs w:val="22"/>
        </w:rPr>
        <w:t xml:space="preserve"> </w:t>
      </w:r>
      <w:r w:rsidRPr="00D06AD7">
        <w:rPr>
          <w:rFonts w:ascii="Arial Narrow" w:hAnsi="Arial Narrow" w:cs="Arial"/>
          <w:sz w:val="22"/>
          <w:szCs w:val="22"/>
        </w:rPr>
        <w:t>el</w:t>
      </w:r>
      <w:r w:rsidRPr="00D06AD7">
        <w:rPr>
          <w:rFonts w:ascii="Arial Narrow" w:eastAsia="Arial" w:hAnsi="Arial Narrow" w:cs="Arial"/>
          <w:sz w:val="22"/>
          <w:szCs w:val="22"/>
        </w:rPr>
        <w:t xml:space="preserve"> </w:t>
      </w:r>
      <w:r w:rsidRPr="00D06AD7">
        <w:rPr>
          <w:rFonts w:ascii="Arial Narrow" w:hAnsi="Arial Narrow" w:cs="Arial"/>
          <w:sz w:val="22"/>
          <w:szCs w:val="22"/>
        </w:rPr>
        <w:t>Clasificador</w:t>
      </w:r>
      <w:r w:rsidRPr="00D06AD7">
        <w:rPr>
          <w:rFonts w:ascii="Arial Narrow" w:eastAsia="Arial" w:hAnsi="Arial Narrow" w:cs="Arial"/>
          <w:sz w:val="22"/>
          <w:szCs w:val="22"/>
        </w:rPr>
        <w:t xml:space="preserve"> </w:t>
      </w:r>
      <w:r w:rsidRPr="00D06AD7">
        <w:rPr>
          <w:rFonts w:ascii="Arial Narrow" w:hAnsi="Arial Narrow" w:cs="Arial"/>
          <w:sz w:val="22"/>
          <w:szCs w:val="22"/>
        </w:rPr>
        <w:t>de</w:t>
      </w:r>
      <w:r w:rsidRPr="00D06AD7">
        <w:rPr>
          <w:rFonts w:ascii="Arial Narrow" w:eastAsia="Arial" w:hAnsi="Arial Narrow" w:cs="Arial"/>
          <w:sz w:val="22"/>
          <w:szCs w:val="22"/>
        </w:rPr>
        <w:t xml:space="preserve"> </w:t>
      </w:r>
      <w:r w:rsidRPr="00D06AD7">
        <w:rPr>
          <w:rFonts w:ascii="Arial Narrow" w:hAnsi="Arial Narrow" w:cs="Arial"/>
          <w:sz w:val="22"/>
          <w:szCs w:val="22"/>
        </w:rPr>
        <w:t>Bienes</w:t>
      </w:r>
      <w:r w:rsidRPr="00D06AD7">
        <w:rPr>
          <w:rFonts w:ascii="Arial Narrow" w:eastAsia="Arial" w:hAnsi="Arial Narrow" w:cs="Arial"/>
          <w:sz w:val="22"/>
          <w:szCs w:val="22"/>
        </w:rPr>
        <w:t xml:space="preserve"> </w:t>
      </w:r>
      <w:r w:rsidRPr="00D06AD7">
        <w:rPr>
          <w:rFonts w:ascii="Arial Narrow" w:hAnsi="Arial Narrow" w:cs="Arial"/>
          <w:sz w:val="22"/>
          <w:szCs w:val="22"/>
        </w:rPr>
        <w:t>y</w:t>
      </w:r>
      <w:r w:rsidRPr="00D06AD7">
        <w:rPr>
          <w:rFonts w:ascii="Arial Narrow" w:eastAsia="Arial" w:hAnsi="Arial Narrow" w:cs="Arial"/>
          <w:sz w:val="22"/>
          <w:szCs w:val="22"/>
        </w:rPr>
        <w:t xml:space="preserve"> </w:t>
      </w:r>
      <w:r w:rsidRPr="00D06AD7">
        <w:rPr>
          <w:rFonts w:ascii="Arial Narrow" w:hAnsi="Arial Narrow" w:cs="Arial"/>
          <w:sz w:val="22"/>
          <w:szCs w:val="22"/>
        </w:rPr>
        <w:t>Servicios</w:t>
      </w:r>
      <w:r w:rsidRPr="00D06AD7">
        <w:rPr>
          <w:rFonts w:ascii="Arial Narrow" w:eastAsia="Arial" w:hAnsi="Arial Narrow" w:cs="Arial"/>
          <w:sz w:val="22"/>
          <w:szCs w:val="22"/>
        </w:rPr>
        <w:t xml:space="preserve"> </w:t>
      </w:r>
      <w:r w:rsidRPr="00D06AD7">
        <w:rPr>
          <w:rFonts w:ascii="Arial Narrow" w:hAnsi="Arial Narrow" w:cs="Arial"/>
          <w:sz w:val="22"/>
          <w:szCs w:val="22"/>
        </w:rPr>
        <w:t>de</w:t>
      </w:r>
      <w:r w:rsidRPr="00D06AD7">
        <w:rPr>
          <w:rFonts w:ascii="Arial Narrow" w:eastAsia="Arial" w:hAnsi="Arial Narrow" w:cs="Arial"/>
          <w:sz w:val="22"/>
          <w:szCs w:val="22"/>
        </w:rPr>
        <w:t xml:space="preserve"> </w:t>
      </w:r>
      <w:r w:rsidRPr="00D06AD7">
        <w:rPr>
          <w:rFonts w:ascii="Arial Narrow" w:hAnsi="Arial Narrow" w:cs="Arial"/>
          <w:sz w:val="22"/>
          <w:szCs w:val="22"/>
        </w:rPr>
        <w:t>Naciones</w:t>
      </w:r>
      <w:r w:rsidRPr="00D06AD7">
        <w:rPr>
          <w:rFonts w:ascii="Arial Narrow" w:eastAsia="Arial" w:hAnsi="Arial Narrow" w:cs="Arial"/>
          <w:sz w:val="22"/>
          <w:szCs w:val="22"/>
        </w:rPr>
        <w:t xml:space="preserve"> </w:t>
      </w:r>
      <w:r w:rsidRPr="00D06AD7">
        <w:rPr>
          <w:rFonts w:ascii="Arial Narrow" w:hAnsi="Arial Narrow" w:cs="Arial"/>
          <w:sz w:val="22"/>
          <w:szCs w:val="22"/>
        </w:rPr>
        <w:t>Unidas</w:t>
      </w:r>
      <w:r w:rsidRPr="00D06AD7">
        <w:rPr>
          <w:rFonts w:ascii="Arial Narrow" w:eastAsia="Arial" w:hAnsi="Arial Narrow" w:cs="Arial"/>
          <w:sz w:val="22"/>
          <w:szCs w:val="22"/>
        </w:rPr>
        <w:t xml:space="preserve"> </w:t>
      </w:r>
      <w:r w:rsidRPr="00D06AD7">
        <w:rPr>
          <w:rFonts w:ascii="Arial Narrow" w:hAnsi="Arial Narrow" w:cs="Arial"/>
          <w:sz w:val="22"/>
          <w:szCs w:val="22"/>
        </w:rPr>
        <w:t>(UNSPSC)</w:t>
      </w:r>
      <w:r w:rsidRPr="00D06AD7">
        <w:rPr>
          <w:rFonts w:ascii="Arial Narrow" w:eastAsia="Arial" w:hAnsi="Arial Narrow" w:cs="Arial"/>
          <w:sz w:val="22"/>
          <w:szCs w:val="22"/>
        </w:rPr>
        <w:t xml:space="preserve"> bajo el segmento 81 y/o 80 </w:t>
      </w:r>
      <w:r w:rsidRPr="00D06AD7">
        <w:rPr>
          <w:rFonts w:ascii="Arial Narrow" w:hAnsi="Arial Narrow" w:cs="Arial"/>
          <w:sz w:val="22"/>
          <w:szCs w:val="22"/>
        </w:rPr>
        <w:t>con</w:t>
      </w:r>
      <w:r w:rsidRPr="00D06AD7">
        <w:rPr>
          <w:rFonts w:ascii="Arial Narrow" w:eastAsia="Arial" w:hAnsi="Arial Narrow" w:cs="Arial"/>
          <w:sz w:val="22"/>
          <w:szCs w:val="22"/>
        </w:rPr>
        <w:t xml:space="preserve"> </w:t>
      </w:r>
      <w:r w:rsidRPr="00D06AD7">
        <w:rPr>
          <w:rFonts w:ascii="Arial Narrow" w:hAnsi="Arial Narrow" w:cs="Arial"/>
          <w:sz w:val="22"/>
          <w:szCs w:val="22"/>
        </w:rPr>
        <w:t>el</w:t>
      </w:r>
      <w:r w:rsidRPr="00D06AD7">
        <w:rPr>
          <w:rFonts w:ascii="Arial Narrow" w:eastAsia="Arial" w:hAnsi="Arial Narrow" w:cs="Arial"/>
          <w:sz w:val="22"/>
          <w:szCs w:val="22"/>
        </w:rPr>
        <w:t xml:space="preserve"> [</w:t>
      </w:r>
      <w:r w:rsidRPr="00D06AD7">
        <w:rPr>
          <w:rFonts w:ascii="Arial Narrow" w:hAnsi="Arial Narrow" w:cs="Arial"/>
          <w:sz w:val="22"/>
          <w:szCs w:val="22"/>
        </w:rPr>
        <w:t>cuarto</w:t>
      </w:r>
      <w:r w:rsidRPr="00D06AD7">
        <w:rPr>
          <w:rFonts w:ascii="Arial Narrow" w:eastAsia="Arial" w:hAnsi="Arial Narrow" w:cs="Arial"/>
          <w:sz w:val="22"/>
          <w:szCs w:val="22"/>
        </w:rPr>
        <w:t xml:space="preserve"> </w:t>
      </w:r>
      <w:r w:rsidRPr="00D06AD7">
        <w:rPr>
          <w:rFonts w:ascii="Arial Narrow" w:hAnsi="Arial Narrow" w:cs="Arial"/>
          <w:sz w:val="22"/>
          <w:szCs w:val="22"/>
        </w:rPr>
        <w:t>de</w:t>
      </w:r>
      <w:r w:rsidRPr="00D06AD7">
        <w:rPr>
          <w:rFonts w:ascii="Arial Narrow" w:eastAsia="Arial" w:hAnsi="Arial Narrow" w:cs="Arial"/>
          <w:sz w:val="22"/>
          <w:szCs w:val="22"/>
        </w:rPr>
        <w:t xml:space="preserve"> </w:t>
      </w:r>
      <w:r w:rsidRPr="00D06AD7">
        <w:rPr>
          <w:rFonts w:ascii="Arial Narrow" w:hAnsi="Arial Narrow" w:cs="Arial"/>
          <w:sz w:val="22"/>
          <w:szCs w:val="22"/>
        </w:rPr>
        <w:t>ser</w:t>
      </w:r>
      <w:r w:rsidRPr="00D06AD7">
        <w:rPr>
          <w:rFonts w:ascii="Arial Narrow" w:eastAsia="Arial" w:hAnsi="Arial Narrow" w:cs="Arial"/>
          <w:sz w:val="22"/>
          <w:szCs w:val="22"/>
        </w:rPr>
        <w:t xml:space="preserve"> </w:t>
      </w:r>
      <w:r w:rsidRPr="00D06AD7">
        <w:rPr>
          <w:rFonts w:ascii="Arial Narrow" w:hAnsi="Arial Narrow" w:cs="Arial"/>
          <w:sz w:val="22"/>
          <w:szCs w:val="22"/>
        </w:rPr>
        <w:t>posible</w:t>
      </w:r>
      <w:r w:rsidRPr="00D06AD7">
        <w:rPr>
          <w:rFonts w:ascii="Arial Narrow" w:eastAsia="Arial" w:hAnsi="Arial Narrow" w:cs="Arial"/>
          <w:sz w:val="22"/>
          <w:szCs w:val="22"/>
        </w:rPr>
        <w:t xml:space="preserve"> </w:t>
      </w:r>
      <w:r w:rsidRPr="00D06AD7">
        <w:rPr>
          <w:rFonts w:ascii="Arial Narrow" w:hAnsi="Arial Narrow" w:cs="Arial"/>
          <w:sz w:val="22"/>
          <w:szCs w:val="22"/>
        </w:rPr>
        <w:t>o,</w:t>
      </w:r>
      <w:r w:rsidRPr="00D06AD7">
        <w:rPr>
          <w:rFonts w:ascii="Arial Narrow" w:eastAsia="Arial" w:hAnsi="Arial Narrow" w:cs="Arial"/>
          <w:sz w:val="22"/>
          <w:szCs w:val="22"/>
        </w:rPr>
        <w:t xml:space="preserve"> </w:t>
      </w:r>
      <w:r w:rsidRPr="00D06AD7">
        <w:rPr>
          <w:rFonts w:ascii="Arial Narrow" w:hAnsi="Arial Narrow" w:cs="Arial"/>
          <w:sz w:val="22"/>
          <w:szCs w:val="22"/>
        </w:rPr>
        <w:t>de</w:t>
      </w:r>
      <w:r w:rsidRPr="00D06AD7">
        <w:rPr>
          <w:rFonts w:ascii="Arial Narrow" w:eastAsia="Arial" w:hAnsi="Arial Narrow" w:cs="Arial"/>
          <w:sz w:val="22"/>
          <w:szCs w:val="22"/>
        </w:rPr>
        <w:t xml:space="preserve"> </w:t>
      </w:r>
      <w:r w:rsidRPr="00D06AD7">
        <w:rPr>
          <w:rFonts w:ascii="Arial Narrow" w:hAnsi="Arial Narrow" w:cs="Arial"/>
          <w:sz w:val="22"/>
          <w:szCs w:val="22"/>
        </w:rPr>
        <w:t>lo</w:t>
      </w:r>
      <w:r w:rsidRPr="00D06AD7">
        <w:rPr>
          <w:rFonts w:ascii="Arial Narrow" w:eastAsia="Arial" w:hAnsi="Arial Narrow" w:cs="Arial"/>
          <w:sz w:val="22"/>
          <w:szCs w:val="22"/>
        </w:rPr>
        <w:t xml:space="preserve"> </w:t>
      </w:r>
      <w:r w:rsidRPr="00D06AD7">
        <w:rPr>
          <w:rFonts w:ascii="Arial Narrow" w:hAnsi="Arial Narrow" w:cs="Arial"/>
          <w:sz w:val="22"/>
          <w:szCs w:val="22"/>
        </w:rPr>
        <w:t>contrario,</w:t>
      </w:r>
      <w:r w:rsidRPr="00D06AD7">
        <w:rPr>
          <w:rFonts w:ascii="Arial Narrow" w:eastAsia="Arial" w:hAnsi="Arial Narrow" w:cs="Arial"/>
          <w:sz w:val="22"/>
          <w:szCs w:val="22"/>
        </w:rPr>
        <w:t xml:space="preserve"> </w:t>
      </w:r>
      <w:r w:rsidRPr="00D06AD7">
        <w:rPr>
          <w:rFonts w:ascii="Arial Narrow" w:hAnsi="Arial Narrow" w:cs="Arial"/>
          <w:sz w:val="22"/>
          <w:szCs w:val="22"/>
        </w:rPr>
        <w:t>en</w:t>
      </w:r>
      <w:r w:rsidRPr="00D06AD7">
        <w:rPr>
          <w:rFonts w:ascii="Arial Narrow" w:eastAsia="Arial" w:hAnsi="Arial Narrow" w:cs="Arial"/>
          <w:sz w:val="22"/>
          <w:szCs w:val="22"/>
        </w:rPr>
        <w:t xml:space="preserve"> </w:t>
      </w:r>
      <w:r w:rsidRPr="00D06AD7">
        <w:rPr>
          <w:rFonts w:ascii="Arial Narrow" w:hAnsi="Arial Narrow" w:cs="Arial"/>
          <w:sz w:val="22"/>
          <w:szCs w:val="22"/>
        </w:rPr>
        <w:t>el</w:t>
      </w:r>
      <w:r w:rsidRPr="00D06AD7">
        <w:rPr>
          <w:rFonts w:ascii="Arial Narrow" w:eastAsia="Arial" w:hAnsi="Arial Narrow" w:cs="Arial"/>
          <w:sz w:val="22"/>
          <w:szCs w:val="22"/>
        </w:rPr>
        <w:t xml:space="preserve"> </w:t>
      </w:r>
      <w:r w:rsidRPr="00D06AD7">
        <w:rPr>
          <w:rFonts w:ascii="Arial Narrow" w:hAnsi="Arial Narrow" w:cs="Arial"/>
          <w:sz w:val="22"/>
          <w:szCs w:val="22"/>
        </w:rPr>
        <w:t>tercer</w:t>
      </w:r>
      <w:r w:rsidRPr="00D06AD7">
        <w:rPr>
          <w:rFonts w:ascii="Arial Narrow" w:eastAsia="Arial" w:hAnsi="Arial Narrow" w:cs="Arial"/>
          <w:sz w:val="22"/>
          <w:szCs w:val="22"/>
        </w:rPr>
        <w:t xml:space="preserve"> </w:t>
      </w:r>
      <w:r w:rsidRPr="00D06AD7">
        <w:rPr>
          <w:rFonts w:ascii="Arial Narrow" w:hAnsi="Arial Narrow" w:cs="Arial"/>
          <w:sz w:val="22"/>
          <w:szCs w:val="22"/>
        </w:rPr>
        <w:t>nivel],</w:t>
      </w:r>
      <w:r w:rsidRPr="00D06AD7">
        <w:rPr>
          <w:rFonts w:ascii="Arial Narrow" w:eastAsia="Arial" w:hAnsi="Arial Narrow" w:cs="Arial"/>
          <w:sz w:val="22"/>
          <w:szCs w:val="22"/>
        </w:rPr>
        <w:t xml:space="preserve"> </w:t>
      </w:r>
      <w:r w:rsidRPr="00D06AD7">
        <w:rPr>
          <w:rFonts w:ascii="Arial Narrow" w:hAnsi="Arial Narrow" w:cs="Arial"/>
          <w:sz w:val="22"/>
          <w:szCs w:val="22"/>
        </w:rPr>
        <w:t>como</w:t>
      </w:r>
      <w:r w:rsidRPr="00D06AD7">
        <w:rPr>
          <w:rFonts w:ascii="Arial Narrow" w:eastAsia="Arial" w:hAnsi="Arial Narrow" w:cs="Arial"/>
          <w:sz w:val="22"/>
          <w:szCs w:val="22"/>
        </w:rPr>
        <w:t xml:space="preserve"> </w:t>
      </w:r>
      <w:r w:rsidRPr="00D06AD7">
        <w:rPr>
          <w:rFonts w:ascii="Arial Narrow" w:hAnsi="Arial Narrow" w:cs="Arial"/>
          <w:sz w:val="22"/>
          <w:szCs w:val="22"/>
        </w:rPr>
        <w:t>se</w:t>
      </w:r>
      <w:r w:rsidRPr="00D06AD7">
        <w:rPr>
          <w:rFonts w:ascii="Arial Narrow" w:eastAsia="Arial" w:hAnsi="Arial Narrow" w:cs="Arial"/>
          <w:sz w:val="22"/>
          <w:szCs w:val="22"/>
        </w:rPr>
        <w:t xml:space="preserve"> </w:t>
      </w:r>
      <w:r w:rsidRPr="00D06AD7">
        <w:rPr>
          <w:rFonts w:ascii="Arial Narrow" w:hAnsi="Arial Narrow" w:cs="Arial"/>
          <w:sz w:val="22"/>
          <w:szCs w:val="22"/>
        </w:rPr>
        <w:t>indica</w:t>
      </w:r>
      <w:r w:rsidRPr="00D06AD7">
        <w:rPr>
          <w:rFonts w:ascii="Arial Narrow" w:eastAsia="Arial" w:hAnsi="Arial Narrow" w:cs="Arial"/>
          <w:sz w:val="22"/>
          <w:szCs w:val="22"/>
        </w:rPr>
        <w:t xml:space="preserve"> </w:t>
      </w:r>
      <w:r w:rsidRPr="00D06AD7">
        <w:rPr>
          <w:rFonts w:ascii="Arial Narrow" w:hAnsi="Arial Narrow" w:cs="Arial"/>
          <w:sz w:val="22"/>
          <w:szCs w:val="22"/>
        </w:rPr>
        <w:t>en</w:t>
      </w:r>
      <w:r w:rsidRPr="00D06AD7">
        <w:rPr>
          <w:rFonts w:ascii="Arial Narrow" w:eastAsia="Arial" w:hAnsi="Arial Narrow" w:cs="Arial"/>
          <w:sz w:val="22"/>
          <w:szCs w:val="22"/>
        </w:rPr>
        <w:t xml:space="preserve"> </w:t>
      </w:r>
      <w:r w:rsidRPr="00D06AD7">
        <w:rPr>
          <w:rFonts w:ascii="Arial Narrow" w:hAnsi="Arial Narrow" w:cs="Arial"/>
          <w:sz w:val="22"/>
          <w:szCs w:val="22"/>
        </w:rPr>
        <w:t>la</w:t>
      </w:r>
      <w:r w:rsidRPr="00D06AD7">
        <w:rPr>
          <w:rFonts w:ascii="Arial Narrow" w:eastAsia="Arial" w:hAnsi="Arial Narrow" w:cs="Arial"/>
          <w:sz w:val="22"/>
          <w:szCs w:val="22"/>
        </w:rPr>
        <w:t xml:space="preserve"> </w:t>
      </w:r>
      <w:r w:rsidRPr="00D06AD7">
        <w:rPr>
          <w:rFonts w:ascii="Arial Narrow" w:hAnsi="Arial Narrow" w:cs="Arial"/>
          <w:sz w:val="22"/>
          <w:szCs w:val="22"/>
        </w:rPr>
        <w:t>siguiente</w:t>
      </w:r>
      <w:r w:rsidRPr="00D06AD7">
        <w:rPr>
          <w:rFonts w:ascii="Arial Narrow" w:eastAsia="Arial" w:hAnsi="Arial Narrow" w:cs="Arial"/>
          <w:sz w:val="22"/>
          <w:szCs w:val="22"/>
        </w:rPr>
        <w:t xml:space="preserve"> </w:t>
      </w:r>
      <w:r w:rsidRPr="00D06AD7">
        <w:rPr>
          <w:rFonts w:ascii="Arial Narrow" w:hAnsi="Arial Narrow" w:cs="Arial"/>
          <w:sz w:val="22"/>
          <w:szCs w:val="22"/>
        </w:rPr>
        <w:t>tabla:</w:t>
      </w:r>
      <w:r w:rsidRPr="00D06AD7">
        <w:rPr>
          <w:rFonts w:ascii="Arial Narrow" w:eastAsia="Arial" w:hAnsi="Arial Narrow" w:cs="Arial"/>
          <w:sz w:val="22"/>
          <w:szCs w:val="22"/>
        </w:rPr>
        <w:t xml:space="preserve"> </w:t>
      </w:r>
    </w:p>
    <w:p w14:paraId="35D0D97E" w14:textId="77777777" w:rsidR="00D06AD7" w:rsidRPr="00D06AD7" w:rsidRDefault="00D06AD7" w:rsidP="004312B6">
      <w:pPr>
        <w:spacing w:line="276" w:lineRule="auto"/>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5"/>
        <w:gridCol w:w="2497"/>
      </w:tblGrid>
      <w:tr w:rsidR="00FE0E74" w:rsidRPr="00D06AD7"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D06AD7" w:rsidRDefault="004312B6" w:rsidP="007170E8">
            <w:pPr>
              <w:spacing w:line="276" w:lineRule="auto"/>
              <w:jc w:val="center"/>
              <w:rPr>
                <w:rFonts w:ascii="Arial Narrow" w:eastAsia="Arial,Times New Roman" w:hAnsi="Arial Narrow" w:cs="Arial"/>
                <w:b/>
                <w:bCs/>
                <w:sz w:val="22"/>
                <w:szCs w:val="22"/>
              </w:rPr>
            </w:pPr>
            <w:r w:rsidRPr="00D06AD7">
              <w:rPr>
                <w:rFonts w:ascii="Arial Narrow" w:hAnsi="Arial Narrow" w:cs="Arial"/>
                <w:b/>
                <w:bCs/>
                <w:sz w:val="22"/>
                <w:szCs w:val="22"/>
              </w:rPr>
              <w:t>Clasificación</w:t>
            </w:r>
            <w:r w:rsidRPr="00D06AD7">
              <w:rPr>
                <w:rFonts w:ascii="Arial Narrow" w:eastAsia="Arial,Times New Roman" w:hAnsi="Arial Narrow" w:cs="Arial"/>
                <w:b/>
                <w:bCs/>
                <w:sz w:val="22"/>
                <w:szCs w:val="22"/>
              </w:rPr>
              <w:t xml:space="preserve"> </w:t>
            </w:r>
            <w:r w:rsidRPr="00D06AD7">
              <w:rPr>
                <w:rFonts w:ascii="Arial Narrow" w:hAnsi="Arial Narrow" w:cs="Arial"/>
                <w:b/>
                <w:bCs/>
                <w:sz w:val="22"/>
                <w:szCs w:val="22"/>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D06AD7" w:rsidRDefault="004312B6" w:rsidP="007170E8">
            <w:pPr>
              <w:spacing w:line="276" w:lineRule="auto"/>
              <w:jc w:val="center"/>
              <w:rPr>
                <w:rFonts w:ascii="Arial Narrow" w:eastAsia="Arial,Times New Roman" w:hAnsi="Arial Narrow" w:cs="Arial"/>
                <w:b/>
                <w:bCs/>
                <w:sz w:val="22"/>
                <w:szCs w:val="22"/>
              </w:rPr>
            </w:pPr>
            <w:r w:rsidRPr="00D06AD7">
              <w:rPr>
                <w:rFonts w:ascii="Arial Narrow" w:hAnsi="Arial Narrow" w:cs="Arial"/>
                <w:b/>
                <w:bCs/>
                <w:sz w:val="22"/>
                <w:szCs w:val="22"/>
              </w:rPr>
              <w:t>Descripción</w:t>
            </w:r>
          </w:p>
        </w:tc>
      </w:tr>
      <w:tr w:rsidR="00DE652E" w:rsidRPr="00D06AD7"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D06AD7" w:rsidRDefault="00DE652E" w:rsidP="00DE652E">
            <w:pPr>
              <w:spacing w:line="276" w:lineRule="auto"/>
              <w:jc w:val="center"/>
              <w:rPr>
                <w:rFonts w:ascii="Arial Narrow" w:eastAsia="Arial,Times New Roman" w:hAnsi="Arial Narrow" w:cs="Arial"/>
                <w:sz w:val="22"/>
                <w:szCs w:val="22"/>
              </w:rPr>
            </w:pPr>
            <w:r w:rsidRPr="00D06AD7">
              <w:rPr>
                <w:rFonts w:ascii="Arial Narrow" w:eastAsia="Arial,Times New Roman" w:hAnsi="Arial Narrow" w:cs="Arial"/>
                <w:sz w:val="22"/>
                <w:szCs w:val="22"/>
              </w:rPr>
              <w:t>811015</w:t>
            </w:r>
          </w:p>
        </w:tc>
        <w:tc>
          <w:tcPr>
            <w:tcW w:w="0" w:type="auto"/>
            <w:tcBorders>
              <w:top w:val="single" w:sz="6" w:space="0" w:color="auto"/>
              <w:bottom w:val="single" w:sz="6" w:space="0" w:color="auto"/>
            </w:tcBorders>
            <w:vAlign w:val="center"/>
          </w:tcPr>
          <w:p w14:paraId="50D0BF0C" w14:textId="77777777" w:rsidR="00DE652E" w:rsidRPr="00D06AD7" w:rsidRDefault="00DE652E" w:rsidP="00DE652E">
            <w:pPr>
              <w:spacing w:line="276" w:lineRule="auto"/>
              <w:jc w:val="center"/>
              <w:rPr>
                <w:rFonts w:ascii="Arial Narrow" w:eastAsia="Arial,Times New Roman" w:hAnsi="Arial Narrow" w:cs="Arial"/>
                <w:sz w:val="22"/>
                <w:szCs w:val="22"/>
              </w:rPr>
            </w:pPr>
            <w:r w:rsidRPr="00D06AD7">
              <w:rPr>
                <w:rFonts w:ascii="Arial Narrow" w:eastAsia="Arial,Times New Roman" w:hAnsi="Arial Narrow" w:cs="Arial"/>
                <w:sz w:val="22"/>
                <w:szCs w:val="22"/>
              </w:rPr>
              <w:t>Ingeniería Civil y Arquitectura</w:t>
            </w:r>
          </w:p>
        </w:tc>
      </w:tr>
      <w:tr w:rsidR="00DE652E" w:rsidRPr="00D06AD7"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D06AD7" w:rsidRDefault="00DE652E" w:rsidP="00DE652E">
            <w:pPr>
              <w:spacing w:line="276" w:lineRule="auto"/>
              <w:jc w:val="center"/>
              <w:rPr>
                <w:rFonts w:ascii="Arial Narrow" w:eastAsia="Arial,Times New Roman" w:hAnsi="Arial Narrow" w:cs="Arial"/>
                <w:sz w:val="22"/>
                <w:szCs w:val="22"/>
              </w:rPr>
            </w:pPr>
            <w:r w:rsidRPr="00D06AD7">
              <w:rPr>
                <w:rFonts w:ascii="Arial Narrow" w:eastAsia="Arial,Times New Roman" w:hAnsi="Arial Narrow" w:cs="Arial"/>
                <w:sz w:val="22"/>
                <w:szCs w:val="22"/>
              </w:rPr>
              <w:t>811022</w:t>
            </w:r>
          </w:p>
        </w:tc>
        <w:tc>
          <w:tcPr>
            <w:tcW w:w="0" w:type="auto"/>
            <w:tcBorders>
              <w:top w:val="single" w:sz="6" w:space="0" w:color="auto"/>
              <w:bottom w:val="single" w:sz="6" w:space="0" w:color="auto"/>
            </w:tcBorders>
            <w:vAlign w:val="center"/>
          </w:tcPr>
          <w:p w14:paraId="2F4FF51B" w14:textId="77777777" w:rsidR="00DE652E" w:rsidRPr="00D06AD7" w:rsidRDefault="00DE652E" w:rsidP="00DE652E">
            <w:pPr>
              <w:spacing w:line="276" w:lineRule="auto"/>
              <w:jc w:val="center"/>
              <w:rPr>
                <w:rFonts w:ascii="Arial Narrow" w:eastAsia="Arial,Times New Roman" w:hAnsi="Arial Narrow" w:cs="Arial"/>
                <w:sz w:val="22"/>
                <w:szCs w:val="22"/>
              </w:rPr>
            </w:pPr>
            <w:r w:rsidRPr="00D06AD7">
              <w:rPr>
                <w:rFonts w:ascii="Arial Narrow" w:hAnsi="Arial Narrow" w:cs="Arial"/>
                <w:sz w:val="22"/>
                <w:szCs w:val="22"/>
              </w:rPr>
              <w:t>ingeniería de Transporte</w:t>
            </w:r>
          </w:p>
        </w:tc>
      </w:tr>
    </w:tbl>
    <w:p w14:paraId="3E3D6E8A" w14:textId="77777777" w:rsidR="004312B6" w:rsidRPr="00D06AD7" w:rsidRDefault="004312B6" w:rsidP="004312B6">
      <w:pPr>
        <w:spacing w:line="276" w:lineRule="auto"/>
        <w:jc w:val="both"/>
        <w:rPr>
          <w:rFonts w:ascii="Arial Narrow" w:eastAsia="Arial" w:hAnsi="Arial Narrow" w:cs="Arial"/>
          <w:sz w:val="22"/>
          <w:szCs w:val="22"/>
        </w:rPr>
      </w:pPr>
    </w:p>
    <w:p w14:paraId="55C6895C" w14:textId="77777777" w:rsidR="00C64C07" w:rsidRPr="00D06AD7" w:rsidRDefault="00C74DE6" w:rsidP="007D36FF">
      <w:pPr>
        <w:jc w:val="both"/>
        <w:rPr>
          <w:rFonts w:ascii="Arial Narrow" w:hAnsi="Arial Narrow" w:cs="Arial"/>
          <w:b/>
          <w:sz w:val="22"/>
          <w:szCs w:val="22"/>
        </w:rPr>
      </w:pPr>
      <w:r w:rsidRPr="00D06AD7">
        <w:rPr>
          <w:rFonts w:ascii="Arial Narrow" w:hAnsi="Arial Narrow" w:cs="Arial"/>
          <w:b/>
          <w:sz w:val="22"/>
          <w:szCs w:val="22"/>
        </w:rPr>
        <w:t>8.1.</w:t>
      </w:r>
      <w:r w:rsidR="00B310C6" w:rsidRPr="00D06AD7">
        <w:rPr>
          <w:rFonts w:ascii="Arial Narrow" w:hAnsi="Arial Narrow" w:cs="Arial"/>
          <w:b/>
          <w:sz w:val="22"/>
          <w:szCs w:val="22"/>
        </w:rPr>
        <w:t>3</w:t>
      </w:r>
      <w:r w:rsidRPr="00D06AD7">
        <w:rPr>
          <w:rFonts w:ascii="Arial Narrow" w:hAnsi="Arial Narrow" w:cs="Arial"/>
          <w:b/>
          <w:sz w:val="22"/>
          <w:szCs w:val="22"/>
        </w:rPr>
        <w:t xml:space="preserve">.1. </w:t>
      </w:r>
      <w:r w:rsidR="00C64C07" w:rsidRPr="00D06AD7">
        <w:rPr>
          <w:rFonts w:ascii="Arial Narrow" w:hAnsi="Arial Narrow" w:cs="Arial"/>
          <w:b/>
          <w:sz w:val="22"/>
          <w:szCs w:val="22"/>
        </w:rPr>
        <w:t>JUSTIFICACIÓN DE LAS CONDICIONES PARTICULARES DE LA EXPERIENCIA REQUERIDA:</w:t>
      </w:r>
    </w:p>
    <w:p w14:paraId="3C907779" w14:textId="77777777" w:rsidR="00C64C07" w:rsidRPr="00D06AD7" w:rsidRDefault="00C64C07" w:rsidP="00C64C07">
      <w:pPr>
        <w:pStyle w:val="Textosinformato"/>
        <w:jc w:val="both"/>
        <w:rPr>
          <w:rFonts w:ascii="Arial Narrow" w:eastAsia="Cambria" w:hAnsi="Arial Narrow" w:cs="Arial"/>
          <w:sz w:val="22"/>
          <w:szCs w:val="22"/>
          <w:lang w:val="es-ES_tradnl"/>
        </w:rPr>
      </w:pPr>
    </w:p>
    <w:p w14:paraId="0D4429C3" w14:textId="1BE647BC" w:rsidR="00B27960" w:rsidRPr="00D06AD7" w:rsidRDefault="00BC1956" w:rsidP="00B27960">
      <w:pPr>
        <w:pStyle w:val="Textosinformato"/>
        <w:jc w:val="both"/>
        <w:rPr>
          <w:rFonts w:ascii="Arial Narrow" w:hAnsi="Arial Narrow" w:cs="Arial"/>
          <w:sz w:val="22"/>
          <w:szCs w:val="22"/>
          <w:lang w:val="es-CO"/>
        </w:rPr>
      </w:pPr>
      <w:r w:rsidRPr="00D06AD7">
        <w:rPr>
          <w:rFonts w:ascii="Arial Narrow" w:eastAsia="Cambria" w:hAnsi="Arial Narrow" w:cs="Arial"/>
          <w:sz w:val="22"/>
          <w:szCs w:val="22"/>
          <w:lang w:val="es-ES"/>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D06AD7">
        <w:rPr>
          <w:rFonts w:ascii="Arial Narrow" w:eastAsia="Cambria" w:hAnsi="Arial Narrow" w:cs="Arial"/>
          <w:sz w:val="22"/>
          <w:szCs w:val="22"/>
          <w:lang w:val="es-ES"/>
        </w:rPr>
        <w:t xml:space="preserve"> que debe acreditar la experiencia solicitada en el </w:t>
      </w:r>
      <w:bookmarkStart w:id="113" w:name="_Toc108082950"/>
      <w:bookmarkStart w:id="114" w:name="_Toc108175075"/>
      <w:r w:rsidR="7F2C1D93" w:rsidRPr="00D06AD7">
        <w:rPr>
          <w:rFonts w:ascii="Arial Narrow" w:eastAsia="Cambria" w:hAnsi="Arial Narrow" w:cs="Arial"/>
          <w:sz w:val="22"/>
          <w:szCs w:val="22"/>
          <w:lang w:val="es-ES"/>
        </w:rPr>
        <w:t>numeral 4.5 EXPERIENCIA del documento Invitación Pública</w:t>
      </w:r>
      <w:bookmarkEnd w:id="113"/>
      <w:bookmarkEnd w:id="114"/>
      <w:r w:rsidR="006B18FF" w:rsidRPr="00D06AD7">
        <w:rPr>
          <w:rFonts w:ascii="Arial Narrow" w:hAnsi="Arial Narrow" w:cs="Arial"/>
          <w:sz w:val="22"/>
          <w:szCs w:val="22"/>
          <w:lang w:val="es-CO"/>
        </w:rPr>
        <w:t xml:space="preserve">, el cual debe ser leído integralmente por el interesado. </w:t>
      </w:r>
    </w:p>
    <w:p w14:paraId="5F972A4D" w14:textId="77777777" w:rsidR="0004786D" w:rsidRPr="00D06AD7" w:rsidRDefault="0004786D" w:rsidP="00B27960">
      <w:pPr>
        <w:pStyle w:val="Textosinformato"/>
        <w:jc w:val="both"/>
        <w:rPr>
          <w:rFonts w:ascii="Arial Narrow" w:hAnsi="Arial Narrow" w:cs="Arial"/>
          <w:sz w:val="22"/>
          <w:szCs w:val="22"/>
          <w:lang w:val="es-CO"/>
        </w:rPr>
      </w:pPr>
    </w:p>
    <w:p w14:paraId="12E70625" w14:textId="24124C33" w:rsidR="003E761F" w:rsidRPr="00D06AD7" w:rsidRDefault="003E761F" w:rsidP="003E761F">
      <w:pPr>
        <w:pStyle w:val="Listavistosa-nfasis11"/>
        <w:ind w:left="0"/>
        <w:jc w:val="center"/>
        <w:rPr>
          <w:rFonts w:ascii="Arial Narrow" w:hAnsi="Arial Narrow" w:cs="Arial"/>
          <w:b/>
          <w:sz w:val="22"/>
          <w:szCs w:val="22"/>
        </w:rPr>
      </w:pPr>
      <w:r w:rsidRPr="00D06AD7">
        <w:rPr>
          <w:rFonts w:ascii="Arial Narrow" w:hAnsi="Arial Narrow" w:cs="Arial"/>
          <w:b/>
          <w:sz w:val="22"/>
          <w:szCs w:val="22"/>
        </w:rPr>
        <w:t>9. CRITERIOS DE EVALUACIÓN</w:t>
      </w:r>
      <w:r w:rsidR="00304471" w:rsidRPr="00D06AD7">
        <w:rPr>
          <w:rFonts w:ascii="Arial Narrow" w:hAnsi="Arial Narrow" w:cs="Arial"/>
          <w:b/>
          <w:sz w:val="22"/>
          <w:szCs w:val="22"/>
        </w:rPr>
        <w:t xml:space="preserve"> Y </w:t>
      </w:r>
      <w:r w:rsidRPr="00D06AD7">
        <w:rPr>
          <w:rFonts w:ascii="Arial Narrow" w:hAnsi="Arial Narrow" w:cs="Arial"/>
          <w:b/>
          <w:sz w:val="22"/>
          <w:szCs w:val="22"/>
        </w:rPr>
        <w:t xml:space="preserve">ASIGNACIÓN DE PUNTAJE </w:t>
      </w:r>
    </w:p>
    <w:p w14:paraId="43E3874B" w14:textId="77777777" w:rsidR="003E761F" w:rsidRPr="00D06AD7" w:rsidRDefault="003E761F" w:rsidP="003E761F">
      <w:pPr>
        <w:pStyle w:val="Listavistosa-nfasis11"/>
        <w:ind w:left="0"/>
        <w:jc w:val="both"/>
        <w:rPr>
          <w:rFonts w:ascii="Arial Narrow" w:hAnsi="Arial Narrow" w:cs="Arial"/>
          <w:b/>
          <w:sz w:val="22"/>
          <w:szCs w:val="22"/>
        </w:rPr>
      </w:pPr>
    </w:p>
    <w:p w14:paraId="1B9B6D67" w14:textId="77777777" w:rsidR="00304471" w:rsidRPr="00D06AD7" w:rsidRDefault="00304471" w:rsidP="00304471">
      <w:pPr>
        <w:pStyle w:val="Default"/>
        <w:jc w:val="both"/>
        <w:rPr>
          <w:rFonts w:ascii="Arial Narrow" w:eastAsia="Cambria" w:hAnsi="Arial Narrow"/>
          <w:color w:val="auto"/>
          <w:sz w:val="22"/>
          <w:szCs w:val="22"/>
          <w:lang w:val="es-ES_tradnl"/>
        </w:rPr>
      </w:pPr>
      <w:r w:rsidRPr="00D06AD7">
        <w:rPr>
          <w:rFonts w:ascii="Arial Narrow" w:eastAsia="Cambria" w:hAnsi="Arial Narrow"/>
          <w:color w:val="auto"/>
          <w:sz w:val="22"/>
          <w:szCs w:val="22"/>
          <w:lang w:val="es-ES_tradnl"/>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2A1513B9" w14:textId="77777777" w:rsidR="00304471" w:rsidRPr="00D06AD7" w:rsidRDefault="00304471" w:rsidP="00304471">
      <w:pPr>
        <w:pStyle w:val="Default"/>
        <w:jc w:val="both"/>
        <w:rPr>
          <w:rFonts w:ascii="Arial Narrow" w:eastAsia="Cambria" w:hAnsi="Arial Narrow"/>
          <w:color w:val="auto"/>
          <w:sz w:val="22"/>
          <w:szCs w:val="22"/>
          <w:lang w:val="es-ES_tradnl"/>
        </w:rPr>
      </w:pPr>
    </w:p>
    <w:p w14:paraId="34C0DC1D" w14:textId="77876399" w:rsidR="00304471" w:rsidRPr="00D06AD7" w:rsidRDefault="00304471" w:rsidP="00304471">
      <w:pPr>
        <w:pStyle w:val="Default"/>
        <w:jc w:val="both"/>
        <w:rPr>
          <w:rFonts w:ascii="Arial Narrow" w:eastAsia="Cambria" w:hAnsi="Arial Narrow"/>
          <w:color w:val="auto"/>
          <w:sz w:val="22"/>
          <w:szCs w:val="22"/>
          <w:lang w:val="es-ES_tradnl"/>
        </w:rPr>
      </w:pPr>
      <w:r w:rsidRPr="00D06AD7">
        <w:rPr>
          <w:rFonts w:ascii="Arial Narrow" w:eastAsia="Cambria" w:hAnsi="Arial Narrow"/>
          <w:color w:val="auto"/>
          <w:sz w:val="22"/>
          <w:szCs w:val="22"/>
          <w:lang w:val="es-ES_tradnl"/>
        </w:rPr>
        <w:lastRenderedPageBreak/>
        <w:t xml:space="preserve">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presente proceso. </w:t>
      </w:r>
    </w:p>
    <w:p w14:paraId="408DC571" w14:textId="77777777" w:rsidR="00304471" w:rsidRPr="00D06AD7" w:rsidRDefault="00304471" w:rsidP="00304471">
      <w:pPr>
        <w:pStyle w:val="Default"/>
        <w:jc w:val="both"/>
        <w:rPr>
          <w:rFonts w:ascii="Arial Narrow" w:eastAsia="Cambria" w:hAnsi="Arial Narrow"/>
          <w:color w:val="auto"/>
          <w:sz w:val="22"/>
          <w:szCs w:val="22"/>
          <w:lang w:val="es-ES_tradnl"/>
        </w:rPr>
      </w:pPr>
    </w:p>
    <w:p w14:paraId="0244D626" w14:textId="2A73E225" w:rsidR="00304471" w:rsidRPr="00B114AB" w:rsidRDefault="00304471" w:rsidP="00304471">
      <w:pPr>
        <w:pStyle w:val="Listavistosa-nfasis11"/>
        <w:ind w:left="0"/>
        <w:jc w:val="both"/>
        <w:rPr>
          <w:rFonts w:ascii="Arial Narrow" w:hAnsi="Arial Narrow" w:cs="Arial"/>
          <w:sz w:val="22"/>
          <w:szCs w:val="22"/>
        </w:rPr>
      </w:pPr>
      <w:r w:rsidRPr="00D06AD7">
        <w:rPr>
          <w:rFonts w:ascii="Arial Narrow" w:hAnsi="Arial Narrow" w:cs="Arial"/>
          <w:sz w:val="22"/>
          <w:szCs w:val="22"/>
        </w:rPr>
        <w:t xml:space="preserve">Si hay empate, </w:t>
      </w:r>
      <w:r w:rsidR="00CB0CFF" w:rsidRPr="00D06AD7">
        <w:rPr>
          <w:rFonts w:ascii="Arial Narrow" w:hAnsi="Arial Narrow" w:cs="Arial"/>
          <w:sz w:val="22"/>
          <w:szCs w:val="22"/>
        </w:rPr>
        <w:t xml:space="preserve">se </w:t>
      </w:r>
      <w:r w:rsidR="00FC5426">
        <w:rPr>
          <w:rFonts w:ascii="Arial Narrow" w:hAnsi="Arial Narrow" w:cs="Arial"/>
          <w:sz w:val="22"/>
          <w:szCs w:val="22"/>
        </w:rPr>
        <w:t>aplicarán los criterios de desempate</w:t>
      </w:r>
      <w:r w:rsidR="00B114AB">
        <w:rPr>
          <w:rFonts w:ascii="Arial Narrow" w:hAnsi="Arial Narrow" w:cs="Arial"/>
          <w:sz w:val="22"/>
          <w:szCs w:val="22"/>
        </w:rPr>
        <w:t xml:space="preserve"> previstos en</w:t>
      </w:r>
      <w:r w:rsidR="00B114AB" w:rsidRPr="00B114AB">
        <w:rPr>
          <w:rFonts w:ascii="Arial Narrow" w:hAnsi="Arial Narrow"/>
          <w:color w:val="000000"/>
          <w:sz w:val="22"/>
          <w:szCs w:val="22"/>
        </w:rPr>
        <w:t xml:space="preserve"> el artículo </w:t>
      </w:r>
      <w:hyperlink r:id="rId52" w:anchor="35" w:history="1">
        <w:r w:rsidR="00B114AB">
          <w:rPr>
            <w:rFonts w:ascii="Arial Narrow" w:hAnsi="Arial Narrow"/>
            <w:color w:val="000000"/>
            <w:sz w:val="22"/>
            <w:szCs w:val="22"/>
          </w:rPr>
          <w:t>35</w:t>
        </w:r>
      </w:hyperlink>
      <w:r w:rsidR="00B114AB">
        <w:rPr>
          <w:rFonts w:ascii="Arial Narrow" w:hAnsi="Arial Narrow"/>
          <w:color w:val="000000"/>
          <w:sz w:val="22"/>
          <w:szCs w:val="22"/>
        </w:rPr>
        <w:t xml:space="preserve"> </w:t>
      </w:r>
      <w:r w:rsidR="00B114AB" w:rsidRPr="00B114AB">
        <w:rPr>
          <w:rFonts w:ascii="Arial Narrow" w:hAnsi="Arial Narrow"/>
          <w:color w:val="000000"/>
          <w:sz w:val="22"/>
          <w:szCs w:val="22"/>
        </w:rPr>
        <w:t>de la Ley 2069 de 2020, conforme a los med</w:t>
      </w:r>
      <w:r w:rsidR="00B114AB" w:rsidRPr="00B114AB">
        <w:rPr>
          <w:rFonts w:ascii="Arial Narrow" w:hAnsi="Arial Narrow"/>
          <w:sz w:val="22"/>
          <w:szCs w:val="22"/>
        </w:rPr>
        <w:t>i</w:t>
      </w:r>
      <w:r w:rsidR="00B114AB" w:rsidRPr="00B114AB">
        <w:rPr>
          <w:rFonts w:ascii="Arial Narrow" w:hAnsi="Arial Narrow"/>
          <w:color w:val="000000"/>
          <w:sz w:val="22"/>
          <w:szCs w:val="22"/>
        </w:rPr>
        <w:t xml:space="preserve">os de acreditación del artículo 2.2.1.2.4.2.17. del Decreto </w:t>
      </w:r>
      <w:r w:rsidR="00B114AB">
        <w:rPr>
          <w:rFonts w:ascii="Arial Narrow" w:hAnsi="Arial Narrow"/>
          <w:color w:val="000000"/>
          <w:sz w:val="22"/>
          <w:szCs w:val="22"/>
        </w:rPr>
        <w:t xml:space="preserve">1082 de 2015, </w:t>
      </w:r>
      <w:r w:rsidR="00B114AB" w:rsidRPr="00B114AB">
        <w:rPr>
          <w:rFonts w:ascii="Arial Narrow" w:hAnsi="Arial Narrow"/>
          <w:color w:val="000000"/>
          <w:sz w:val="22"/>
          <w:szCs w:val="22"/>
        </w:rPr>
        <w:t>o las normas que los modifiquen, adicionen o sustituyan</w:t>
      </w:r>
      <w:r w:rsidR="00CB0CFF" w:rsidRPr="00B114AB">
        <w:rPr>
          <w:rFonts w:ascii="Arial Narrow" w:hAnsi="Arial Narrow" w:cs="Arial"/>
          <w:sz w:val="22"/>
          <w:szCs w:val="22"/>
        </w:rPr>
        <w:t>.</w:t>
      </w:r>
    </w:p>
    <w:p w14:paraId="72FE307A" w14:textId="77777777" w:rsidR="00304471" w:rsidRPr="00D06AD7" w:rsidRDefault="00304471" w:rsidP="00304471">
      <w:pPr>
        <w:pStyle w:val="Listavistosa-nfasis11"/>
        <w:ind w:left="0"/>
        <w:jc w:val="both"/>
        <w:rPr>
          <w:rFonts w:ascii="Arial Narrow" w:hAnsi="Arial Narrow" w:cs="Arial"/>
          <w:sz w:val="22"/>
          <w:szCs w:val="22"/>
        </w:rPr>
      </w:pPr>
    </w:p>
    <w:p w14:paraId="0C7AD764" w14:textId="77777777" w:rsidR="003E761F" w:rsidRPr="00D06AD7" w:rsidRDefault="003E761F" w:rsidP="003E761F">
      <w:pPr>
        <w:autoSpaceDE w:val="0"/>
        <w:autoSpaceDN w:val="0"/>
        <w:adjustRightInd w:val="0"/>
        <w:jc w:val="both"/>
        <w:rPr>
          <w:rFonts w:ascii="Arial Narrow" w:hAnsi="Arial Narrow" w:cs="Arial"/>
          <w:b/>
          <w:sz w:val="22"/>
          <w:szCs w:val="22"/>
        </w:rPr>
      </w:pPr>
      <w:r w:rsidRPr="00D06AD7">
        <w:rPr>
          <w:rFonts w:ascii="Arial Narrow" w:hAnsi="Arial Narrow" w:cs="Arial"/>
          <w:b/>
          <w:sz w:val="22"/>
          <w:szCs w:val="22"/>
        </w:rPr>
        <w:t>9.1. EXPERIENCIA DEL PROPONENTE</w:t>
      </w:r>
    </w:p>
    <w:p w14:paraId="504A7A78" w14:textId="77777777" w:rsidR="003E761F" w:rsidRPr="00D06AD7" w:rsidRDefault="003E761F" w:rsidP="003E761F">
      <w:pPr>
        <w:autoSpaceDE w:val="0"/>
        <w:autoSpaceDN w:val="0"/>
        <w:adjustRightInd w:val="0"/>
        <w:jc w:val="both"/>
        <w:rPr>
          <w:rFonts w:ascii="Arial Narrow" w:hAnsi="Arial Narrow" w:cs="Arial"/>
          <w:sz w:val="22"/>
          <w:szCs w:val="22"/>
        </w:rPr>
      </w:pPr>
    </w:p>
    <w:p w14:paraId="54493D50" w14:textId="77777777" w:rsidR="003E761F" w:rsidRPr="00D06AD7" w:rsidRDefault="003E761F" w:rsidP="003E761F">
      <w:pPr>
        <w:autoSpaceDE w:val="0"/>
        <w:autoSpaceDN w:val="0"/>
        <w:adjustRightInd w:val="0"/>
        <w:jc w:val="both"/>
        <w:rPr>
          <w:rFonts w:ascii="Arial Narrow" w:eastAsia="Calibri" w:hAnsi="Arial Narrow" w:cs="Arial"/>
          <w:sz w:val="22"/>
          <w:szCs w:val="22"/>
        </w:rPr>
      </w:pPr>
      <w:r w:rsidRPr="00D06AD7">
        <w:rPr>
          <w:rFonts w:ascii="Arial Narrow" w:hAnsi="Arial Narrow" w:cs="Arial"/>
          <w:b/>
          <w:bCs/>
          <w:sz w:val="22"/>
          <w:szCs w:val="22"/>
        </w:rPr>
        <w:t xml:space="preserve">9.1.1. Promedio de los contratos válidos aportados </w:t>
      </w:r>
    </w:p>
    <w:p w14:paraId="18C1F93C" w14:textId="77777777" w:rsidR="003E761F" w:rsidRPr="00D06AD7" w:rsidRDefault="003E761F" w:rsidP="00304471">
      <w:pPr>
        <w:autoSpaceDE w:val="0"/>
        <w:autoSpaceDN w:val="0"/>
        <w:adjustRightInd w:val="0"/>
        <w:jc w:val="both"/>
        <w:rPr>
          <w:rFonts w:ascii="Arial Narrow" w:eastAsia="Calibri" w:hAnsi="Arial Narrow" w:cs="Arial"/>
          <w:sz w:val="22"/>
          <w:szCs w:val="22"/>
        </w:rPr>
      </w:pPr>
    </w:p>
    <w:p w14:paraId="0C3DF46C" w14:textId="77777777" w:rsidR="00304471" w:rsidRDefault="00304471" w:rsidP="00304471">
      <w:pPr>
        <w:pStyle w:val="Default"/>
        <w:jc w:val="both"/>
        <w:rPr>
          <w:rFonts w:ascii="Arial Narrow" w:eastAsia="Times New Roman" w:hAnsi="Arial Narrow"/>
          <w:color w:val="auto"/>
          <w:sz w:val="22"/>
          <w:szCs w:val="22"/>
          <w:lang w:eastAsia="es-CO"/>
        </w:rPr>
      </w:pPr>
      <w:bookmarkStart w:id="115" w:name="_Toc108082926"/>
      <w:bookmarkStart w:id="116" w:name="_Toc108175051"/>
      <w:r w:rsidRPr="00D06AD7">
        <w:rPr>
          <w:rFonts w:ascii="Arial Narrow" w:eastAsia="Times New Roman" w:hAnsi="Arial Narrow"/>
          <w:color w:val="auto"/>
          <w:sz w:val="22"/>
          <w:szCs w:val="22"/>
          <w:lang w:eastAsia="es-CO"/>
        </w:rPr>
        <w:t xml:space="preserve">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 </w:t>
      </w:r>
    </w:p>
    <w:p w14:paraId="0BD7177D" w14:textId="77777777" w:rsidR="00605C70" w:rsidRPr="00D06AD7" w:rsidRDefault="00605C70" w:rsidP="00304471">
      <w:pPr>
        <w:pStyle w:val="Default"/>
        <w:jc w:val="both"/>
        <w:rPr>
          <w:rFonts w:ascii="Arial Narrow" w:eastAsia="Times New Roman" w:hAnsi="Arial Narrow"/>
          <w:color w:val="auto"/>
          <w:sz w:val="22"/>
          <w:szCs w:val="22"/>
          <w:lang w:eastAsia="es-CO"/>
        </w:rPr>
      </w:pPr>
    </w:p>
    <w:p w14:paraId="3FD68EF4" w14:textId="77777777" w:rsidR="00304471" w:rsidRPr="00D06AD7" w:rsidRDefault="00304471" w:rsidP="00304471">
      <w:pPr>
        <w:pStyle w:val="Default"/>
        <w:jc w:val="both"/>
        <w:rPr>
          <w:rFonts w:ascii="Arial Narrow" w:eastAsia="Times New Roman" w:hAnsi="Arial Narrow"/>
          <w:color w:val="auto"/>
          <w:sz w:val="22"/>
          <w:szCs w:val="22"/>
          <w:lang w:eastAsia="es-CO"/>
        </w:rPr>
      </w:pPr>
      <w:r w:rsidRPr="00D06AD7">
        <w:rPr>
          <w:rFonts w:ascii="Arial Narrow" w:eastAsia="Times New Roman" w:hAnsi="Arial Narrow"/>
          <w:color w:val="auto"/>
          <w:sz w:val="22"/>
          <w:szCs w:val="22"/>
          <w:lang w:eastAsia="es-CO"/>
        </w:rPr>
        <w:t xml:space="preserve">La Real Academia de la Lengua Española define Experiencia como la “Práctica prolongada que proporciona conocimiento o habilidad para hacer algo”3.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61FD6D4C" w14:textId="77777777" w:rsidR="00605C70" w:rsidRDefault="00605C70" w:rsidP="00304471">
      <w:pPr>
        <w:pStyle w:val="Default"/>
        <w:jc w:val="both"/>
        <w:rPr>
          <w:rFonts w:ascii="Arial Narrow" w:eastAsia="Times New Roman" w:hAnsi="Arial Narrow"/>
          <w:color w:val="auto"/>
          <w:sz w:val="22"/>
          <w:szCs w:val="22"/>
          <w:lang w:eastAsia="es-CO"/>
        </w:rPr>
      </w:pPr>
    </w:p>
    <w:p w14:paraId="568EC422" w14:textId="77777777" w:rsidR="00304471" w:rsidRPr="00D06AD7" w:rsidRDefault="00304471" w:rsidP="00304471">
      <w:pPr>
        <w:rPr>
          <w:rFonts w:ascii="Arial Narrow" w:hAnsi="Arial Narrow"/>
          <w:sz w:val="22"/>
          <w:szCs w:val="22"/>
        </w:rPr>
      </w:pPr>
    </w:p>
    <w:p w14:paraId="296BAD83" w14:textId="3B2F5065" w:rsidR="00E174FA" w:rsidRPr="00D06AD7" w:rsidRDefault="00E174FA" w:rsidP="00EC17FC">
      <w:pPr>
        <w:pStyle w:val="Ttulo3"/>
        <w:numPr>
          <w:ilvl w:val="2"/>
          <w:numId w:val="25"/>
        </w:numPr>
        <w:rPr>
          <w:rFonts w:eastAsia="Arial" w:cs="Arial"/>
          <w:bCs w:val="0"/>
          <w:szCs w:val="22"/>
        </w:rPr>
      </w:pPr>
      <w:r w:rsidRPr="00D06AD7">
        <w:rPr>
          <w:rFonts w:eastAsia="Arial" w:cs="Arial"/>
          <w:bCs w:val="0"/>
          <w:szCs w:val="22"/>
        </w:rPr>
        <w:t xml:space="preserve">CAMBIO DEL PERSONAL </w:t>
      </w:r>
      <w:bookmarkEnd w:id="115"/>
      <w:bookmarkEnd w:id="116"/>
    </w:p>
    <w:p w14:paraId="22EC54A8" w14:textId="77777777" w:rsidR="00E174FA" w:rsidRPr="00D06AD7" w:rsidRDefault="00E174FA" w:rsidP="00E174FA">
      <w:pPr>
        <w:jc w:val="both"/>
        <w:rPr>
          <w:rFonts w:ascii="Arial Narrow" w:eastAsia="Arial" w:hAnsi="Arial Narrow" w:cs="Arial"/>
          <w:sz w:val="22"/>
          <w:szCs w:val="22"/>
        </w:rPr>
      </w:pPr>
      <w:r w:rsidRPr="00D06AD7">
        <w:rPr>
          <w:rFonts w:ascii="Arial Narrow" w:eastAsia="Arial" w:hAnsi="Arial Narrow" w:cs="Arial"/>
          <w:sz w:val="22"/>
          <w:szCs w:val="22"/>
        </w:rPr>
        <w:t xml:space="preserve"> </w:t>
      </w:r>
    </w:p>
    <w:p w14:paraId="5F78713E" w14:textId="79C4A57A" w:rsidR="00E174FA" w:rsidRPr="00D06AD7" w:rsidRDefault="00E174FA" w:rsidP="00E174FA">
      <w:pPr>
        <w:jc w:val="both"/>
        <w:rPr>
          <w:rFonts w:ascii="Arial Narrow" w:eastAsia="Arial" w:hAnsi="Arial Narrow" w:cs="Arial"/>
          <w:sz w:val="22"/>
          <w:szCs w:val="22"/>
          <w:lang w:val="es-MX"/>
        </w:rPr>
      </w:pPr>
      <w:r w:rsidRPr="00D06AD7">
        <w:rPr>
          <w:rFonts w:ascii="Arial Narrow" w:eastAsia="Arial" w:hAnsi="Arial Narrow" w:cs="Arial"/>
          <w:sz w:val="22"/>
          <w:szCs w:val="22"/>
        </w:rPr>
        <w:t>El Personal ofrecido inicialmente</w:t>
      </w:r>
      <w:r w:rsidR="009D2FF1">
        <w:rPr>
          <w:rFonts w:ascii="Arial Narrow" w:eastAsia="Arial" w:hAnsi="Arial Narrow" w:cs="Arial"/>
          <w:sz w:val="22"/>
          <w:szCs w:val="22"/>
        </w:rPr>
        <w:t xml:space="preserve"> en el anexo técnico,</w:t>
      </w:r>
      <w:r w:rsidRPr="00D06AD7">
        <w:rPr>
          <w:rFonts w:ascii="Arial Narrow" w:eastAsia="Arial" w:hAnsi="Arial Narrow" w:cs="Arial"/>
          <w:sz w:val="22"/>
          <w:szCs w:val="22"/>
        </w:rPr>
        <w:t xml:space="preserve"> será quien debe ejecutar el contrato. Excepcionalmente, en caso de requerir el cambio de personal, por razones que deben quedar sustentadas en el expediente del contrato, el </w:t>
      </w:r>
      <w:r w:rsidR="00673958" w:rsidRPr="00D06AD7">
        <w:rPr>
          <w:rFonts w:ascii="Arial Narrow" w:eastAsia="Arial" w:hAnsi="Arial Narrow" w:cs="Arial"/>
          <w:sz w:val="22"/>
          <w:szCs w:val="22"/>
        </w:rPr>
        <w:t xml:space="preserve">consultor </w:t>
      </w:r>
      <w:r w:rsidRPr="00D06AD7">
        <w:rPr>
          <w:rFonts w:ascii="Arial Narrow" w:eastAsia="Arial" w:hAnsi="Arial Narrow" w:cs="Arial"/>
          <w:sz w:val="22"/>
          <w:szCs w:val="22"/>
          <w:lang w:val="es-MX"/>
        </w:rPr>
        <w:t xml:space="preserve">presentará las hojas de vida del aspirante con sus respectivos soportes para evaluación y consideración de la Entidad en un plazo no mayor a </w:t>
      </w:r>
      <w:r w:rsidR="00AD012E" w:rsidRPr="00D06AD7">
        <w:rPr>
          <w:rFonts w:ascii="Arial Narrow" w:eastAsia="Arial" w:hAnsi="Arial Narrow" w:cs="Arial"/>
          <w:sz w:val="22"/>
          <w:szCs w:val="22"/>
          <w:lang w:val="es-MX"/>
        </w:rPr>
        <w:t xml:space="preserve">tres (3) </w:t>
      </w:r>
      <w:r w:rsidRPr="00D06AD7">
        <w:rPr>
          <w:rFonts w:ascii="Arial Narrow" w:eastAsia="Arial" w:hAnsi="Arial Narrow" w:cs="Arial"/>
          <w:sz w:val="22"/>
          <w:szCs w:val="22"/>
          <w:lang w:val="es-MX"/>
        </w:rPr>
        <w:t xml:space="preserve">días hábiles contados a partir de que el Contratista solicite el cambio del personal. </w:t>
      </w:r>
    </w:p>
    <w:p w14:paraId="2A9D4AEA" w14:textId="77777777" w:rsidR="00E174FA" w:rsidRPr="00D06AD7" w:rsidRDefault="00E174FA" w:rsidP="00E174FA">
      <w:pPr>
        <w:jc w:val="both"/>
        <w:rPr>
          <w:rFonts w:ascii="Arial Narrow" w:eastAsia="Arial" w:hAnsi="Arial Narrow" w:cs="Arial"/>
          <w:sz w:val="22"/>
          <w:szCs w:val="22"/>
          <w:lang w:val="es-MX"/>
        </w:rPr>
      </w:pPr>
    </w:p>
    <w:p w14:paraId="6F4FC25B" w14:textId="1F0AD11F" w:rsidR="00E174FA" w:rsidRPr="00D06AD7" w:rsidRDefault="00E174FA" w:rsidP="00E174FA">
      <w:pPr>
        <w:jc w:val="both"/>
        <w:rPr>
          <w:rFonts w:ascii="Arial Narrow" w:eastAsia="Arial" w:hAnsi="Arial Narrow" w:cs="Arial"/>
          <w:sz w:val="22"/>
          <w:szCs w:val="22"/>
          <w:lang w:val="es-MX"/>
        </w:rPr>
      </w:pPr>
      <w:r w:rsidRPr="00D06AD7">
        <w:rPr>
          <w:rFonts w:ascii="Arial Narrow" w:eastAsia="Arial" w:hAnsi="Arial Narrow" w:cs="Arial"/>
          <w:sz w:val="22"/>
          <w:szCs w:val="22"/>
          <w:lang w:val="es-MX"/>
        </w:rPr>
        <w:t xml:space="preserve">La persona que reemplazará al profesional del Personal debe cumplir con los requisitos mínimos descritos en </w:t>
      </w:r>
      <w:r w:rsidR="00EF25FF" w:rsidRPr="00D06AD7">
        <w:rPr>
          <w:rFonts w:ascii="Arial Narrow" w:eastAsia="Arial" w:hAnsi="Arial Narrow" w:cs="Arial"/>
          <w:sz w:val="22"/>
          <w:szCs w:val="22"/>
          <w:lang w:val="es-MX"/>
        </w:rPr>
        <w:t>el anexo técnico</w:t>
      </w:r>
      <w:r w:rsidRPr="00D06AD7">
        <w:rPr>
          <w:rFonts w:ascii="Arial Narrow" w:eastAsia="Arial" w:hAnsi="Arial Narrow" w:cs="Arial"/>
          <w:sz w:val="22"/>
          <w:szCs w:val="22"/>
          <w:lang w:val="es-MX"/>
        </w:rPr>
        <w:t xml:space="preserve">. En todo caso, la Entidad se reserva el derecho de aceptarlos o no, sin perjuicio de que, en el evento de rechazarlo, deba motivar las razones objetivas y suficientes relacionadas directamente con alguna o algunas de las condiciones exigidas. </w:t>
      </w:r>
    </w:p>
    <w:p w14:paraId="585CC3EC" w14:textId="77777777" w:rsidR="008536B5" w:rsidRPr="00D06AD7" w:rsidRDefault="008536B5" w:rsidP="003E761F">
      <w:pPr>
        <w:tabs>
          <w:tab w:val="left" w:pos="-142"/>
        </w:tabs>
        <w:autoSpaceDE w:val="0"/>
        <w:autoSpaceDN w:val="0"/>
        <w:adjustRightInd w:val="0"/>
        <w:jc w:val="both"/>
        <w:rPr>
          <w:rFonts w:ascii="Arial Narrow" w:hAnsi="Arial Narrow" w:cs="Arial"/>
          <w:sz w:val="22"/>
          <w:szCs w:val="22"/>
        </w:rPr>
      </w:pPr>
    </w:p>
    <w:p w14:paraId="1DE3A349" w14:textId="40FBEFE7" w:rsidR="00151103" w:rsidRPr="00D06AD7" w:rsidRDefault="00151103" w:rsidP="003D4CB4">
      <w:pPr>
        <w:pStyle w:val="Listavistosa-nfasis11"/>
        <w:ind w:left="0"/>
        <w:rPr>
          <w:rFonts w:ascii="Arial Narrow" w:hAnsi="Arial Narrow" w:cs="Arial"/>
          <w:b/>
          <w:sz w:val="22"/>
          <w:szCs w:val="22"/>
        </w:rPr>
      </w:pPr>
    </w:p>
    <w:p w14:paraId="1C2F363B" w14:textId="77777777" w:rsidR="00151103" w:rsidRPr="00D06AD7" w:rsidRDefault="00151103" w:rsidP="003D4CB4">
      <w:pPr>
        <w:pStyle w:val="Listavistosa-nfasis11"/>
        <w:ind w:left="0"/>
        <w:rPr>
          <w:rFonts w:ascii="Arial Narrow" w:hAnsi="Arial Narrow" w:cs="Arial"/>
          <w:b/>
          <w:sz w:val="22"/>
          <w:szCs w:val="22"/>
        </w:rPr>
      </w:pPr>
    </w:p>
    <w:p w14:paraId="04E0ED5C" w14:textId="7F65C153" w:rsidR="00C64C07" w:rsidRPr="00D06AD7" w:rsidRDefault="003E761F" w:rsidP="007D36FF">
      <w:pPr>
        <w:pStyle w:val="Listavistosa-nfasis11"/>
        <w:ind w:left="0"/>
        <w:jc w:val="center"/>
        <w:rPr>
          <w:rFonts w:ascii="Arial Narrow" w:hAnsi="Arial Narrow" w:cs="Arial"/>
          <w:sz w:val="22"/>
          <w:szCs w:val="22"/>
        </w:rPr>
      </w:pPr>
      <w:r w:rsidRPr="00D06AD7">
        <w:rPr>
          <w:rFonts w:ascii="Arial Narrow" w:hAnsi="Arial Narrow" w:cs="Arial"/>
          <w:b/>
          <w:sz w:val="22"/>
          <w:szCs w:val="22"/>
        </w:rPr>
        <w:t>10</w:t>
      </w:r>
      <w:r w:rsidR="00C74DE6" w:rsidRPr="00D06AD7">
        <w:rPr>
          <w:rFonts w:ascii="Arial Narrow" w:hAnsi="Arial Narrow" w:cs="Arial"/>
          <w:b/>
          <w:sz w:val="22"/>
          <w:szCs w:val="22"/>
        </w:rPr>
        <w:t xml:space="preserve">. </w:t>
      </w:r>
      <w:r w:rsidR="004C613E" w:rsidRPr="00D06AD7">
        <w:rPr>
          <w:rFonts w:ascii="Arial Narrow" w:hAnsi="Arial Narrow" w:cs="Arial"/>
          <w:b/>
          <w:sz w:val="22"/>
          <w:szCs w:val="22"/>
        </w:rPr>
        <w:t>JUSTIFICACIÓN</w:t>
      </w:r>
      <w:r w:rsidR="00C64C07" w:rsidRPr="00D06AD7">
        <w:rPr>
          <w:rFonts w:ascii="Arial Narrow" w:hAnsi="Arial Narrow" w:cs="Arial"/>
          <w:b/>
          <w:sz w:val="22"/>
          <w:szCs w:val="22"/>
        </w:rPr>
        <w:t xml:space="preserve"> REGLAS DE SUBSANABILIDAD</w:t>
      </w:r>
    </w:p>
    <w:p w14:paraId="43FE8F87" w14:textId="77777777" w:rsidR="00C64C07" w:rsidRPr="00D06AD7" w:rsidRDefault="00C64C07" w:rsidP="00C64C07">
      <w:pPr>
        <w:pStyle w:val="Listavistosa-nfasis11"/>
        <w:ind w:left="0"/>
        <w:jc w:val="both"/>
        <w:rPr>
          <w:rFonts w:ascii="Arial Narrow" w:hAnsi="Arial Narrow" w:cs="Arial"/>
          <w:sz w:val="22"/>
          <w:szCs w:val="22"/>
        </w:rPr>
      </w:pPr>
    </w:p>
    <w:p w14:paraId="48739204" w14:textId="33515C83" w:rsidR="008220AB" w:rsidRPr="00704789" w:rsidRDefault="008220AB" w:rsidP="008220AB">
      <w:pPr>
        <w:tabs>
          <w:tab w:val="left" w:pos="-142"/>
        </w:tabs>
        <w:autoSpaceDE w:val="0"/>
        <w:autoSpaceDN w:val="0"/>
        <w:adjustRightInd w:val="0"/>
        <w:jc w:val="both"/>
        <w:rPr>
          <w:rFonts w:ascii="Arial Narrow" w:eastAsia="Calibri" w:hAnsi="Arial Narrow"/>
          <w:i/>
          <w:iCs/>
          <w:sz w:val="22"/>
          <w:szCs w:val="22"/>
          <w:lang w:eastAsia="en-US"/>
        </w:rPr>
      </w:pPr>
      <w:r w:rsidRPr="00D06AD7">
        <w:rPr>
          <w:rFonts w:ascii="Arial Narrow" w:eastAsia="Calibri" w:hAnsi="Arial Narrow"/>
          <w:sz w:val="22"/>
          <w:szCs w:val="22"/>
          <w:lang w:eastAsia="en-US"/>
        </w:rPr>
        <w:t>De conformidad con el parágrafo primero del artículo 5º de la Ley 1150 de 2007, modificado por el artículo 5 de la Ley 1882 de 15 de enero de 2018: “</w:t>
      </w:r>
      <w:r w:rsidRPr="00704789">
        <w:rPr>
          <w:rFonts w:ascii="Arial Narrow" w:eastAsia="Calibri" w:hAnsi="Arial Narrow"/>
          <w:i/>
          <w:iCs/>
          <w:sz w:val="22"/>
          <w:szCs w:val="22"/>
          <w:lang w:eastAsia="en-US"/>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704789">
        <w:rPr>
          <w:rFonts w:ascii="Arial Narrow" w:eastAsia="Calibri" w:hAnsi="Arial Narrow"/>
          <w:b/>
          <w:i/>
          <w:iCs/>
          <w:sz w:val="22"/>
          <w:szCs w:val="22"/>
          <w:u w:val="single"/>
          <w:lang w:eastAsia="en-US"/>
        </w:rPr>
        <w:t>deberán ser solicitados por las entidades estatales y deberán ser entregados por los proponentes hasta el término de traslado del informe de evaluación que corresponda a cada modalidad de selección</w:t>
      </w:r>
      <w:r w:rsidR="007E12B6">
        <w:rPr>
          <w:rFonts w:ascii="Arial Narrow" w:eastAsia="Calibri" w:hAnsi="Arial Narrow"/>
          <w:b/>
          <w:i/>
          <w:iCs/>
          <w:sz w:val="22"/>
          <w:szCs w:val="22"/>
          <w:u w:val="single"/>
          <w:lang w:eastAsia="en-US"/>
        </w:rPr>
        <w:t>, salvo lo dispuesto para el proceso de Mínima Cuantía</w:t>
      </w:r>
      <w:r w:rsidRPr="00704789">
        <w:rPr>
          <w:rFonts w:ascii="Arial Narrow" w:eastAsia="Calibri" w:hAnsi="Arial Narrow"/>
          <w:b/>
          <w:i/>
          <w:iCs/>
          <w:sz w:val="22"/>
          <w:szCs w:val="22"/>
          <w:u w:val="single"/>
          <w:lang w:eastAsia="en-US"/>
        </w:rPr>
        <w:t xml:space="preserve"> </w:t>
      </w:r>
      <w:r w:rsidR="007E12B6">
        <w:rPr>
          <w:rFonts w:ascii="Arial Narrow" w:eastAsia="Calibri" w:hAnsi="Arial Narrow"/>
          <w:b/>
          <w:i/>
          <w:iCs/>
          <w:sz w:val="22"/>
          <w:szCs w:val="22"/>
          <w:u w:val="single"/>
          <w:lang w:eastAsia="en-US"/>
        </w:rPr>
        <w:t>y para el proceso de selección a través del sistema de subasta.</w:t>
      </w:r>
      <w:r w:rsidRPr="00704789">
        <w:rPr>
          <w:rFonts w:ascii="Arial Narrow" w:eastAsia="Calibri" w:hAnsi="Arial Narrow"/>
          <w:i/>
          <w:iCs/>
          <w:sz w:val="22"/>
          <w:szCs w:val="22"/>
          <w:lang w:eastAsia="en-US"/>
        </w:rPr>
        <w:t xml:space="preserve"> </w:t>
      </w:r>
      <w:r w:rsidRPr="00704789">
        <w:rPr>
          <w:rFonts w:ascii="Arial Narrow" w:eastAsia="Calibri" w:hAnsi="Arial Narrow"/>
          <w:i/>
          <w:iCs/>
          <w:sz w:val="22"/>
          <w:szCs w:val="22"/>
          <w:lang w:eastAsia="en-US"/>
        </w:rPr>
        <w:lastRenderedPageBreak/>
        <w:t>Serán rechazadas las ofertas de aquellos proponentes que no suministren la información y la documentación solicitada por la entidad estatal hasta el plazo anteriormente señalado.</w:t>
      </w:r>
    </w:p>
    <w:p w14:paraId="14B575CD" w14:textId="77777777" w:rsidR="008220AB" w:rsidRPr="00704789" w:rsidRDefault="008220AB" w:rsidP="008220AB">
      <w:pPr>
        <w:tabs>
          <w:tab w:val="left" w:pos="-142"/>
        </w:tabs>
        <w:autoSpaceDE w:val="0"/>
        <w:autoSpaceDN w:val="0"/>
        <w:adjustRightInd w:val="0"/>
        <w:jc w:val="both"/>
        <w:rPr>
          <w:rFonts w:ascii="Arial Narrow" w:eastAsia="Calibri" w:hAnsi="Arial Narrow"/>
          <w:i/>
          <w:iCs/>
          <w:sz w:val="22"/>
          <w:szCs w:val="22"/>
          <w:lang w:eastAsia="en-US"/>
        </w:rPr>
      </w:pPr>
    </w:p>
    <w:p w14:paraId="107504DB" w14:textId="77777777" w:rsidR="008220AB" w:rsidRPr="00D06AD7" w:rsidRDefault="008220AB" w:rsidP="008220AB">
      <w:pPr>
        <w:tabs>
          <w:tab w:val="left" w:pos="-142"/>
        </w:tabs>
        <w:autoSpaceDE w:val="0"/>
        <w:autoSpaceDN w:val="0"/>
        <w:adjustRightInd w:val="0"/>
        <w:jc w:val="both"/>
        <w:rPr>
          <w:rFonts w:ascii="Arial Narrow" w:eastAsia="Calibri" w:hAnsi="Arial Narrow"/>
          <w:sz w:val="22"/>
          <w:szCs w:val="22"/>
          <w:lang w:eastAsia="en-US"/>
        </w:rPr>
      </w:pPr>
      <w:r w:rsidRPr="00704789">
        <w:rPr>
          <w:rFonts w:ascii="Arial Narrow" w:eastAsia="Calibri" w:hAnsi="Arial Narrow"/>
          <w:i/>
          <w:iCs/>
          <w:sz w:val="22"/>
          <w:szCs w:val="22"/>
          <w:lang w:eastAsia="en-US"/>
        </w:rPr>
        <w:t>Durante el termino otorgado para subsanar las ofertas, los proponentes no podrán acreditar circunstancias ocurridas con posterioridad al cierre del proceso</w:t>
      </w:r>
      <w:r w:rsidRPr="00D06AD7">
        <w:rPr>
          <w:rFonts w:ascii="Arial Narrow" w:eastAsia="Calibri" w:hAnsi="Arial Narrow"/>
          <w:sz w:val="22"/>
          <w:szCs w:val="22"/>
          <w:lang w:eastAsia="en-US"/>
        </w:rPr>
        <w:t>.”</w:t>
      </w:r>
    </w:p>
    <w:p w14:paraId="7447EEB1" w14:textId="77777777" w:rsidR="008220AB" w:rsidRPr="00D06AD7" w:rsidRDefault="008220AB" w:rsidP="008220AB">
      <w:pPr>
        <w:tabs>
          <w:tab w:val="left" w:pos="-142"/>
        </w:tabs>
        <w:autoSpaceDE w:val="0"/>
        <w:autoSpaceDN w:val="0"/>
        <w:adjustRightInd w:val="0"/>
        <w:jc w:val="both"/>
        <w:rPr>
          <w:rFonts w:ascii="Arial Narrow" w:eastAsia="Calibri" w:hAnsi="Arial Narrow"/>
          <w:sz w:val="22"/>
          <w:szCs w:val="22"/>
          <w:lang w:eastAsia="en-US"/>
        </w:rPr>
      </w:pPr>
    </w:p>
    <w:p w14:paraId="18BE2AC2" w14:textId="556DDDDB" w:rsidR="008220AB" w:rsidRPr="00A44313" w:rsidRDefault="00A44313" w:rsidP="00CD22A9">
      <w:pPr>
        <w:tabs>
          <w:tab w:val="left" w:pos="-142"/>
        </w:tabs>
        <w:autoSpaceDE w:val="0"/>
        <w:autoSpaceDN w:val="0"/>
        <w:adjustRightInd w:val="0"/>
        <w:jc w:val="both"/>
        <w:rPr>
          <w:rFonts w:ascii="Arial Narrow" w:eastAsia="Calibri" w:hAnsi="Arial Narrow"/>
          <w:sz w:val="22"/>
          <w:szCs w:val="22"/>
          <w:lang w:eastAsia="en-US"/>
        </w:rPr>
      </w:pPr>
      <w:r w:rsidRPr="00CD22A9">
        <w:rPr>
          <w:rFonts w:ascii="Arial Narrow" w:eastAsia="Calibri" w:hAnsi="Arial Narrow"/>
          <w:sz w:val="22"/>
          <w:szCs w:val="22"/>
          <w:lang w:eastAsia="en-US"/>
        </w:rPr>
        <w:t>En caso de que la entidad advierta la ausencia de requisitos o la falta de documentos referentes a la futura contratación o al proponente, y no los haya requerido durante el proceso de evaluación, podrá requerir al proponente, otorgándole un término mínimo de un (1) día hábil contado desde el momento en el que advirtió su omisión, con el fin de que los aporte; en caso de que la entidad no fije un plazo específico, se entenderá que es de un (1) día hábil</w:t>
      </w:r>
      <w:r w:rsidR="008220AB" w:rsidRPr="00A44313">
        <w:rPr>
          <w:rFonts w:ascii="Arial Narrow" w:eastAsia="Calibri" w:hAnsi="Arial Narrow"/>
          <w:sz w:val="22"/>
          <w:szCs w:val="22"/>
          <w:lang w:eastAsia="en-US"/>
        </w:rPr>
        <w:t>.</w:t>
      </w:r>
    </w:p>
    <w:p w14:paraId="527B1AFC" w14:textId="77777777" w:rsidR="008220AB" w:rsidRPr="00D06AD7" w:rsidRDefault="008220AB" w:rsidP="008220AB">
      <w:pPr>
        <w:tabs>
          <w:tab w:val="left" w:pos="-142"/>
        </w:tabs>
        <w:autoSpaceDE w:val="0"/>
        <w:autoSpaceDN w:val="0"/>
        <w:adjustRightInd w:val="0"/>
        <w:jc w:val="both"/>
        <w:rPr>
          <w:rFonts w:ascii="Arial Narrow" w:eastAsia="Calibri" w:hAnsi="Arial Narrow"/>
          <w:sz w:val="22"/>
          <w:szCs w:val="22"/>
          <w:lang w:eastAsia="en-US"/>
        </w:rPr>
      </w:pPr>
    </w:p>
    <w:p w14:paraId="57C70C76" w14:textId="77777777" w:rsidR="008220AB" w:rsidRPr="00D06AD7" w:rsidRDefault="008220AB" w:rsidP="008220AB">
      <w:pPr>
        <w:tabs>
          <w:tab w:val="left" w:pos="-142"/>
        </w:tabs>
        <w:autoSpaceDE w:val="0"/>
        <w:autoSpaceDN w:val="0"/>
        <w:adjustRightInd w:val="0"/>
        <w:jc w:val="both"/>
        <w:rPr>
          <w:rFonts w:ascii="Arial Narrow" w:eastAsia="Calibri" w:hAnsi="Arial Narrow"/>
          <w:sz w:val="22"/>
          <w:szCs w:val="22"/>
          <w:lang w:eastAsia="en-US"/>
        </w:rPr>
      </w:pPr>
      <w:r w:rsidRPr="00D06AD7">
        <w:rPr>
          <w:rFonts w:ascii="Arial Narrow" w:eastAsia="Calibri" w:hAnsi="Arial Narrow"/>
          <w:sz w:val="22"/>
          <w:szCs w:val="22"/>
          <w:lang w:eastAsia="en-US"/>
        </w:rPr>
        <w:t xml:space="preserve">Todos aquellos requisitos de la propuesta que afecten la asignación de puntaje </w:t>
      </w:r>
      <w:r w:rsidRPr="00D06AD7">
        <w:rPr>
          <w:rFonts w:ascii="Arial Narrow" w:eastAsia="Calibri" w:hAnsi="Arial Narrow"/>
          <w:b/>
          <w:sz w:val="22"/>
          <w:szCs w:val="22"/>
          <w:lang w:eastAsia="en-US"/>
        </w:rPr>
        <w:t>no podrán ser objeto de subsanabilidad</w:t>
      </w:r>
      <w:r w:rsidRPr="00D06AD7">
        <w:rPr>
          <w:rFonts w:ascii="Arial Narrow" w:eastAsia="Calibri" w:hAnsi="Arial Narrow"/>
          <w:sz w:val="22"/>
          <w:szCs w:val="22"/>
          <w:lang w:eastAsia="en-US"/>
        </w:rPr>
        <w:t xml:space="preserve">, por lo que los mismos </w:t>
      </w:r>
      <w:r w:rsidRPr="00D06AD7">
        <w:rPr>
          <w:rFonts w:ascii="Arial Narrow" w:eastAsia="Calibri" w:hAnsi="Arial Narrow"/>
          <w:b/>
          <w:sz w:val="22"/>
          <w:szCs w:val="22"/>
          <w:lang w:eastAsia="en-US"/>
        </w:rPr>
        <w:t>DEBEN</w:t>
      </w:r>
      <w:r w:rsidRPr="00D06AD7">
        <w:rPr>
          <w:rFonts w:ascii="Arial Narrow" w:eastAsia="Calibri" w:hAnsi="Arial Narrow"/>
          <w:sz w:val="22"/>
          <w:szCs w:val="22"/>
          <w:lang w:eastAsia="en-US"/>
        </w:rPr>
        <w:t xml:space="preserve"> ser aportados por los proponentes desde el momento mismo de la presentación de la oferta.</w:t>
      </w:r>
    </w:p>
    <w:p w14:paraId="0A35FFAF" w14:textId="77777777" w:rsidR="008220AB" w:rsidRPr="00D06AD7" w:rsidRDefault="008220AB" w:rsidP="008220AB">
      <w:pPr>
        <w:tabs>
          <w:tab w:val="left" w:pos="-142"/>
        </w:tabs>
        <w:autoSpaceDE w:val="0"/>
        <w:autoSpaceDN w:val="0"/>
        <w:adjustRightInd w:val="0"/>
        <w:jc w:val="both"/>
        <w:rPr>
          <w:rFonts w:ascii="Arial Narrow" w:eastAsia="Calibri" w:hAnsi="Arial Narrow"/>
          <w:b/>
          <w:sz w:val="22"/>
          <w:szCs w:val="22"/>
          <w:u w:val="single"/>
          <w:lang w:eastAsia="en-US"/>
        </w:rPr>
      </w:pPr>
    </w:p>
    <w:p w14:paraId="549E96DE" w14:textId="77777777" w:rsidR="008220AB" w:rsidRPr="00D06AD7" w:rsidRDefault="008220AB" w:rsidP="008220AB">
      <w:pPr>
        <w:tabs>
          <w:tab w:val="left" w:pos="-142"/>
        </w:tabs>
        <w:autoSpaceDE w:val="0"/>
        <w:autoSpaceDN w:val="0"/>
        <w:adjustRightInd w:val="0"/>
        <w:jc w:val="both"/>
        <w:rPr>
          <w:rFonts w:ascii="Arial Narrow" w:eastAsia="Calibri" w:hAnsi="Arial Narrow"/>
          <w:sz w:val="22"/>
          <w:szCs w:val="22"/>
          <w:lang w:eastAsia="en-US"/>
        </w:rPr>
      </w:pPr>
      <w:r w:rsidRPr="00D06AD7">
        <w:rPr>
          <w:rFonts w:ascii="Arial Narrow" w:eastAsia="Calibri" w:hAnsi="Arial Narrow"/>
          <w:b/>
          <w:sz w:val="22"/>
          <w:szCs w:val="22"/>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60A7B64E" w14:textId="77777777" w:rsidR="008220AB" w:rsidRPr="00D06AD7" w:rsidRDefault="008220AB" w:rsidP="008220AB">
      <w:pPr>
        <w:tabs>
          <w:tab w:val="left" w:pos="-142"/>
        </w:tabs>
        <w:autoSpaceDE w:val="0"/>
        <w:autoSpaceDN w:val="0"/>
        <w:adjustRightInd w:val="0"/>
        <w:jc w:val="both"/>
        <w:rPr>
          <w:rFonts w:ascii="Arial Narrow" w:eastAsia="Calibri" w:hAnsi="Arial Narrow"/>
          <w:bCs/>
          <w:sz w:val="22"/>
          <w:szCs w:val="22"/>
          <w:lang w:eastAsia="en-US"/>
        </w:rPr>
      </w:pPr>
    </w:p>
    <w:p w14:paraId="1D09B2E4" w14:textId="77777777" w:rsidR="008220AB" w:rsidRPr="00D06AD7" w:rsidRDefault="008220AB" w:rsidP="008220AB">
      <w:pPr>
        <w:autoSpaceDE w:val="0"/>
        <w:autoSpaceDN w:val="0"/>
        <w:adjustRightInd w:val="0"/>
        <w:jc w:val="center"/>
        <w:rPr>
          <w:rFonts w:ascii="Arial Narrow" w:hAnsi="Arial Narrow" w:cs="Arial"/>
          <w:b/>
          <w:sz w:val="22"/>
          <w:szCs w:val="22"/>
        </w:rPr>
      </w:pPr>
      <w:r w:rsidRPr="00D06AD7">
        <w:rPr>
          <w:rFonts w:ascii="Arial Narrow" w:hAnsi="Arial Narrow" w:cs="Arial"/>
          <w:b/>
          <w:iCs/>
          <w:sz w:val="22"/>
          <w:szCs w:val="22"/>
        </w:rPr>
        <w:t>11. JUSTIFICACION CONFLICTO DE INTERES</w:t>
      </w:r>
    </w:p>
    <w:p w14:paraId="1820A587" w14:textId="77777777" w:rsidR="008220AB" w:rsidRPr="00D06AD7" w:rsidRDefault="008220AB" w:rsidP="008220AB">
      <w:pPr>
        <w:autoSpaceDE w:val="0"/>
        <w:autoSpaceDN w:val="0"/>
        <w:adjustRightInd w:val="0"/>
        <w:rPr>
          <w:rFonts w:ascii="Arial Narrow" w:hAnsi="Arial Narrow" w:cs="Arial"/>
          <w:b/>
          <w:sz w:val="22"/>
          <w:szCs w:val="22"/>
        </w:rPr>
      </w:pPr>
    </w:p>
    <w:p w14:paraId="377AF792" w14:textId="77777777" w:rsidR="008220AB" w:rsidRPr="00CD22A9" w:rsidRDefault="008220AB" w:rsidP="008220AB">
      <w:pPr>
        <w:autoSpaceDE w:val="0"/>
        <w:autoSpaceDN w:val="0"/>
        <w:adjustRightInd w:val="0"/>
        <w:ind w:right="-141"/>
        <w:jc w:val="both"/>
        <w:rPr>
          <w:rFonts w:ascii="Arial Narrow" w:hAnsi="Arial Narrow" w:cs="Arial"/>
          <w:i/>
          <w:iCs/>
          <w:sz w:val="22"/>
          <w:szCs w:val="22"/>
        </w:rPr>
      </w:pPr>
      <w:r w:rsidRPr="00D06AD7">
        <w:rPr>
          <w:rFonts w:ascii="Arial Narrow" w:hAnsi="Arial Narrow" w:cs="Arial"/>
          <w:sz w:val="22"/>
          <w:szCs w:val="22"/>
        </w:rPr>
        <w:t>El Artículo 40 de la Ley 734 de 2002 establece: “</w:t>
      </w:r>
      <w:r w:rsidRPr="00CD22A9">
        <w:rPr>
          <w:rFonts w:ascii="Arial Narrow" w:hAnsi="Arial Narrow" w:cs="Arial"/>
          <w:i/>
          <w:iCs/>
          <w:sz w:val="22"/>
          <w:szCs w:val="22"/>
        </w:rPr>
        <w:t>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0378797B" w14:textId="77777777" w:rsidR="008220AB" w:rsidRPr="00CD22A9" w:rsidRDefault="008220AB" w:rsidP="008220AB">
      <w:pPr>
        <w:autoSpaceDE w:val="0"/>
        <w:autoSpaceDN w:val="0"/>
        <w:adjustRightInd w:val="0"/>
        <w:ind w:right="-141"/>
        <w:jc w:val="both"/>
        <w:rPr>
          <w:rFonts w:ascii="Arial Narrow" w:hAnsi="Arial Narrow" w:cs="Arial"/>
          <w:i/>
          <w:iCs/>
          <w:sz w:val="22"/>
          <w:szCs w:val="22"/>
        </w:rPr>
      </w:pPr>
    </w:p>
    <w:p w14:paraId="3FD90434"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CD22A9">
        <w:rPr>
          <w:rFonts w:ascii="Arial Narrow" w:hAnsi="Arial Narrow" w:cs="Arial"/>
          <w:i/>
          <w:iCs/>
          <w:sz w:val="22"/>
          <w:szCs w:val="22"/>
        </w:rPr>
        <w:t xml:space="preserve"> Cuando el interés general, propio de la función pública, entre en conflicto con un interés particular y directo del servidor público deberá declararse impedido</w:t>
      </w:r>
      <w:r w:rsidRPr="00D06AD7">
        <w:rPr>
          <w:rFonts w:ascii="Arial Narrow" w:hAnsi="Arial Narrow" w:cs="Arial"/>
          <w:sz w:val="22"/>
          <w:szCs w:val="22"/>
        </w:rPr>
        <w:t>”.</w:t>
      </w:r>
    </w:p>
    <w:p w14:paraId="0383124A"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56615ABA"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Por su parte el Artículo 53 de la ley 1474 de 2011 señala: “</w:t>
      </w:r>
      <w:r w:rsidRPr="00CD22A9">
        <w:rPr>
          <w:rFonts w:ascii="Arial Narrow" w:hAnsi="Arial Narrow" w:cs="Arial"/>
          <w:i/>
          <w:iCs/>
          <w:sz w:val="22"/>
          <w:szCs w:val="22"/>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D06AD7">
        <w:rPr>
          <w:rFonts w:ascii="Arial Narrow" w:hAnsi="Arial Narrow" w:cs="Arial"/>
          <w:sz w:val="22"/>
          <w:szCs w:val="22"/>
        </w:rPr>
        <w:t xml:space="preserve">". </w:t>
      </w:r>
    </w:p>
    <w:p w14:paraId="6FE27419"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5D8CDDD0"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Por otra parte la Sala, en el concepto del 10 de agosto del 2006, concluyó que en los contratos estatales es posible incluir cláusulas que regulen los conflictos de intereses de los consultores, criterio que es extensible al contenido de los pliegos de condiciones; dijo en el concepto:</w:t>
      </w:r>
    </w:p>
    <w:p w14:paraId="002662C9"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5BA873E9" w14:textId="77777777" w:rsidR="008220AB" w:rsidRPr="00CD22A9" w:rsidRDefault="008220AB" w:rsidP="008220AB">
      <w:pPr>
        <w:autoSpaceDE w:val="0"/>
        <w:autoSpaceDN w:val="0"/>
        <w:adjustRightInd w:val="0"/>
        <w:ind w:right="-141"/>
        <w:jc w:val="both"/>
        <w:rPr>
          <w:rFonts w:ascii="Arial Narrow" w:hAnsi="Arial Narrow" w:cs="Arial"/>
          <w:i/>
          <w:iCs/>
          <w:sz w:val="22"/>
          <w:szCs w:val="22"/>
        </w:rPr>
      </w:pPr>
      <w:r w:rsidRPr="00D06AD7">
        <w:rPr>
          <w:rFonts w:ascii="Arial Narrow" w:hAnsi="Arial Narrow" w:cs="Arial"/>
          <w:sz w:val="22"/>
          <w:szCs w:val="22"/>
        </w:rPr>
        <w:t>“</w:t>
      </w:r>
      <w:r w:rsidRPr="00CD22A9">
        <w:rPr>
          <w:rFonts w:ascii="Arial Narrow" w:hAnsi="Arial Narrow" w:cs="Arial"/>
          <w:i/>
          <w:iCs/>
          <w:sz w:val="22"/>
          <w:szCs w:val="22"/>
        </w:rPr>
        <w:t xml:space="preserve">La Sala destaca que el señalamiento contractual de la existencia de conflicto de intereses a partir de la identificación de actividades incompatibles con las tareas que le han sido contractualmente asignadas al Consultor, comporta una evaluación estrictamente objetiva… </w:t>
      </w:r>
    </w:p>
    <w:p w14:paraId="6873A901" w14:textId="77777777" w:rsidR="008220AB" w:rsidRPr="00CD22A9" w:rsidRDefault="008220AB" w:rsidP="008220AB">
      <w:pPr>
        <w:autoSpaceDE w:val="0"/>
        <w:autoSpaceDN w:val="0"/>
        <w:adjustRightInd w:val="0"/>
        <w:ind w:right="-141"/>
        <w:jc w:val="both"/>
        <w:rPr>
          <w:rFonts w:ascii="Arial Narrow" w:hAnsi="Arial Narrow" w:cs="Arial"/>
          <w:i/>
          <w:iCs/>
          <w:sz w:val="22"/>
          <w:szCs w:val="22"/>
        </w:rPr>
      </w:pPr>
    </w:p>
    <w:p w14:paraId="38278127"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CD22A9">
        <w:rPr>
          <w:rFonts w:ascii="Arial Narrow" w:hAnsi="Arial Narrow" w:cs="Arial"/>
          <w:i/>
          <w:iCs/>
          <w:sz w:val="22"/>
          <w:szCs w:val="22"/>
        </w:rPr>
        <w:t xml:space="preserve">“El postulado ético ínsito en las cláusulas sobre conflictos, lleva a significar que el propósito de las partes contratantes es el de amparar en grado extremo los principios de transparencia, igualdad y moralidad administrativas, prohibiendo </w:t>
      </w:r>
      <w:r w:rsidRPr="00CD22A9">
        <w:rPr>
          <w:rFonts w:ascii="Arial Narrow" w:hAnsi="Arial Narrow" w:cs="Arial"/>
          <w:i/>
          <w:iCs/>
          <w:sz w:val="22"/>
          <w:szCs w:val="22"/>
        </w:rPr>
        <w:lastRenderedPageBreak/>
        <w:t>determinadas conductas, sin consideración de los resultados dañinos o inocuos de las mismas en relación con el proceso de licitación</w:t>
      </w:r>
      <w:r w:rsidRPr="00D06AD7">
        <w:rPr>
          <w:rFonts w:ascii="Arial Narrow" w:hAnsi="Arial Narrow" w:cs="Arial"/>
          <w:sz w:val="22"/>
          <w:szCs w:val="22"/>
        </w:rPr>
        <w:t>.”</w:t>
      </w:r>
    </w:p>
    <w:p w14:paraId="5E927D53"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34DEAFEC"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consultores, como se explica a continuación. </w:t>
      </w:r>
    </w:p>
    <w:p w14:paraId="5E0FB13F"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1B0FA6CA"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La “identificación de actividades incompatibles” con las obligaciones del consultores, significa jurídicamente, "tipificarlas”, esto es, definirlas de manera concreta para derivar de ellas una consecuencia que, en el caso en estudio, tiene una naturaleza restrictiva, prohibitiva o sancionatoria.</w:t>
      </w:r>
    </w:p>
    <w:p w14:paraId="427E523F"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032623F1"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 xml:space="preserve"> La "evaluación estrictamente objetiva" que debe garantizarse con las causales que se definan en un proceso contractual dado, exige, por supuesto, la "objetividad" en la determinación de las causales que se adopten. </w:t>
      </w:r>
    </w:p>
    <w:p w14:paraId="693D7AFD"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76A41CB8"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10EEA367"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2DFF50E7" w14:textId="5BD805C5"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 xml:space="preserve">Siguiendo el significado gramatical de los citados términos y la exigencia legal de la objetividad en la selección de consultores,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36CF8762"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52898FCB" w14:textId="77777777" w:rsidR="008220AB" w:rsidRPr="00D06AD7" w:rsidRDefault="008220AB" w:rsidP="008220AB">
      <w:pPr>
        <w:autoSpaceDE w:val="0"/>
        <w:autoSpaceDN w:val="0"/>
        <w:adjustRightInd w:val="0"/>
        <w:ind w:right="-141"/>
        <w:jc w:val="both"/>
        <w:rPr>
          <w:rFonts w:ascii="Arial Narrow" w:hAnsi="Arial Narrow" w:cs="Arial"/>
          <w:sz w:val="22"/>
          <w:szCs w:val="22"/>
        </w:rPr>
      </w:pPr>
      <w:r w:rsidRPr="00D06AD7">
        <w:rPr>
          <w:rFonts w:ascii="Arial Narrow" w:hAnsi="Arial Narrow" w:cs="Arial"/>
          <w:sz w:val="22"/>
          <w:szCs w:val="22"/>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025E4CBF" w14:textId="77777777" w:rsidR="008220AB" w:rsidRPr="00D06AD7" w:rsidRDefault="008220AB" w:rsidP="008220AB">
      <w:pPr>
        <w:autoSpaceDE w:val="0"/>
        <w:autoSpaceDN w:val="0"/>
        <w:adjustRightInd w:val="0"/>
        <w:ind w:right="-141"/>
        <w:jc w:val="both"/>
        <w:rPr>
          <w:rFonts w:ascii="Arial Narrow" w:hAnsi="Arial Narrow" w:cs="Arial"/>
          <w:sz w:val="22"/>
          <w:szCs w:val="22"/>
        </w:rPr>
      </w:pPr>
    </w:p>
    <w:p w14:paraId="76B2E15F" w14:textId="77777777"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77CFD3D" w14:textId="77777777" w:rsidR="008220AB" w:rsidRPr="00D06AD7" w:rsidRDefault="008220AB" w:rsidP="008220AB">
      <w:pPr>
        <w:jc w:val="both"/>
        <w:rPr>
          <w:rFonts w:ascii="Arial Narrow" w:hAnsi="Arial Narrow" w:cs="Arial"/>
          <w:sz w:val="22"/>
          <w:szCs w:val="22"/>
        </w:rPr>
      </w:pPr>
    </w:p>
    <w:p w14:paraId="210BE427" w14:textId="2E53C9E3"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w:t>
      </w:r>
      <w:r w:rsidR="002171FE">
        <w:rPr>
          <w:rFonts w:ascii="Arial Narrow" w:hAnsi="Arial Narrow" w:cs="Arial"/>
          <w:sz w:val="22"/>
          <w:szCs w:val="22"/>
        </w:rPr>
        <w:t>publicación de la presente invitación</w:t>
      </w:r>
      <w:r w:rsidRPr="00D06AD7">
        <w:rPr>
          <w:rFonts w:ascii="Arial Narrow" w:hAnsi="Arial Narrow" w:cs="Arial"/>
          <w:sz w:val="22"/>
          <w:szCs w:val="22"/>
        </w:rPr>
        <w:t>, ya sea en calidad de Funcionarios Públicos o Contratistas.</w:t>
      </w:r>
    </w:p>
    <w:p w14:paraId="603C8196" w14:textId="77777777" w:rsidR="008220AB" w:rsidRPr="00D06AD7" w:rsidRDefault="008220AB" w:rsidP="008220AB">
      <w:pPr>
        <w:rPr>
          <w:rFonts w:ascii="Arial Narrow" w:hAnsi="Arial Narrow"/>
          <w:sz w:val="22"/>
          <w:szCs w:val="22"/>
        </w:rPr>
      </w:pPr>
    </w:p>
    <w:p w14:paraId="0C443408" w14:textId="77777777" w:rsidR="008220AB" w:rsidRPr="00D06AD7" w:rsidRDefault="008220AB" w:rsidP="008220AB">
      <w:pPr>
        <w:jc w:val="center"/>
        <w:rPr>
          <w:rFonts w:ascii="Arial Narrow" w:hAnsi="Arial Narrow" w:cs="Arial"/>
          <w:b/>
          <w:sz w:val="22"/>
          <w:szCs w:val="22"/>
        </w:rPr>
      </w:pPr>
      <w:r w:rsidRPr="00D06AD7">
        <w:rPr>
          <w:rFonts w:ascii="Arial Narrow" w:hAnsi="Arial Narrow" w:cs="Arial"/>
          <w:b/>
          <w:sz w:val="22"/>
          <w:szCs w:val="22"/>
        </w:rPr>
        <w:t>12. ANÁLISIS DE RIESGOS</w:t>
      </w:r>
    </w:p>
    <w:p w14:paraId="2F8CD6E5" w14:textId="77777777" w:rsidR="008220AB" w:rsidRPr="00D06AD7" w:rsidRDefault="008220AB" w:rsidP="008220AB">
      <w:pPr>
        <w:pStyle w:val="Prrafodelista"/>
        <w:ind w:left="0"/>
        <w:jc w:val="both"/>
        <w:rPr>
          <w:rFonts w:ascii="Arial Narrow" w:hAnsi="Arial Narrow" w:cs="Arial"/>
          <w:bCs/>
          <w:sz w:val="22"/>
          <w:szCs w:val="22"/>
        </w:rPr>
      </w:pPr>
    </w:p>
    <w:p w14:paraId="491CEDAD" w14:textId="77777777" w:rsidR="008220AB" w:rsidRPr="00D06AD7" w:rsidRDefault="008220AB" w:rsidP="008220AB">
      <w:pPr>
        <w:jc w:val="both"/>
        <w:outlineLvl w:val="0"/>
        <w:rPr>
          <w:rFonts w:ascii="Arial Narrow" w:hAnsi="Arial Narrow" w:cs="Arial"/>
          <w:b/>
          <w:bCs/>
          <w:sz w:val="22"/>
          <w:szCs w:val="22"/>
        </w:rPr>
      </w:pPr>
      <w:r w:rsidRPr="00D06AD7">
        <w:rPr>
          <w:rFonts w:ascii="Arial Narrow" w:hAnsi="Arial Narrow" w:cs="Arial"/>
          <w:b/>
          <w:bCs/>
          <w:sz w:val="22"/>
          <w:szCs w:val="22"/>
        </w:rPr>
        <w:t>12.1. RIESGOS QUE ASUME EL CONSULTOR</w:t>
      </w:r>
    </w:p>
    <w:p w14:paraId="75D6E18F" w14:textId="77777777" w:rsidR="008220AB" w:rsidRPr="00D06AD7" w:rsidRDefault="008220AB" w:rsidP="008220AB">
      <w:pPr>
        <w:jc w:val="both"/>
        <w:rPr>
          <w:rFonts w:ascii="Arial Narrow" w:hAnsi="Arial Narrow" w:cs="Arial"/>
          <w:sz w:val="22"/>
          <w:szCs w:val="22"/>
        </w:rPr>
      </w:pPr>
    </w:p>
    <w:p w14:paraId="4F981160" w14:textId="77777777"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lastRenderedPageBreak/>
        <w:t xml:space="preserve">A partir de la fecha de suscripción del Contrato y en todas las etapas del mismo, el </w:t>
      </w:r>
      <w:r w:rsidRPr="00D06AD7">
        <w:rPr>
          <w:rFonts w:ascii="Arial Narrow" w:hAnsi="Arial Narrow"/>
          <w:sz w:val="22"/>
          <w:szCs w:val="22"/>
        </w:rPr>
        <w:t>consultor</w:t>
      </w:r>
      <w:r w:rsidRPr="00D06AD7">
        <w:rPr>
          <w:rFonts w:ascii="Arial Narrow" w:hAnsi="Arial Narrow" w:cs="Arial"/>
          <w:sz w:val="22"/>
          <w:szCs w:val="22"/>
        </w:rPr>
        <w:t xml:space="preserve"> asume los efectos derivados de todos y cada uno de los riesgos asociados a este Contrato, al igual que respecto a los que logre determinar, salvo los casos en que expresamente se ha determinado lo contrario.</w:t>
      </w:r>
    </w:p>
    <w:p w14:paraId="17DF7568" w14:textId="77777777" w:rsidR="008220AB" w:rsidRPr="00D06AD7" w:rsidRDefault="008220AB" w:rsidP="008220AB">
      <w:pPr>
        <w:jc w:val="both"/>
        <w:rPr>
          <w:rFonts w:ascii="Arial Narrow" w:hAnsi="Arial Narrow" w:cs="Arial"/>
          <w:sz w:val="22"/>
          <w:szCs w:val="22"/>
        </w:rPr>
      </w:pPr>
    </w:p>
    <w:p w14:paraId="72A7CEFA" w14:textId="0A2590DA"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 xml:space="preserve">En este sentido, el Consultor asume los efectos derivados de los riesgos que se listan a continuación de manera general, además de aquellos que se desprendan de la matriz de riesgos, otras cláusulas o estipulaciones del Contrato, sus anexos y/o que se deriven de la naturaleza del Contrato. </w:t>
      </w:r>
    </w:p>
    <w:p w14:paraId="2ABC2F81" w14:textId="77777777" w:rsidR="008220AB" w:rsidRPr="00D06AD7" w:rsidRDefault="008220AB" w:rsidP="008220AB">
      <w:pPr>
        <w:jc w:val="both"/>
        <w:rPr>
          <w:rFonts w:ascii="Arial Narrow" w:hAnsi="Arial Narrow" w:cs="Arial"/>
          <w:sz w:val="22"/>
          <w:szCs w:val="22"/>
        </w:rPr>
      </w:pPr>
    </w:p>
    <w:p w14:paraId="107723E2" w14:textId="77777777"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Por lo tanto, no procederán reclamaciones del Consultor basadas en el suceso de alguno de los riesgos asumidos por el Consultor y –consecuentemente- el INVIAS no hará reconocimiento alguno, ni se entenderá que ofrece garantía alguna al Consultor, que permita eliminar o mitigar los efectos causados por la ocurrencia de alguno de estos riesgos, salvo que dicho reconocimiento o garantía se encuentren expresamente pactados en el Contrato.</w:t>
      </w:r>
    </w:p>
    <w:p w14:paraId="45A85B89" w14:textId="77777777" w:rsidR="008220AB" w:rsidRPr="00D06AD7" w:rsidRDefault="008220AB" w:rsidP="008220AB">
      <w:pPr>
        <w:jc w:val="both"/>
        <w:rPr>
          <w:rFonts w:ascii="Arial Narrow" w:hAnsi="Arial Narrow" w:cs="Arial"/>
          <w:sz w:val="22"/>
          <w:szCs w:val="22"/>
        </w:rPr>
      </w:pPr>
    </w:p>
    <w:p w14:paraId="66CC66B7" w14:textId="7D1A56AA"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 xml:space="preserve">1. Los efectos, favorables o desfavorables, derivados de las variaciones en los precios de mercado de los Costos de personal y otros costos directos necesarios para ejecutar en los términos del Contrato y de sus </w:t>
      </w:r>
      <w:r w:rsidR="000D6AEF" w:rsidRPr="00D06AD7">
        <w:rPr>
          <w:rFonts w:ascii="Arial Narrow" w:hAnsi="Arial Narrow" w:cs="Arial"/>
          <w:sz w:val="22"/>
          <w:szCs w:val="22"/>
        </w:rPr>
        <w:t>Anexos.</w:t>
      </w:r>
    </w:p>
    <w:p w14:paraId="4A8D736A" w14:textId="77777777" w:rsidR="008220AB" w:rsidRPr="00D06AD7" w:rsidRDefault="008220AB" w:rsidP="008220AB">
      <w:pPr>
        <w:jc w:val="both"/>
        <w:rPr>
          <w:rFonts w:ascii="Arial Narrow" w:hAnsi="Arial Narrow" w:cs="Arial"/>
          <w:sz w:val="22"/>
          <w:szCs w:val="22"/>
        </w:rPr>
      </w:pPr>
    </w:p>
    <w:p w14:paraId="2F9189CB" w14:textId="6C8C424A"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Los mecanismos contenidos en el contrato permiten mantener las condiciones económicas y financieras existentes al momento de la presentación de la Propuesta por parte del Consultor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7D5FF3E1" w14:textId="77777777" w:rsidR="008220AB" w:rsidRPr="00D06AD7" w:rsidRDefault="008220AB" w:rsidP="008220AB">
      <w:pPr>
        <w:jc w:val="both"/>
        <w:rPr>
          <w:rFonts w:ascii="Arial Narrow" w:hAnsi="Arial Narrow" w:cs="Arial"/>
          <w:sz w:val="22"/>
          <w:szCs w:val="22"/>
        </w:rPr>
      </w:pPr>
    </w:p>
    <w:p w14:paraId="1148C92B" w14:textId="52D008B2" w:rsidR="008220AB" w:rsidRPr="00D06AD7" w:rsidRDefault="00775BE8" w:rsidP="008220AB">
      <w:pPr>
        <w:jc w:val="both"/>
        <w:rPr>
          <w:rFonts w:ascii="Arial Narrow" w:hAnsi="Arial Narrow" w:cs="Arial"/>
          <w:sz w:val="22"/>
          <w:szCs w:val="22"/>
        </w:rPr>
      </w:pPr>
      <w:r>
        <w:rPr>
          <w:rFonts w:ascii="Arial Narrow" w:hAnsi="Arial Narrow" w:cs="Arial"/>
          <w:sz w:val="22"/>
          <w:szCs w:val="22"/>
        </w:rPr>
        <w:t>2</w:t>
      </w:r>
      <w:r w:rsidR="008220AB" w:rsidRPr="00D06AD7">
        <w:rPr>
          <w:rFonts w:ascii="Arial Narrow" w:hAnsi="Arial Narrow" w:cs="Arial"/>
          <w:sz w:val="22"/>
          <w:szCs w:val="22"/>
        </w:rPr>
        <w:t>.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305A2D3F" w14:textId="77777777" w:rsidR="008220AB" w:rsidRPr="00D06AD7" w:rsidRDefault="008220AB" w:rsidP="008220AB">
      <w:pPr>
        <w:jc w:val="both"/>
        <w:rPr>
          <w:rFonts w:ascii="Arial Narrow" w:hAnsi="Arial Narrow" w:cs="Arial"/>
          <w:sz w:val="22"/>
          <w:szCs w:val="22"/>
        </w:rPr>
      </w:pPr>
    </w:p>
    <w:p w14:paraId="0E868D53" w14:textId="11EA6C42" w:rsidR="008220AB" w:rsidRPr="00D06AD7" w:rsidRDefault="008220AB" w:rsidP="008220AB">
      <w:pPr>
        <w:jc w:val="both"/>
        <w:rPr>
          <w:rFonts w:ascii="Arial Narrow" w:hAnsi="Arial Narrow" w:cs="Arial"/>
          <w:sz w:val="22"/>
          <w:szCs w:val="22"/>
        </w:rPr>
      </w:pPr>
      <w:r w:rsidRPr="00D06AD7">
        <w:rPr>
          <w:rFonts w:ascii="Arial Narrow" w:hAnsi="Arial Narrow" w:cs="Arial"/>
          <w:sz w:val="22"/>
          <w:szCs w:val="22"/>
        </w:rPr>
        <w:t>En general, los efectos, favorables o desfavorables, de las variaciones de los componentes económicos, fiscales, legales y técnicos necesarios para cumplir con las obligaciones del Consultor necesarias para la cabal ejecución de los Contratos, relacionadas entre otras, con la contratación de personal, las labores administrativas</w:t>
      </w:r>
      <w:r w:rsidR="000A2EE2">
        <w:rPr>
          <w:rFonts w:ascii="Arial Narrow" w:hAnsi="Arial Narrow" w:cs="Arial"/>
          <w:sz w:val="22"/>
          <w:szCs w:val="22"/>
        </w:rPr>
        <w:t xml:space="preserve">, </w:t>
      </w:r>
      <w:r w:rsidRPr="00D06AD7">
        <w:rPr>
          <w:rFonts w:ascii="Arial Narrow" w:hAnsi="Arial Narrow" w:cs="Arial"/>
          <w:sz w:val="22"/>
          <w:szCs w:val="22"/>
        </w:rPr>
        <w:t>los equipos y materiales requeridos, el manejo ambiental y social y el manejo del tráfico.</w:t>
      </w:r>
    </w:p>
    <w:p w14:paraId="5AE86EE9" w14:textId="77777777" w:rsidR="008220AB" w:rsidRPr="00D06AD7" w:rsidRDefault="008220AB" w:rsidP="008220AB">
      <w:pPr>
        <w:jc w:val="both"/>
        <w:rPr>
          <w:rFonts w:ascii="Arial Narrow" w:hAnsi="Arial Narrow" w:cs="Arial"/>
          <w:sz w:val="22"/>
          <w:szCs w:val="22"/>
        </w:rPr>
      </w:pPr>
    </w:p>
    <w:p w14:paraId="21F3BE9B" w14:textId="77777777" w:rsidR="008220AB" w:rsidRPr="00D06AD7" w:rsidRDefault="008220AB" w:rsidP="008220AB">
      <w:pPr>
        <w:jc w:val="both"/>
        <w:outlineLvl w:val="0"/>
        <w:rPr>
          <w:rFonts w:ascii="Arial Narrow" w:hAnsi="Arial Narrow" w:cs="Arial"/>
          <w:sz w:val="22"/>
          <w:szCs w:val="22"/>
        </w:rPr>
      </w:pPr>
      <w:r w:rsidRPr="00D06AD7">
        <w:rPr>
          <w:rFonts w:ascii="Arial Narrow" w:eastAsia="Calibri" w:hAnsi="Arial Narrow" w:cs="Arial"/>
          <w:b/>
          <w:bCs/>
          <w:sz w:val="22"/>
          <w:szCs w:val="22"/>
        </w:rPr>
        <w:t>12.3. MATRIZ DE RIESGOS</w:t>
      </w:r>
    </w:p>
    <w:p w14:paraId="1EE4119C" w14:textId="77777777" w:rsidR="008220AB" w:rsidRPr="00D06AD7" w:rsidRDefault="008220AB" w:rsidP="008220AB">
      <w:pPr>
        <w:rPr>
          <w:rFonts w:ascii="Arial Narrow" w:hAnsi="Arial Narrow" w:cs="Arial"/>
          <w:sz w:val="22"/>
          <w:szCs w:val="22"/>
        </w:rPr>
      </w:pPr>
    </w:p>
    <w:p w14:paraId="2E844439" w14:textId="77777777" w:rsidR="008220AB" w:rsidRPr="00D06AD7" w:rsidRDefault="008220AB" w:rsidP="008220AB">
      <w:pPr>
        <w:jc w:val="both"/>
        <w:rPr>
          <w:rFonts w:ascii="Arial Narrow" w:hAnsi="Arial Narrow"/>
          <w:sz w:val="22"/>
          <w:szCs w:val="22"/>
        </w:rPr>
      </w:pPr>
      <w:r w:rsidRPr="00D06AD7">
        <w:rPr>
          <w:rFonts w:ascii="Arial Narrow" w:hAnsi="Arial Narrow" w:cs="Arial"/>
          <w:sz w:val="22"/>
          <w:szCs w:val="22"/>
        </w:rPr>
        <w:t>La “Matriz 3 – Riesgos” incluye los Riesgos que se pueden presentar durante la ejecución del Contrato. Esta Matriz describe cada uno de los Riesgos, la consecuen</w:t>
      </w:r>
      <w:r w:rsidRPr="00D06AD7">
        <w:rPr>
          <w:rFonts w:ascii="Arial Narrow" w:hAnsi="Arial Narrow"/>
          <w:sz w:val="22"/>
          <w:szCs w:val="22"/>
        </w:rPr>
        <w:t xml:space="preserve">cia de su ocurrencia, a quién se le asigna, cuál es el tratamiento en caso de ocurrencia y quién es el responsable del tratamiento entre otros aspectos. </w:t>
      </w:r>
    </w:p>
    <w:p w14:paraId="2339FB2D" w14:textId="77777777" w:rsidR="008220AB" w:rsidRPr="00D06AD7" w:rsidRDefault="008220AB" w:rsidP="008220AB">
      <w:pPr>
        <w:pStyle w:val="Default"/>
        <w:jc w:val="both"/>
        <w:rPr>
          <w:rFonts w:ascii="Arial Narrow" w:hAnsi="Arial Narrow"/>
          <w:color w:val="auto"/>
          <w:sz w:val="22"/>
          <w:szCs w:val="22"/>
        </w:rPr>
      </w:pPr>
    </w:p>
    <w:p w14:paraId="280646DB" w14:textId="77777777" w:rsidR="008220AB" w:rsidRPr="00D06AD7" w:rsidRDefault="008220AB" w:rsidP="008220AB">
      <w:pPr>
        <w:pStyle w:val="Default"/>
        <w:jc w:val="both"/>
        <w:rPr>
          <w:rFonts w:ascii="Arial Narrow" w:hAnsi="Arial Narrow"/>
          <w:color w:val="auto"/>
          <w:sz w:val="22"/>
          <w:szCs w:val="22"/>
        </w:rPr>
      </w:pPr>
    </w:p>
    <w:p w14:paraId="13D8FB5B" w14:textId="212D93CF" w:rsidR="008220AB" w:rsidRPr="00D06AD7" w:rsidRDefault="008220AB" w:rsidP="008220AB">
      <w:pPr>
        <w:jc w:val="center"/>
        <w:rPr>
          <w:rFonts w:ascii="Arial Narrow" w:hAnsi="Arial Narrow" w:cs="Arial"/>
          <w:b/>
          <w:sz w:val="22"/>
          <w:szCs w:val="22"/>
        </w:rPr>
      </w:pPr>
      <w:r w:rsidRPr="00D06AD7">
        <w:rPr>
          <w:rFonts w:ascii="Arial Narrow" w:hAnsi="Arial Narrow" w:cs="Arial"/>
          <w:b/>
          <w:sz w:val="22"/>
          <w:szCs w:val="22"/>
        </w:rPr>
        <w:t>13. ANALISIS QUE SUSTENTA LA EXIGENCIA DE GARANTÍAS</w:t>
      </w:r>
    </w:p>
    <w:p w14:paraId="062F8397" w14:textId="77777777" w:rsidR="008220AB" w:rsidRPr="00D06AD7" w:rsidRDefault="008220AB" w:rsidP="008220AB">
      <w:pPr>
        <w:pStyle w:val="Prrafodelista"/>
        <w:ind w:left="0"/>
        <w:jc w:val="both"/>
        <w:rPr>
          <w:rFonts w:ascii="Arial Narrow" w:hAnsi="Arial Narrow" w:cs="Arial"/>
          <w:bCs/>
          <w:sz w:val="22"/>
          <w:szCs w:val="22"/>
        </w:rPr>
      </w:pPr>
    </w:p>
    <w:p w14:paraId="6BC36E69"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bCs/>
          <w:sz w:val="22"/>
          <w:szCs w:val="22"/>
        </w:rPr>
        <w:t>De conformidad con el artículo 2.2.1.2.3.1.1 del Decreto 1082 de 2015  los r</w:t>
      </w:r>
      <w:r w:rsidRPr="00D06AD7">
        <w:rPr>
          <w:rFonts w:ascii="Arial Narrow" w:hAnsi="Arial Narrow" w:cs="Arial"/>
          <w:iCs/>
          <w:sz w:val="22"/>
          <w:szCs w:val="22"/>
        </w:rPr>
        <w:t>iesgos que deben cubrir las garantías en la contratación, son el</w:t>
      </w:r>
      <w:r w:rsidRPr="00D06AD7">
        <w:rPr>
          <w:rFonts w:ascii="Arial Narrow" w:hAnsi="Arial Narrow" w:cs="Arial"/>
          <w:sz w:val="22"/>
          <w:szCs w:val="22"/>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Consultores y subConsultores.</w:t>
      </w:r>
    </w:p>
    <w:p w14:paraId="436FAE27" w14:textId="77777777" w:rsidR="000D6AEF" w:rsidRPr="00D06AD7" w:rsidRDefault="000D6AEF" w:rsidP="000D6AEF">
      <w:pPr>
        <w:jc w:val="both"/>
        <w:rPr>
          <w:rFonts w:ascii="Arial Narrow" w:hAnsi="Arial Narrow" w:cs="Arial"/>
          <w:sz w:val="22"/>
          <w:szCs w:val="22"/>
        </w:rPr>
      </w:pPr>
    </w:p>
    <w:p w14:paraId="2E78D953"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sz w:val="22"/>
          <w:szCs w:val="22"/>
        </w:rPr>
        <w:lastRenderedPageBreak/>
        <w:t>El oferente que resulte favorecido, en su calidad de Consultor podrá otorgar para asegurar el cumplimiento de sus obligaciones las siguientes garantías:</w:t>
      </w:r>
    </w:p>
    <w:p w14:paraId="6D35FFBE" w14:textId="77777777" w:rsidR="000D6AEF" w:rsidRPr="00D06AD7" w:rsidRDefault="000D6AEF" w:rsidP="000D6AEF">
      <w:pPr>
        <w:jc w:val="both"/>
        <w:rPr>
          <w:rFonts w:ascii="Arial Narrow" w:hAnsi="Arial Narrow" w:cs="Arial"/>
          <w:sz w:val="22"/>
          <w:szCs w:val="22"/>
        </w:rPr>
      </w:pPr>
    </w:p>
    <w:p w14:paraId="4BA11DE0" w14:textId="77777777" w:rsidR="000D6AEF" w:rsidRPr="00D06AD7" w:rsidRDefault="000D6AEF" w:rsidP="00EC17FC">
      <w:pPr>
        <w:numPr>
          <w:ilvl w:val="0"/>
          <w:numId w:val="40"/>
        </w:numPr>
        <w:jc w:val="both"/>
        <w:rPr>
          <w:rFonts w:ascii="Arial Narrow" w:hAnsi="Arial Narrow" w:cs="Arial"/>
          <w:sz w:val="22"/>
          <w:szCs w:val="22"/>
        </w:rPr>
      </w:pPr>
      <w:r w:rsidRPr="00D06AD7">
        <w:rPr>
          <w:rFonts w:ascii="Arial Narrow" w:hAnsi="Arial Narrow" w:cs="Arial"/>
          <w:sz w:val="22"/>
          <w:szCs w:val="22"/>
        </w:rPr>
        <w:t>Contrato de seguro contenido en una póliza.</w:t>
      </w:r>
    </w:p>
    <w:p w14:paraId="7F03EBF8" w14:textId="77777777" w:rsidR="000D6AEF" w:rsidRPr="00D06AD7" w:rsidRDefault="000D6AEF" w:rsidP="000D6AEF">
      <w:pPr>
        <w:ind w:left="1429"/>
        <w:jc w:val="both"/>
        <w:rPr>
          <w:rFonts w:ascii="Arial Narrow" w:hAnsi="Arial Narrow" w:cs="Arial"/>
          <w:sz w:val="22"/>
          <w:szCs w:val="22"/>
        </w:rPr>
      </w:pPr>
    </w:p>
    <w:p w14:paraId="548081E1" w14:textId="77777777" w:rsidR="000D6AEF" w:rsidRPr="00D06AD7" w:rsidRDefault="000D6AEF" w:rsidP="00EC17FC">
      <w:pPr>
        <w:numPr>
          <w:ilvl w:val="0"/>
          <w:numId w:val="40"/>
        </w:numPr>
        <w:jc w:val="both"/>
        <w:rPr>
          <w:rFonts w:ascii="Arial Narrow" w:hAnsi="Arial Narrow" w:cs="Arial"/>
          <w:sz w:val="22"/>
          <w:szCs w:val="22"/>
        </w:rPr>
      </w:pPr>
      <w:r w:rsidRPr="00D06AD7">
        <w:rPr>
          <w:rFonts w:ascii="Arial Narrow" w:hAnsi="Arial Narrow" w:cs="Arial"/>
          <w:sz w:val="22"/>
          <w:szCs w:val="22"/>
        </w:rPr>
        <w:t>Patrimonio autónomo.</w:t>
      </w:r>
    </w:p>
    <w:p w14:paraId="61036715" w14:textId="77777777" w:rsidR="000D6AEF" w:rsidRPr="00D06AD7" w:rsidRDefault="000D6AEF" w:rsidP="000D6AEF">
      <w:pPr>
        <w:pStyle w:val="Prrafodelista"/>
        <w:rPr>
          <w:rFonts w:ascii="Arial Narrow" w:hAnsi="Arial Narrow" w:cs="Arial"/>
          <w:sz w:val="22"/>
          <w:szCs w:val="22"/>
        </w:rPr>
      </w:pPr>
    </w:p>
    <w:p w14:paraId="5A96825E" w14:textId="77777777" w:rsidR="000D6AEF" w:rsidRPr="00D06AD7" w:rsidRDefault="000D6AEF" w:rsidP="00EC17FC">
      <w:pPr>
        <w:numPr>
          <w:ilvl w:val="0"/>
          <w:numId w:val="40"/>
        </w:numPr>
        <w:jc w:val="both"/>
        <w:rPr>
          <w:rFonts w:ascii="Arial Narrow" w:hAnsi="Arial Narrow" w:cs="Arial"/>
          <w:sz w:val="22"/>
          <w:szCs w:val="22"/>
        </w:rPr>
      </w:pPr>
      <w:r w:rsidRPr="00D06AD7">
        <w:rPr>
          <w:rFonts w:ascii="Arial Narrow" w:hAnsi="Arial Narrow" w:cs="Arial"/>
          <w:sz w:val="22"/>
          <w:szCs w:val="22"/>
        </w:rPr>
        <w:t>Garantía Bancaria.</w:t>
      </w:r>
    </w:p>
    <w:p w14:paraId="5B144602" w14:textId="77777777" w:rsidR="000D6AEF" w:rsidRPr="00D06AD7" w:rsidRDefault="000D6AEF" w:rsidP="000D6AEF">
      <w:pPr>
        <w:jc w:val="both"/>
        <w:rPr>
          <w:rFonts w:ascii="Arial Narrow" w:hAnsi="Arial Narrow" w:cs="Arial"/>
          <w:b/>
          <w:sz w:val="22"/>
          <w:szCs w:val="22"/>
        </w:rPr>
      </w:pPr>
    </w:p>
    <w:p w14:paraId="33CEB037"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b/>
          <w:sz w:val="22"/>
          <w:szCs w:val="22"/>
        </w:rPr>
        <w:t>NOTA 1</w:t>
      </w:r>
      <w:r w:rsidRPr="00D06AD7">
        <w:rPr>
          <w:rFonts w:ascii="Arial Narrow" w:hAnsi="Arial Narrow" w:cs="Arial"/>
          <w:sz w:val="22"/>
          <w:szCs w:val="22"/>
        </w:rPr>
        <w:t>: La responsabilidad extracontractual de la administración derivada de las actuaciones, hechos u omisiones de sus Consultores o subConsultores solo puede ser amparada con un contrato de seguro.</w:t>
      </w:r>
    </w:p>
    <w:p w14:paraId="1B4B00A1" w14:textId="77777777" w:rsidR="000D6AEF" w:rsidRPr="00D06AD7" w:rsidRDefault="000D6AEF" w:rsidP="000D6AEF">
      <w:pPr>
        <w:jc w:val="both"/>
        <w:rPr>
          <w:rFonts w:ascii="Arial Narrow" w:hAnsi="Arial Narrow" w:cs="Arial"/>
          <w:b/>
          <w:sz w:val="22"/>
          <w:szCs w:val="22"/>
        </w:rPr>
      </w:pPr>
    </w:p>
    <w:p w14:paraId="2763E161"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b/>
          <w:sz w:val="22"/>
          <w:szCs w:val="22"/>
        </w:rPr>
        <w:t>NOTA 2:</w:t>
      </w:r>
      <w:r w:rsidRPr="00D06AD7">
        <w:rPr>
          <w:rFonts w:ascii="Arial Narrow" w:hAnsi="Arial Narrow" w:cs="Arial"/>
          <w:sz w:val="22"/>
          <w:szCs w:val="22"/>
        </w:rPr>
        <w:t xml:space="preserve"> El monto, vigencia, amparos o coberturas de las garantías se determinarán teniendo en cuenta el objeto, la naturaleza, las características de cada contrato y los riesgos que se deban cubrir.</w:t>
      </w:r>
    </w:p>
    <w:p w14:paraId="265B4853" w14:textId="77777777" w:rsidR="000D6AEF" w:rsidRPr="00D06AD7" w:rsidRDefault="000D6AEF" w:rsidP="000D6AEF">
      <w:pPr>
        <w:pStyle w:val="Default"/>
        <w:jc w:val="both"/>
        <w:rPr>
          <w:rFonts w:ascii="Arial Narrow" w:hAnsi="Arial Narrow"/>
          <w:color w:val="auto"/>
          <w:sz w:val="22"/>
          <w:szCs w:val="22"/>
          <w:lang w:val="es-ES_tradnl" w:eastAsia="es-ES"/>
        </w:rPr>
      </w:pPr>
    </w:p>
    <w:p w14:paraId="16F25F0A" w14:textId="05792471" w:rsidR="000D6AEF" w:rsidRPr="00D06AD7" w:rsidRDefault="0016219A" w:rsidP="000D6AEF">
      <w:pPr>
        <w:pStyle w:val="Default"/>
        <w:jc w:val="both"/>
        <w:rPr>
          <w:rFonts w:ascii="Arial Narrow" w:hAnsi="Arial Narrow"/>
          <w:color w:val="auto"/>
          <w:sz w:val="22"/>
          <w:szCs w:val="22"/>
          <w:lang w:val="es-ES" w:eastAsia="es-ES"/>
        </w:rPr>
      </w:pPr>
      <w:r>
        <w:rPr>
          <w:rFonts w:ascii="Arial Narrow" w:hAnsi="Arial Narrow"/>
          <w:color w:val="auto"/>
          <w:sz w:val="22"/>
          <w:szCs w:val="22"/>
          <w:lang w:val="es-ES_tradnl" w:eastAsia="es-ES"/>
        </w:rPr>
        <w:t>En los procesos de contratación de m</w:t>
      </w:r>
      <w:r w:rsidR="009428FB">
        <w:rPr>
          <w:rFonts w:ascii="Arial Narrow" w:hAnsi="Arial Narrow"/>
          <w:color w:val="auto"/>
          <w:sz w:val="22"/>
          <w:szCs w:val="22"/>
          <w:lang w:val="es-ES_tradnl" w:eastAsia="es-ES"/>
        </w:rPr>
        <w:t>í</w:t>
      </w:r>
      <w:r>
        <w:rPr>
          <w:rFonts w:ascii="Arial Narrow" w:hAnsi="Arial Narrow"/>
          <w:color w:val="auto"/>
          <w:sz w:val="22"/>
          <w:szCs w:val="22"/>
          <w:lang w:val="es-ES_tradnl" w:eastAsia="es-ES"/>
        </w:rPr>
        <w:t xml:space="preserve">nima cuantía </w:t>
      </w:r>
      <w:r w:rsidR="009428FB">
        <w:rPr>
          <w:rFonts w:ascii="Arial Narrow" w:hAnsi="Arial Narrow"/>
          <w:color w:val="auto"/>
          <w:sz w:val="22"/>
          <w:szCs w:val="22"/>
          <w:lang w:val="es-ES_tradnl" w:eastAsia="es-ES"/>
        </w:rPr>
        <w:t xml:space="preserve">el artículo 7º de </w:t>
      </w:r>
      <w:r>
        <w:rPr>
          <w:rFonts w:ascii="Arial Narrow" w:hAnsi="Arial Narrow"/>
          <w:color w:val="auto"/>
          <w:sz w:val="22"/>
          <w:szCs w:val="22"/>
          <w:lang w:val="es-ES_tradnl" w:eastAsia="es-ES"/>
        </w:rPr>
        <w:t xml:space="preserve">la </w:t>
      </w:r>
      <w:r w:rsidR="009428FB">
        <w:rPr>
          <w:rFonts w:ascii="Arial Narrow" w:hAnsi="Arial Narrow"/>
          <w:color w:val="auto"/>
          <w:sz w:val="22"/>
          <w:szCs w:val="22"/>
          <w:lang w:val="es-ES_tradnl" w:eastAsia="es-ES"/>
        </w:rPr>
        <w:t xml:space="preserve">Ley 1150 de 2007 </w:t>
      </w:r>
      <w:r w:rsidR="00141A86">
        <w:rPr>
          <w:rFonts w:ascii="Arial Narrow" w:hAnsi="Arial Narrow"/>
          <w:color w:val="auto"/>
          <w:sz w:val="22"/>
          <w:szCs w:val="22"/>
          <w:lang w:val="es-ES_tradnl" w:eastAsia="es-ES"/>
        </w:rPr>
        <w:t>no es obligatoria la exgencia de garantías, no obstante, la entidad considera necesario</w:t>
      </w:r>
      <w:r w:rsidR="006B75F4">
        <w:rPr>
          <w:rFonts w:ascii="Arial Narrow" w:hAnsi="Arial Narrow"/>
          <w:color w:val="auto"/>
          <w:sz w:val="22"/>
          <w:szCs w:val="22"/>
          <w:lang w:val="es-ES_tradnl" w:eastAsia="es-ES"/>
        </w:rPr>
        <w:t xml:space="preserve"> y razonable </w:t>
      </w:r>
      <w:r w:rsidR="000D6AEF" w:rsidRPr="00D06AD7">
        <w:rPr>
          <w:rFonts w:ascii="Arial Narrow" w:hAnsi="Arial Narrow"/>
          <w:color w:val="auto"/>
          <w:sz w:val="22"/>
          <w:szCs w:val="22"/>
          <w:lang w:val="es-ES" w:eastAsia="es-ES"/>
        </w:rPr>
        <w:t>exigir</w:t>
      </w:r>
      <w:r w:rsidR="006B75F4">
        <w:rPr>
          <w:rFonts w:ascii="Arial Narrow" w:hAnsi="Arial Narrow"/>
          <w:color w:val="auto"/>
          <w:sz w:val="22"/>
          <w:szCs w:val="22"/>
          <w:lang w:val="es-ES" w:eastAsia="es-ES"/>
        </w:rPr>
        <w:t xml:space="preserve"> </w:t>
      </w:r>
      <w:r w:rsidR="000D6AEF" w:rsidRPr="00D06AD7">
        <w:rPr>
          <w:rFonts w:ascii="Arial Narrow" w:hAnsi="Arial Narrow"/>
          <w:color w:val="auto"/>
          <w:sz w:val="22"/>
          <w:szCs w:val="22"/>
          <w:lang w:val="es-ES" w:eastAsia="es-ES"/>
        </w:rPr>
        <w:t>el amparo de los perjuicios que se deriven del incumplimiento del ofrecimiento y del incumplimiento del contrato mediante las siguientes garantías:</w:t>
      </w:r>
    </w:p>
    <w:p w14:paraId="6B34AFAA" w14:textId="77777777" w:rsidR="000D6AEF" w:rsidRPr="00D06AD7" w:rsidRDefault="000D6AEF" w:rsidP="000D6AEF">
      <w:pPr>
        <w:pStyle w:val="Default"/>
        <w:jc w:val="both"/>
        <w:rPr>
          <w:rFonts w:ascii="Arial Narrow" w:hAnsi="Arial Narrow"/>
          <w:b/>
          <w:color w:val="auto"/>
          <w:sz w:val="22"/>
          <w:szCs w:val="22"/>
          <w:u w:val="single"/>
          <w:lang w:val="es-ES" w:eastAsia="es-ES"/>
        </w:rPr>
      </w:pPr>
    </w:p>
    <w:p w14:paraId="5F43ECF7" w14:textId="77777777" w:rsidR="000D6AEF" w:rsidRPr="00D06AD7" w:rsidRDefault="000D6AEF" w:rsidP="000D6AEF">
      <w:pPr>
        <w:pStyle w:val="Default"/>
        <w:widowControl w:val="0"/>
        <w:jc w:val="both"/>
        <w:rPr>
          <w:rFonts w:ascii="Arial Narrow" w:hAnsi="Arial Narrow"/>
          <w:color w:val="auto"/>
          <w:sz w:val="22"/>
          <w:szCs w:val="22"/>
          <w:lang w:val="es-ES" w:eastAsia="es-ES"/>
        </w:rPr>
      </w:pPr>
      <w:r w:rsidRPr="00D06AD7">
        <w:rPr>
          <w:rFonts w:ascii="Arial Narrow" w:hAnsi="Arial Narrow"/>
          <w:b/>
          <w:color w:val="auto"/>
          <w:sz w:val="22"/>
          <w:szCs w:val="22"/>
          <w:lang w:val="es-ES" w:eastAsia="es-ES"/>
        </w:rPr>
        <w:t>13.1. GARANTÍA PARA AMPARAR LOS RIESGOS DERIVADOS DEL INCUMPLIMIENTO DEL OFRECIMIENTO</w:t>
      </w:r>
      <w:r w:rsidRPr="00D06AD7">
        <w:rPr>
          <w:rFonts w:ascii="Arial Narrow" w:hAnsi="Arial Narrow"/>
          <w:color w:val="auto"/>
          <w:sz w:val="22"/>
          <w:szCs w:val="22"/>
          <w:lang w:val="es-ES" w:eastAsia="es-ES"/>
        </w:rPr>
        <w:t>:</w:t>
      </w:r>
    </w:p>
    <w:p w14:paraId="4BE6A243" w14:textId="77777777" w:rsidR="000D6AEF" w:rsidRPr="00D06AD7" w:rsidRDefault="000D6AEF" w:rsidP="000D6AEF">
      <w:pPr>
        <w:pStyle w:val="Default"/>
        <w:jc w:val="both"/>
        <w:rPr>
          <w:rFonts w:ascii="Arial Narrow" w:hAnsi="Arial Narrow"/>
          <w:color w:val="auto"/>
          <w:sz w:val="22"/>
          <w:szCs w:val="22"/>
          <w:u w:val="single"/>
          <w:lang w:val="es-ES" w:eastAsia="es-ES"/>
        </w:rPr>
      </w:pPr>
    </w:p>
    <w:p w14:paraId="6392A2F9" w14:textId="2EB00D7E" w:rsidR="000D6AEF" w:rsidRPr="00D06AD7" w:rsidRDefault="000D6AEF" w:rsidP="00A7797A">
      <w:pPr>
        <w:ind w:right="-1"/>
        <w:jc w:val="both"/>
        <w:rPr>
          <w:rFonts w:ascii="Arial Narrow" w:hAnsi="Arial Narrow" w:cs="Arial"/>
          <w:sz w:val="22"/>
          <w:szCs w:val="22"/>
        </w:rPr>
      </w:pPr>
      <w:r w:rsidRPr="00D06AD7">
        <w:rPr>
          <w:rFonts w:ascii="Arial Narrow" w:hAnsi="Arial Narrow" w:cs="Arial"/>
          <w:sz w:val="22"/>
          <w:szCs w:val="22"/>
        </w:rPr>
        <w:t xml:space="preserve">El Proponente debe presentar de manera simultánea con la PROPUESTA, una Garantía de Seriedad de la Oferta </w:t>
      </w:r>
      <w:r w:rsidR="00A7797A">
        <w:rPr>
          <w:rFonts w:ascii="Arial Narrow" w:hAnsi="Arial Narrow" w:cs="Arial"/>
          <w:sz w:val="22"/>
          <w:szCs w:val="22"/>
        </w:rPr>
        <w:t xml:space="preserve">para </w:t>
      </w:r>
      <w:r w:rsidRPr="00D06AD7">
        <w:rPr>
          <w:rFonts w:ascii="Arial Narrow" w:hAnsi="Arial Narrow" w:cs="Arial"/>
          <w:sz w:val="22"/>
          <w:szCs w:val="22"/>
        </w:rPr>
        <w:t xml:space="preserve">amparar los perjuicios que se deriven del incumplimiento del ofrecimiento, y asegure la firma, legalización, perfeccionamiento y cumplimiento de los requisitos establecidos para el inicio de ejecución del Contrato por parte del Adjudicatario. </w:t>
      </w:r>
    </w:p>
    <w:p w14:paraId="0B8303B3" w14:textId="77777777" w:rsidR="000D6AEF" w:rsidRPr="00D06AD7" w:rsidRDefault="000D6AEF" w:rsidP="000D6AEF">
      <w:pPr>
        <w:ind w:right="-1"/>
        <w:jc w:val="both"/>
        <w:rPr>
          <w:rFonts w:ascii="Arial Narrow" w:hAnsi="Arial Narrow" w:cs="Arial"/>
          <w:sz w:val="22"/>
          <w:szCs w:val="22"/>
        </w:rPr>
      </w:pPr>
    </w:p>
    <w:p w14:paraId="3C31AA51" w14:textId="77777777" w:rsidR="000D6AEF" w:rsidRPr="00D06AD7" w:rsidRDefault="000D6AEF" w:rsidP="000D6AEF">
      <w:pPr>
        <w:ind w:right="-1"/>
        <w:jc w:val="both"/>
        <w:rPr>
          <w:rFonts w:ascii="Arial Narrow" w:hAnsi="Arial Narrow" w:cs="Arial"/>
          <w:sz w:val="22"/>
          <w:szCs w:val="22"/>
        </w:rPr>
      </w:pPr>
      <w:r w:rsidRPr="00D06AD7">
        <w:rPr>
          <w:rFonts w:ascii="Arial Narrow" w:hAnsi="Arial Narrow" w:cs="Arial"/>
          <w:sz w:val="22"/>
          <w:szCs w:val="22"/>
        </w:rPr>
        <w:t xml:space="preserve">La Garantía de Seriedad de la Oferta se extenderá para cubrir los eventos descritos en los pliegos de condiciones </w:t>
      </w:r>
    </w:p>
    <w:p w14:paraId="577EA9CB" w14:textId="77777777" w:rsidR="000D6AEF" w:rsidRPr="00D06AD7" w:rsidRDefault="000D6AEF" w:rsidP="000D6AEF">
      <w:pPr>
        <w:ind w:left="720" w:right="-1"/>
        <w:jc w:val="both"/>
        <w:rPr>
          <w:rFonts w:ascii="Arial Narrow" w:hAnsi="Arial Narrow" w:cs="Arial"/>
          <w:sz w:val="22"/>
          <w:szCs w:val="22"/>
        </w:rPr>
      </w:pPr>
    </w:p>
    <w:p w14:paraId="3144A830" w14:textId="77F8A69E" w:rsidR="000D6AEF" w:rsidRPr="00D06AD7" w:rsidRDefault="000D6AEF" w:rsidP="000D6AEF">
      <w:pPr>
        <w:numPr>
          <w:ilvl w:val="0"/>
          <w:numId w:val="3"/>
        </w:numPr>
        <w:ind w:right="-1"/>
        <w:jc w:val="both"/>
        <w:rPr>
          <w:rFonts w:ascii="Arial Narrow" w:hAnsi="Arial Narrow" w:cs="Arial"/>
          <w:sz w:val="22"/>
          <w:szCs w:val="22"/>
        </w:rPr>
      </w:pPr>
      <w:r w:rsidRPr="00D06AD7">
        <w:rPr>
          <w:rFonts w:ascii="Arial Narrow" w:hAnsi="Arial Narrow" w:cs="Arial"/>
          <w:sz w:val="22"/>
          <w:szCs w:val="22"/>
        </w:rPr>
        <w:t xml:space="preserve">La no ampliación de la vigencia de la garantía de seriedad de la oferta cuando el </w:t>
      </w:r>
      <w:r w:rsidR="00866990">
        <w:rPr>
          <w:rFonts w:ascii="Arial Narrow" w:hAnsi="Arial Narrow" w:cs="Arial"/>
          <w:sz w:val="22"/>
          <w:szCs w:val="22"/>
        </w:rPr>
        <w:t xml:space="preserve">plazo </w:t>
      </w:r>
      <w:r w:rsidRPr="00D06AD7">
        <w:rPr>
          <w:rFonts w:ascii="Arial Narrow" w:hAnsi="Arial Narrow" w:cs="Arial"/>
          <w:sz w:val="22"/>
          <w:szCs w:val="22"/>
        </w:rPr>
        <w:t>previsto en l</w:t>
      </w:r>
      <w:r w:rsidR="00A7797A">
        <w:rPr>
          <w:rFonts w:ascii="Arial Narrow" w:hAnsi="Arial Narrow" w:cs="Arial"/>
          <w:sz w:val="22"/>
          <w:szCs w:val="22"/>
        </w:rPr>
        <w:t>a invitación</w:t>
      </w:r>
      <w:r w:rsidRPr="00D06AD7">
        <w:rPr>
          <w:rFonts w:ascii="Arial Narrow" w:hAnsi="Arial Narrow" w:cs="Arial"/>
          <w:sz w:val="22"/>
          <w:szCs w:val="22"/>
        </w:rPr>
        <w:t xml:space="preserve"> para la adjudicación </w:t>
      </w:r>
      <w:r w:rsidR="00866990">
        <w:rPr>
          <w:rFonts w:ascii="Arial Narrow" w:hAnsi="Arial Narrow" w:cs="Arial"/>
          <w:sz w:val="22"/>
          <w:szCs w:val="22"/>
        </w:rPr>
        <w:t xml:space="preserve">o suscripción </w:t>
      </w:r>
      <w:r w:rsidRPr="00D06AD7">
        <w:rPr>
          <w:rFonts w:ascii="Arial Narrow" w:hAnsi="Arial Narrow" w:cs="Arial"/>
          <w:sz w:val="22"/>
          <w:szCs w:val="22"/>
        </w:rPr>
        <w:t>del contrato se prorrogue, siempre y cuando esas prorrogas no excedan un término de tres (3) meses.</w:t>
      </w:r>
    </w:p>
    <w:p w14:paraId="49F5AE60" w14:textId="77777777" w:rsidR="00214589" w:rsidRPr="00D06AD7" w:rsidRDefault="00214589" w:rsidP="00214589">
      <w:pPr>
        <w:numPr>
          <w:ilvl w:val="0"/>
          <w:numId w:val="3"/>
        </w:numPr>
        <w:jc w:val="both"/>
        <w:rPr>
          <w:rFonts w:ascii="Arial Narrow" w:hAnsi="Arial Narrow" w:cs="Arial"/>
          <w:sz w:val="22"/>
          <w:szCs w:val="22"/>
        </w:rPr>
      </w:pPr>
      <w:r w:rsidRPr="00D06AD7">
        <w:rPr>
          <w:rFonts w:ascii="Arial Narrow" w:hAnsi="Arial Narrow" w:cs="Arial"/>
          <w:sz w:val="22"/>
          <w:szCs w:val="22"/>
        </w:rPr>
        <w:t>El retiro de la oferta después de vencido el termino fijado para la presentación de las propuestas.</w:t>
      </w:r>
    </w:p>
    <w:p w14:paraId="1AF3E8CD" w14:textId="5E4CDBF5" w:rsidR="00BA079C" w:rsidRPr="00CD22A9" w:rsidRDefault="00BA079C" w:rsidP="00CD22A9">
      <w:pPr>
        <w:numPr>
          <w:ilvl w:val="0"/>
          <w:numId w:val="3"/>
        </w:numPr>
        <w:jc w:val="both"/>
        <w:rPr>
          <w:rFonts w:ascii="Arial Narrow" w:hAnsi="Arial Narrow" w:cs="Arial"/>
          <w:sz w:val="22"/>
          <w:szCs w:val="22"/>
        </w:rPr>
      </w:pPr>
      <w:r w:rsidRPr="00CD22A9">
        <w:rPr>
          <w:rFonts w:ascii="Arial Narrow" w:hAnsi="Arial Narrow" w:cs="Arial"/>
          <w:sz w:val="22"/>
          <w:szCs w:val="22"/>
        </w:rPr>
        <w:t>La no suscripción del contrato sin justa causa por parte del proponente seleccionado.</w:t>
      </w:r>
    </w:p>
    <w:p w14:paraId="21CBFE26" w14:textId="77777777" w:rsidR="000D6AEF" w:rsidRPr="00D06AD7" w:rsidRDefault="000D6AEF" w:rsidP="000D6AEF">
      <w:pPr>
        <w:numPr>
          <w:ilvl w:val="0"/>
          <w:numId w:val="3"/>
        </w:numPr>
        <w:jc w:val="both"/>
        <w:rPr>
          <w:rFonts w:ascii="Arial Narrow" w:hAnsi="Arial Narrow" w:cs="Arial"/>
          <w:sz w:val="22"/>
          <w:szCs w:val="22"/>
        </w:rPr>
      </w:pPr>
      <w:r w:rsidRPr="00D06AD7">
        <w:rPr>
          <w:rFonts w:ascii="Arial Narrow" w:hAnsi="Arial Narrow" w:cs="Arial"/>
          <w:sz w:val="22"/>
          <w:szCs w:val="22"/>
        </w:rPr>
        <w:t>La falta de otorgamiento por parte del proponente seleccionado, de la garantía de cumplimiento exigida por la entidad para amparar el incumplimiento de las obligaciones del contrato.</w:t>
      </w:r>
    </w:p>
    <w:p w14:paraId="0B778BF4" w14:textId="77777777" w:rsidR="000D6AEF" w:rsidRPr="00D06AD7" w:rsidRDefault="000D6AEF" w:rsidP="00CD22A9">
      <w:pPr>
        <w:ind w:left="720" w:right="-1"/>
        <w:jc w:val="both"/>
        <w:rPr>
          <w:rFonts w:ascii="Arial Narrow" w:hAnsi="Arial Narrow" w:cs="Arial"/>
          <w:sz w:val="22"/>
          <w:szCs w:val="22"/>
        </w:rPr>
      </w:pPr>
    </w:p>
    <w:p w14:paraId="7620227B" w14:textId="77777777" w:rsidR="00214589" w:rsidRDefault="00214589" w:rsidP="000D6AEF">
      <w:pPr>
        <w:ind w:right="-1"/>
        <w:jc w:val="both"/>
        <w:rPr>
          <w:rFonts w:ascii="Arial Narrow" w:hAnsi="Arial Narrow" w:cs="Arial"/>
          <w:b/>
          <w:bCs/>
          <w:sz w:val="22"/>
          <w:szCs w:val="22"/>
        </w:rPr>
      </w:pPr>
    </w:p>
    <w:p w14:paraId="316720B5" w14:textId="77777777" w:rsidR="000D6AEF" w:rsidRPr="00D06AD7" w:rsidRDefault="000D6AEF" w:rsidP="000D6AEF">
      <w:pPr>
        <w:rPr>
          <w:rFonts w:ascii="Arial Narrow" w:hAnsi="Arial Narrow"/>
          <w:sz w:val="22"/>
          <w:szCs w:val="22"/>
        </w:rPr>
      </w:pPr>
      <w:r w:rsidRPr="00D06AD7">
        <w:rPr>
          <w:rFonts w:ascii="Arial Narrow" w:hAnsi="Arial Narrow"/>
          <w:sz w:val="22"/>
          <w:szCs w:val="22"/>
        </w:rPr>
        <w:t>El Proponente debe presentar con la propuesta una Garantía de seriedad de la oferta que cumpla con los parámetros, condiciones y requisitos que se indican en este numeral.</w:t>
      </w:r>
    </w:p>
    <w:p w14:paraId="5C5E8429" w14:textId="77777777" w:rsidR="000D6AEF" w:rsidRPr="00D06AD7" w:rsidRDefault="000D6AEF" w:rsidP="000D6AEF">
      <w:pPr>
        <w:rPr>
          <w:rFonts w:ascii="Arial Narrow" w:hAnsi="Arial Narrow"/>
          <w:sz w:val="22"/>
          <w:szCs w:val="22"/>
        </w:rPr>
      </w:pPr>
    </w:p>
    <w:p w14:paraId="310112E1" w14:textId="77777777" w:rsidR="000D6AEF" w:rsidRPr="00D06AD7" w:rsidRDefault="000D6AEF" w:rsidP="000D6AEF">
      <w:pPr>
        <w:rPr>
          <w:rFonts w:ascii="Arial Narrow" w:hAnsi="Arial Narrow"/>
          <w:sz w:val="22"/>
          <w:szCs w:val="22"/>
        </w:rPr>
      </w:pPr>
      <w:r w:rsidRPr="00D06AD7">
        <w:rPr>
          <w:rFonts w:ascii="Arial Narrow" w:hAnsi="Arial Narrow"/>
          <w:sz w:val="22"/>
          <w:szCs w:val="22"/>
        </w:rPr>
        <w:t xml:space="preserve">Cualquier error o imprecisión en el texto de la Garantía presentada será susceptible de aclaración por el Proponente hasta el término de traslado del informe de evaluación. </w:t>
      </w:r>
    </w:p>
    <w:p w14:paraId="113E107E" w14:textId="77777777" w:rsidR="000D6AEF" w:rsidRPr="00D06AD7" w:rsidRDefault="000D6AEF" w:rsidP="000D6AEF">
      <w:pPr>
        <w:rPr>
          <w:rFonts w:ascii="Arial Narrow" w:hAnsi="Arial Narrow"/>
          <w:sz w:val="22"/>
          <w:szCs w:val="22"/>
        </w:rPr>
      </w:pPr>
    </w:p>
    <w:p w14:paraId="67957EF1" w14:textId="66953DA5" w:rsidR="000D6AEF" w:rsidRPr="00D06AD7" w:rsidRDefault="000D6AEF" w:rsidP="000D6AEF">
      <w:pPr>
        <w:rPr>
          <w:rFonts w:ascii="Arial Narrow" w:hAnsi="Arial Narrow"/>
          <w:sz w:val="22"/>
          <w:szCs w:val="22"/>
        </w:rPr>
      </w:pPr>
      <w:r w:rsidRPr="00D06AD7">
        <w:rPr>
          <w:rFonts w:ascii="Arial Narrow" w:hAnsi="Arial Narrow"/>
          <w:sz w:val="22"/>
          <w:szCs w:val="22"/>
        </w:rPr>
        <w:t>Las características de las Garantía</w:t>
      </w:r>
      <w:r w:rsidR="005506FB">
        <w:rPr>
          <w:rFonts w:ascii="Arial Narrow" w:hAnsi="Arial Narrow"/>
          <w:sz w:val="22"/>
          <w:szCs w:val="22"/>
        </w:rPr>
        <w:t xml:space="preserve"> de Seriedad de la Oferta</w:t>
      </w:r>
      <w:r w:rsidRPr="00D06AD7">
        <w:rPr>
          <w:rFonts w:ascii="Arial Narrow" w:hAnsi="Arial Narrow"/>
          <w:sz w:val="22"/>
          <w:szCs w:val="22"/>
        </w:rPr>
        <w:t xml:space="preserve"> son las siguientes:</w:t>
      </w:r>
    </w:p>
    <w:p w14:paraId="7F54AEE5" w14:textId="77777777" w:rsidR="000D6AEF" w:rsidRPr="00D06AD7" w:rsidRDefault="000D6AEF" w:rsidP="000D6AEF">
      <w:pPr>
        <w:pStyle w:val="Textoindependiente"/>
        <w:ind w:right="54"/>
        <w:rPr>
          <w:rFonts w:ascii="Arial Narrow" w:hAnsi="Arial Narrow" w:cs="Arial"/>
          <w:sz w:val="22"/>
          <w:szCs w:val="22"/>
          <w:lang w:eastAsia="es-CO"/>
        </w:rPr>
      </w:pPr>
    </w:p>
    <w:tbl>
      <w:tblPr>
        <w:tblStyle w:val="Tablaconcuadrcula"/>
        <w:tblW w:w="0" w:type="auto"/>
        <w:jc w:val="center"/>
        <w:tblLook w:val="04A0" w:firstRow="1" w:lastRow="0" w:firstColumn="1" w:lastColumn="0" w:noHBand="0" w:noVBand="1"/>
      </w:tblPr>
      <w:tblGrid>
        <w:gridCol w:w="1375"/>
        <w:gridCol w:w="8093"/>
      </w:tblGrid>
      <w:tr w:rsidR="000D6AEF" w:rsidRPr="00D06AD7" w14:paraId="3C210C23"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0E7CBA"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lastRenderedPageBreak/>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ED3BDB2"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Cualquiera de las clases permitidas por el artículo 2.2.1.2.3.1.2 del Decreto 1082 de 2015, a saber: (i) Contrato de seguro contenido en una póliza, (ii) patrimonio autónomo y (iii) Garantía bancaria.</w:t>
            </w:r>
          </w:p>
        </w:tc>
      </w:tr>
      <w:tr w:rsidR="000D6AEF" w:rsidRPr="00D06AD7" w14:paraId="0E8F116B"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ADB7693" w14:textId="77777777" w:rsidR="000D6AEF" w:rsidRPr="00D06AD7" w:rsidRDefault="000D6AEF" w:rsidP="00823C83">
            <w:pPr>
              <w:rPr>
                <w:rFonts w:ascii="Arial Narrow" w:eastAsia="Arial" w:hAnsi="Arial Narrow" w:cs="Arial"/>
                <w:sz w:val="22"/>
                <w:szCs w:val="22"/>
              </w:rPr>
            </w:pPr>
          </w:p>
        </w:tc>
        <w:tc>
          <w:tcPr>
            <w:tcW w:w="0" w:type="auto"/>
            <w:tcBorders>
              <w:top w:val="single" w:sz="4" w:space="0" w:color="auto"/>
              <w:left w:val="single" w:sz="4" w:space="0" w:color="auto"/>
              <w:bottom w:val="single" w:sz="4" w:space="0" w:color="auto"/>
              <w:right w:val="double" w:sz="4" w:space="0" w:color="auto"/>
            </w:tcBorders>
            <w:vAlign w:val="center"/>
          </w:tcPr>
          <w:p w14:paraId="3060D9C4" w14:textId="77777777" w:rsidR="000D6AEF" w:rsidRPr="00D06AD7" w:rsidRDefault="000D6AEF" w:rsidP="00823C83">
            <w:pPr>
              <w:rPr>
                <w:rFonts w:ascii="Arial Narrow" w:eastAsia="Arial" w:hAnsi="Arial Narrow" w:cs="Arial"/>
                <w:sz w:val="22"/>
                <w:szCs w:val="22"/>
              </w:rPr>
            </w:pPr>
          </w:p>
        </w:tc>
      </w:tr>
      <w:tr w:rsidR="000D6AEF" w:rsidRPr="007F7649" w14:paraId="0D6C32F1"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19BE7DA"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51A4F96" w14:textId="77777777" w:rsidR="000D6AEF" w:rsidRPr="00D06AD7" w:rsidRDefault="000D6AEF" w:rsidP="00823C83">
            <w:pPr>
              <w:rPr>
                <w:rFonts w:ascii="Arial Narrow" w:eastAsia="Arial" w:hAnsi="Arial Narrow" w:cs="Arial"/>
                <w:sz w:val="22"/>
                <w:szCs w:val="22"/>
                <w:lang w:val="pt-BR"/>
              </w:rPr>
            </w:pPr>
            <w:r w:rsidRPr="00D06AD7">
              <w:rPr>
                <w:rFonts w:ascii="Arial Narrow" w:eastAsia="Arial" w:hAnsi="Arial Narrow" w:cs="Arial"/>
                <w:sz w:val="22"/>
                <w:szCs w:val="22"/>
                <w:lang w:val="pt-BR"/>
              </w:rPr>
              <w:t>INSTITUTO NACIONAL DE VIAS                                   NIT 800.215.807-2</w:t>
            </w:r>
          </w:p>
        </w:tc>
      </w:tr>
      <w:tr w:rsidR="000D6AEF" w:rsidRPr="00D06AD7" w14:paraId="73D78828"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EB0E5D"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692ABD9"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La sanción derivada del incumplimiento del ofrecimiento en los eventos señalados en el artículo 2.2.1.2.3.1.6 del Decreto 1082 de 2015.</w:t>
            </w:r>
          </w:p>
        </w:tc>
      </w:tr>
      <w:tr w:rsidR="000D6AEF" w:rsidRPr="00D06AD7" w14:paraId="545A361B"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E8F6F20"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FA6FD8F"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 xml:space="preserve">3 meses contados a partir de la fecha de cierre del Proceso de Contratación. </w:t>
            </w:r>
          </w:p>
        </w:tc>
      </w:tr>
      <w:tr w:rsidR="000D6AEF" w:rsidRPr="00D06AD7" w14:paraId="0AB63DF2" w14:textId="77777777" w:rsidTr="00823C8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3DA9DE0"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4E75BB7" w14:textId="066ADB35"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Diez por ciento (10 %) del presupuesto oficial del Proceso de Contratación</w:t>
            </w:r>
          </w:p>
        </w:tc>
      </w:tr>
      <w:tr w:rsidR="000D6AEF" w:rsidRPr="00D06AD7" w14:paraId="2ABD7985" w14:textId="77777777" w:rsidTr="00823C8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C7324D0" w14:textId="77777777" w:rsidR="000D6AEF" w:rsidRPr="00D06AD7" w:rsidRDefault="000D6AEF" w:rsidP="00823C83">
            <w:pPr>
              <w:rPr>
                <w:rFonts w:ascii="Arial Narrow" w:eastAsia="Arial" w:hAnsi="Arial Narrow" w:cs="Arial"/>
                <w:sz w:val="22"/>
                <w:szCs w:val="22"/>
              </w:rPr>
            </w:pPr>
            <w:r w:rsidRPr="00D06AD7">
              <w:rPr>
                <w:rFonts w:ascii="Arial Narrow" w:eastAsia="Arial" w:hAnsi="Arial Narrow" w:cs="Arial"/>
                <w:sz w:val="22"/>
                <w:szCs w:val="22"/>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858065F" w14:textId="77777777" w:rsidR="000D6AEF" w:rsidRPr="00D06AD7" w:rsidRDefault="000D6AEF" w:rsidP="00EC17FC">
            <w:pPr>
              <w:pStyle w:val="Prrafodelista"/>
              <w:numPr>
                <w:ilvl w:val="0"/>
                <w:numId w:val="17"/>
              </w:numPr>
              <w:contextualSpacing/>
              <w:jc w:val="both"/>
              <w:rPr>
                <w:rFonts w:ascii="Arial Narrow" w:eastAsia="Arial" w:hAnsi="Arial Narrow" w:cs="Arial"/>
                <w:sz w:val="22"/>
                <w:szCs w:val="22"/>
              </w:rPr>
            </w:pPr>
            <w:r w:rsidRPr="00D06AD7">
              <w:rPr>
                <w:rFonts w:ascii="Arial Narrow" w:eastAsia="Arial" w:hAnsi="Arial Narrow" w:cs="Arial"/>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3F936F1" w14:textId="77777777" w:rsidR="000D6AEF" w:rsidRPr="00D06AD7" w:rsidRDefault="000D6AEF" w:rsidP="00EC17FC">
            <w:pPr>
              <w:pStyle w:val="Prrafodelista"/>
              <w:numPr>
                <w:ilvl w:val="0"/>
                <w:numId w:val="17"/>
              </w:numPr>
              <w:contextualSpacing/>
              <w:jc w:val="both"/>
              <w:rPr>
                <w:rFonts w:ascii="Arial Narrow" w:eastAsia="Arial" w:hAnsi="Arial Narrow" w:cs="Arial"/>
                <w:sz w:val="22"/>
                <w:szCs w:val="22"/>
                <w:lang w:val="es-ES"/>
              </w:rPr>
            </w:pPr>
            <w:r w:rsidRPr="00D06AD7">
              <w:rPr>
                <w:rFonts w:ascii="Arial Narrow" w:eastAsia="Arial" w:hAnsi="Arial Narrow" w:cs="Arial"/>
                <w:sz w:val="22"/>
                <w:szCs w:val="22"/>
                <w:lang w:val="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41EB9F1C" w14:textId="77777777" w:rsidR="000D6AEF" w:rsidRPr="00D06AD7" w:rsidRDefault="000D6AEF" w:rsidP="000D6AEF">
      <w:pPr>
        <w:ind w:right="-1"/>
        <w:jc w:val="both"/>
        <w:rPr>
          <w:rFonts w:ascii="Arial Narrow" w:hAnsi="Arial Narrow" w:cs="Arial"/>
          <w:sz w:val="22"/>
          <w:szCs w:val="22"/>
        </w:rPr>
      </w:pPr>
    </w:p>
    <w:p w14:paraId="0743CD11" w14:textId="77777777" w:rsidR="000D6AEF" w:rsidRPr="00D06AD7" w:rsidRDefault="000D6AEF" w:rsidP="000D6AEF">
      <w:pPr>
        <w:rPr>
          <w:rFonts w:ascii="Arial Narrow" w:hAnsi="Arial Narrow"/>
          <w:sz w:val="22"/>
          <w:szCs w:val="22"/>
        </w:rPr>
      </w:pPr>
      <w:r w:rsidRPr="00D06AD7">
        <w:rPr>
          <w:rFonts w:ascii="Arial Narrow" w:hAnsi="Arial Narrow"/>
          <w:sz w:val="22"/>
          <w:szCs w:val="22"/>
        </w:rPr>
        <w:t xml:space="preserve">Si en desarrollo del </w:t>
      </w:r>
      <w:r w:rsidRPr="00D06AD7">
        <w:rPr>
          <w:rFonts w:ascii="Arial Narrow" w:eastAsia="Arial" w:hAnsi="Arial Narrow" w:cs="Arial"/>
          <w:sz w:val="22"/>
          <w:szCs w:val="22"/>
        </w:rPr>
        <w:t>Proceso de Contratación</w:t>
      </w:r>
      <w:r w:rsidRPr="00D06AD7">
        <w:rPr>
          <w:rFonts w:ascii="Arial Narrow" w:hAnsi="Arial Narrow"/>
          <w:sz w:val="22"/>
          <w:szCs w:val="22"/>
        </w:rPr>
        <w:t xml:space="preserve"> se modifica el Cronograma, el Proponente deberá ampliar la vigencia de la Garantía de seriedad de la oferta hasta tanto no se haya perfeccionado y cumplido los requisitos de ejecución del respectivo Contrato.</w:t>
      </w:r>
    </w:p>
    <w:p w14:paraId="4F1EBB20" w14:textId="77777777" w:rsidR="000D6AEF" w:rsidRPr="00D06AD7" w:rsidRDefault="000D6AEF" w:rsidP="000D6AEF">
      <w:pPr>
        <w:rPr>
          <w:rFonts w:ascii="Arial Narrow" w:hAnsi="Arial Narrow"/>
          <w:sz w:val="22"/>
          <w:szCs w:val="22"/>
        </w:rPr>
      </w:pPr>
    </w:p>
    <w:p w14:paraId="68FD8C12" w14:textId="77777777" w:rsidR="000D6AEF" w:rsidRPr="00D06AD7" w:rsidRDefault="000D6AEF" w:rsidP="000D6AEF">
      <w:pPr>
        <w:rPr>
          <w:rFonts w:ascii="Arial Narrow" w:hAnsi="Arial Narrow"/>
          <w:sz w:val="22"/>
          <w:szCs w:val="22"/>
        </w:rPr>
      </w:pPr>
      <w:r w:rsidRPr="00D06AD7">
        <w:rPr>
          <w:rFonts w:ascii="Arial Narrow" w:hAnsi="Arial Narrow"/>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1F37963" w14:textId="77777777" w:rsidR="000D6AEF" w:rsidRPr="00D06AD7" w:rsidRDefault="000D6AEF" w:rsidP="000D6AEF">
      <w:pPr>
        <w:ind w:right="-1"/>
        <w:jc w:val="both"/>
        <w:rPr>
          <w:rFonts w:ascii="Arial Narrow" w:hAnsi="Arial Narrow" w:cs="Arial"/>
          <w:sz w:val="22"/>
          <w:szCs w:val="22"/>
        </w:rPr>
      </w:pPr>
    </w:p>
    <w:p w14:paraId="5484A58D" w14:textId="77777777" w:rsidR="000D6AEF" w:rsidRPr="00D06AD7" w:rsidRDefault="000D6AEF" w:rsidP="000D6AEF">
      <w:pPr>
        <w:autoSpaceDE w:val="0"/>
        <w:autoSpaceDN w:val="0"/>
        <w:adjustRightInd w:val="0"/>
        <w:jc w:val="both"/>
        <w:rPr>
          <w:rFonts w:ascii="Arial Narrow" w:hAnsi="Arial Narrow"/>
          <w:b/>
          <w:bCs/>
          <w:sz w:val="22"/>
          <w:szCs w:val="22"/>
          <w:lang w:val="x-none"/>
        </w:rPr>
      </w:pPr>
      <w:r w:rsidRPr="00D06AD7">
        <w:rPr>
          <w:rFonts w:ascii="Arial Narrow" w:hAnsi="Arial Narrow"/>
          <w:b/>
          <w:bCs/>
          <w:sz w:val="22"/>
          <w:szCs w:val="22"/>
        </w:rPr>
        <w:t xml:space="preserve">NOTA: La no presentación de la garantía de seriedad de la oferta no será subsanable; En caso de no allegar la garantía de seriedad de la oferta en el cierre del presente proceso de selección, </w:t>
      </w:r>
      <w:r w:rsidRPr="00D06AD7">
        <w:rPr>
          <w:rFonts w:ascii="Arial Narrow" w:hAnsi="Arial Narrow"/>
          <w:b/>
          <w:bCs/>
          <w:sz w:val="22"/>
          <w:szCs w:val="22"/>
          <w:lang w:val="x-none"/>
        </w:rPr>
        <w:t>la Oferta será RECHAZADA.</w:t>
      </w:r>
      <w:r w:rsidRPr="00D06AD7">
        <w:rPr>
          <w:rFonts w:ascii="Arial Narrow" w:hAnsi="Arial Narrow"/>
          <w:b/>
          <w:bCs/>
          <w:sz w:val="22"/>
          <w:szCs w:val="22"/>
          <w:vertAlign w:val="superscript"/>
          <w:lang w:val="x-none"/>
        </w:rPr>
        <w:footnoteReference w:id="1"/>
      </w:r>
    </w:p>
    <w:p w14:paraId="41AD7FD9" w14:textId="77777777" w:rsidR="000D6AEF" w:rsidRPr="00D06AD7" w:rsidRDefault="000D6AEF" w:rsidP="000D6AEF">
      <w:pPr>
        <w:pStyle w:val="Textoindependiente"/>
        <w:ind w:right="54"/>
        <w:rPr>
          <w:rFonts w:ascii="Arial Narrow" w:hAnsi="Arial Narrow" w:cs="Arial"/>
          <w:sz w:val="22"/>
          <w:szCs w:val="22"/>
          <w:lang w:val="x-none" w:eastAsia="es-CO"/>
        </w:rPr>
      </w:pPr>
    </w:p>
    <w:p w14:paraId="0430FA17" w14:textId="77777777" w:rsidR="008220AB" w:rsidRPr="00D06AD7" w:rsidRDefault="008220AB" w:rsidP="008220AB">
      <w:pPr>
        <w:rPr>
          <w:rFonts w:ascii="Arial Narrow" w:hAnsi="Arial Narrow" w:cs="Arial"/>
          <w:sz w:val="22"/>
          <w:szCs w:val="22"/>
        </w:rPr>
      </w:pPr>
      <w:bookmarkStart w:id="117" w:name="_Toc63087957"/>
      <w:bookmarkStart w:id="118" w:name="_Toc63090489"/>
      <w:bookmarkStart w:id="119" w:name="_Toc64969425"/>
      <w:bookmarkStart w:id="120" w:name="_Toc64988376"/>
      <w:bookmarkStart w:id="121" w:name="_Toc63087958"/>
      <w:bookmarkStart w:id="122" w:name="_Toc63090490"/>
      <w:bookmarkStart w:id="123" w:name="_Toc64969426"/>
      <w:bookmarkStart w:id="124" w:name="_Toc64988377"/>
      <w:bookmarkEnd w:id="117"/>
      <w:bookmarkEnd w:id="118"/>
      <w:bookmarkEnd w:id="119"/>
      <w:bookmarkEnd w:id="120"/>
      <w:bookmarkEnd w:id="121"/>
      <w:bookmarkEnd w:id="122"/>
      <w:bookmarkEnd w:id="123"/>
      <w:bookmarkEnd w:id="124"/>
    </w:p>
    <w:p w14:paraId="2A9C5FB6" w14:textId="77777777" w:rsidR="00AC0A52" w:rsidRDefault="00AC0A52" w:rsidP="008220AB">
      <w:pPr>
        <w:pStyle w:val="Default"/>
        <w:widowControl w:val="0"/>
        <w:jc w:val="center"/>
        <w:rPr>
          <w:rFonts w:ascii="Arial Narrow" w:hAnsi="Arial Narrow"/>
          <w:b/>
          <w:color w:val="auto"/>
          <w:sz w:val="22"/>
          <w:szCs w:val="22"/>
          <w:lang w:val="es-ES" w:eastAsia="es-ES"/>
        </w:rPr>
      </w:pPr>
    </w:p>
    <w:p w14:paraId="0EEB1989" w14:textId="77777777" w:rsidR="008220AB" w:rsidRPr="00D06AD7" w:rsidRDefault="008220AB" w:rsidP="00CD22A9">
      <w:pPr>
        <w:pStyle w:val="Default"/>
        <w:widowControl w:val="0"/>
        <w:rPr>
          <w:rFonts w:ascii="Arial Narrow" w:hAnsi="Arial Narrow"/>
          <w:b/>
          <w:bCs/>
          <w:sz w:val="22"/>
          <w:szCs w:val="22"/>
        </w:rPr>
      </w:pPr>
    </w:p>
    <w:p w14:paraId="40A3526F" w14:textId="72A03F5C" w:rsidR="000D6AEF" w:rsidRPr="00D06AD7" w:rsidRDefault="00AC0A52" w:rsidP="000D6AEF">
      <w:pPr>
        <w:pStyle w:val="Captulo7"/>
        <w:numPr>
          <w:ilvl w:val="0"/>
          <w:numId w:val="0"/>
        </w:numPr>
        <w:ind w:left="360" w:hanging="360"/>
        <w:jc w:val="both"/>
        <w:outlineLvl w:val="1"/>
        <w:rPr>
          <w:rFonts w:ascii="Arial Narrow" w:eastAsia="Times New Roman" w:hAnsi="Arial Narrow"/>
          <w:bCs w:val="0"/>
          <w:color w:val="auto"/>
          <w:sz w:val="22"/>
          <w:szCs w:val="22"/>
        </w:rPr>
      </w:pPr>
      <w:r>
        <w:rPr>
          <w:rFonts w:ascii="Arial Narrow" w:hAnsi="Arial Narrow"/>
          <w:sz w:val="22"/>
          <w:szCs w:val="22"/>
        </w:rPr>
        <w:t xml:space="preserve">13.2 </w:t>
      </w:r>
      <w:bookmarkStart w:id="125" w:name="_Toc117067878"/>
      <w:r w:rsidR="000D6AEF" w:rsidRPr="00D06AD7">
        <w:rPr>
          <w:rFonts w:ascii="Arial Narrow" w:eastAsia="Times New Roman" w:hAnsi="Arial Narrow"/>
          <w:bCs w:val="0"/>
          <w:color w:val="auto"/>
          <w:sz w:val="22"/>
          <w:szCs w:val="22"/>
        </w:rPr>
        <w:t>GARANTÍA DE CUMPLIMIENTO</w:t>
      </w:r>
      <w:bookmarkEnd w:id="125"/>
    </w:p>
    <w:p w14:paraId="549E4484"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sz w:val="22"/>
          <w:szCs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56B74DC6" w14:textId="77777777" w:rsidR="000D6AEF" w:rsidRPr="00D06AD7" w:rsidRDefault="000D6AEF" w:rsidP="000D6AEF">
      <w:pPr>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1749"/>
        <w:gridCol w:w="7739"/>
      </w:tblGrid>
      <w:tr w:rsidR="000D6AEF" w:rsidRPr="00D06AD7" w14:paraId="1C33FADF" w14:textId="77777777" w:rsidTr="00823C8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2F8C41"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lastRenderedPageBreak/>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2485F6"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Condición</w:t>
            </w:r>
          </w:p>
        </w:tc>
      </w:tr>
      <w:tr w:rsidR="000D6AEF" w:rsidRPr="00D06AD7" w14:paraId="7E3A088A" w14:textId="77777777" w:rsidTr="00823C8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C01F3"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0537EF3"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Cualquiera de las clases permitidas por el artículo 2.2.1.2.3.1.2 del Decreto 1082 de 2015, a saber: (i) Contrato de seguro contenido en una póliza para Entidades Estatales, (ii) patrimonio autónomo o (iii) Garantía bancaria.</w:t>
            </w:r>
          </w:p>
        </w:tc>
      </w:tr>
      <w:tr w:rsidR="000D6AEF" w:rsidRPr="00D06AD7" w14:paraId="1EB129CD" w14:textId="77777777" w:rsidTr="00823C8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66954A"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79F4CC"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Instituto Nacional de Vías - INVIAS identificada con NIT 800.215.807 -2</w:t>
            </w:r>
          </w:p>
        </w:tc>
      </w:tr>
      <w:tr w:rsidR="000D6AEF" w:rsidRPr="00D06AD7" w14:paraId="27219908" w14:textId="77777777" w:rsidTr="00823C8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D6256"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D22DF1" w14:textId="77777777" w:rsidR="000D6AEF" w:rsidRPr="00D06AD7" w:rsidRDefault="000D6AEF" w:rsidP="00823C83">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958"/>
              <w:gridCol w:w="1910"/>
              <w:gridCol w:w="2063"/>
            </w:tblGrid>
            <w:tr w:rsidR="000D6AEF" w:rsidRPr="00D06AD7" w14:paraId="5448FC43" w14:textId="77777777" w:rsidTr="00823C83">
              <w:tc>
                <w:tcPr>
                  <w:tcW w:w="2958"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3F39794D"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Amparo</w:t>
                  </w:r>
                </w:p>
              </w:tc>
              <w:tc>
                <w:tcPr>
                  <w:tcW w:w="1910"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1AEF5764"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Vigencia</w:t>
                  </w:r>
                </w:p>
              </w:tc>
              <w:tc>
                <w:tcPr>
                  <w:tcW w:w="2063"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6AF857B0"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Valor Asegurado</w:t>
                  </w:r>
                </w:p>
              </w:tc>
            </w:tr>
            <w:tr w:rsidR="000D6AEF" w:rsidRPr="00D06AD7" w14:paraId="1F155F8A" w14:textId="77777777" w:rsidTr="00823C83">
              <w:tc>
                <w:tcPr>
                  <w:tcW w:w="2958" w:type="dxa"/>
                  <w:tcBorders>
                    <w:top w:val="single" w:sz="8" w:space="0" w:color="auto"/>
                    <w:left w:val="single" w:sz="8" w:space="0" w:color="auto"/>
                    <w:bottom w:val="single" w:sz="8" w:space="0" w:color="auto"/>
                    <w:right w:val="single" w:sz="8" w:space="0" w:color="auto"/>
                  </w:tcBorders>
                  <w:vAlign w:val="center"/>
                </w:tcPr>
                <w:p w14:paraId="0F0283F7"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Cumplimiento general del Contrato y el pago de las multas y la cláusula penal pecuniaria que se le impongan</w:t>
                  </w:r>
                </w:p>
              </w:tc>
              <w:tc>
                <w:tcPr>
                  <w:tcW w:w="1910" w:type="dxa"/>
                  <w:tcBorders>
                    <w:top w:val="single" w:sz="8" w:space="0" w:color="auto"/>
                    <w:left w:val="single" w:sz="8" w:space="0" w:color="auto"/>
                    <w:bottom w:val="single" w:sz="8" w:space="0" w:color="auto"/>
                    <w:right w:val="single" w:sz="8" w:space="0" w:color="auto"/>
                  </w:tcBorders>
                </w:tcPr>
                <w:p w14:paraId="6E8D443D"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Hasta la liquidación del Contrato</w:t>
                  </w:r>
                </w:p>
              </w:tc>
              <w:tc>
                <w:tcPr>
                  <w:tcW w:w="2063" w:type="dxa"/>
                  <w:tcBorders>
                    <w:top w:val="single" w:sz="8" w:space="0" w:color="auto"/>
                    <w:left w:val="single" w:sz="8" w:space="0" w:color="auto"/>
                    <w:bottom w:val="single" w:sz="8" w:space="0" w:color="auto"/>
                    <w:right w:val="single" w:sz="8" w:space="0" w:color="auto"/>
                  </w:tcBorders>
                </w:tcPr>
                <w:p w14:paraId="0D7A121B" w14:textId="3683119E" w:rsidR="000D6AEF" w:rsidRPr="00D06AD7" w:rsidRDefault="000D6AEF" w:rsidP="007D2489">
                  <w:pPr>
                    <w:jc w:val="both"/>
                    <w:rPr>
                      <w:rFonts w:ascii="Arial Narrow" w:hAnsi="Arial Narrow" w:cs="Arial"/>
                      <w:sz w:val="22"/>
                      <w:szCs w:val="22"/>
                    </w:rPr>
                  </w:pPr>
                  <w:r w:rsidRPr="00D06AD7">
                    <w:rPr>
                      <w:rFonts w:ascii="Arial Narrow" w:hAnsi="Arial Narrow" w:cs="Arial"/>
                      <w:sz w:val="22"/>
                      <w:szCs w:val="22"/>
                    </w:rPr>
                    <w:t>Diez por ciento [(10%) del</w:t>
                  </w:r>
                  <w:r w:rsidR="007D2489">
                    <w:rPr>
                      <w:rFonts w:ascii="Arial Narrow" w:hAnsi="Arial Narrow" w:cs="Arial"/>
                      <w:sz w:val="22"/>
                      <w:szCs w:val="22"/>
                    </w:rPr>
                    <w:t xml:space="preserve"> </w:t>
                  </w:r>
                  <w:r w:rsidRPr="00D06AD7">
                    <w:rPr>
                      <w:rFonts w:ascii="Arial Narrow" w:hAnsi="Arial Narrow" w:cs="Arial"/>
                      <w:sz w:val="22"/>
                      <w:szCs w:val="22"/>
                    </w:rPr>
                    <w:t>valor total del contrato</w:t>
                  </w:r>
                </w:p>
              </w:tc>
            </w:tr>
            <w:tr w:rsidR="000D6AEF" w:rsidRPr="00D06AD7" w14:paraId="3F55B12A" w14:textId="77777777" w:rsidTr="00823C83">
              <w:tc>
                <w:tcPr>
                  <w:tcW w:w="2958" w:type="dxa"/>
                  <w:tcBorders>
                    <w:top w:val="single" w:sz="8" w:space="0" w:color="auto"/>
                    <w:left w:val="single" w:sz="8" w:space="0" w:color="auto"/>
                    <w:bottom w:val="single" w:sz="8" w:space="0" w:color="auto"/>
                    <w:right w:val="single" w:sz="8" w:space="0" w:color="auto"/>
                  </w:tcBorders>
                  <w:vAlign w:val="center"/>
                </w:tcPr>
                <w:p w14:paraId="78B8D823"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Pago de salarios, prestaciones sociales legales e indemnizaciones laborales del personal que el contratista haya de utilizar en el territorio nacional para la ejecución del Contrato</w:t>
                  </w:r>
                </w:p>
              </w:tc>
              <w:tc>
                <w:tcPr>
                  <w:tcW w:w="1910" w:type="dxa"/>
                  <w:tcBorders>
                    <w:top w:val="single" w:sz="8" w:space="0" w:color="auto"/>
                    <w:left w:val="single" w:sz="8" w:space="0" w:color="auto"/>
                    <w:bottom w:val="single" w:sz="8" w:space="0" w:color="auto"/>
                    <w:right w:val="single" w:sz="8" w:space="0" w:color="auto"/>
                  </w:tcBorders>
                </w:tcPr>
                <w:p w14:paraId="6648A5C2"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Plazo del Contrato y tres (3) años más.</w:t>
                  </w:r>
                </w:p>
              </w:tc>
              <w:tc>
                <w:tcPr>
                  <w:tcW w:w="2063" w:type="dxa"/>
                  <w:tcBorders>
                    <w:top w:val="single" w:sz="8" w:space="0" w:color="auto"/>
                    <w:left w:val="single" w:sz="8" w:space="0" w:color="auto"/>
                    <w:bottom w:val="single" w:sz="8" w:space="0" w:color="auto"/>
                    <w:right w:val="single" w:sz="8" w:space="0" w:color="auto"/>
                  </w:tcBorders>
                </w:tcPr>
                <w:p w14:paraId="0C0BE4D0"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Cinco por ciento (5%) del valor total del contrato</w:t>
                  </w:r>
                </w:p>
              </w:tc>
            </w:tr>
            <w:tr w:rsidR="000D6AEF" w:rsidRPr="00D06AD7" w14:paraId="73D4E05C" w14:textId="77777777" w:rsidTr="00823C83">
              <w:tc>
                <w:tcPr>
                  <w:tcW w:w="2958" w:type="dxa"/>
                  <w:tcBorders>
                    <w:top w:val="single" w:sz="8" w:space="0" w:color="auto"/>
                    <w:left w:val="single" w:sz="8" w:space="0" w:color="auto"/>
                    <w:bottom w:val="single" w:sz="8" w:space="0" w:color="auto"/>
                    <w:right w:val="single" w:sz="8" w:space="0" w:color="auto"/>
                  </w:tcBorders>
                  <w:vAlign w:val="center"/>
                </w:tcPr>
                <w:p w14:paraId="557A7B89"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Calidad del Servicio por los perjuicios derivados de la deficiente calidad del servicio prestado.</w:t>
                  </w:r>
                </w:p>
              </w:tc>
              <w:tc>
                <w:tcPr>
                  <w:tcW w:w="1910" w:type="dxa"/>
                  <w:tcBorders>
                    <w:top w:val="single" w:sz="8" w:space="0" w:color="auto"/>
                    <w:left w:val="single" w:sz="8" w:space="0" w:color="auto"/>
                    <w:bottom w:val="single" w:sz="8" w:space="0" w:color="auto"/>
                    <w:right w:val="single" w:sz="8" w:space="0" w:color="auto"/>
                  </w:tcBorders>
                </w:tcPr>
                <w:p w14:paraId="56E22A75"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Plazo tres (3) años a</w:t>
                  </w:r>
                </w:p>
                <w:p w14:paraId="3D83B5BA"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partir de la fecha del</w:t>
                  </w:r>
                </w:p>
                <w:p w14:paraId="00DF77A4"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acta de recibo definitivo</w:t>
                  </w:r>
                </w:p>
              </w:tc>
              <w:tc>
                <w:tcPr>
                  <w:tcW w:w="2063" w:type="dxa"/>
                  <w:tcBorders>
                    <w:top w:val="single" w:sz="8" w:space="0" w:color="auto"/>
                    <w:left w:val="single" w:sz="8" w:space="0" w:color="auto"/>
                    <w:bottom w:val="single" w:sz="8" w:space="0" w:color="auto"/>
                    <w:right w:val="single" w:sz="8" w:space="0" w:color="auto"/>
                  </w:tcBorders>
                </w:tcPr>
                <w:p w14:paraId="17FD849B"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Treinta por ciento 30% del valor total del contrato.</w:t>
                  </w:r>
                </w:p>
              </w:tc>
            </w:tr>
          </w:tbl>
          <w:p w14:paraId="48B01BA6" w14:textId="77777777" w:rsidR="000D6AEF" w:rsidRPr="00D06AD7" w:rsidRDefault="000D6AEF" w:rsidP="00823C83">
            <w:pPr>
              <w:jc w:val="both"/>
              <w:rPr>
                <w:rFonts w:ascii="Arial Narrow" w:hAnsi="Arial Narrow" w:cs="Arial"/>
                <w:sz w:val="22"/>
                <w:szCs w:val="22"/>
              </w:rPr>
            </w:pPr>
          </w:p>
        </w:tc>
      </w:tr>
      <w:tr w:rsidR="000D6AEF" w:rsidRPr="00D06AD7" w14:paraId="48F4806C" w14:textId="77777777" w:rsidTr="00823C8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F886B2"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F543CBF"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AB3C4F"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3D358322"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D6AEF" w:rsidRPr="00D06AD7" w14:paraId="0D256BF6" w14:textId="77777777" w:rsidTr="00823C8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EF9D9A" w14:textId="77777777" w:rsidR="000D6AEF" w:rsidRPr="00D06AD7" w:rsidRDefault="000D6AEF" w:rsidP="00823C83">
            <w:pPr>
              <w:jc w:val="both"/>
              <w:rPr>
                <w:rFonts w:ascii="Arial Narrow" w:hAnsi="Arial Narrow" w:cs="Arial"/>
                <w:sz w:val="22"/>
                <w:szCs w:val="22"/>
              </w:rPr>
            </w:pPr>
            <w:r w:rsidRPr="00D06AD7">
              <w:rPr>
                <w:rFonts w:ascii="Arial Narrow" w:hAnsi="Arial Narrow" w:cs="Arial"/>
                <w:sz w:val="22"/>
                <w:szCs w:val="22"/>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17E0C24"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 xml:space="preserve">Número y año del Contrato </w:t>
            </w:r>
          </w:p>
          <w:p w14:paraId="2BA489D6"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Objeto del Contrato</w:t>
            </w:r>
          </w:p>
          <w:p w14:paraId="62489887"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Firma del representante legal del Contratista</w:t>
            </w:r>
          </w:p>
          <w:p w14:paraId="16105F51" w14:textId="77777777" w:rsidR="000D6AEF" w:rsidRPr="00D06AD7" w:rsidRDefault="000D6AEF" w:rsidP="00EC17FC">
            <w:pPr>
              <w:numPr>
                <w:ilvl w:val="0"/>
                <w:numId w:val="16"/>
              </w:numPr>
              <w:jc w:val="both"/>
              <w:rPr>
                <w:rFonts w:ascii="Arial Narrow" w:hAnsi="Arial Narrow" w:cs="Arial"/>
                <w:sz w:val="22"/>
                <w:szCs w:val="22"/>
              </w:rPr>
            </w:pPr>
            <w:r w:rsidRPr="00D06AD7">
              <w:rPr>
                <w:rFonts w:ascii="Arial Narrow" w:hAnsi="Arial Narrow" w:cs="Arial"/>
                <w:sz w:val="22"/>
                <w:szCs w:val="22"/>
              </w:rPr>
              <w:t>En caso de no usar centavos, los valores deben aproximarse al mayor Ej. cumplimiento si el valor a asegurar es $14.980.420,20 aproximar a $14.980.421</w:t>
            </w:r>
          </w:p>
        </w:tc>
      </w:tr>
    </w:tbl>
    <w:p w14:paraId="6FAB856B" w14:textId="77777777" w:rsidR="000D6AEF" w:rsidRPr="00D06AD7" w:rsidRDefault="000D6AEF" w:rsidP="000D6AEF">
      <w:pPr>
        <w:jc w:val="both"/>
        <w:rPr>
          <w:rFonts w:ascii="Arial Narrow" w:hAnsi="Arial Narrow" w:cs="Arial"/>
          <w:sz w:val="22"/>
          <w:szCs w:val="22"/>
        </w:rPr>
      </w:pPr>
    </w:p>
    <w:p w14:paraId="222A5DE6"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E60F621" w14:textId="77777777" w:rsidR="000D6AEF" w:rsidRPr="00D06AD7" w:rsidRDefault="000D6AEF" w:rsidP="000D6AEF">
      <w:pPr>
        <w:jc w:val="both"/>
        <w:rPr>
          <w:rFonts w:ascii="Arial Narrow" w:hAnsi="Arial Narrow" w:cs="Arial"/>
          <w:sz w:val="22"/>
          <w:szCs w:val="22"/>
        </w:rPr>
      </w:pPr>
    </w:p>
    <w:p w14:paraId="7BA90581" w14:textId="77777777" w:rsidR="000D6AEF" w:rsidRPr="00D06AD7" w:rsidRDefault="000D6AEF" w:rsidP="000D6AEF">
      <w:pPr>
        <w:pStyle w:val="Captulo7"/>
        <w:numPr>
          <w:ilvl w:val="0"/>
          <w:numId w:val="0"/>
        </w:numPr>
        <w:ind w:left="360" w:hanging="360"/>
        <w:jc w:val="both"/>
        <w:outlineLvl w:val="1"/>
        <w:rPr>
          <w:rFonts w:ascii="Arial Narrow" w:eastAsia="Times New Roman" w:hAnsi="Arial Narrow"/>
          <w:bCs w:val="0"/>
          <w:color w:val="auto"/>
          <w:sz w:val="22"/>
          <w:szCs w:val="22"/>
        </w:rPr>
      </w:pPr>
      <w:bookmarkStart w:id="126" w:name="_Toc117067879"/>
      <w:r w:rsidRPr="00D06AD7">
        <w:rPr>
          <w:rFonts w:ascii="Arial Narrow" w:eastAsia="Times New Roman" w:hAnsi="Arial Narrow"/>
          <w:bCs w:val="0"/>
          <w:color w:val="auto"/>
          <w:sz w:val="22"/>
          <w:szCs w:val="22"/>
        </w:rPr>
        <w:t>DEL AMPARO DE CALIDAD DEL SERVICIO EN LA GARANTÍA ÚNICA DE CUMPLIMIENTO</w:t>
      </w:r>
      <w:bookmarkEnd w:id="126"/>
    </w:p>
    <w:p w14:paraId="1E452F6F"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sz w:val="22"/>
          <w:szCs w:val="22"/>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5F397BAE" w14:textId="77777777" w:rsidR="000D6AEF" w:rsidRPr="00D06AD7" w:rsidRDefault="000D6AEF" w:rsidP="000D6AEF">
      <w:pPr>
        <w:jc w:val="both"/>
        <w:rPr>
          <w:rFonts w:ascii="Arial Narrow" w:hAnsi="Arial Narrow" w:cs="Arial"/>
          <w:sz w:val="22"/>
          <w:szCs w:val="22"/>
        </w:rPr>
      </w:pPr>
    </w:p>
    <w:p w14:paraId="3B4AB18E" w14:textId="7F27C804" w:rsidR="000D6AEF" w:rsidRPr="00D06AD7" w:rsidRDefault="000D596B" w:rsidP="000D6AEF">
      <w:pPr>
        <w:pStyle w:val="Captulo7"/>
        <w:numPr>
          <w:ilvl w:val="0"/>
          <w:numId w:val="0"/>
        </w:numPr>
        <w:ind w:left="360" w:hanging="360"/>
        <w:jc w:val="both"/>
        <w:outlineLvl w:val="1"/>
        <w:rPr>
          <w:rFonts w:ascii="Arial Narrow" w:eastAsia="Times New Roman" w:hAnsi="Arial Narrow"/>
          <w:bCs w:val="0"/>
          <w:color w:val="auto"/>
          <w:sz w:val="22"/>
          <w:szCs w:val="22"/>
        </w:rPr>
      </w:pPr>
      <w:r>
        <w:rPr>
          <w:rFonts w:ascii="Arial Narrow" w:eastAsia="Times New Roman" w:hAnsi="Arial Narrow"/>
          <w:bCs w:val="0"/>
          <w:color w:val="auto"/>
          <w:sz w:val="22"/>
          <w:szCs w:val="22"/>
        </w:rPr>
        <w:t xml:space="preserve">13.3 </w:t>
      </w:r>
      <w:r w:rsidR="000D6AEF" w:rsidRPr="00D06AD7">
        <w:rPr>
          <w:rFonts w:ascii="Arial Narrow" w:eastAsia="Times New Roman" w:hAnsi="Arial Narrow"/>
          <w:bCs w:val="0"/>
          <w:color w:val="auto"/>
          <w:sz w:val="22"/>
          <w:szCs w:val="22"/>
        </w:rPr>
        <w:t>GARANTÍA DE RESPONSABILIDAD CIVIL EXTRACONTRACTUAL</w:t>
      </w:r>
    </w:p>
    <w:p w14:paraId="3B8A6B47" w14:textId="77777777" w:rsidR="000D6AEF" w:rsidRPr="00D06AD7" w:rsidRDefault="000D6AEF" w:rsidP="000D6AEF">
      <w:pPr>
        <w:pStyle w:val="Textoindependiente"/>
        <w:spacing w:before="3"/>
        <w:rPr>
          <w:rFonts w:ascii="Arial Narrow" w:hAnsi="Arial Narrow" w:cs="Arial"/>
          <w:sz w:val="22"/>
          <w:szCs w:val="22"/>
          <w:lang w:eastAsia="es-CO"/>
        </w:rPr>
      </w:pPr>
    </w:p>
    <w:p w14:paraId="484262B3" w14:textId="77777777" w:rsidR="000D6AEF" w:rsidRPr="00D06AD7" w:rsidRDefault="000D6AEF" w:rsidP="000D6AEF">
      <w:pPr>
        <w:jc w:val="both"/>
        <w:rPr>
          <w:rFonts w:ascii="Arial Narrow" w:hAnsi="Arial Narrow" w:cs="Arial"/>
          <w:sz w:val="22"/>
          <w:szCs w:val="22"/>
        </w:rPr>
      </w:pPr>
      <w:r w:rsidRPr="00D06AD7">
        <w:rPr>
          <w:rFonts w:ascii="Arial Narrow" w:hAnsi="Arial Narrow" w:cs="Arial"/>
          <w:sz w:val="22"/>
          <w:szCs w:val="22"/>
        </w:rPr>
        <w:t>El Contratista deberá contratar un seguro que ampare la Responsabilidad Civil Extracontractual de la Entidad con las siguientes características:</w:t>
      </w:r>
    </w:p>
    <w:p w14:paraId="35D15A0D" w14:textId="77777777" w:rsidR="000D6AEF" w:rsidRPr="00D06AD7" w:rsidRDefault="000D6AEF" w:rsidP="000D6AEF">
      <w:pPr>
        <w:pStyle w:val="Textoindependiente"/>
        <w:spacing w:before="7"/>
        <w:rPr>
          <w:rFonts w:ascii="Arial Narrow" w:hAnsi="Arial Narrow" w:cs="Arial"/>
          <w:sz w:val="22"/>
          <w:szCs w:val="22"/>
          <w:lang w:eastAsia="es-CO"/>
        </w:rPr>
      </w:pPr>
    </w:p>
    <w:tbl>
      <w:tblPr>
        <w:tblStyle w:val="TableNormal1"/>
        <w:tblW w:w="9907"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1"/>
        <w:gridCol w:w="8096"/>
      </w:tblGrid>
      <w:tr w:rsidR="000D6AEF" w:rsidRPr="00F858E5" w14:paraId="7FEB41D7" w14:textId="77777777" w:rsidTr="00F858E5">
        <w:trPr>
          <w:trHeight w:val="187"/>
        </w:trPr>
        <w:tc>
          <w:tcPr>
            <w:tcW w:w="1811" w:type="dxa"/>
            <w:shd w:val="clear" w:color="auto" w:fill="auto"/>
          </w:tcPr>
          <w:p w14:paraId="3B786337" w14:textId="77777777" w:rsidR="000D6AEF" w:rsidRPr="00F858E5" w:rsidRDefault="000D6AEF" w:rsidP="00823C83">
            <w:pPr>
              <w:jc w:val="both"/>
              <w:rPr>
                <w:rFonts w:ascii="Arial Narrow" w:hAnsi="Arial Narrow"/>
                <w:sz w:val="20"/>
                <w:szCs w:val="20"/>
                <w:lang w:val="es-CO" w:eastAsia="es-CO"/>
              </w:rPr>
            </w:pPr>
            <w:r w:rsidRPr="00F858E5">
              <w:rPr>
                <w:rFonts w:ascii="Arial Narrow" w:hAnsi="Arial Narrow"/>
                <w:sz w:val="20"/>
                <w:szCs w:val="20"/>
                <w:lang w:val="es-CO" w:eastAsia="es-CO"/>
              </w:rPr>
              <w:t>Característica</w:t>
            </w:r>
          </w:p>
        </w:tc>
        <w:tc>
          <w:tcPr>
            <w:tcW w:w="8096" w:type="dxa"/>
            <w:shd w:val="clear" w:color="auto" w:fill="auto"/>
          </w:tcPr>
          <w:p w14:paraId="1482FB31" w14:textId="77777777" w:rsidR="000D6AEF" w:rsidRPr="00F858E5" w:rsidRDefault="000D6AEF" w:rsidP="00823C83">
            <w:pPr>
              <w:jc w:val="both"/>
              <w:rPr>
                <w:rFonts w:ascii="Arial Narrow" w:hAnsi="Arial Narrow"/>
                <w:sz w:val="20"/>
                <w:szCs w:val="20"/>
                <w:lang w:val="es-CO" w:eastAsia="es-CO"/>
              </w:rPr>
            </w:pPr>
            <w:r w:rsidRPr="00F858E5">
              <w:rPr>
                <w:rFonts w:ascii="Arial Narrow" w:hAnsi="Arial Narrow"/>
                <w:sz w:val="20"/>
                <w:szCs w:val="20"/>
                <w:lang w:val="es-CO" w:eastAsia="es-CO"/>
              </w:rPr>
              <w:t>Condición</w:t>
            </w:r>
          </w:p>
        </w:tc>
      </w:tr>
      <w:tr w:rsidR="000D6AEF" w:rsidRPr="00F858E5" w14:paraId="44F05B69" w14:textId="77777777" w:rsidTr="00F858E5">
        <w:trPr>
          <w:trHeight w:val="475"/>
        </w:trPr>
        <w:tc>
          <w:tcPr>
            <w:tcW w:w="1811" w:type="dxa"/>
          </w:tcPr>
          <w:p w14:paraId="7F49DA66" w14:textId="77777777" w:rsidR="000D6AEF" w:rsidRPr="00F858E5" w:rsidRDefault="000D6AEF" w:rsidP="00823C83">
            <w:pPr>
              <w:pStyle w:val="TableParagraph"/>
              <w:spacing w:line="186" w:lineRule="exact"/>
              <w:ind w:left="371" w:right="360"/>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Clase</w:t>
            </w:r>
          </w:p>
        </w:tc>
        <w:tc>
          <w:tcPr>
            <w:tcW w:w="8096" w:type="dxa"/>
          </w:tcPr>
          <w:p w14:paraId="4F4C80A7" w14:textId="77777777" w:rsidR="000D6AEF" w:rsidRPr="00F858E5" w:rsidRDefault="000D6AEF" w:rsidP="00823C83">
            <w:pPr>
              <w:pStyle w:val="TableParagraph"/>
              <w:spacing w:line="186" w:lineRule="exact"/>
              <w:ind w:left="10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Contrato de seguro contenido en una póliza</w:t>
            </w:r>
          </w:p>
        </w:tc>
      </w:tr>
      <w:tr w:rsidR="000D6AEF" w:rsidRPr="00F858E5" w14:paraId="3D25605A" w14:textId="77777777" w:rsidTr="00F858E5">
        <w:trPr>
          <w:trHeight w:val="400"/>
        </w:trPr>
        <w:tc>
          <w:tcPr>
            <w:tcW w:w="1811" w:type="dxa"/>
          </w:tcPr>
          <w:p w14:paraId="53EFB5B1" w14:textId="77777777" w:rsidR="000D6AEF" w:rsidRPr="00F858E5" w:rsidRDefault="000D6AEF" w:rsidP="00823C83">
            <w:pPr>
              <w:pStyle w:val="TableParagraph"/>
              <w:spacing w:before="1" w:line="187" w:lineRule="exact"/>
              <w:ind w:left="370" w:right="361"/>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Asegurados</w:t>
            </w:r>
          </w:p>
        </w:tc>
        <w:tc>
          <w:tcPr>
            <w:tcW w:w="8096" w:type="dxa"/>
          </w:tcPr>
          <w:p w14:paraId="2E1A2C61" w14:textId="77777777" w:rsidR="000D6AEF" w:rsidRPr="00F858E5" w:rsidRDefault="000D6AEF" w:rsidP="00823C83">
            <w:pPr>
              <w:pStyle w:val="TableParagraph"/>
              <w:spacing w:before="1" w:line="187" w:lineRule="exact"/>
              <w:ind w:left="10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INSTITUTO NACIONAL DE VIAS identificado con NIT 800.215.807-2 y el Contratista</w:t>
            </w:r>
          </w:p>
        </w:tc>
      </w:tr>
      <w:tr w:rsidR="000D6AEF" w:rsidRPr="00F858E5" w14:paraId="4B18CF8D" w14:textId="77777777" w:rsidTr="00F858E5">
        <w:trPr>
          <w:trHeight w:val="2119"/>
        </w:trPr>
        <w:tc>
          <w:tcPr>
            <w:tcW w:w="1811" w:type="dxa"/>
          </w:tcPr>
          <w:p w14:paraId="5DEE31BD" w14:textId="77777777" w:rsidR="000D6AEF" w:rsidRPr="00F858E5" w:rsidRDefault="000D6AEF" w:rsidP="00823C83">
            <w:pPr>
              <w:pStyle w:val="TableParagraph"/>
              <w:jc w:val="both"/>
              <w:rPr>
                <w:rFonts w:ascii="Arial Narrow" w:eastAsia="Times New Roman" w:hAnsi="Arial Narrow" w:cs="Arial"/>
                <w:sz w:val="20"/>
                <w:szCs w:val="20"/>
                <w:lang w:val="es-CO" w:eastAsia="es-CO"/>
              </w:rPr>
            </w:pPr>
          </w:p>
          <w:p w14:paraId="15F6FFB9" w14:textId="77777777" w:rsidR="000D6AEF" w:rsidRPr="00F858E5" w:rsidRDefault="000D6AEF" w:rsidP="00823C83">
            <w:pPr>
              <w:pStyle w:val="TableParagraph"/>
              <w:jc w:val="both"/>
              <w:rPr>
                <w:rFonts w:ascii="Arial Narrow" w:eastAsia="Times New Roman" w:hAnsi="Arial Narrow" w:cs="Arial"/>
                <w:sz w:val="20"/>
                <w:szCs w:val="20"/>
                <w:lang w:val="es-CO" w:eastAsia="es-CO"/>
              </w:rPr>
            </w:pPr>
          </w:p>
          <w:p w14:paraId="3FBD0A70" w14:textId="77777777" w:rsidR="000D6AEF" w:rsidRPr="00F858E5" w:rsidRDefault="000D6AEF" w:rsidP="00823C83">
            <w:pPr>
              <w:pStyle w:val="TableParagraph"/>
              <w:jc w:val="both"/>
              <w:rPr>
                <w:rFonts w:ascii="Arial Narrow" w:eastAsia="Times New Roman" w:hAnsi="Arial Narrow" w:cs="Arial"/>
                <w:sz w:val="20"/>
                <w:szCs w:val="20"/>
                <w:lang w:val="es-CO" w:eastAsia="es-CO"/>
              </w:rPr>
            </w:pPr>
          </w:p>
          <w:p w14:paraId="5246474C" w14:textId="77777777" w:rsidR="000D6AEF" w:rsidRPr="00F858E5" w:rsidRDefault="000D6AEF" w:rsidP="00823C83">
            <w:pPr>
              <w:pStyle w:val="TableParagraph"/>
              <w:jc w:val="both"/>
              <w:rPr>
                <w:rFonts w:ascii="Arial Narrow" w:eastAsia="Times New Roman" w:hAnsi="Arial Narrow" w:cs="Arial"/>
                <w:sz w:val="20"/>
                <w:szCs w:val="20"/>
                <w:lang w:val="es-CO" w:eastAsia="es-CO"/>
              </w:rPr>
            </w:pPr>
          </w:p>
          <w:p w14:paraId="6D2A1BED" w14:textId="77777777" w:rsidR="000D6AEF" w:rsidRPr="00F858E5" w:rsidRDefault="000D6AEF" w:rsidP="00823C83">
            <w:pPr>
              <w:pStyle w:val="TableParagraph"/>
              <w:spacing w:before="133"/>
              <w:ind w:left="371" w:right="360"/>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Tomador</w:t>
            </w:r>
          </w:p>
        </w:tc>
        <w:tc>
          <w:tcPr>
            <w:tcW w:w="8096" w:type="dxa"/>
          </w:tcPr>
          <w:p w14:paraId="037E53D4" w14:textId="77777777" w:rsidR="000D6AEF" w:rsidRPr="00F858E5" w:rsidRDefault="000D6AEF" w:rsidP="00EC17FC">
            <w:pPr>
              <w:pStyle w:val="TableParagraph"/>
              <w:numPr>
                <w:ilvl w:val="0"/>
                <w:numId w:val="45"/>
              </w:numPr>
              <w:tabs>
                <w:tab w:val="left" w:pos="468"/>
              </w:tabs>
              <w:ind w:right="105"/>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062A1E4" w14:textId="77777777" w:rsidR="000D6AEF" w:rsidRPr="00F858E5" w:rsidRDefault="000D6AEF" w:rsidP="00EC17FC">
            <w:pPr>
              <w:pStyle w:val="TableParagraph"/>
              <w:numPr>
                <w:ilvl w:val="0"/>
                <w:numId w:val="45"/>
              </w:numPr>
              <w:tabs>
                <w:tab w:val="left" w:pos="468"/>
              </w:tabs>
              <w:ind w:right="103"/>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2E97250" w14:textId="77777777" w:rsidR="000D6AEF" w:rsidRPr="00F858E5" w:rsidRDefault="000D6AEF" w:rsidP="00EC17FC">
            <w:pPr>
              <w:pStyle w:val="TableParagraph"/>
              <w:numPr>
                <w:ilvl w:val="0"/>
                <w:numId w:val="45"/>
              </w:numPr>
              <w:tabs>
                <w:tab w:val="left" w:pos="468"/>
              </w:tabs>
              <w:ind w:right="9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w:t>
            </w:r>
          </w:p>
          <w:p w14:paraId="50D3094E" w14:textId="77777777" w:rsidR="000D6AEF" w:rsidRPr="00F858E5" w:rsidRDefault="000D6AEF" w:rsidP="00823C83">
            <w:pPr>
              <w:pStyle w:val="TableParagraph"/>
              <w:spacing w:line="186" w:lineRule="exact"/>
              <w:ind w:left="46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serán los otorgantes de la misma.</w:t>
            </w:r>
          </w:p>
        </w:tc>
      </w:tr>
      <w:tr w:rsidR="000D6AEF" w:rsidRPr="00F858E5" w14:paraId="5C89FCED" w14:textId="77777777" w:rsidTr="00F858E5">
        <w:trPr>
          <w:trHeight w:val="327"/>
        </w:trPr>
        <w:tc>
          <w:tcPr>
            <w:tcW w:w="1811" w:type="dxa"/>
          </w:tcPr>
          <w:p w14:paraId="11DF3961" w14:textId="77777777" w:rsidR="000D6AEF" w:rsidRPr="00F858E5" w:rsidRDefault="000D6AEF" w:rsidP="00823C83">
            <w:pPr>
              <w:pStyle w:val="TableParagraph"/>
              <w:spacing w:before="73"/>
              <w:ind w:left="370" w:right="361"/>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Valor</w:t>
            </w:r>
          </w:p>
        </w:tc>
        <w:tc>
          <w:tcPr>
            <w:tcW w:w="8096" w:type="dxa"/>
          </w:tcPr>
          <w:p w14:paraId="3BA8F9F5" w14:textId="77777777" w:rsidR="000D6AEF" w:rsidRPr="00F858E5" w:rsidRDefault="000D6AEF" w:rsidP="00823C83">
            <w:pPr>
              <w:pStyle w:val="TableParagraph"/>
              <w:spacing w:line="206" w:lineRule="exact"/>
              <w:ind w:left="10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Doscientos (200) SMMLV.</w:t>
            </w:r>
          </w:p>
        </w:tc>
      </w:tr>
      <w:tr w:rsidR="000D6AEF" w:rsidRPr="00F858E5" w14:paraId="61FED0B0" w14:textId="77777777" w:rsidTr="00F858E5">
        <w:trPr>
          <w:trHeight w:val="187"/>
        </w:trPr>
        <w:tc>
          <w:tcPr>
            <w:tcW w:w="1811" w:type="dxa"/>
          </w:tcPr>
          <w:p w14:paraId="34B8F088" w14:textId="77777777" w:rsidR="000D6AEF" w:rsidRPr="00F858E5" w:rsidRDefault="000D6AEF" w:rsidP="00823C83">
            <w:pPr>
              <w:pStyle w:val="TableParagraph"/>
              <w:spacing w:line="186" w:lineRule="exact"/>
              <w:ind w:left="371" w:right="360"/>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Vigencia</w:t>
            </w:r>
          </w:p>
        </w:tc>
        <w:tc>
          <w:tcPr>
            <w:tcW w:w="8096" w:type="dxa"/>
          </w:tcPr>
          <w:p w14:paraId="35F0627B" w14:textId="77777777" w:rsidR="000D6AEF" w:rsidRPr="00F858E5" w:rsidRDefault="000D6AEF" w:rsidP="00823C83">
            <w:pPr>
              <w:pStyle w:val="TableParagraph"/>
              <w:spacing w:line="186" w:lineRule="exact"/>
              <w:ind w:left="10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Igual al período de ejecución del contrato.</w:t>
            </w:r>
          </w:p>
        </w:tc>
      </w:tr>
      <w:tr w:rsidR="000D6AEF" w:rsidRPr="00F858E5" w14:paraId="4C9FC7F5" w14:textId="77777777" w:rsidTr="00F858E5">
        <w:trPr>
          <w:trHeight w:val="190"/>
        </w:trPr>
        <w:tc>
          <w:tcPr>
            <w:tcW w:w="1811" w:type="dxa"/>
          </w:tcPr>
          <w:p w14:paraId="0798DF23" w14:textId="77777777" w:rsidR="000D6AEF" w:rsidRPr="00F858E5" w:rsidRDefault="000D6AEF" w:rsidP="00823C83">
            <w:pPr>
              <w:pStyle w:val="TableParagraph"/>
              <w:spacing w:line="188" w:lineRule="exact"/>
              <w:ind w:left="368" w:right="361"/>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Beneficiarios</w:t>
            </w:r>
          </w:p>
        </w:tc>
        <w:tc>
          <w:tcPr>
            <w:tcW w:w="8096" w:type="dxa"/>
          </w:tcPr>
          <w:p w14:paraId="0EB4E41C" w14:textId="77777777" w:rsidR="000D6AEF" w:rsidRPr="00F858E5" w:rsidRDefault="000D6AEF" w:rsidP="00823C83">
            <w:pPr>
              <w:pStyle w:val="TableParagraph"/>
              <w:spacing w:line="188" w:lineRule="exact"/>
              <w:ind w:left="108"/>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Terceros afectados y el INSTITUTO NACIONAL DE VIAS identificada con NIT 800.215.807-2</w:t>
            </w:r>
          </w:p>
        </w:tc>
      </w:tr>
      <w:tr w:rsidR="000D6AEF" w:rsidRPr="00F858E5" w14:paraId="6C42D0FF" w14:textId="77777777" w:rsidTr="00F858E5">
        <w:trPr>
          <w:trHeight w:val="947"/>
        </w:trPr>
        <w:tc>
          <w:tcPr>
            <w:tcW w:w="1811" w:type="dxa"/>
          </w:tcPr>
          <w:p w14:paraId="28C6EE47" w14:textId="77777777" w:rsidR="000D6AEF" w:rsidRPr="00F858E5" w:rsidRDefault="000D6AEF" w:rsidP="00823C83">
            <w:pPr>
              <w:pStyle w:val="TableParagraph"/>
              <w:jc w:val="both"/>
              <w:rPr>
                <w:rFonts w:ascii="Arial Narrow" w:eastAsia="Times New Roman" w:hAnsi="Arial Narrow" w:cs="Arial"/>
                <w:sz w:val="20"/>
                <w:szCs w:val="20"/>
                <w:lang w:val="es-CO" w:eastAsia="es-CO"/>
              </w:rPr>
            </w:pPr>
          </w:p>
          <w:p w14:paraId="72AFDF53" w14:textId="77777777" w:rsidR="000D6AEF" w:rsidRPr="00F858E5" w:rsidRDefault="000D6AEF" w:rsidP="00823C83">
            <w:pPr>
              <w:pStyle w:val="TableParagraph"/>
              <w:spacing w:before="9"/>
              <w:jc w:val="both"/>
              <w:rPr>
                <w:rFonts w:ascii="Arial Narrow" w:eastAsia="Times New Roman" w:hAnsi="Arial Narrow" w:cs="Arial"/>
                <w:sz w:val="20"/>
                <w:szCs w:val="20"/>
                <w:lang w:val="es-CO" w:eastAsia="es-CO"/>
              </w:rPr>
            </w:pPr>
          </w:p>
          <w:p w14:paraId="60176292" w14:textId="77777777" w:rsidR="000D6AEF" w:rsidRPr="00F858E5" w:rsidRDefault="000D6AEF" w:rsidP="00823C83">
            <w:pPr>
              <w:pStyle w:val="TableParagraph"/>
              <w:ind w:left="371" w:right="360"/>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Amparos</w:t>
            </w:r>
          </w:p>
        </w:tc>
        <w:tc>
          <w:tcPr>
            <w:tcW w:w="8096" w:type="dxa"/>
          </w:tcPr>
          <w:p w14:paraId="7C2D58C5" w14:textId="77777777" w:rsidR="000D6AEF" w:rsidRPr="00F858E5" w:rsidRDefault="000D6AEF" w:rsidP="00823C83">
            <w:pPr>
              <w:pStyle w:val="TableParagraph"/>
              <w:spacing w:before="9"/>
              <w:jc w:val="both"/>
              <w:rPr>
                <w:rFonts w:ascii="Arial Narrow" w:eastAsia="Times New Roman" w:hAnsi="Arial Narrow" w:cs="Arial"/>
                <w:sz w:val="20"/>
                <w:szCs w:val="20"/>
                <w:lang w:val="es-CO" w:eastAsia="es-CO"/>
              </w:rPr>
            </w:pPr>
          </w:p>
          <w:p w14:paraId="72B386AF" w14:textId="77777777" w:rsidR="000D6AEF" w:rsidRPr="00F858E5" w:rsidRDefault="000D6AEF" w:rsidP="00823C83">
            <w:pPr>
              <w:pStyle w:val="TableParagraph"/>
              <w:spacing w:before="1"/>
              <w:ind w:left="108" w:right="106"/>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D6AEF" w:rsidRPr="00F858E5" w14:paraId="4451442B" w14:textId="77777777" w:rsidTr="00F858E5">
        <w:trPr>
          <w:trHeight w:val="993"/>
        </w:trPr>
        <w:tc>
          <w:tcPr>
            <w:tcW w:w="1811" w:type="dxa"/>
          </w:tcPr>
          <w:p w14:paraId="5A58B65B" w14:textId="77777777" w:rsidR="000D6AEF" w:rsidRPr="00F858E5" w:rsidRDefault="000D6AEF" w:rsidP="00823C83">
            <w:pPr>
              <w:pStyle w:val="TableParagraph"/>
              <w:spacing w:before="10"/>
              <w:jc w:val="both"/>
              <w:rPr>
                <w:rFonts w:ascii="Arial Narrow" w:eastAsia="Times New Roman" w:hAnsi="Arial Narrow" w:cs="Arial"/>
                <w:sz w:val="20"/>
                <w:szCs w:val="20"/>
                <w:lang w:val="es-CO" w:eastAsia="es-CO"/>
              </w:rPr>
            </w:pPr>
          </w:p>
          <w:p w14:paraId="1858944F" w14:textId="77777777" w:rsidR="000D6AEF" w:rsidRPr="00F858E5" w:rsidRDefault="000D6AEF" w:rsidP="00823C83">
            <w:pPr>
              <w:pStyle w:val="TableParagraph"/>
              <w:spacing w:before="1"/>
              <w:ind w:left="189" w:right="180" w:hanging="2"/>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Información necesaria dentro de la póliza</w:t>
            </w:r>
          </w:p>
        </w:tc>
        <w:tc>
          <w:tcPr>
            <w:tcW w:w="8096" w:type="dxa"/>
          </w:tcPr>
          <w:p w14:paraId="193E469C" w14:textId="77777777" w:rsidR="000D6AEF" w:rsidRPr="00F858E5" w:rsidRDefault="000D6AEF" w:rsidP="00EC17FC">
            <w:pPr>
              <w:pStyle w:val="TableParagraph"/>
              <w:numPr>
                <w:ilvl w:val="0"/>
                <w:numId w:val="44"/>
              </w:numPr>
              <w:tabs>
                <w:tab w:val="left" w:pos="467"/>
                <w:tab w:val="left" w:pos="468"/>
              </w:tabs>
              <w:spacing w:line="218" w:lineRule="exact"/>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Número y año del contrato</w:t>
            </w:r>
          </w:p>
          <w:p w14:paraId="05279316" w14:textId="77777777" w:rsidR="000D6AEF" w:rsidRPr="00F858E5" w:rsidRDefault="000D6AEF" w:rsidP="00EC17FC">
            <w:pPr>
              <w:pStyle w:val="TableParagraph"/>
              <w:numPr>
                <w:ilvl w:val="0"/>
                <w:numId w:val="44"/>
              </w:numPr>
              <w:tabs>
                <w:tab w:val="left" w:pos="467"/>
                <w:tab w:val="left" w:pos="468"/>
              </w:tabs>
              <w:spacing w:line="219" w:lineRule="exact"/>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Objeto del contrato</w:t>
            </w:r>
          </w:p>
          <w:p w14:paraId="5A42603F" w14:textId="77777777" w:rsidR="000D6AEF" w:rsidRPr="00F858E5" w:rsidRDefault="000D6AEF" w:rsidP="00EC17FC">
            <w:pPr>
              <w:pStyle w:val="TableParagraph"/>
              <w:numPr>
                <w:ilvl w:val="0"/>
                <w:numId w:val="44"/>
              </w:numPr>
              <w:tabs>
                <w:tab w:val="left" w:pos="467"/>
                <w:tab w:val="left" w:pos="468"/>
              </w:tabs>
              <w:spacing w:line="219" w:lineRule="exact"/>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Firma del representante legal del contratista</w:t>
            </w:r>
          </w:p>
          <w:p w14:paraId="3F734600" w14:textId="77777777" w:rsidR="000D6AEF" w:rsidRPr="00F858E5" w:rsidRDefault="000D6AEF" w:rsidP="00EC17FC">
            <w:pPr>
              <w:pStyle w:val="TableParagraph"/>
              <w:numPr>
                <w:ilvl w:val="0"/>
                <w:numId w:val="44"/>
              </w:numPr>
              <w:tabs>
                <w:tab w:val="left" w:pos="467"/>
                <w:tab w:val="left" w:pos="468"/>
              </w:tabs>
              <w:spacing w:line="206" w:lineRule="exact"/>
              <w:ind w:right="609"/>
              <w:jc w:val="both"/>
              <w:rPr>
                <w:rFonts w:ascii="Arial Narrow" w:eastAsia="Times New Roman" w:hAnsi="Arial Narrow" w:cs="Arial"/>
                <w:sz w:val="20"/>
                <w:szCs w:val="20"/>
                <w:lang w:val="es-CO" w:eastAsia="es-CO"/>
              </w:rPr>
            </w:pPr>
            <w:r w:rsidRPr="00F858E5">
              <w:rPr>
                <w:rFonts w:ascii="Arial Narrow" w:eastAsia="Times New Roman" w:hAnsi="Arial Narrow" w:cs="Arial"/>
                <w:sz w:val="20"/>
                <w:szCs w:val="20"/>
                <w:lang w:val="es-CO" w:eastAsia="es-CO"/>
              </w:rPr>
              <w:t>En caso de usar centavos, los valores deben aproximarse al mayor Ej. Cumplimiento si el valor a asegurar es $14.980.420,20 aproximar a $14.980.421</w:t>
            </w:r>
          </w:p>
        </w:tc>
      </w:tr>
    </w:tbl>
    <w:p w14:paraId="7CB0FB1C" w14:textId="77777777" w:rsidR="000D6AEF" w:rsidRPr="00D06AD7" w:rsidRDefault="000D6AEF" w:rsidP="000D6AEF">
      <w:pPr>
        <w:pStyle w:val="Textoindependiente"/>
        <w:spacing w:before="9"/>
        <w:rPr>
          <w:rFonts w:ascii="Arial Narrow" w:hAnsi="Arial Narrow" w:cs="Arial"/>
          <w:sz w:val="22"/>
          <w:szCs w:val="22"/>
          <w:lang w:eastAsia="es-CO"/>
        </w:rPr>
      </w:pPr>
    </w:p>
    <w:p w14:paraId="2C9E6B0B" w14:textId="77777777" w:rsidR="000D6AEF" w:rsidRPr="00D06AD7" w:rsidRDefault="000D6AEF" w:rsidP="000D6AEF">
      <w:pPr>
        <w:pStyle w:val="Textoindependiente"/>
        <w:ind w:left="100"/>
        <w:rPr>
          <w:rFonts w:ascii="Arial Narrow" w:hAnsi="Arial Narrow" w:cs="Arial"/>
          <w:sz w:val="22"/>
          <w:szCs w:val="22"/>
          <w:lang w:eastAsia="es-CO"/>
        </w:rPr>
      </w:pPr>
      <w:r w:rsidRPr="00D06AD7">
        <w:rPr>
          <w:rFonts w:ascii="Arial Narrow" w:hAnsi="Arial Narrow" w:cs="Arial"/>
          <w:sz w:val="22"/>
          <w:szCs w:val="22"/>
          <w:lang w:eastAsia="es-CO"/>
        </w:rPr>
        <w:t>En esta póliza solamente se podrán pactar deducibles con un tope máximo del diez por ciento (10%) del valor de cada pérdida sin que en ningún caso puedan ser superiores a dos mil (2.000) SMMLV.</w:t>
      </w:r>
    </w:p>
    <w:p w14:paraId="547D40DD" w14:textId="77777777" w:rsidR="000D6AEF" w:rsidRPr="00D06AD7" w:rsidRDefault="000D6AEF" w:rsidP="000D6AEF">
      <w:pPr>
        <w:pStyle w:val="Textoindependiente"/>
        <w:spacing w:before="7"/>
        <w:rPr>
          <w:rFonts w:ascii="Arial Narrow" w:hAnsi="Arial Narrow" w:cs="Arial"/>
          <w:sz w:val="22"/>
          <w:szCs w:val="22"/>
          <w:lang w:eastAsia="es-CO"/>
        </w:rPr>
      </w:pPr>
    </w:p>
    <w:p w14:paraId="642E3D24" w14:textId="77777777" w:rsidR="000D6AEF" w:rsidRPr="00D06AD7" w:rsidRDefault="000D6AEF" w:rsidP="000D6AEF">
      <w:pPr>
        <w:pStyle w:val="Textoindependiente"/>
        <w:spacing w:before="93"/>
        <w:ind w:left="100" w:right="134"/>
        <w:rPr>
          <w:rFonts w:ascii="Arial Narrow" w:hAnsi="Arial Narrow" w:cs="Arial"/>
          <w:sz w:val="22"/>
          <w:szCs w:val="22"/>
          <w:lang w:eastAsia="es-CO"/>
        </w:rPr>
      </w:pPr>
      <w:r w:rsidRPr="00D06AD7">
        <w:rPr>
          <w:rFonts w:ascii="Arial Narrow" w:hAnsi="Arial Narrow" w:cs="Arial"/>
          <w:sz w:val="22"/>
          <w:szCs w:val="22"/>
          <w:lang w:eastAsia="es-CO"/>
        </w:rPr>
        <w:lastRenderedPageBreak/>
        <w:t>Este seguro deberá constituirse y presentarse para aprobación de la entidad, dentro del mismo término establecido para la garantía única de cumplimiento.</w:t>
      </w:r>
    </w:p>
    <w:p w14:paraId="5CEC8CA1" w14:textId="77777777" w:rsidR="000D6AEF" w:rsidRPr="00D06AD7" w:rsidRDefault="000D6AEF" w:rsidP="000D6AEF">
      <w:pPr>
        <w:pStyle w:val="Textoindependiente"/>
        <w:spacing w:before="1"/>
        <w:rPr>
          <w:rFonts w:ascii="Arial Narrow" w:hAnsi="Arial Narrow" w:cs="Arial"/>
          <w:sz w:val="22"/>
          <w:szCs w:val="22"/>
          <w:lang w:eastAsia="es-CO"/>
        </w:rPr>
      </w:pPr>
    </w:p>
    <w:p w14:paraId="79DBF4AC" w14:textId="77777777" w:rsidR="000D6AEF" w:rsidRPr="00D06AD7" w:rsidRDefault="000D6AEF" w:rsidP="000D6AEF">
      <w:pPr>
        <w:pStyle w:val="Textoindependiente"/>
        <w:ind w:left="100" w:right="131"/>
        <w:rPr>
          <w:rFonts w:ascii="Arial Narrow" w:hAnsi="Arial Narrow" w:cs="Arial"/>
          <w:sz w:val="22"/>
          <w:szCs w:val="22"/>
          <w:lang w:eastAsia="es-CO"/>
        </w:rPr>
      </w:pPr>
      <w:r w:rsidRPr="00D06AD7">
        <w:rPr>
          <w:rFonts w:ascii="Arial Narrow" w:hAnsi="Arial Narrow" w:cs="Arial"/>
          <w:sz w:val="22"/>
          <w:szCs w:val="22"/>
          <w:lang w:eastAsia="es-CO"/>
        </w:rPr>
        <w:t>Las franquicias, coaseguros obligatorios y demás formas de estipulación que conlleven asunción de parte de la pérdida por la entidad asegurada no serán admisibles.</w:t>
      </w:r>
    </w:p>
    <w:p w14:paraId="064651D0" w14:textId="77777777" w:rsidR="000D6AEF" w:rsidRPr="00D06AD7" w:rsidRDefault="000D6AEF" w:rsidP="000D6AEF">
      <w:pPr>
        <w:pStyle w:val="Textoindependiente"/>
        <w:spacing w:before="10"/>
        <w:rPr>
          <w:rFonts w:ascii="Arial Narrow" w:hAnsi="Arial Narrow" w:cs="Arial"/>
          <w:sz w:val="22"/>
          <w:szCs w:val="22"/>
          <w:lang w:eastAsia="es-CO"/>
        </w:rPr>
      </w:pPr>
    </w:p>
    <w:p w14:paraId="52BD5E9F" w14:textId="77777777" w:rsidR="000D6AEF" w:rsidRPr="00D06AD7" w:rsidRDefault="000D6AEF" w:rsidP="000D6AEF">
      <w:pPr>
        <w:pStyle w:val="Textoindependiente"/>
        <w:ind w:left="100"/>
        <w:rPr>
          <w:rFonts w:ascii="Arial Narrow" w:hAnsi="Arial Narrow" w:cs="Arial"/>
          <w:sz w:val="22"/>
          <w:szCs w:val="22"/>
          <w:lang w:eastAsia="es-CO"/>
        </w:rPr>
      </w:pPr>
      <w:r w:rsidRPr="00D06AD7">
        <w:rPr>
          <w:rFonts w:ascii="Arial Narrow" w:hAnsi="Arial Narrow" w:cs="Arial"/>
          <w:sz w:val="22"/>
          <w:szCs w:val="22"/>
          <w:lang w:eastAsia="es-CO"/>
        </w:rPr>
        <w:t>El contratista deberá anexar el comprobante de pago de la prima del seguro de responsabilidad civil extracontractual.</w:t>
      </w:r>
    </w:p>
    <w:p w14:paraId="45E3CD3B" w14:textId="77777777" w:rsidR="000D6AEF" w:rsidRPr="00D06AD7" w:rsidRDefault="000D6AEF" w:rsidP="000D6AEF">
      <w:pPr>
        <w:ind w:right="-1"/>
        <w:jc w:val="both"/>
        <w:rPr>
          <w:rFonts w:ascii="Arial Narrow" w:hAnsi="Arial Narrow" w:cs="Arial"/>
          <w:sz w:val="22"/>
          <w:szCs w:val="22"/>
        </w:rPr>
      </w:pPr>
    </w:p>
    <w:p w14:paraId="2BB6DA49" w14:textId="77777777" w:rsidR="008220AB" w:rsidRPr="00D06AD7" w:rsidRDefault="008220AB" w:rsidP="008220AB">
      <w:pPr>
        <w:rPr>
          <w:rFonts w:ascii="Arial Narrow" w:hAnsi="Arial Narrow"/>
          <w:sz w:val="22"/>
          <w:szCs w:val="22"/>
          <w:lang w:val="x-none"/>
        </w:rPr>
      </w:pPr>
    </w:p>
    <w:p w14:paraId="20E0EDEF" w14:textId="0FB423D0" w:rsidR="008220AB" w:rsidRPr="00D06AD7" w:rsidRDefault="008220AB" w:rsidP="008220AB">
      <w:pPr>
        <w:widowControl w:val="0"/>
        <w:autoSpaceDE w:val="0"/>
        <w:autoSpaceDN w:val="0"/>
        <w:adjustRightInd w:val="0"/>
        <w:jc w:val="center"/>
        <w:rPr>
          <w:rFonts w:ascii="Arial Narrow" w:hAnsi="Arial Narrow" w:cs="Arial Narrow"/>
          <w:b/>
          <w:bCs/>
          <w:sz w:val="22"/>
          <w:szCs w:val="22"/>
          <w:lang w:val="es-ES"/>
        </w:rPr>
      </w:pPr>
      <w:bookmarkStart w:id="127" w:name="_Toc451790605"/>
      <w:r w:rsidRPr="00D06AD7">
        <w:rPr>
          <w:rFonts w:ascii="Arial Narrow" w:hAnsi="Arial Narrow" w:cs="Arial Narrow"/>
          <w:b/>
          <w:bCs/>
          <w:sz w:val="22"/>
          <w:szCs w:val="22"/>
          <w:lang w:val="es-ES"/>
        </w:rPr>
        <w:t>15. ACUERDOS COMERCIALES</w:t>
      </w:r>
      <w:bookmarkEnd w:id="127"/>
    </w:p>
    <w:p w14:paraId="7014B8FC" w14:textId="77777777" w:rsidR="008220AB" w:rsidRPr="00D06AD7" w:rsidRDefault="008220AB" w:rsidP="008220AB">
      <w:pPr>
        <w:rPr>
          <w:rFonts w:ascii="Arial Narrow" w:hAnsi="Arial Narrow"/>
          <w:sz w:val="22"/>
          <w:szCs w:val="22"/>
        </w:rPr>
      </w:pPr>
    </w:p>
    <w:p w14:paraId="163ABDF9" w14:textId="7DDB7A50" w:rsidR="008220AB" w:rsidRPr="00CD22A9" w:rsidRDefault="00CD22A9" w:rsidP="00CD22A9">
      <w:pPr>
        <w:pStyle w:val="Textoindependiente"/>
        <w:ind w:left="100" w:right="131"/>
        <w:rPr>
          <w:rFonts w:ascii="Arial Narrow" w:hAnsi="Arial Narrow" w:cs="Arial"/>
          <w:sz w:val="22"/>
          <w:szCs w:val="22"/>
          <w:lang w:eastAsia="es-CO"/>
        </w:rPr>
      </w:pPr>
      <w:r w:rsidRPr="00CD22A9">
        <w:rPr>
          <w:rFonts w:ascii="Arial Narrow" w:hAnsi="Arial Narrow" w:cs="Arial"/>
          <w:sz w:val="22"/>
          <w:szCs w:val="22"/>
          <w:lang w:eastAsia="es-CO"/>
        </w:rPr>
        <w:t xml:space="preserve">En observancia del artículo 2.2.1.1.2.1.1 del decreto 1082 de 2015, el cual cita que “El presente artículo no es aplicable a la contratación por mínima cuantía.” Las Entidades Estatales no deben hacer el análisis de acuerdos comerciales para los Procesos de Contratación adelantados por las modalidades de selección de contratación directa y de mínima cuantía. </w:t>
      </w:r>
    </w:p>
    <w:p w14:paraId="1F2E6A1D" w14:textId="77777777" w:rsidR="008220AB" w:rsidRPr="00D06AD7" w:rsidRDefault="008220AB" w:rsidP="008220AB">
      <w:pPr>
        <w:pStyle w:val="InviasNormal"/>
        <w:spacing w:before="0" w:after="0"/>
        <w:rPr>
          <w:rFonts w:eastAsia="Arial" w:cs="Arial"/>
          <w:sz w:val="22"/>
          <w:szCs w:val="22"/>
          <w:lang w:val="es-CO"/>
        </w:rPr>
      </w:pPr>
    </w:p>
    <w:p w14:paraId="05FB1BB3" w14:textId="77777777" w:rsidR="000B5312" w:rsidRPr="00D06AD7" w:rsidRDefault="000B5312" w:rsidP="000B5312">
      <w:pPr>
        <w:jc w:val="both"/>
        <w:outlineLvl w:val="0"/>
        <w:rPr>
          <w:rFonts w:ascii="Arial Narrow" w:hAnsi="Arial Narrow" w:cs="Arial"/>
          <w:b/>
          <w:sz w:val="22"/>
          <w:szCs w:val="22"/>
        </w:rPr>
      </w:pPr>
    </w:p>
    <w:p w14:paraId="0D624612" w14:textId="77777777" w:rsidR="009221A3" w:rsidRPr="00D06AD7" w:rsidRDefault="009221A3" w:rsidP="000B5312">
      <w:pPr>
        <w:jc w:val="both"/>
        <w:outlineLvl w:val="0"/>
        <w:rPr>
          <w:rFonts w:ascii="Arial Narrow" w:hAnsi="Arial Narrow" w:cs="Arial"/>
          <w:b/>
          <w:sz w:val="22"/>
          <w:szCs w:val="22"/>
        </w:rPr>
      </w:pPr>
    </w:p>
    <w:p w14:paraId="0E26E22E" w14:textId="77777777" w:rsidR="000B5312" w:rsidRPr="00D06AD7" w:rsidRDefault="000B5312" w:rsidP="000B5312">
      <w:pPr>
        <w:jc w:val="both"/>
        <w:outlineLvl w:val="0"/>
        <w:rPr>
          <w:rFonts w:ascii="Arial Narrow" w:hAnsi="Arial Narrow" w:cs="Arial"/>
          <w:b/>
          <w:sz w:val="22"/>
          <w:szCs w:val="22"/>
        </w:rPr>
      </w:pPr>
    </w:p>
    <w:p w14:paraId="04BFB6B0" w14:textId="77777777" w:rsidR="00EA03F2" w:rsidRPr="00D06AD7" w:rsidRDefault="00EA03F2" w:rsidP="00EA03F2">
      <w:pPr>
        <w:jc w:val="center"/>
        <w:outlineLvl w:val="0"/>
        <w:rPr>
          <w:rFonts w:ascii="Arial Narrow" w:hAnsi="Arial Narrow" w:cs="Arial"/>
          <w:b/>
          <w:sz w:val="22"/>
          <w:szCs w:val="22"/>
        </w:rPr>
      </w:pPr>
      <w:r w:rsidRPr="00D06AD7">
        <w:rPr>
          <w:rFonts w:ascii="Arial Narrow" w:hAnsi="Arial Narrow" w:cs="Arial"/>
          <w:b/>
          <w:sz w:val="22"/>
          <w:szCs w:val="22"/>
        </w:rPr>
        <w:t>(original firmado)</w:t>
      </w:r>
    </w:p>
    <w:p w14:paraId="49D02559" w14:textId="77777777" w:rsidR="00EA03F2" w:rsidRPr="00D06AD7" w:rsidRDefault="00EA03F2" w:rsidP="00EA03F2">
      <w:pPr>
        <w:jc w:val="center"/>
        <w:outlineLvl w:val="0"/>
        <w:rPr>
          <w:rFonts w:ascii="Arial Narrow" w:hAnsi="Arial Narrow" w:cs="Arial"/>
          <w:sz w:val="22"/>
          <w:szCs w:val="22"/>
        </w:rPr>
      </w:pPr>
      <w:r w:rsidRPr="00D06AD7">
        <w:rPr>
          <w:rFonts w:ascii="Arial Narrow" w:hAnsi="Arial Narrow" w:cs="Arial"/>
          <w:sz w:val="22"/>
          <w:szCs w:val="22"/>
        </w:rPr>
        <w:t>________________</w:t>
      </w:r>
    </w:p>
    <w:p w14:paraId="5135B600" w14:textId="636CF169" w:rsidR="00EA03F2" w:rsidRPr="008F579E" w:rsidRDefault="005D4266" w:rsidP="005D4266">
      <w:pPr>
        <w:ind w:left="708" w:hanging="708"/>
        <w:jc w:val="center"/>
        <w:outlineLvl w:val="0"/>
        <w:rPr>
          <w:rFonts w:ascii="Arial Narrow" w:hAnsi="Arial Narrow" w:cs="Arial"/>
          <w:b/>
          <w:bCs/>
          <w:sz w:val="22"/>
          <w:szCs w:val="22"/>
        </w:rPr>
      </w:pPr>
      <w:r w:rsidRPr="008F579E">
        <w:rPr>
          <w:rFonts w:ascii="Arial Narrow" w:hAnsi="Arial Narrow" w:cs="Arial"/>
          <w:b/>
          <w:bCs/>
          <w:sz w:val="22"/>
          <w:szCs w:val="22"/>
        </w:rPr>
        <w:t>Santiago Hernández Rendón</w:t>
      </w:r>
    </w:p>
    <w:p w14:paraId="149402B5" w14:textId="65E692D7" w:rsidR="00EA03F2" w:rsidRPr="00D06AD7" w:rsidRDefault="00151103" w:rsidP="00EA03F2">
      <w:pPr>
        <w:jc w:val="center"/>
        <w:outlineLvl w:val="0"/>
        <w:rPr>
          <w:rFonts w:ascii="Arial Narrow" w:hAnsi="Arial Narrow" w:cs="Arial"/>
          <w:sz w:val="22"/>
          <w:szCs w:val="22"/>
        </w:rPr>
      </w:pPr>
      <w:r w:rsidRPr="00D06AD7">
        <w:rPr>
          <w:rFonts w:ascii="Arial Narrow" w:hAnsi="Arial Narrow" w:cs="Arial"/>
          <w:sz w:val="22"/>
          <w:szCs w:val="22"/>
        </w:rPr>
        <w:t xml:space="preserve">Director Territorial </w:t>
      </w:r>
      <w:r w:rsidR="005D4266">
        <w:rPr>
          <w:rFonts w:ascii="Arial Narrow" w:hAnsi="Arial Narrow" w:cs="Arial"/>
          <w:sz w:val="22"/>
          <w:szCs w:val="22"/>
        </w:rPr>
        <w:t>Caldas (e)</w:t>
      </w:r>
    </w:p>
    <w:p w14:paraId="0D389207" w14:textId="77777777" w:rsidR="00EA03F2" w:rsidRPr="00D06AD7" w:rsidRDefault="00EA03F2" w:rsidP="00EA03F2">
      <w:pPr>
        <w:jc w:val="center"/>
        <w:outlineLvl w:val="0"/>
        <w:rPr>
          <w:rFonts w:ascii="Arial Narrow" w:hAnsi="Arial Narrow" w:cs="Arial"/>
          <w:sz w:val="22"/>
          <w:szCs w:val="22"/>
        </w:rPr>
      </w:pPr>
    </w:p>
    <w:p w14:paraId="4E46D9D4" w14:textId="77777777" w:rsidR="00EA03F2" w:rsidRPr="00D06AD7" w:rsidRDefault="00EA03F2" w:rsidP="00EA03F2">
      <w:pPr>
        <w:jc w:val="center"/>
        <w:outlineLvl w:val="0"/>
        <w:rPr>
          <w:rFonts w:ascii="Arial Narrow" w:hAnsi="Arial Narrow" w:cs="Arial"/>
          <w:sz w:val="22"/>
          <w:szCs w:val="22"/>
        </w:rPr>
      </w:pPr>
    </w:p>
    <w:tbl>
      <w:tblPr>
        <w:tblW w:w="7938" w:type="dxa"/>
        <w:tblInd w:w="70" w:type="dxa"/>
        <w:tblCellMar>
          <w:left w:w="70" w:type="dxa"/>
          <w:right w:w="70" w:type="dxa"/>
        </w:tblCellMar>
        <w:tblLook w:val="04A0" w:firstRow="1" w:lastRow="0" w:firstColumn="1" w:lastColumn="0" w:noHBand="0" w:noVBand="1"/>
      </w:tblPr>
      <w:tblGrid>
        <w:gridCol w:w="1200"/>
        <w:gridCol w:w="2520"/>
        <w:gridCol w:w="4218"/>
      </w:tblGrid>
      <w:tr w:rsidR="00EA03F2" w:rsidRPr="00D06AD7" w14:paraId="3518C2A4"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0F1F7834" w14:textId="77777777" w:rsidR="00EA03F2" w:rsidRPr="00D06AD7" w:rsidRDefault="00EA03F2">
            <w:pPr>
              <w:outlineLvl w:val="0"/>
              <w:rPr>
                <w:rFonts w:ascii="Arial Narrow" w:hAnsi="Arial Narrow" w:cs="Arial"/>
                <w:sz w:val="22"/>
                <w:szCs w:val="22"/>
                <w:lang w:val="es-ES"/>
              </w:rPr>
            </w:pPr>
            <w:r w:rsidRPr="00D06AD7">
              <w:rPr>
                <w:rFonts w:ascii="Arial Narrow" w:hAnsi="Arial Narrow" w:cs="Arial"/>
                <w:sz w:val="22"/>
                <w:szCs w:val="22"/>
                <w:lang w:val="es-ES"/>
              </w:rPr>
              <w:t> </w:t>
            </w:r>
          </w:p>
        </w:tc>
        <w:tc>
          <w:tcPr>
            <w:tcW w:w="2520" w:type="dxa"/>
            <w:tcBorders>
              <w:top w:val="single" w:sz="4" w:space="0" w:color="auto"/>
              <w:left w:val="nil"/>
              <w:bottom w:val="single" w:sz="4" w:space="0" w:color="auto"/>
              <w:right w:val="single" w:sz="4" w:space="0" w:color="auto"/>
            </w:tcBorders>
            <w:vAlign w:val="center"/>
            <w:hideMark/>
          </w:tcPr>
          <w:p w14:paraId="455322BB" w14:textId="77777777" w:rsidR="00EA03F2" w:rsidRPr="00D06AD7" w:rsidRDefault="00EA03F2">
            <w:pPr>
              <w:outlineLvl w:val="0"/>
              <w:rPr>
                <w:rFonts w:ascii="Arial Narrow" w:hAnsi="Arial Narrow" w:cs="Arial"/>
                <w:sz w:val="22"/>
                <w:szCs w:val="22"/>
                <w:lang w:val="es-ES"/>
              </w:rPr>
            </w:pPr>
            <w:r w:rsidRPr="00D06AD7">
              <w:rPr>
                <w:rFonts w:ascii="Arial Narrow" w:hAnsi="Arial Narrow" w:cs="Arial"/>
                <w:sz w:val="22"/>
                <w:szCs w:val="22"/>
                <w:lang w:val="es-ES"/>
              </w:rPr>
              <w:t>Nombre</w:t>
            </w:r>
          </w:p>
        </w:tc>
        <w:tc>
          <w:tcPr>
            <w:tcW w:w="4218" w:type="dxa"/>
            <w:tcBorders>
              <w:top w:val="single" w:sz="4" w:space="0" w:color="auto"/>
              <w:left w:val="nil"/>
              <w:bottom w:val="single" w:sz="4" w:space="0" w:color="auto"/>
              <w:right w:val="single" w:sz="4" w:space="0" w:color="auto"/>
            </w:tcBorders>
            <w:vAlign w:val="center"/>
            <w:hideMark/>
          </w:tcPr>
          <w:p w14:paraId="2168307C" w14:textId="77777777" w:rsidR="00EA03F2" w:rsidRPr="00D06AD7" w:rsidRDefault="00EA03F2">
            <w:pPr>
              <w:outlineLvl w:val="0"/>
              <w:rPr>
                <w:rFonts w:ascii="Arial Narrow" w:hAnsi="Arial Narrow" w:cs="Arial"/>
                <w:sz w:val="22"/>
                <w:szCs w:val="22"/>
                <w:lang w:val="es-ES"/>
              </w:rPr>
            </w:pPr>
            <w:r w:rsidRPr="00D06AD7">
              <w:rPr>
                <w:rFonts w:ascii="Arial Narrow" w:hAnsi="Arial Narrow" w:cs="Arial"/>
                <w:sz w:val="22"/>
                <w:szCs w:val="22"/>
                <w:lang w:val="es-ES"/>
              </w:rPr>
              <w:t>Cargo/Dependencia</w:t>
            </w:r>
          </w:p>
        </w:tc>
      </w:tr>
      <w:tr w:rsidR="00EA03F2" w:rsidRPr="00D06AD7" w14:paraId="4E5270E9"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tcPr>
          <w:p w14:paraId="11EFCCE5" w14:textId="77777777" w:rsidR="00EA03F2" w:rsidRPr="00D06AD7" w:rsidRDefault="00EA03F2">
            <w:pPr>
              <w:outlineLvl w:val="0"/>
              <w:rPr>
                <w:rFonts w:ascii="Arial Narrow" w:hAnsi="Arial Narrow" w:cs="Arial"/>
                <w:sz w:val="22"/>
                <w:szCs w:val="22"/>
                <w:lang w:val="es-ES"/>
              </w:rPr>
            </w:pPr>
            <w:r w:rsidRPr="00D06AD7">
              <w:rPr>
                <w:rFonts w:ascii="Arial Narrow" w:hAnsi="Arial Narrow" w:cs="Arial"/>
                <w:sz w:val="22"/>
                <w:szCs w:val="22"/>
                <w:lang w:val="es-ES"/>
              </w:rPr>
              <w:t>Elaboró</w:t>
            </w:r>
          </w:p>
        </w:tc>
        <w:tc>
          <w:tcPr>
            <w:tcW w:w="2520" w:type="dxa"/>
            <w:tcBorders>
              <w:top w:val="single" w:sz="4" w:space="0" w:color="auto"/>
              <w:left w:val="nil"/>
              <w:bottom w:val="single" w:sz="4" w:space="0" w:color="auto"/>
              <w:right w:val="single" w:sz="4" w:space="0" w:color="auto"/>
            </w:tcBorders>
            <w:vAlign w:val="center"/>
          </w:tcPr>
          <w:p w14:paraId="37943353" w14:textId="503E59BB" w:rsidR="00EA03F2" w:rsidRPr="00A26FA7" w:rsidRDefault="00A26FA7">
            <w:pPr>
              <w:outlineLvl w:val="0"/>
              <w:rPr>
                <w:rFonts w:ascii="Arial Narrow" w:hAnsi="Arial Narrow" w:cs="Arial"/>
                <w:sz w:val="22"/>
                <w:szCs w:val="22"/>
                <w:lang w:val="es-ES"/>
              </w:rPr>
            </w:pPr>
            <w:r w:rsidRPr="00A26FA7">
              <w:rPr>
                <w:rFonts w:ascii="Arial Narrow" w:hAnsi="Arial Narrow" w:cs="Arial"/>
                <w:sz w:val="22"/>
                <w:szCs w:val="22"/>
                <w:lang w:val="es-ES"/>
              </w:rPr>
              <w:t>Juan José López Hernández</w:t>
            </w:r>
          </w:p>
        </w:tc>
        <w:tc>
          <w:tcPr>
            <w:tcW w:w="4218" w:type="dxa"/>
            <w:tcBorders>
              <w:top w:val="single" w:sz="4" w:space="0" w:color="auto"/>
              <w:left w:val="nil"/>
              <w:bottom w:val="single" w:sz="4" w:space="0" w:color="auto"/>
              <w:right w:val="single" w:sz="4" w:space="0" w:color="auto"/>
            </w:tcBorders>
            <w:vAlign w:val="center"/>
          </w:tcPr>
          <w:p w14:paraId="4B81D197" w14:textId="7E54185B" w:rsidR="00EA03F2" w:rsidRPr="005D4266" w:rsidRDefault="003B2576">
            <w:pPr>
              <w:outlineLvl w:val="0"/>
              <w:rPr>
                <w:rFonts w:ascii="Arial Narrow" w:hAnsi="Arial Narrow" w:cs="Arial"/>
                <w:sz w:val="22"/>
                <w:szCs w:val="22"/>
                <w:highlight w:val="yellow"/>
                <w:lang w:val="es-ES"/>
              </w:rPr>
            </w:pPr>
            <w:r w:rsidRPr="003B2576">
              <w:rPr>
                <w:rFonts w:ascii="Arial Narrow" w:hAnsi="Arial Narrow" w:cs="Arial"/>
                <w:sz w:val="22"/>
                <w:szCs w:val="22"/>
                <w:lang w:val="es-ES"/>
              </w:rPr>
              <w:t>Abogado – Dirección Territorial Caldas</w:t>
            </w:r>
          </w:p>
        </w:tc>
      </w:tr>
      <w:tr w:rsidR="00562D59" w:rsidRPr="00D06AD7" w14:paraId="27B7E61C" w14:textId="77777777">
        <w:trPr>
          <w:trHeight w:val="300"/>
        </w:trPr>
        <w:tc>
          <w:tcPr>
            <w:tcW w:w="1200" w:type="dxa"/>
            <w:tcBorders>
              <w:top w:val="single" w:sz="4" w:space="0" w:color="auto"/>
              <w:left w:val="single" w:sz="4" w:space="0" w:color="auto"/>
              <w:bottom w:val="single" w:sz="4" w:space="0" w:color="auto"/>
              <w:right w:val="single" w:sz="4" w:space="0" w:color="auto"/>
            </w:tcBorders>
            <w:vAlign w:val="center"/>
          </w:tcPr>
          <w:p w14:paraId="1A61FAC9" w14:textId="7F1CA110" w:rsidR="00562D59" w:rsidRPr="00D06AD7" w:rsidRDefault="00562D59">
            <w:pPr>
              <w:outlineLvl w:val="0"/>
              <w:rPr>
                <w:rFonts w:ascii="Arial Narrow" w:hAnsi="Arial Narrow" w:cs="Arial"/>
                <w:sz w:val="22"/>
                <w:szCs w:val="22"/>
                <w:lang w:val="es-ES"/>
              </w:rPr>
            </w:pPr>
            <w:r w:rsidRPr="00D06AD7">
              <w:rPr>
                <w:rFonts w:ascii="Arial Narrow" w:hAnsi="Arial Narrow" w:cs="Arial"/>
                <w:sz w:val="22"/>
                <w:szCs w:val="22"/>
                <w:lang w:val="es-ES"/>
              </w:rPr>
              <w:t>Revisó</w:t>
            </w:r>
          </w:p>
        </w:tc>
        <w:tc>
          <w:tcPr>
            <w:tcW w:w="2520" w:type="dxa"/>
            <w:tcBorders>
              <w:top w:val="single" w:sz="4" w:space="0" w:color="auto"/>
              <w:left w:val="nil"/>
              <w:bottom w:val="single" w:sz="4" w:space="0" w:color="auto"/>
              <w:right w:val="single" w:sz="4" w:space="0" w:color="auto"/>
            </w:tcBorders>
            <w:vAlign w:val="center"/>
          </w:tcPr>
          <w:p w14:paraId="3BDEAC5D" w14:textId="4F13CB6A" w:rsidR="00562D59" w:rsidRPr="008F579E" w:rsidRDefault="003B2576">
            <w:pPr>
              <w:outlineLvl w:val="0"/>
              <w:rPr>
                <w:rFonts w:ascii="Arial Narrow" w:hAnsi="Arial Narrow" w:cs="Arial"/>
                <w:sz w:val="22"/>
                <w:szCs w:val="22"/>
                <w:lang w:val="es-ES"/>
              </w:rPr>
            </w:pPr>
            <w:r w:rsidRPr="008F579E">
              <w:rPr>
                <w:rFonts w:ascii="Arial Narrow" w:hAnsi="Arial Narrow" w:cs="Arial"/>
                <w:sz w:val="22"/>
                <w:szCs w:val="22"/>
                <w:lang w:val="es-ES"/>
              </w:rPr>
              <w:t>Juan Pablo Aricapa Granada</w:t>
            </w:r>
          </w:p>
        </w:tc>
        <w:tc>
          <w:tcPr>
            <w:tcW w:w="4218" w:type="dxa"/>
            <w:tcBorders>
              <w:top w:val="single" w:sz="4" w:space="0" w:color="auto"/>
              <w:left w:val="nil"/>
              <w:bottom w:val="single" w:sz="4" w:space="0" w:color="auto"/>
              <w:right w:val="single" w:sz="4" w:space="0" w:color="auto"/>
            </w:tcBorders>
            <w:vAlign w:val="center"/>
          </w:tcPr>
          <w:p w14:paraId="6887403A" w14:textId="38B7EEFA" w:rsidR="00562D59" w:rsidRPr="008F579E" w:rsidRDefault="003B2576">
            <w:pPr>
              <w:outlineLvl w:val="0"/>
              <w:rPr>
                <w:rFonts w:ascii="Arial Narrow" w:hAnsi="Arial Narrow" w:cs="Arial"/>
                <w:sz w:val="22"/>
                <w:szCs w:val="22"/>
                <w:lang w:val="es-ES"/>
              </w:rPr>
            </w:pPr>
            <w:r w:rsidRPr="008F579E">
              <w:rPr>
                <w:rFonts w:ascii="Arial Narrow" w:hAnsi="Arial Narrow" w:cs="Arial"/>
                <w:sz w:val="22"/>
                <w:szCs w:val="22"/>
                <w:lang w:val="es-ES"/>
              </w:rPr>
              <w:t>A</w:t>
            </w:r>
            <w:r w:rsidR="008F579E" w:rsidRPr="008F579E">
              <w:rPr>
                <w:rFonts w:ascii="Arial Narrow" w:hAnsi="Arial Narrow" w:cs="Arial"/>
                <w:sz w:val="22"/>
                <w:szCs w:val="22"/>
                <w:lang w:val="es-ES"/>
              </w:rPr>
              <w:t>rquitecto – Dirección Territorial Caldas</w:t>
            </w:r>
          </w:p>
        </w:tc>
      </w:tr>
    </w:tbl>
    <w:p w14:paraId="4BC2796E" w14:textId="77777777" w:rsidR="00494BF8" w:rsidRPr="00D06AD7" w:rsidRDefault="00494BF8" w:rsidP="00C3355B">
      <w:pPr>
        <w:jc w:val="center"/>
        <w:outlineLvl w:val="0"/>
        <w:rPr>
          <w:rFonts w:ascii="Arial Narrow" w:hAnsi="Arial Narrow" w:cs="Arial"/>
          <w:sz w:val="22"/>
          <w:szCs w:val="22"/>
        </w:rPr>
      </w:pPr>
    </w:p>
    <w:p w14:paraId="7EB9422E" w14:textId="0B23A064" w:rsidR="00D01537" w:rsidRPr="00D06AD7" w:rsidRDefault="00D01537" w:rsidP="002317C8">
      <w:pPr>
        <w:ind w:left="708" w:hanging="708"/>
        <w:jc w:val="center"/>
        <w:outlineLvl w:val="0"/>
        <w:rPr>
          <w:rFonts w:ascii="Arial Narrow" w:hAnsi="Arial Narrow" w:cs="Arial"/>
          <w:sz w:val="22"/>
          <w:szCs w:val="22"/>
        </w:rPr>
      </w:pPr>
    </w:p>
    <w:sectPr w:rsidR="00D01537" w:rsidRPr="00D06AD7" w:rsidSect="00794253">
      <w:headerReference w:type="default" r:id="rId53"/>
      <w:footerReference w:type="default" r:id="rId54"/>
      <w:headerReference w:type="first" r:id="rId55"/>
      <w:footerReference w:type="first" r:id="rId56"/>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0145C" w14:textId="77777777" w:rsidR="009A1EBE" w:rsidRDefault="009A1EBE" w:rsidP="00C64C07">
      <w:r>
        <w:separator/>
      </w:r>
    </w:p>
  </w:endnote>
  <w:endnote w:type="continuationSeparator" w:id="0">
    <w:p w14:paraId="738F2B7B" w14:textId="77777777" w:rsidR="009A1EBE" w:rsidRDefault="009A1EBE"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font>
  <w:font w:name="Futura Std Book">
    <w:altName w:val="Century Gothic"/>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Emoji">
    <w:panose1 w:val="020B0502040204020203"/>
    <w:charset w:val="00"/>
    <w:family w:val="swiss"/>
    <w:pitch w:val="variable"/>
    <w:sig w:usb0="00000003" w:usb1="02000000" w:usb2="00000000" w:usb3="00000000" w:csb0="00000001" w:csb1="00000000"/>
  </w:font>
  <w:font w:name="LMSans10-Bold">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IDFont+F2">
    <w:altName w:val="Arial"/>
    <w:panose1 w:val="00000000000000000000"/>
    <w:charset w:val="A3"/>
    <w:family w:val="auto"/>
    <w:notTrueType/>
    <w:pitch w:val="default"/>
    <w:sig w:usb0="20000001" w:usb1="00000000" w:usb2="00000000" w:usb3="00000000" w:csb0="00000100" w:csb1="00000000"/>
  </w:font>
  <w:font w:name="Work Sans">
    <w:panose1 w:val="00000000000000000000"/>
    <w:charset w:val="00"/>
    <w:family w:val="auto"/>
    <w:pitch w:val="variable"/>
    <w:sig w:usb0="A00000FF" w:usb1="5000E07B" w:usb2="00000000" w:usb3="00000000" w:csb0="00000193" w:csb1="00000000"/>
  </w:font>
  <w:font w:name="Arial,Times New Roman">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0AFEC" w14:textId="22AA2761" w:rsidR="00A52669" w:rsidRDefault="00A52669" w:rsidP="00A52669">
    <w:pPr>
      <w:pStyle w:val="Piedepgina"/>
    </w:pPr>
    <w:bookmarkStart w:id="128" w:name="_Hlk137641023"/>
  </w:p>
  <w:p w14:paraId="2249B5E5" w14:textId="77777777" w:rsidR="00A52669" w:rsidRPr="001B5AE5" w:rsidRDefault="00A52669" w:rsidP="00A52669">
    <w:pPr>
      <w:pStyle w:val="Piedepgina"/>
      <w:tabs>
        <w:tab w:val="left" w:pos="709"/>
      </w:tabs>
      <w:ind w:left="567"/>
      <w:rPr>
        <w:rFonts w:ascii="Arial" w:hAnsi="Arial" w:cs="Arial"/>
        <w:sz w:val="16"/>
        <w:szCs w:val="16"/>
      </w:rPr>
    </w:pPr>
    <w:r>
      <w:rPr>
        <w:noProof/>
      </w:rPr>
      <w:drawing>
        <wp:anchor distT="0" distB="0" distL="114300" distR="114300" simplePos="0" relativeHeight="251672064" behindDoc="0" locked="0" layoutInCell="1" allowOverlap="1" wp14:anchorId="42D21D21" wp14:editId="11B45F3F">
          <wp:simplePos x="0" y="0"/>
          <wp:positionH relativeFrom="margin">
            <wp:align>right</wp:align>
          </wp:positionH>
          <wp:positionV relativeFrom="paragraph">
            <wp:posOffset>117002</wp:posOffset>
          </wp:positionV>
          <wp:extent cx="1392979" cy="533400"/>
          <wp:effectExtent l="0" t="0" r="0"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ascii="Arial" w:hAnsi="Arial" w:cs="Arial"/>
        <w:sz w:val="16"/>
        <w:szCs w:val="16"/>
      </w:rPr>
      <w:t>Instituto Nacional de Vías</w:t>
    </w:r>
  </w:p>
  <w:p w14:paraId="00D3DEC6" w14:textId="77777777" w:rsidR="00A52669" w:rsidRPr="001B5AE5" w:rsidRDefault="00A52669" w:rsidP="00A52669">
    <w:pPr>
      <w:pStyle w:val="Piedepgina"/>
      <w:tabs>
        <w:tab w:val="clear" w:pos="4419"/>
        <w:tab w:val="clear" w:pos="8838"/>
        <w:tab w:val="left" w:pos="709"/>
        <w:tab w:val="left" w:pos="9220"/>
      </w:tabs>
      <w:ind w:left="567"/>
      <w:rPr>
        <w:rFonts w:ascii="Arial" w:hAnsi="Arial" w:cs="Arial"/>
        <w:sz w:val="16"/>
        <w:szCs w:val="16"/>
      </w:rPr>
    </w:pPr>
    <w:r w:rsidRPr="001B5AE5">
      <w:rPr>
        <w:rFonts w:ascii="Arial" w:hAnsi="Arial" w:cs="Arial"/>
        <w:sz w:val="16"/>
        <w:szCs w:val="16"/>
      </w:rPr>
      <w:t xml:space="preserve">Carrera 25 G No. 73 B – 90 </w:t>
    </w:r>
    <w:r>
      <w:rPr>
        <w:rFonts w:ascii="Arial" w:hAnsi="Arial" w:cs="Arial"/>
        <w:sz w:val="16"/>
        <w:szCs w:val="16"/>
      </w:rPr>
      <w:tab/>
    </w:r>
  </w:p>
  <w:p w14:paraId="5B15F778" w14:textId="77777777" w:rsidR="00A52669" w:rsidRPr="001B5AE5" w:rsidRDefault="00A52669" w:rsidP="00A52669">
    <w:pPr>
      <w:pStyle w:val="Piedepgina"/>
      <w:tabs>
        <w:tab w:val="clear" w:pos="8838"/>
        <w:tab w:val="left" w:pos="709"/>
        <w:tab w:val="left" w:pos="4419"/>
      </w:tabs>
      <w:ind w:left="567"/>
      <w:rPr>
        <w:rFonts w:ascii="Arial" w:hAnsi="Arial" w:cs="Arial"/>
        <w:sz w:val="16"/>
        <w:szCs w:val="16"/>
        <w:lang w:val="en-US"/>
      </w:rPr>
    </w:pPr>
    <w:r w:rsidRPr="001B5AE5">
      <w:rPr>
        <w:rFonts w:ascii="Arial" w:hAnsi="Arial" w:cs="Arial"/>
        <w:sz w:val="16"/>
        <w:szCs w:val="16"/>
        <w:lang w:val="en-US"/>
      </w:rPr>
      <w:t xml:space="preserve">CE. Central Point. </w:t>
    </w:r>
    <w:r>
      <w:rPr>
        <w:rFonts w:ascii="Arial" w:hAnsi="Arial" w:cs="Arial"/>
        <w:sz w:val="16"/>
        <w:szCs w:val="16"/>
        <w:lang w:val="en-US"/>
      </w:rPr>
      <w:tab/>
    </w:r>
  </w:p>
  <w:p w14:paraId="74C39082" w14:textId="6F7069FF" w:rsidR="00A52669" w:rsidRPr="001B5AE5" w:rsidRDefault="00A52669" w:rsidP="00A52669">
    <w:pPr>
      <w:pStyle w:val="Piedepgina"/>
      <w:tabs>
        <w:tab w:val="left" w:pos="709"/>
      </w:tabs>
      <w:ind w:left="567"/>
      <w:rPr>
        <w:rFonts w:ascii="Arial" w:hAnsi="Arial" w:cs="Arial"/>
        <w:sz w:val="16"/>
        <w:szCs w:val="16"/>
        <w:lang w:val="fr-FR"/>
      </w:rPr>
    </w:pPr>
    <w:r w:rsidRPr="001B5AE5">
      <w:rPr>
        <w:rFonts w:ascii="Arial" w:hAnsi="Arial" w:cs="Arial"/>
        <w:sz w:val="16"/>
        <w:szCs w:val="16"/>
        <w:lang w:val="fr-FR"/>
      </w:rPr>
      <w:t>PBX: 3770600</w:t>
    </w:r>
  </w:p>
  <w:p w14:paraId="0D8BAF56" w14:textId="6ACBA1A7" w:rsidR="00A52669" w:rsidRDefault="005F6645" w:rsidP="00A52669">
    <w:pPr>
      <w:ind w:firstLine="567"/>
      <w:rPr>
        <w:rStyle w:val="Hipervnculo"/>
        <w:rFonts w:ascii="Arial" w:hAnsi="Arial" w:cs="Arial"/>
        <w:b/>
        <w:bCs/>
        <w:sz w:val="16"/>
        <w:szCs w:val="16"/>
        <w:lang w:val="fr-FR"/>
      </w:rPr>
    </w:pPr>
    <w:hyperlink r:id="rId2" w:history="1">
      <w:r w:rsidR="00A52669" w:rsidRPr="004A59B4">
        <w:rPr>
          <w:rStyle w:val="Hipervnculo"/>
          <w:rFonts w:ascii="Arial" w:hAnsi="Arial" w:cs="Arial"/>
          <w:b/>
          <w:bCs/>
          <w:sz w:val="16"/>
          <w:szCs w:val="16"/>
          <w:lang w:val="fr-FR"/>
        </w:rPr>
        <w:t>http://www.invias.gov.co</w:t>
      </w:r>
    </w:hyperlink>
  </w:p>
  <w:bookmarkEnd w:id="128"/>
  <w:p w14:paraId="18153997" w14:textId="469F3E9E" w:rsidR="00AD3890" w:rsidRDefault="00A52669">
    <w:pPr>
      <w:pStyle w:val="Piedepgina"/>
    </w:pPr>
    <w:r>
      <w:rPr>
        <w:noProof/>
      </w:rPr>
      <w:drawing>
        <wp:anchor distT="0" distB="0" distL="114300" distR="114300" simplePos="0" relativeHeight="251673088" behindDoc="0" locked="0" layoutInCell="1" allowOverlap="1" wp14:anchorId="1D0F27E9" wp14:editId="45B9BC70">
          <wp:simplePos x="0" y="0"/>
          <wp:positionH relativeFrom="column">
            <wp:posOffset>358775</wp:posOffset>
          </wp:positionH>
          <wp:positionV relativeFrom="paragraph">
            <wp:posOffset>125730</wp:posOffset>
          </wp:positionV>
          <wp:extent cx="5612130" cy="109855"/>
          <wp:effectExtent l="0" t="0" r="762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B137" w14:textId="77777777" w:rsidR="00F95917" w:rsidRPr="001B5AE5" w:rsidRDefault="00F95917" w:rsidP="00F95917">
    <w:pPr>
      <w:pStyle w:val="Piedepgina"/>
      <w:tabs>
        <w:tab w:val="left" w:pos="709"/>
      </w:tabs>
      <w:ind w:left="567"/>
      <w:rPr>
        <w:rFonts w:ascii="Arial" w:hAnsi="Arial" w:cs="Arial"/>
        <w:sz w:val="16"/>
        <w:szCs w:val="16"/>
      </w:rPr>
    </w:pPr>
    <w:r>
      <w:rPr>
        <w:noProof/>
      </w:rPr>
      <w:drawing>
        <wp:anchor distT="0" distB="0" distL="114300" distR="114300" simplePos="0" relativeHeight="251675136" behindDoc="0" locked="0" layoutInCell="1" allowOverlap="1" wp14:anchorId="033985D9" wp14:editId="077FAC67">
          <wp:simplePos x="0" y="0"/>
          <wp:positionH relativeFrom="margin">
            <wp:posOffset>4608195</wp:posOffset>
          </wp:positionH>
          <wp:positionV relativeFrom="paragraph">
            <wp:posOffset>40640</wp:posOffset>
          </wp:positionV>
          <wp:extent cx="1392979" cy="533400"/>
          <wp:effectExtent l="0" t="0" r="0" b="0"/>
          <wp:wrapNone/>
          <wp:docPr id="13" name="Imagen 1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ascii="Arial" w:hAnsi="Arial" w:cs="Arial"/>
        <w:sz w:val="16"/>
        <w:szCs w:val="16"/>
      </w:rPr>
      <w:t>Instituto Nacional de Vías</w:t>
    </w:r>
  </w:p>
  <w:p w14:paraId="41F84127" w14:textId="77777777" w:rsidR="00F95917" w:rsidRPr="00750DA2" w:rsidRDefault="00F95917" w:rsidP="001D2289">
    <w:pPr>
      <w:pStyle w:val="Piedepgina"/>
      <w:tabs>
        <w:tab w:val="clear" w:pos="8838"/>
        <w:tab w:val="left" w:pos="709"/>
        <w:tab w:val="left" w:pos="4419"/>
      </w:tabs>
      <w:ind w:left="567"/>
      <w:rPr>
        <w:rFonts w:ascii="Arial" w:hAnsi="Arial" w:cs="Arial"/>
        <w:sz w:val="16"/>
        <w:szCs w:val="16"/>
      </w:rPr>
    </w:pPr>
    <w:r w:rsidRPr="00750DA2">
      <w:rPr>
        <w:rFonts w:ascii="Arial" w:hAnsi="Arial" w:cs="Arial"/>
        <w:sz w:val="16"/>
        <w:szCs w:val="16"/>
      </w:rPr>
      <w:t xml:space="preserve">Carrera 25 G No. 73 B – 90 </w:t>
    </w:r>
    <w:r w:rsidRPr="00750DA2">
      <w:rPr>
        <w:rFonts w:ascii="Arial" w:hAnsi="Arial" w:cs="Arial"/>
        <w:sz w:val="16"/>
        <w:szCs w:val="16"/>
      </w:rPr>
      <w:tab/>
    </w:r>
  </w:p>
  <w:p w14:paraId="6BE85B85" w14:textId="77777777" w:rsidR="00F95917" w:rsidRPr="001B5AE5" w:rsidRDefault="00F95917" w:rsidP="00F95917">
    <w:pPr>
      <w:pStyle w:val="Piedepgina"/>
      <w:tabs>
        <w:tab w:val="clear" w:pos="8838"/>
        <w:tab w:val="left" w:pos="709"/>
        <w:tab w:val="left" w:pos="4419"/>
      </w:tabs>
      <w:ind w:left="567"/>
      <w:rPr>
        <w:rFonts w:ascii="Arial" w:hAnsi="Arial" w:cs="Arial"/>
        <w:sz w:val="16"/>
        <w:szCs w:val="16"/>
        <w:lang w:val="en-US"/>
      </w:rPr>
    </w:pPr>
    <w:r w:rsidRPr="001B5AE5">
      <w:rPr>
        <w:rFonts w:ascii="Arial" w:hAnsi="Arial" w:cs="Arial"/>
        <w:sz w:val="16"/>
        <w:szCs w:val="16"/>
        <w:lang w:val="en-US"/>
      </w:rPr>
      <w:t xml:space="preserve">CE. Central Point. </w:t>
    </w:r>
    <w:r>
      <w:rPr>
        <w:rFonts w:ascii="Arial" w:hAnsi="Arial" w:cs="Arial"/>
        <w:sz w:val="16"/>
        <w:szCs w:val="16"/>
        <w:lang w:val="en-US"/>
      </w:rPr>
      <w:tab/>
    </w:r>
  </w:p>
  <w:p w14:paraId="4C0BDBCD" w14:textId="77777777" w:rsidR="00F95917" w:rsidRPr="001D2289" w:rsidRDefault="00F95917" w:rsidP="001D2289">
    <w:pPr>
      <w:pStyle w:val="Piedepgina"/>
      <w:tabs>
        <w:tab w:val="clear" w:pos="8838"/>
        <w:tab w:val="left" w:pos="709"/>
        <w:tab w:val="left" w:pos="4419"/>
      </w:tabs>
      <w:ind w:left="567"/>
      <w:rPr>
        <w:rFonts w:ascii="Arial" w:hAnsi="Arial" w:cs="Arial"/>
        <w:sz w:val="16"/>
        <w:szCs w:val="16"/>
        <w:lang w:val="en-US"/>
      </w:rPr>
    </w:pPr>
    <w:r w:rsidRPr="001D2289">
      <w:rPr>
        <w:rFonts w:ascii="Arial" w:hAnsi="Arial" w:cs="Arial"/>
        <w:sz w:val="16"/>
        <w:szCs w:val="16"/>
        <w:lang w:val="en-US"/>
      </w:rPr>
      <w:t>PBX: 3770600</w:t>
    </w:r>
  </w:p>
  <w:p w14:paraId="4CE1885F" w14:textId="07B99BA1" w:rsidR="00F95917" w:rsidRPr="00F95917" w:rsidRDefault="002317C8" w:rsidP="001D2289">
    <w:pPr>
      <w:pStyle w:val="Piedepgina"/>
      <w:tabs>
        <w:tab w:val="clear" w:pos="8838"/>
        <w:tab w:val="left" w:pos="709"/>
        <w:tab w:val="left" w:pos="4419"/>
      </w:tabs>
      <w:ind w:left="567"/>
      <w:rPr>
        <w:rFonts w:ascii="Arial" w:hAnsi="Arial" w:cs="Arial"/>
        <w:b/>
        <w:bCs/>
        <w:color w:val="0000FF"/>
        <w:sz w:val="16"/>
        <w:szCs w:val="16"/>
        <w:u w:val="single"/>
        <w:lang w:val="fr-FR"/>
      </w:rPr>
    </w:pPr>
    <w:r w:rsidRPr="001D2289">
      <w:rPr>
        <w:rFonts w:ascii="Arial" w:hAnsi="Arial" w:cs="Arial"/>
        <w:sz w:val="16"/>
        <w:szCs w:val="16"/>
        <w:lang w:val="en-US"/>
      </w:rPr>
      <w:fldChar w:fldCharType="begin"/>
    </w:r>
    <w:r w:rsidRPr="001D2289">
      <w:rPr>
        <w:rFonts w:ascii="Arial" w:hAnsi="Arial" w:cs="Arial"/>
        <w:sz w:val="16"/>
        <w:szCs w:val="16"/>
        <w:lang w:val="en-US"/>
      </w:rPr>
      <w:instrText>http://www.invias.gov.co"</w:instrText>
    </w:r>
    <w:r w:rsidRPr="001D2289">
      <w:rPr>
        <w:rFonts w:ascii="Arial" w:hAnsi="Arial" w:cs="Arial"/>
        <w:sz w:val="16"/>
        <w:szCs w:val="16"/>
        <w:lang w:val="en-US"/>
      </w:rPr>
      <w:fldChar w:fldCharType="separate"/>
    </w:r>
    <w:r w:rsidR="00F95917" w:rsidRPr="001D2289">
      <w:rPr>
        <w:rFonts w:ascii="Arial" w:hAnsi="Arial" w:cs="Arial"/>
        <w:sz w:val="16"/>
        <w:szCs w:val="16"/>
        <w:lang w:val="en-US"/>
      </w:rPr>
      <w:t>http://www.invias.gov.co</w:t>
    </w:r>
    <w:r w:rsidRPr="001D2289">
      <w:rPr>
        <w:rFonts w:ascii="Arial" w:hAnsi="Arial" w:cs="Arial"/>
        <w:sz w:val="16"/>
        <w:szCs w:val="16"/>
        <w:lang w:val="en-US"/>
      </w:rPr>
      <w:fldChar w:fldCharType="end"/>
    </w:r>
    <w:r w:rsidR="00F95917">
      <w:rPr>
        <w:noProof/>
      </w:rPr>
      <w:drawing>
        <wp:anchor distT="0" distB="0" distL="114300" distR="114300" simplePos="0" relativeHeight="251676160" behindDoc="0" locked="0" layoutInCell="1" allowOverlap="1" wp14:anchorId="6AE8909B" wp14:editId="77006EA2">
          <wp:simplePos x="0" y="0"/>
          <wp:positionH relativeFrom="column">
            <wp:posOffset>358775</wp:posOffset>
          </wp:positionH>
          <wp:positionV relativeFrom="paragraph">
            <wp:posOffset>125730</wp:posOffset>
          </wp:positionV>
          <wp:extent cx="5612130" cy="109855"/>
          <wp:effectExtent l="0" t="0" r="7620" b="444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p w14:paraId="014BC1F1" w14:textId="66A14572" w:rsidR="001672E1" w:rsidRPr="00CB0CFF" w:rsidRDefault="001672E1">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4ABCF" w14:textId="77777777" w:rsidR="009A1EBE" w:rsidRDefault="009A1EBE" w:rsidP="00C64C07">
      <w:r>
        <w:separator/>
      </w:r>
    </w:p>
  </w:footnote>
  <w:footnote w:type="continuationSeparator" w:id="0">
    <w:p w14:paraId="453A9E7E" w14:textId="77777777" w:rsidR="009A1EBE" w:rsidRDefault="009A1EBE" w:rsidP="00C64C07">
      <w:r>
        <w:continuationSeparator/>
      </w:r>
    </w:p>
  </w:footnote>
  <w:footnote w:id="1">
    <w:p w14:paraId="7FD00336" w14:textId="77777777" w:rsidR="000D6AEF" w:rsidRPr="0078038B" w:rsidRDefault="000D6AEF" w:rsidP="000D6AEF">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CF480" w14:textId="73BB59BA" w:rsidR="002259A1" w:rsidRDefault="00AD3890">
    <w:pPr>
      <w:pStyle w:val="Encabezado"/>
      <w:rPr>
        <w:rFonts w:ascii="Arial" w:hAnsi="Arial"/>
        <w:sz w:val="20"/>
      </w:rPr>
    </w:pPr>
    <w:r>
      <w:rPr>
        <w:noProof/>
      </w:rPr>
      <w:drawing>
        <wp:anchor distT="0" distB="0" distL="114300" distR="114300" simplePos="0" relativeHeight="251667968" behindDoc="0" locked="0" layoutInCell="1" allowOverlap="1" wp14:anchorId="756E33CC" wp14:editId="5F5A0121">
          <wp:simplePos x="0" y="0"/>
          <wp:positionH relativeFrom="margin">
            <wp:align>left</wp:align>
          </wp:positionH>
          <wp:positionV relativeFrom="paragraph">
            <wp:posOffset>-514985</wp:posOffset>
          </wp:positionV>
          <wp:extent cx="1042670" cy="417830"/>
          <wp:effectExtent l="0" t="0" r="5080" b="1270"/>
          <wp:wrapNone/>
          <wp:docPr id="12" name="Imagen 12"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920" behindDoc="0" locked="0" layoutInCell="1" allowOverlap="1" wp14:anchorId="0634239B" wp14:editId="3D2AC7CE">
          <wp:simplePos x="0" y="0"/>
          <wp:positionH relativeFrom="column">
            <wp:posOffset>3362325</wp:posOffset>
          </wp:positionH>
          <wp:positionV relativeFrom="paragraph">
            <wp:posOffset>-600710</wp:posOffset>
          </wp:positionV>
          <wp:extent cx="2810153" cy="448733"/>
          <wp:effectExtent l="0" t="0" r="0" b="8890"/>
          <wp:wrapNone/>
          <wp:docPr id="11" name="Imagen 1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810153" cy="44873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08B3D" w14:textId="72E4C19D" w:rsidR="002259A1" w:rsidRDefault="00CB0CFF">
    <w:pPr>
      <w:pStyle w:val="Encabezado"/>
    </w:pPr>
    <w:r>
      <w:rPr>
        <w:noProof/>
      </w:rPr>
      <w:drawing>
        <wp:anchor distT="0" distB="0" distL="114300" distR="114300" simplePos="0" relativeHeight="251677184" behindDoc="0" locked="0" layoutInCell="1" allowOverlap="1" wp14:anchorId="4CE49DF1" wp14:editId="5B488737">
          <wp:simplePos x="0" y="0"/>
          <wp:positionH relativeFrom="margin">
            <wp:align>right</wp:align>
          </wp:positionH>
          <wp:positionV relativeFrom="paragraph">
            <wp:posOffset>-631825</wp:posOffset>
          </wp:positionV>
          <wp:extent cx="1577340" cy="573043"/>
          <wp:effectExtent l="0" t="0" r="3810" b="0"/>
          <wp:wrapNone/>
          <wp:docPr id="8" name="Imagen 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73043"/>
                  </a:xfrm>
                  <a:prstGeom prst="rect">
                    <a:avLst/>
                  </a:prstGeom>
                  <a:noFill/>
                  <a:ln>
                    <a:noFill/>
                  </a:ln>
                </pic:spPr>
              </pic:pic>
            </a:graphicData>
          </a:graphic>
          <wp14:sizeRelH relativeFrom="page">
            <wp14:pctWidth>0</wp14:pctWidth>
          </wp14:sizeRelH>
          <wp14:sizeRelV relativeFrom="page">
            <wp14:pctHeight>0</wp14:pctHeight>
          </wp14:sizeRelV>
        </wp:anchor>
      </w:drawing>
    </w:r>
    <w:r w:rsidR="001672E1">
      <w:rPr>
        <w:noProof/>
      </w:rPr>
      <w:drawing>
        <wp:anchor distT="0" distB="0" distL="114300" distR="114300" simplePos="0" relativeHeight="251661824" behindDoc="0" locked="0" layoutInCell="1" allowOverlap="1" wp14:anchorId="7579F603" wp14:editId="47A7EF7A">
          <wp:simplePos x="0" y="0"/>
          <wp:positionH relativeFrom="margin">
            <wp:align>left</wp:align>
          </wp:positionH>
          <wp:positionV relativeFrom="paragraph">
            <wp:posOffset>-552768</wp:posOffset>
          </wp:positionV>
          <wp:extent cx="1042670" cy="417830"/>
          <wp:effectExtent l="0" t="0" r="5080" b="1270"/>
          <wp:wrapNone/>
          <wp:docPr id="9" name="Imagen 9"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78pt;height:176pt" o:bullet="t">
        <v:imagedata r:id="rId1" o:title=""/>
      </v:shape>
    </w:pict>
  </w:numPicBullet>
  <w:abstractNum w:abstractNumId="0" w15:restartNumberingAfterBreak="0">
    <w:nsid w:val="01460B35"/>
    <w:multiLevelType w:val="hybridMultilevel"/>
    <w:tmpl w:val="21D2EE7C"/>
    <w:lvl w:ilvl="0" w:tplc="B1EE6A34">
      <w:numFmt w:val="bullet"/>
      <w:lvlText w:val=""/>
      <w:lvlJc w:val="left"/>
      <w:pPr>
        <w:ind w:left="468" w:hanging="360"/>
      </w:pPr>
      <w:rPr>
        <w:rFonts w:ascii="Symbol" w:eastAsia="Symbol" w:hAnsi="Symbol" w:cs="Symbol" w:hint="default"/>
        <w:w w:val="100"/>
        <w:sz w:val="18"/>
        <w:szCs w:val="18"/>
        <w:lang w:val="es-ES" w:eastAsia="en-US" w:bidi="ar-SA"/>
      </w:rPr>
    </w:lvl>
    <w:lvl w:ilvl="1" w:tplc="BA109D04">
      <w:numFmt w:val="bullet"/>
      <w:lvlText w:val="•"/>
      <w:lvlJc w:val="left"/>
      <w:pPr>
        <w:ind w:left="1294" w:hanging="360"/>
      </w:pPr>
      <w:rPr>
        <w:rFonts w:hint="default"/>
        <w:lang w:val="es-ES" w:eastAsia="en-US" w:bidi="ar-SA"/>
      </w:rPr>
    </w:lvl>
    <w:lvl w:ilvl="2" w:tplc="479A4D76">
      <w:numFmt w:val="bullet"/>
      <w:lvlText w:val="•"/>
      <w:lvlJc w:val="left"/>
      <w:pPr>
        <w:ind w:left="2129" w:hanging="360"/>
      </w:pPr>
      <w:rPr>
        <w:rFonts w:hint="default"/>
        <w:lang w:val="es-ES" w:eastAsia="en-US" w:bidi="ar-SA"/>
      </w:rPr>
    </w:lvl>
    <w:lvl w:ilvl="3" w:tplc="11789B76">
      <w:numFmt w:val="bullet"/>
      <w:lvlText w:val="•"/>
      <w:lvlJc w:val="left"/>
      <w:pPr>
        <w:ind w:left="2964" w:hanging="360"/>
      </w:pPr>
      <w:rPr>
        <w:rFonts w:hint="default"/>
        <w:lang w:val="es-ES" w:eastAsia="en-US" w:bidi="ar-SA"/>
      </w:rPr>
    </w:lvl>
    <w:lvl w:ilvl="4" w:tplc="75EC5518">
      <w:numFmt w:val="bullet"/>
      <w:lvlText w:val="•"/>
      <w:lvlJc w:val="left"/>
      <w:pPr>
        <w:ind w:left="3799" w:hanging="360"/>
      </w:pPr>
      <w:rPr>
        <w:rFonts w:hint="default"/>
        <w:lang w:val="es-ES" w:eastAsia="en-US" w:bidi="ar-SA"/>
      </w:rPr>
    </w:lvl>
    <w:lvl w:ilvl="5" w:tplc="D18EF430">
      <w:numFmt w:val="bullet"/>
      <w:lvlText w:val="•"/>
      <w:lvlJc w:val="left"/>
      <w:pPr>
        <w:ind w:left="4634" w:hanging="360"/>
      </w:pPr>
      <w:rPr>
        <w:rFonts w:hint="default"/>
        <w:lang w:val="es-ES" w:eastAsia="en-US" w:bidi="ar-SA"/>
      </w:rPr>
    </w:lvl>
    <w:lvl w:ilvl="6" w:tplc="8234A85E">
      <w:numFmt w:val="bullet"/>
      <w:lvlText w:val="•"/>
      <w:lvlJc w:val="left"/>
      <w:pPr>
        <w:ind w:left="5469" w:hanging="360"/>
      </w:pPr>
      <w:rPr>
        <w:rFonts w:hint="default"/>
        <w:lang w:val="es-ES" w:eastAsia="en-US" w:bidi="ar-SA"/>
      </w:rPr>
    </w:lvl>
    <w:lvl w:ilvl="7" w:tplc="D1AE9E64">
      <w:numFmt w:val="bullet"/>
      <w:lvlText w:val="•"/>
      <w:lvlJc w:val="left"/>
      <w:pPr>
        <w:ind w:left="6304" w:hanging="360"/>
      </w:pPr>
      <w:rPr>
        <w:rFonts w:hint="default"/>
        <w:lang w:val="es-ES" w:eastAsia="en-US" w:bidi="ar-SA"/>
      </w:rPr>
    </w:lvl>
    <w:lvl w:ilvl="8" w:tplc="0EB46B48">
      <w:numFmt w:val="bullet"/>
      <w:lvlText w:val="•"/>
      <w:lvlJc w:val="left"/>
      <w:pPr>
        <w:ind w:left="7139" w:hanging="360"/>
      </w:pPr>
      <w:rPr>
        <w:rFonts w:hint="default"/>
        <w:lang w:val="es-ES" w:eastAsia="en-US" w:bidi="ar-SA"/>
      </w:rPr>
    </w:lvl>
  </w:abstractNum>
  <w:abstractNum w:abstractNumId="1"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9702E32"/>
    <w:multiLevelType w:val="hybridMultilevel"/>
    <w:tmpl w:val="D77078E8"/>
    <w:lvl w:ilvl="0" w:tplc="F318842C">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26668F"/>
    <w:multiLevelType w:val="hybridMultilevel"/>
    <w:tmpl w:val="89B69B3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2"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3" w15:restartNumberingAfterBreak="0">
    <w:nsid w:val="27B2060F"/>
    <w:multiLevelType w:val="multilevel"/>
    <w:tmpl w:val="1828FBD2"/>
    <w:lvl w:ilvl="0">
      <w:start w:val="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A274A1C"/>
    <w:multiLevelType w:val="hybridMultilevel"/>
    <w:tmpl w:val="D26859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7" w15:restartNumberingAfterBreak="0">
    <w:nsid w:val="2B440E52"/>
    <w:multiLevelType w:val="hybridMultilevel"/>
    <w:tmpl w:val="FC1ED8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4"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2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9" w15:restartNumberingAfterBreak="0">
    <w:nsid w:val="46C65EC3"/>
    <w:multiLevelType w:val="hybridMultilevel"/>
    <w:tmpl w:val="3A30A26E"/>
    <w:lvl w:ilvl="0" w:tplc="F7507B5E">
      <w:numFmt w:val="bullet"/>
      <w:lvlText w:val=""/>
      <w:lvlJc w:val="left"/>
      <w:pPr>
        <w:ind w:left="468" w:hanging="360"/>
      </w:pPr>
      <w:rPr>
        <w:rFonts w:ascii="Symbol" w:eastAsia="Symbol" w:hAnsi="Symbol" w:cs="Symbol" w:hint="default"/>
        <w:w w:val="100"/>
        <w:sz w:val="18"/>
        <w:szCs w:val="18"/>
        <w:lang w:val="es-ES" w:eastAsia="en-US" w:bidi="ar-SA"/>
      </w:rPr>
    </w:lvl>
    <w:lvl w:ilvl="1" w:tplc="4F76B13C">
      <w:numFmt w:val="bullet"/>
      <w:lvlText w:val="•"/>
      <w:lvlJc w:val="left"/>
      <w:pPr>
        <w:ind w:left="1294" w:hanging="360"/>
      </w:pPr>
      <w:rPr>
        <w:rFonts w:hint="default"/>
        <w:lang w:val="es-ES" w:eastAsia="en-US" w:bidi="ar-SA"/>
      </w:rPr>
    </w:lvl>
    <w:lvl w:ilvl="2" w:tplc="E3EE9BEE">
      <w:numFmt w:val="bullet"/>
      <w:lvlText w:val="•"/>
      <w:lvlJc w:val="left"/>
      <w:pPr>
        <w:ind w:left="2129" w:hanging="360"/>
      </w:pPr>
      <w:rPr>
        <w:rFonts w:hint="default"/>
        <w:lang w:val="es-ES" w:eastAsia="en-US" w:bidi="ar-SA"/>
      </w:rPr>
    </w:lvl>
    <w:lvl w:ilvl="3" w:tplc="7166DE6A">
      <w:numFmt w:val="bullet"/>
      <w:lvlText w:val="•"/>
      <w:lvlJc w:val="left"/>
      <w:pPr>
        <w:ind w:left="2964" w:hanging="360"/>
      </w:pPr>
      <w:rPr>
        <w:rFonts w:hint="default"/>
        <w:lang w:val="es-ES" w:eastAsia="en-US" w:bidi="ar-SA"/>
      </w:rPr>
    </w:lvl>
    <w:lvl w:ilvl="4" w:tplc="48AEC7C8">
      <w:numFmt w:val="bullet"/>
      <w:lvlText w:val="•"/>
      <w:lvlJc w:val="left"/>
      <w:pPr>
        <w:ind w:left="3799" w:hanging="360"/>
      </w:pPr>
      <w:rPr>
        <w:rFonts w:hint="default"/>
        <w:lang w:val="es-ES" w:eastAsia="en-US" w:bidi="ar-SA"/>
      </w:rPr>
    </w:lvl>
    <w:lvl w:ilvl="5" w:tplc="BF0231B0">
      <w:numFmt w:val="bullet"/>
      <w:lvlText w:val="•"/>
      <w:lvlJc w:val="left"/>
      <w:pPr>
        <w:ind w:left="4634" w:hanging="360"/>
      </w:pPr>
      <w:rPr>
        <w:rFonts w:hint="default"/>
        <w:lang w:val="es-ES" w:eastAsia="en-US" w:bidi="ar-SA"/>
      </w:rPr>
    </w:lvl>
    <w:lvl w:ilvl="6" w:tplc="8DE8920C">
      <w:numFmt w:val="bullet"/>
      <w:lvlText w:val="•"/>
      <w:lvlJc w:val="left"/>
      <w:pPr>
        <w:ind w:left="5469" w:hanging="360"/>
      </w:pPr>
      <w:rPr>
        <w:rFonts w:hint="default"/>
        <w:lang w:val="es-ES" w:eastAsia="en-US" w:bidi="ar-SA"/>
      </w:rPr>
    </w:lvl>
    <w:lvl w:ilvl="7" w:tplc="3858E3B0">
      <w:numFmt w:val="bullet"/>
      <w:lvlText w:val="•"/>
      <w:lvlJc w:val="left"/>
      <w:pPr>
        <w:ind w:left="6304" w:hanging="360"/>
      </w:pPr>
      <w:rPr>
        <w:rFonts w:hint="default"/>
        <w:lang w:val="es-ES" w:eastAsia="en-US" w:bidi="ar-SA"/>
      </w:rPr>
    </w:lvl>
    <w:lvl w:ilvl="8" w:tplc="6B147A64">
      <w:numFmt w:val="bullet"/>
      <w:lvlText w:val="•"/>
      <w:lvlJc w:val="left"/>
      <w:pPr>
        <w:ind w:left="7139" w:hanging="360"/>
      </w:pPr>
      <w:rPr>
        <w:rFonts w:hint="default"/>
        <w:lang w:val="es-ES" w:eastAsia="en-US" w:bidi="ar-SA"/>
      </w:r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2" w15:restartNumberingAfterBreak="0">
    <w:nsid w:val="505A62B6"/>
    <w:multiLevelType w:val="hybridMultilevel"/>
    <w:tmpl w:val="FD44B5E8"/>
    <w:lvl w:ilvl="0" w:tplc="B54CC62C">
      <w:start w:val="1"/>
      <w:numFmt w:val="lowerRoman"/>
      <w:lvlText w:val="%1)"/>
      <w:lvlJc w:val="left"/>
      <w:pPr>
        <w:ind w:left="780" w:hanging="72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3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5"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23C73AA"/>
    <w:multiLevelType w:val="hybridMultilevel"/>
    <w:tmpl w:val="8BD27470"/>
    <w:lvl w:ilvl="0" w:tplc="B43AAE6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121574"/>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3"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4" w15:restartNumberingAfterBreak="0">
    <w:nsid w:val="79F87979"/>
    <w:multiLevelType w:val="hybridMultilevel"/>
    <w:tmpl w:val="24E27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3F0599"/>
    <w:multiLevelType w:val="multilevel"/>
    <w:tmpl w:val="FF922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76835244">
    <w:abstractNumId w:val="9"/>
  </w:num>
  <w:num w:numId="2" w16cid:durableId="353119418">
    <w:abstractNumId w:val="27"/>
  </w:num>
  <w:num w:numId="3" w16cid:durableId="1232542994">
    <w:abstractNumId w:val="6"/>
  </w:num>
  <w:num w:numId="4" w16cid:durableId="1322781074">
    <w:abstractNumId w:val="12"/>
  </w:num>
  <w:num w:numId="5" w16cid:durableId="2047872561">
    <w:abstractNumId w:val="4"/>
  </w:num>
  <w:num w:numId="6" w16cid:durableId="12299994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0392185">
    <w:abstractNumId w:val="16"/>
  </w:num>
  <w:num w:numId="8" w16cid:durableId="1690250994">
    <w:abstractNumId w:val="39"/>
  </w:num>
  <w:num w:numId="9" w16cid:durableId="1589577165">
    <w:abstractNumId w:val="31"/>
  </w:num>
  <w:num w:numId="10" w16cid:durableId="1036079110">
    <w:abstractNumId w:val="24"/>
  </w:num>
  <w:num w:numId="11" w16cid:durableId="364016105">
    <w:abstractNumId w:val="15"/>
  </w:num>
  <w:num w:numId="12" w16cid:durableId="65500496">
    <w:abstractNumId w:val="3"/>
  </w:num>
  <w:num w:numId="13" w16cid:durableId="132918347">
    <w:abstractNumId w:val="11"/>
  </w:num>
  <w:num w:numId="14" w16cid:durableId="1837455214">
    <w:abstractNumId w:val="19"/>
  </w:num>
  <w:num w:numId="15" w16cid:durableId="2118207583">
    <w:abstractNumId w:val="8"/>
  </w:num>
  <w:num w:numId="16" w16cid:durableId="721683164">
    <w:abstractNumId w:val="30"/>
  </w:num>
  <w:num w:numId="17" w16cid:durableId="663242295">
    <w:abstractNumId w:val="14"/>
  </w:num>
  <w:num w:numId="18" w16cid:durableId="1477339331">
    <w:abstractNumId w:val="1"/>
  </w:num>
  <w:num w:numId="19" w16cid:durableId="1028985740">
    <w:abstractNumId w:val="37"/>
  </w:num>
  <w:num w:numId="20" w16cid:durableId="322010129">
    <w:abstractNumId w:val="20"/>
  </w:num>
  <w:num w:numId="21" w16cid:durableId="1218273857">
    <w:abstractNumId w:val="36"/>
  </w:num>
  <w:num w:numId="22" w16cid:durableId="839079861">
    <w:abstractNumId w:val="18"/>
  </w:num>
  <w:num w:numId="23" w16cid:durableId="1548495139">
    <w:abstractNumId w:val="21"/>
  </w:num>
  <w:num w:numId="24" w16cid:durableId="718669079">
    <w:abstractNumId w:val="25"/>
  </w:num>
  <w:num w:numId="25" w16cid:durableId="1572425260">
    <w:abstractNumId w:val="13"/>
  </w:num>
  <w:num w:numId="26" w16cid:durableId="1896045735">
    <w:abstractNumId w:val="45"/>
  </w:num>
  <w:num w:numId="27" w16cid:durableId="845099874">
    <w:abstractNumId w:val="10"/>
  </w:num>
  <w:num w:numId="28" w16cid:durableId="1534659282">
    <w:abstractNumId w:val="44"/>
  </w:num>
  <w:num w:numId="29" w16cid:durableId="389811053">
    <w:abstractNumId w:val="17"/>
  </w:num>
  <w:num w:numId="30" w16cid:durableId="792096836">
    <w:abstractNumId w:val="5"/>
  </w:num>
  <w:num w:numId="31" w16cid:durableId="1416542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2898026">
    <w:abstractNumId w:val="42"/>
  </w:num>
  <w:num w:numId="33" w16cid:durableId="1478840759">
    <w:abstractNumId w:val="28"/>
  </w:num>
  <w:num w:numId="34" w16cid:durableId="1990862359">
    <w:abstractNumId w:val="2"/>
  </w:num>
  <w:num w:numId="35" w16cid:durableId="292760897">
    <w:abstractNumId w:val="22"/>
  </w:num>
  <w:num w:numId="36" w16cid:durableId="1060789709">
    <w:abstractNumId w:val="34"/>
  </w:num>
  <w:num w:numId="37" w16cid:durableId="1640766788">
    <w:abstractNumId w:val="23"/>
  </w:num>
  <w:num w:numId="38" w16cid:durableId="904610387">
    <w:abstractNumId w:val="33"/>
  </w:num>
  <w:num w:numId="39" w16cid:durableId="1331367312">
    <w:abstractNumId w:val="41"/>
  </w:num>
  <w:num w:numId="40" w16cid:durableId="11674744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88068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590736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1569708">
    <w:abstractNumId w:val="7"/>
  </w:num>
  <w:num w:numId="44" w16cid:durableId="554590434">
    <w:abstractNumId w:val="29"/>
  </w:num>
  <w:num w:numId="45" w16cid:durableId="831408468">
    <w:abstractNumId w:val="0"/>
  </w:num>
  <w:num w:numId="46" w16cid:durableId="849831977">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F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C07"/>
    <w:rsid w:val="00000D62"/>
    <w:rsid w:val="00000E8E"/>
    <w:rsid w:val="000035A8"/>
    <w:rsid w:val="00005514"/>
    <w:rsid w:val="00006098"/>
    <w:rsid w:val="00010905"/>
    <w:rsid w:val="00010BEB"/>
    <w:rsid w:val="00011462"/>
    <w:rsid w:val="000116AE"/>
    <w:rsid w:val="00011974"/>
    <w:rsid w:val="00011CA4"/>
    <w:rsid w:val="000121D6"/>
    <w:rsid w:val="00012994"/>
    <w:rsid w:val="00013750"/>
    <w:rsid w:val="00014E75"/>
    <w:rsid w:val="0001553E"/>
    <w:rsid w:val="00015FCC"/>
    <w:rsid w:val="000165D2"/>
    <w:rsid w:val="00016692"/>
    <w:rsid w:val="0001692E"/>
    <w:rsid w:val="00016AB0"/>
    <w:rsid w:val="00016BF3"/>
    <w:rsid w:val="00016E24"/>
    <w:rsid w:val="000201F2"/>
    <w:rsid w:val="00020A2B"/>
    <w:rsid w:val="00022431"/>
    <w:rsid w:val="00023C49"/>
    <w:rsid w:val="00023F7D"/>
    <w:rsid w:val="0002427A"/>
    <w:rsid w:val="000268B3"/>
    <w:rsid w:val="00027249"/>
    <w:rsid w:val="0002724A"/>
    <w:rsid w:val="00027587"/>
    <w:rsid w:val="00027BAA"/>
    <w:rsid w:val="00030215"/>
    <w:rsid w:val="00031809"/>
    <w:rsid w:val="0003186F"/>
    <w:rsid w:val="00032040"/>
    <w:rsid w:val="00032521"/>
    <w:rsid w:val="0003279C"/>
    <w:rsid w:val="00033452"/>
    <w:rsid w:val="00033965"/>
    <w:rsid w:val="00033F2A"/>
    <w:rsid w:val="00034A5D"/>
    <w:rsid w:val="00035382"/>
    <w:rsid w:val="000359A9"/>
    <w:rsid w:val="00035A4A"/>
    <w:rsid w:val="00036B17"/>
    <w:rsid w:val="0003733C"/>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238"/>
    <w:rsid w:val="0005089A"/>
    <w:rsid w:val="0005308C"/>
    <w:rsid w:val="0005324E"/>
    <w:rsid w:val="000532DB"/>
    <w:rsid w:val="000537A6"/>
    <w:rsid w:val="00053BE5"/>
    <w:rsid w:val="00053F62"/>
    <w:rsid w:val="00054BB1"/>
    <w:rsid w:val="00054E18"/>
    <w:rsid w:val="00055877"/>
    <w:rsid w:val="000571B7"/>
    <w:rsid w:val="00060729"/>
    <w:rsid w:val="000609F6"/>
    <w:rsid w:val="00061896"/>
    <w:rsid w:val="00061A38"/>
    <w:rsid w:val="00063012"/>
    <w:rsid w:val="00063AB8"/>
    <w:rsid w:val="00063BF7"/>
    <w:rsid w:val="000666A9"/>
    <w:rsid w:val="00067166"/>
    <w:rsid w:val="0006753F"/>
    <w:rsid w:val="00067C2E"/>
    <w:rsid w:val="00067EDF"/>
    <w:rsid w:val="00070E69"/>
    <w:rsid w:val="000728C4"/>
    <w:rsid w:val="000731B0"/>
    <w:rsid w:val="000737FC"/>
    <w:rsid w:val="00073E1D"/>
    <w:rsid w:val="00074680"/>
    <w:rsid w:val="00074FEE"/>
    <w:rsid w:val="00075D6E"/>
    <w:rsid w:val="00076388"/>
    <w:rsid w:val="00076A40"/>
    <w:rsid w:val="00076FC1"/>
    <w:rsid w:val="000804AB"/>
    <w:rsid w:val="0008073B"/>
    <w:rsid w:val="0008154F"/>
    <w:rsid w:val="00081C10"/>
    <w:rsid w:val="00081CD3"/>
    <w:rsid w:val="00082E15"/>
    <w:rsid w:val="00083956"/>
    <w:rsid w:val="000856B7"/>
    <w:rsid w:val="00085874"/>
    <w:rsid w:val="00086645"/>
    <w:rsid w:val="00086DB0"/>
    <w:rsid w:val="00086F76"/>
    <w:rsid w:val="00087056"/>
    <w:rsid w:val="00090DFA"/>
    <w:rsid w:val="00091D76"/>
    <w:rsid w:val="0009217B"/>
    <w:rsid w:val="000926F0"/>
    <w:rsid w:val="000949BE"/>
    <w:rsid w:val="00094FDD"/>
    <w:rsid w:val="0009586C"/>
    <w:rsid w:val="00095CCA"/>
    <w:rsid w:val="00096751"/>
    <w:rsid w:val="000979D5"/>
    <w:rsid w:val="000A0DF2"/>
    <w:rsid w:val="000A103F"/>
    <w:rsid w:val="000A21DD"/>
    <w:rsid w:val="000A2890"/>
    <w:rsid w:val="000A2EE2"/>
    <w:rsid w:val="000A3E8D"/>
    <w:rsid w:val="000A535C"/>
    <w:rsid w:val="000A7048"/>
    <w:rsid w:val="000B152C"/>
    <w:rsid w:val="000B1D1C"/>
    <w:rsid w:val="000B1F68"/>
    <w:rsid w:val="000B313D"/>
    <w:rsid w:val="000B3217"/>
    <w:rsid w:val="000B35B3"/>
    <w:rsid w:val="000B3A2F"/>
    <w:rsid w:val="000B3FFF"/>
    <w:rsid w:val="000B435A"/>
    <w:rsid w:val="000B43A4"/>
    <w:rsid w:val="000B4C88"/>
    <w:rsid w:val="000B5312"/>
    <w:rsid w:val="000B564A"/>
    <w:rsid w:val="000B5FDA"/>
    <w:rsid w:val="000B6216"/>
    <w:rsid w:val="000B7B9B"/>
    <w:rsid w:val="000C0388"/>
    <w:rsid w:val="000C073E"/>
    <w:rsid w:val="000C226D"/>
    <w:rsid w:val="000C2293"/>
    <w:rsid w:val="000C273E"/>
    <w:rsid w:val="000C2B2F"/>
    <w:rsid w:val="000C2BCD"/>
    <w:rsid w:val="000C36A9"/>
    <w:rsid w:val="000C514D"/>
    <w:rsid w:val="000C665D"/>
    <w:rsid w:val="000C7320"/>
    <w:rsid w:val="000C7778"/>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96B"/>
    <w:rsid w:val="000D5AB0"/>
    <w:rsid w:val="000D6AEF"/>
    <w:rsid w:val="000E0376"/>
    <w:rsid w:val="000E090F"/>
    <w:rsid w:val="000E12A8"/>
    <w:rsid w:val="000E1452"/>
    <w:rsid w:val="000E1C07"/>
    <w:rsid w:val="000E1FE9"/>
    <w:rsid w:val="000E2FE5"/>
    <w:rsid w:val="000E309A"/>
    <w:rsid w:val="000E50EC"/>
    <w:rsid w:val="000E514B"/>
    <w:rsid w:val="000E614D"/>
    <w:rsid w:val="000E65AF"/>
    <w:rsid w:val="000E67F5"/>
    <w:rsid w:val="000E6AD1"/>
    <w:rsid w:val="000E6C6E"/>
    <w:rsid w:val="000E6F1D"/>
    <w:rsid w:val="000E7E2A"/>
    <w:rsid w:val="000F09CC"/>
    <w:rsid w:val="000F0D98"/>
    <w:rsid w:val="000F2504"/>
    <w:rsid w:val="000F2C80"/>
    <w:rsid w:val="000F2FC7"/>
    <w:rsid w:val="000F312C"/>
    <w:rsid w:val="000F5963"/>
    <w:rsid w:val="000F5B23"/>
    <w:rsid w:val="000F6AD8"/>
    <w:rsid w:val="000F6AEA"/>
    <w:rsid w:val="000F6E2A"/>
    <w:rsid w:val="000F6F94"/>
    <w:rsid w:val="001008DE"/>
    <w:rsid w:val="00100DAA"/>
    <w:rsid w:val="00101F4A"/>
    <w:rsid w:val="001026D8"/>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5AC"/>
    <w:rsid w:val="0012287A"/>
    <w:rsid w:val="00122BF4"/>
    <w:rsid w:val="00123B5A"/>
    <w:rsid w:val="00123D12"/>
    <w:rsid w:val="00124025"/>
    <w:rsid w:val="001250DD"/>
    <w:rsid w:val="00125AD5"/>
    <w:rsid w:val="00125CB1"/>
    <w:rsid w:val="00126A87"/>
    <w:rsid w:val="0012738E"/>
    <w:rsid w:val="00127D66"/>
    <w:rsid w:val="001301EC"/>
    <w:rsid w:val="001311F3"/>
    <w:rsid w:val="0013145A"/>
    <w:rsid w:val="00131C26"/>
    <w:rsid w:val="0013210B"/>
    <w:rsid w:val="0013238E"/>
    <w:rsid w:val="00132F0F"/>
    <w:rsid w:val="00133348"/>
    <w:rsid w:val="00133FE6"/>
    <w:rsid w:val="0013468C"/>
    <w:rsid w:val="001346DD"/>
    <w:rsid w:val="0013487D"/>
    <w:rsid w:val="00134F92"/>
    <w:rsid w:val="00135093"/>
    <w:rsid w:val="0013600F"/>
    <w:rsid w:val="0013632B"/>
    <w:rsid w:val="00136C74"/>
    <w:rsid w:val="00140545"/>
    <w:rsid w:val="0014087A"/>
    <w:rsid w:val="00141335"/>
    <w:rsid w:val="00141768"/>
    <w:rsid w:val="00141A86"/>
    <w:rsid w:val="00141BA8"/>
    <w:rsid w:val="00142586"/>
    <w:rsid w:val="00142606"/>
    <w:rsid w:val="00142F1A"/>
    <w:rsid w:val="001432CC"/>
    <w:rsid w:val="001433F8"/>
    <w:rsid w:val="0014513C"/>
    <w:rsid w:val="0014577F"/>
    <w:rsid w:val="00145F4B"/>
    <w:rsid w:val="00146A31"/>
    <w:rsid w:val="00146AD1"/>
    <w:rsid w:val="00146C0C"/>
    <w:rsid w:val="00147BC9"/>
    <w:rsid w:val="00147C75"/>
    <w:rsid w:val="00147D7C"/>
    <w:rsid w:val="00151103"/>
    <w:rsid w:val="00152A51"/>
    <w:rsid w:val="00152A8C"/>
    <w:rsid w:val="00152B11"/>
    <w:rsid w:val="00152D67"/>
    <w:rsid w:val="001530CD"/>
    <w:rsid w:val="001531B2"/>
    <w:rsid w:val="00153D6F"/>
    <w:rsid w:val="00153FAC"/>
    <w:rsid w:val="00154F8C"/>
    <w:rsid w:val="001556B6"/>
    <w:rsid w:val="0015595E"/>
    <w:rsid w:val="00155ECF"/>
    <w:rsid w:val="00160663"/>
    <w:rsid w:val="00160EFA"/>
    <w:rsid w:val="0016101D"/>
    <w:rsid w:val="0016219A"/>
    <w:rsid w:val="001634FC"/>
    <w:rsid w:val="00163D90"/>
    <w:rsid w:val="00164E3D"/>
    <w:rsid w:val="00165723"/>
    <w:rsid w:val="001672E1"/>
    <w:rsid w:val="00172FC0"/>
    <w:rsid w:val="00173273"/>
    <w:rsid w:val="00173BA0"/>
    <w:rsid w:val="001748A6"/>
    <w:rsid w:val="0017646A"/>
    <w:rsid w:val="00176801"/>
    <w:rsid w:val="00180013"/>
    <w:rsid w:val="00180246"/>
    <w:rsid w:val="0018182E"/>
    <w:rsid w:val="001822D7"/>
    <w:rsid w:val="0018238E"/>
    <w:rsid w:val="00182B32"/>
    <w:rsid w:val="00182D30"/>
    <w:rsid w:val="0018367B"/>
    <w:rsid w:val="00183A64"/>
    <w:rsid w:val="00183DA8"/>
    <w:rsid w:val="001843EB"/>
    <w:rsid w:val="001848B4"/>
    <w:rsid w:val="00185722"/>
    <w:rsid w:val="00185726"/>
    <w:rsid w:val="00185863"/>
    <w:rsid w:val="00185963"/>
    <w:rsid w:val="00185AB4"/>
    <w:rsid w:val="00186E08"/>
    <w:rsid w:val="00190E3B"/>
    <w:rsid w:val="00192403"/>
    <w:rsid w:val="00192A61"/>
    <w:rsid w:val="001930C6"/>
    <w:rsid w:val="0019345D"/>
    <w:rsid w:val="00193C1D"/>
    <w:rsid w:val="0019414C"/>
    <w:rsid w:val="00195171"/>
    <w:rsid w:val="0019572E"/>
    <w:rsid w:val="00196F19"/>
    <w:rsid w:val="00197382"/>
    <w:rsid w:val="001975E8"/>
    <w:rsid w:val="001A0677"/>
    <w:rsid w:val="001A19A4"/>
    <w:rsid w:val="001A3D27"/>
    <w:rsid w:val="001A45BB"/>
    <w:rsid w:val="001A58FA"/>
    <w:rsid w:val="001A67BF"/>
    <w:rsid w:val="001A6DF7"/>
    <w:rsid w:val="001A7100"/>
    <w:rsid w:val="001A73A5"/>
    <w:rsid w:val="001A74FD"/>
    <w:rsid w:val="001A766F"/>
    <w:rsid w:val="001A7EB4"/>
    <w:rsid w:val="001B0680"/>
    <w:rsid w:val="001B29F3"/>
    <w:rsid w:val="001B2BBB"/>
    <w:rsid w:val="001B2D1D"/>
    <w:rsid w:val="001B340C"/>
    <w:rsid w:val="001B3FE8"/>
    <w:rsid w:val="001B43F8"/>
    <w:rsid w:val="001B5AB4"/>
    <w:rsid w:val="001B64CE"/>
    <w:rsid w:val="001B665C"/>
    <w:rsid w:val="001B6B9B"/>
    <w:rsid w:val="001C054E"/>
    <w:rsid w:val="001C08C3"/>
    <w:rsid w:val="001C0921"/>
    <w:rsid w:val="001C1DBD"/>
    <w:rsid w:val="001C3488"/>
    <w:rsid w:val="001C36BC"/>
    <w:rsid w:val="001C3A26"/>
    <w:rsid w:val="001C3C30"/>
    <w:rsid w:val="001C4886"/>
    <w:rsid w:val="001C5185"/>
    <w:rsid w:val="001C56CE"/>
    <w:rsid w:val="001C5908"/>
    <w:rsid w:val="001C593D"/>
    <w:rsid w:val="001C73C8"/>
    <w:rsid w:val="001C749B"/>
    <w:rsid w:val="001D065D"/>
    <w:rsid w:val="001D0EB8"/>
    <w:rsid w:val="001D1205"/>
    <w:rsid w:val="001D2289"/>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0913"/>
    <w:rsid w:val="001E1935"/>
    <w:rsid w:val="001E2D8D"/>
    <w:rsid w:val="001E3403"/>
    <w:rsid w:val="001E38D2"/>
    <w:rsid w:val="001E3BCE"/>
    <w:rsid w:val="001E3E04"/>
    <w:rsid w:val="001E5252"/>
    <w:rsid w:val="001E53B7"/>
    <w:rsid w:val="001E60A7"/>
    <w:rsid w:val="001E6597"/>
    <w:rsid w:val="001E677A"/>
    <w:rsid w:val="001F1AC0"/>
    <w:rsid w:val="001F27FD"/>
    <w:rsid w:val="001F2949"/>
    <w:rsid w:val="001F40E4"/>
    <w:rsid w:val="001F5DCA"/>
    <w:rsid w:val="002001B3"/>
    <w:rsid w:val="002007AC"/>
    <w:rsid w:val="00200C9C"/>
    <w:rsid w:val="00201459"/>
    <w:rsid w:val="002015D4"/>
    <w:rsid w:val="0020235A"/>
    <w:rsid w:val="00202A3B"/>
    <w:rsid w:val="00202D68"/>
    <w:rsid w:val="00203092"/>
    <w:rsid w:val="00203B24"/>
    <w:rsid w:val="00204774"/>
    <w:rsid w:val="00204BEE"/>
    <w:rsid w:val="00204BFC"/>
    <w:rsid w:val="00205709"/>
    <w:rsid w:val="0020778B"/>
    <w:rsid w:val="00210359"/>
    <w:rsid w:val="0021050C"/>
    <w:rsid w:val="0021233E"/>
    <w:rsid w:val="002128B7"/>
    <w:rsid w:val="00212AAF"/>
    <w:rsid w:val="00213236"/>
    <w:rsid w:val="00213802"/>
    <w:rsid w:val="00214589"/>
    <w:rsid w:val="00214F19"/>
    <w:rsid w:val="00215CEA"/>
    <w:rsid w:val="00216031"/>
    <w:rsid w:val="002164D0"/>
    <w:rsid w:val="002171FE"/>
    <w:rsid w:val="0021782A"/>
    <w:rsid w:val="0022028A"/>
    <w:rsid w:val="0022155A"/>
    <w:rsid w:val="00221DE2"/>
    <w:rsid w:val="00223024"/>
    <w:rsid w:val="0022363E"/>
    <w:rsid w:val="00223D77"/>
    <w:rsid w:val="00224607"/>
    <w:rsid w:val="002248BB"/>
    <w:rsid w:val="00224A1B"/>
    <w:rsid w:val="00224E84"/>
    <w:rsid w:val="0022526B"/>
    <w:rsid w:val="00225633"/>
    <w:rsid w:val="00225947"/>
    <w:rsid w:val="002259A1"/>
    <w:rsid w:val="00226FB5"/>
    <w:rsid w:val="00227488"/>
    <w:rsid w:val="00227EFA"/>
    <w:rsid w:val="0023075F"/>
    <w:rsid w:val="00230F8D"/>
    <w:rsid w:val="002312C1"/>
    <w:rsid w:val="002312E9"/>
    <w:rsid w:val="002317C8"/>
    <w:rsid w:val="0023187A"/>
    <w:rsid w:val="00231930"/>
    <w:rsid w:val="00232FC0"/>
    <w:rsid w:val="0023368D"/>
    <w:rsid w:val="002339B6"/>
    <w:rsid w:val="00234215"/>
    <w:rsid w:val="00234B16"/>
    <w:rsid w:val="00234DF5"/>
    <w:rsid w:val="002351A6"/>
    <w:rsid w:val="00237C64"/>
    <w:rsid w:val="00240A46"/>
    <w:rsid w:val="00240BF6"/>
    <w:rsid w:val="00240E64"/>
    <w:rsid w:val="002428C2"/>
    <w:rsid w:val="00244DCE"/>
    <w:rsid w:val="002452DD"/>
    <w:rsid w:val="00245630"/>
    <w:rsid w:val="00246918"/>
    <w:rsid w:val="0025069D"/>
    <w:rsid w:val="00250A9A"/>
    <w:rsid w:val="00250C29"/>
    <w:rsid w:val="002515DF"/>
    <w:rsid w:val="00251B5B"/>
    <w:rsid w:val="0025387F"/>
    <w:rsid w:val="00253917"/>
    <w:rsid w:val="00255160"/>
    <w:rsid w:val="002564E1"/>
    <w:rsid w:val="0025709D"/>
    <w:rsid w:val="00257BF4"/>
    <w:rsid w:val="00257CBC"/>
    <w:rsid w:val="0026186D"/>
    <w:rsid w:val="00261FF0"/>
    <w:rsid w:val="0026301E"/>
    <w:rsid w:val="002633B7"/>
    <w:rsid w:val="00264099"/>
    <w:rsid w:val="002655D4"/>
    <w:rsid w:val="00266C11"/>
    <w:rsid w:val="00267022"/>
    <w:rsid w:val="002679AD"/>
    <w:rsid w:val="00267D16"/>
    <w:rsid w:val="00270233"/>
    <w:rsid w:val="00270B13"/>
    <w:rsid w:val="0027247A"/>
    <w:rsid w:val="002725FF"/>
    <w:rsid w:val="0027315C"/>
    <w:rsid w:val="00273397"/>
    <w:rsid w:val="002739DD"/>
    <w:rsid w:val="00273C90"/>
    <w:rsid w:val="002744E5"/>
    <w:rsid w:val="00275F68"/>
    <w:rsid w:val="00276027"/>
    <w:rsid w:val="00277297"/>
    <w:rsid w:val="00277F4F"/>
    <w:rsid w:val="00277F69"/>
    <w:rsid w:val="00280336"/>
    <w:rsid w:val="002814A7"/>
    <w:rsid w:val="00281807"/>
    <w:rsid w:val="002832F9"/>
    <w:rsid w:val="00283F36"/>
    <w:rsid w:val="002842C6"/>
    <w:rsid w:val="00284D91"/>
    <w:rsid w:val="00285705"/>
    <w:rsid w:val="0028719C"/>
    <w:rsid w:val="00290615"/>
    <w:rsid w:val="00290924"/>
    <w:rsid w:val="00290A41"/>
    <w:rsid w:val="002913B1"/>
    <w:rsid w:val="00291E85"/>
    <w:rsid w:val="00291F95"/>
    <w:rsid w:val="00292AF7"/>
    <w:rsid w:val="002947E7"/>
    <w:rsid w:val="00294B42"/>
    <w:rsid w:val="0029507A"/>
    <w:rsid w:val="002955CC"/>
    <w:rsid w:val="002962D5"/>
    <w:rsid w:val="00296CB7"/>
    <w:rsid w:val="002977FB"/>
    <w:rsid w:val="002A1492"/>
    <w:rsid w:val="002A1E6D"/>
    <w:rsid w:val="002A3376"/>
    <w:rsid w:val="002A398E"/>
    <w:rsid w:val="002A39A3"/>
    <w:rsid w:val="002A434B"/>
    <w:rsid w:val="002A4972"/>
    <w:rsid w:val="002A4C53"/>
    <w:rsid w:val="002A4CA2"/>
    <w:rsid w:val="002A6719"/>
    <w:rsid w:val="002A7288"/>
    <w:rsid w:val="002A72B5"/>
    <w:rsid w:val="002B01AE"/>
    <w:rsid w:val="002B0281"/>
    <w:rsid w:val="002B1A92"/>
    <w:rsid w:val="002B1B22"/>
    <w:rsid w:val="002B28E9"/>
    <w:rsid w:val="002B3977"/>
    <w:rsid w:val="002B3B02"/>
    <w:rsid w:val="002B7336"/>
    <w:rsid w:val="002B74D2"/>
    <w:rsid w:val="002C1222"/>
    <w:rsid w:val="002C4838"/>
    <w:rsid w:val="002C49B3"/>
    <w:rsid w:val="002C599E"/>
    <w:rsid w:val="002C5F61"/>
    <w:rsid w:val="002C699C"/>
    <w:rsid w:val="002C6EF8"/>
    <w:rsid w:val="002C764B"/>
    <w:rsid w:val="002C7D07"/>
    <w:rsid w:val="002D253B"/>
    <w:rsid w:val="002D3521"/>
    <w:rsid w:val="002D36F7"/>
    <w:rsid w:val="002D431C"/>
    <w:rsid w:val="002D4C85"/>
    <w:rsid w:val="002D50DF"/>
    <w:rsid w:val="002D67F0"/>
    <w:rsid w:val="002D6A43"/>
    <w:rsid w:val="002E2E6B"/>
    <w:rsid w:val="002E3EA5"/>
    <w:rsid w:val="002E4085"/>
    <w:rsid w:val="002E642D"/>
    <w:rsid w:val="002E7239"/>
    <w:rsid w:val="002E73CD"/>
    <w:rsid w:val="002E794C"/>
    <w:rsid w:val="002E7A2A"/>
    <w:rsid w:val="002F167F"/>
    <w:rsid w:val="002F1C60"/>
    <w:rsid w:val="002F2116"/>
    <w:rsid w:val="002F25E6"/>
    <w:rsid w:val="002F26A9"/>
    <w:rsid w:val="002F2DA2"/>
    <w:rsid w:val="002F41C4"/>
    <w:rsid w:val="002F503D"/>
    <w:rsid w:val="002F50AA"/>
    <w:rsid w:val="002F52D0"/>
    <w:rsid w:val="002F6826"/>
    <w:rsid w:val="002F7CC0"/>
    <w:rsid w:val="003001C8"/>
    <w:rsid w:val="0030057C"/>
    <w:rsid w:val="003005FA"/>
    <w:rsid w:val="00300BBB"/>
    <w:rsid w:val="00300FE6"/>
    <w:rsid w:val="003018B5"/>
    <w:rsid w:val="00302372"/>
    <w:rsid w:val="00302AF3"/>
    <w:rsid w:val="003032B3"/>
    <w:rsid w:val="00303A22"/>
    <w:rsid w:val="00303CDD"/>
    <w:rsid w:val="00304471"/>
    <w:rsid w:val="003062D1"/>
    <w:rsid w:val="00306379"/>
    <w:rsid w:val="003079D6"/>
    <w:rsid w:val="00307C3E"/>
    <w:rsid w:val="00310287"/>
    <w:rsid w:val="00310FC4"/>
    <w:rsid w:val="00311469"/>
    <w:rsid w:val="003119AE"/>
    <w:rsid w:val="0031223A"/>
    <w:rsid w:val="0031225C"/>
    <w:rsid w:val="0031236A"/>
    <w:rsid w:val="003123A8"/>
    <w:rsid w:val="00313072"/>
    <w:rsid w:val="00313664"/>
    <w:rsid w:val="003138AC"/>
    <w:rsid w:val="00313CF2"/>
    <w:rsid w:val="00314BC4"/>
    <w:rsid w:val="00315600"/>
    <w:rsid w:val="00315978"/>
    <w:rsid w:val="00316802"/>
    <w:rsid w:val="0031682D"/>
    <w:rsid w:val="00316AFE"/>
    <w:rsid w:val="00317407"/>
    <w:rsid w:val="0032249B"/>
    <w:rsid w:val="00322CBF"/>
    <w:rsid w:val="003232BA"/>
    <w:rsid w:val="003244A1"/>
    <w:rsid w:val="00325055"/>
    <w:rsid w:val="00325DD3"/>
    <w:rsid w:val="00326086"/>
    <w:rsid w:val="0032639B"/>
    <w:rsid w:val="00330BD8"/>
    <w:rsid w:val="003312D5"/>
    <w:rsid w:val="00334E5D"/>
    <w:rsid w:val="003352BA"/>
    <w:rsid w:val="00335A3C"/>
    <w:rsid w:val="00335E2F"/>
    <w:rsid w:val="00335FE3"/>
    <w:rsid w:val="003361FE"/>
    <w:rsid w:val="003373AC"/>
    <w:rsid w:val="00337F4C"/>
    <w:rsid w:val="00340550"/>
    <w:rsid w:val="003407F7"/>
    <w:rsid w:val="00340F20"/>
    <w:rsid w:val="00341779"/>
    <w:rsid w:val="00341EF5"/>
    <w:rsid w:val="00342141"/>
    <w:rsid w:val="0034253A"/>
    <w:rsid w:val="00342F93"/>
    <w:rsid w:val="00343582"/>
    <w:rsid w:val="00344FB3"/>
    <w:rsid w:val="003459B1"/>
    <w:rsid w:val="003502F7"/>
    <w:rsid w:val="003522DF"/>
    <w:rsid w:val="00352AD2"/>
    <w:rsid w:val="00352FB2"/>
    <w:rsid w:val="003531AD"/>
    <w:rsid w:val="003540E3"/>
    <w:rsid w:val="003545A9"/>
    <w:rsid w:val="00354D05"/>
    <w:rsid w:val="00355596"/>
    <w:rsid w:val="0035579A"/>
    <w:rsid w:val="0035595D"/>
    <w:rsid w:val="003559E4"/>
    <w:rsid w:val="00355E72"/>
    <w:rsid w:val="00357280"/>
    <w:rsid w:val="003574F2"/>
    <w:rsid w:val="00360052"/>
    <w:rsid w:val="00360246"/>
    <w:rsid w:val="00360BC6"/>
    <w:rsid w:val="00361599"/>
    <w:rsid w:val="00361A72"/>
    <w:rsid w:val="00362091"/>
    <w:rsid w:val="0036210A"/>
    <w:rsid w:val="00362172"/>
    <w:rsid w:val="003621E1"/>
    <w:rsid w:val="0036240D"/>
    <w:rsid w:val="003624A7"/>
    <w:rsid w:val="003626EE"/>
    <w:rsid w:val="00362B7D"/>
    <w:rsid w:val="00362C59"/>
    <w:rsid w:val="003640C3"/>
    <w:rsid w:val="00364AC0"/>
    <w:rsid w:val="00364B7E"/>
    <w:rsid w:val="00365ADF"/>
    <w:rsid w:val="00366BDE"/>
    <w:rsid w:val="00367717"/>
    <w:rsid w:val="00367726"/>
    <w:rsid w:val="00370108"/>
    <w:rsid w:val="00370CF4"/>
    <w:rsid w:val="00371C8A"/>
    <w:rsid w:val="00371FE5"/>
    <w:rsid w:val="003720AE"/>
    <w:rsid w:val="0037261C"/>
    <w:rsid w:val="00372689"/>
    <w:rsid w:val="00372D45"/>
    <w:rsid w:val="00372D58"/>
    <w:rsid w:val="00374145"/>
    <w:rsid w:val="003744B9"/>
    <w:rsid w:val="0037497D"/>
    <w:rsid w:val="003758F7"/>
    <w:rsid w:val="00376859"/>
    <w:rsid w:val="00376A1F"/>
    <w:rsid w:val="00377EB9"/>
    <w:rsid w:val="00380239"/>
    <w:rsid w:val="003810E2"/>
    <w:rsid w:val="00381208"/>
    <w:rsid w:val="0038173A"/>
    <w:rsid w:val="00381F4B"/>
    <w:rsid w:val="0038210E"/>
    <w:rsid w:val="00382C54"/>
    <w:rsid w:val="00383623"/>
    <w:rsid w:val="00383B18"/>
    <w:rsid w:val="00383DAA"/>
    <w:rsid w:val="00383E4E"/>
    <w:rsid w:val="00384131"/>
    <w:rsid w:val="00384AB8"/>
    <w:rsid w:val="00385600"/>
    <w:rsid w:val="00385EB3"/>
    <w:rsid w:val="00386D23"/>
    <w:rsid w:val="00387202"/>
    <w:rsid w:val="00392615"/>
    <w:rsid w:val="00392DA5"/>
    <w:rsid w:val="00394704"/>
    <w:rsid w:val="00394820"/>
    <w:rsid w:val="003A01EC"/>
    <w:rsid w:val="003A20E9"/>
    <w:rsid w:val="003A2BFE"/>
    <w:rsid w:val="003A40E2"/>
    <w:rsid w:val="003A4A71"/>
    <w:rsid w:val="003A4BC9"/>
    <w:rsid w:val="003A5C86"/>
    <w:rsid w:val="003B10C8"/>
    <w:rsid w:val="003B127F"/>
    <w:rsid w:val="003B1B0F"/>
    <w:rsid w:val="003B2561"/>
    <w:rsid w:val="003B2576"/>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859"/>
    <w:rsid w:val="003C30FC"/>
    <w:rsid w:val="003C38F9"/>
    <w:rsid w:val="003C3ADC"/>
    <w:rsid w:val="003C43A7"/>
    <w:rsid w:val="003C472A"/>
    <w:rsid w:val="003C4873"/>
    <w:rsid w:val="003C53FF"/>
    <w:rsid w:val="003C614A"/>
    <w:rsid w:val="003C6186"/>
    <w:rsid w:val="003C64C2"/>
    <w:rsid w:val="003C66E6"/>
    <w:rsid w:val="003C70BA"/>
    <w:rsid w:val="003C7D62"/>
    <w:rsid w:val="003D01BB"/>
    <w:rsid w:val="003D04EE"/>
    <w:rsid w:val="003D06EA"/>
    <w:rsid w:val="003D0D90"/>
    <w:rsid w:val="003D14C6"/>
    <w:rsid w:val="003D15D3"/>
    <w:rsid w:val="003D1A31"/>
    <w:rsid w:val="003D4160"/>
    <w:rsid w:val="003D4CB4"/>
    <w:rsid w:val="003D5FFD"/>
    <w:rsid w:val="003D62C4"/>
    <w:rsid w:val="003D6917"/>
    <w:rsid w:val="003D7641"/>
    <w:rsid w:val="003E0385"/>
    <w:rsid w:val="003E1354"/>
    <w:rsid w:val="003E1F7D"/>
    <w:rsid w:val="003E29DF"/>
    <w:rsid w:val="003E2BD7"/>
    <w:rsid w:val="003E3ACA"/>
    <w:rsid w:val="003E4069"/>
    <w:rsid w:val="003E4105"/>
    <w:rsid w:val="003E411D"/>
    <w:rsid w:val="003E44A3"/>
    <w:rsid w:val="003E5503"/>
    <w:rsid w:val="003E5BB5"/>
    <w:rsid w:val="003E61F7"/>
    <w:rsid w:val="003E63D4"/>
    <w:rsid w:val="003E67C9"/>
    <w:rsid w:val="003E761F"/>
    <w:rsid w:val="003F0384"/>
    <w:rsid w:val="003F052D"/>
    <w:rsid w:val="003F151F"/>
    <w:rsid w:val="003F17E9"/>
    <w:rsid w:val="003F1DEE"/>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3452"/>
    <w:rsid w:val="004044E9"/>
    <w:rsid w:val="00404530"/>
    <w:rsid w:val="00404BD3"/>
    <w:rsid w:val="00404DA2"/>
    <w:rsid w:val="0040739B"/>
    <w:rsid w:val="00407936"/>
    <w:rsid w:val="00410270"/>
    <w:rsid w:val="004115EC"/>
    <w:rsid w:val="00411EEB"/>
    <w:rsid w:val="00412865"/>
    <w:rsid w:val="00413090"/>
    <w:rsid w:val="004132C7"/>
    <w:rsid w:val="00413435"/>
    <w:rsid w:val="00413B73"/>
    <w:rsid w:val="0041520A"/>
    <w:rsid w:val="004153FE"/>
    <w:rsid w:val="00415545"/>
    <w:rsid w:val="00415F4B"/>
    <w:rsid w:val="0041604D"/>
    <w:rsid w:val="004165EF"/>
    <w:rsid w:val="00416E86"/>
    <w:rsid w:val="0041748F"/>
    <w:rsid w:val="004178BB"/>
    <w:rsid w:val="00417E6E"/>
    <w:rsid w:val="0042042F"/>
    <w:rsid w:val="00420CF1"/>
    <w:rsid w:val="00423DD2"/>
    <w:rsid w:val="00424AD3"/>
    <w:rsid w:val="00425174"/>
    <w:rsid w:val="00425A6E"/>
    <w:rsid w:val="00425A70"/>
    <w:rsid w:val="00426104"/>
    <w:rsid w:val="00426225"/>
    <w:rsid w:val="00426BEB"/>
    <w:rsid w:val="00427A10"/>
    <w:rsid w:val="004312B6"/>
    <w:rsid w:val="004318F8"/>
    <w:rsid w:val="0043375C"/>
    <w:rsid w:val="00433D72"/>
    <w:rsid w:val="00434422"/>
    <w:rsid w:val="0043453B"/>
    <w:rsid w:val="0043480E"/>
    <w:rsid w:val="00435447"/>
    <w:rsid w:val="00435E2E"/>
    <w:rsid w:val="0043661E"/>
    <w:rsid w:val="00436B58"/>
    <w:rsid w:val="00437224"/>
    <w:rsid w:val="00437C95"/>
    <w:rsid w:val="00440F1E"/>
    <w:rsid w:val="00441BFB"/>
    <w:rsid w:val="00441F3F"/>
    <w:rsid w:val="004423E1"/>
    <w:rsid w:val="00442E4B"/>
    <w:rsid w:val="00444670"/>
    <w:rsid w:val="00444E64"/>
    <w:rsid w:val="00445A4D"/>
    <w:rsid w:val="00446E25"/>
    <w:rsid w:val="00451040"/>
    <w:rsid w:val="00451BCE"/>
    <w:rsid w:val="00452BD0"/>
    <w:rsid w:val="00452C90"/>
    <w:rsid w:val="00453C73"/>
    <w:rsid w:val="00453E00"/>
    <w:rsid w:val="00455190"/>
    <w:rsid w:val="00455B8E"/>
    <w:rsid w:val="004560F3"/>
    <w:rsid w:val="004563E7"/>
    <w:rsid w:val="00460C8B"/>
    <w:rsid w:val="0046137D"/>
    <w:rsid w:val="0046345F"/>
    <w:rsid w:val="00463522"/>
    <w:rsid w:val="0046354B"/>
    <w:rsid w:val="004639E1"/>
    <w:rsid w:val="00463E6A"/>
    <w:rsid w:val="004649B1"/>
    <w:rsid w:val="00464DE2"/>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29A"/>
    <w:rsid w:val="00480670"/>
    <w:rsid w:val="00482DCE"/>
    <w:rsid w:val="00483119"/>
    <w:rsid w:val="004831EA"/>
    <w:rsid w:val="00486223"/>
    <w:rsid w:val="0048699A"/>
    <w:rsid w:val="00486CD7"/>
    <w:rsid w:val="00486DEB"/>
    <w:rsid w:val="00487086"/>
    <w:rsid w:val="00490246"/>
    <w:rsid w:val="004918BE"/>
    <w:rsid w:val="00492F6B"/>
    <w:rsid w:val="00494236"/>
    <w:rsid w:val="00494BF8"/>
    <w:rsid w:val="00497158"/>
    <w:rsid w:val="004979B6"/>
    <w:rsid w:val="004A191E"/>
    <w:rsid w:val="004A19A3"/>
    <w:rsid w:val="004A1C90"/>
    <w:rsid w:val="004A2629"/>
    <w:rsid w:val="004A3164"/>
    <w:rsid w:val="004A4AB5"/>
    <w:rsid w:val="004A5368"/>
    <w:rsid w:val="004A536A"/>
    <w:rsid w:val="004A54DC"/>
    <w:rsid w:val="004A5F5F"/>
    <w:rsid w:val="004A62D5"/>
    <w:rsid w:val="004A67EB"/>
    <w:rsid w:val="004A70AF"/>
    <w:rsid w:val="004A7908"/>
    <w:rsid w:val="004B2E05"/>
    <w:rsid w:val="004B4496"/>
    <w:rsid w:val="004B457E"/>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7F2"/>
    <w:rsid w:val="004C5B5D"/>
    <w:rsid w:val="004C613E"/>
    <w:rsid w:val="004C685E"/>
    <w:rsid w:val="004C708B"/>
    <w:rsid w:val="004C713D"/>
    <w:rsid w:val="004C728B"/>
    <w:rsid w:val="004D0EFE"/>
    <w:rsid w:val="004D1513"/>
    <w:rsid w:val="004D176F"/>
    <w:rsid w:val="004D1C4F"/>
    <w:rsid w:val="004D1E12"/>
    <w:rsid w:val="004D2305"/>
    <w:rsid w:val="004D2A6D"/>
    <w:rsid w:val="004D2EE3"/>
    <w:rsid w:val="004D3143"/>
    <w:rsid w:val="004D3D8A"/>
    <w:rsid w:val="004D47F0"/>
    <w:rsid w:val="004D4B45"/>
    <w:rsid w:val="004D6472"/>
    <w:rsid w:val="004D7046"/>
    <w:rsid w:val="004D7BB6"/>
    <w:rsid w:val="004E0855"/>
    <w:rsid w:val="004E167A"/>
    <w:rsid w:val="004E2A22"/>
    <w:rsid w:val="004E2DE3"/>
    <w:rsid w:val="004E3E54"/>
    <w:rsid w:val="004E459C"/>
    <w:rsid w:val="004E4841"/>
    <w:rsid w:val="004E58A7"/>
    <w:rsid w:val="004E5B12"/>
    <w:rsid w:val="004F0A0D"/>
    <w:rsid w:val="004F0D44"/>
    <w:rsid w:val="004F13AC"/>
    <w:rsid w:val="004F180A"/>
    <w:rsid w:val="004F1824"/>
    <w:rsid w:val="004F1BC8"/>
    <w:rsid w:val="004F2454"/>
    <w:rsid w:val="004F30FF"/>
    <w:rsid w:val="004F4288"/>
    <w:rsid w:val="004F440A"/>
    <w:rsid w:val="004F447C"/>
    <w:rsid w:val="004F5749"/>
    <w:rsid w:val="004F602C"/>
    <w:rsid w:val="004F660A"/>
    <w:rsid w:val="004F6B52"/>
    <w:rsid w:val="004F7A0E"/>
    <w:rsid w:val="004F7AD9"/>
    <w:rsid w:val="00500D66"/>
    <w:rsid w:val="00501082"/>
    <w:rsid w:val="00501349"/>
    <w:rsid w:val="005015BB"/>
    <w:rsid w:val="005016AD"/>
    <w:rsid w:val="00501C55"/>
    <w:rsid w:val="00502C5E"/>
    <w:rsid w:val="005030BD"/>
    <w:rsid w:val="00503195"/>
    <w:rsid w:val="00503300"/>
    <w:rsid w:val="00503499"/>
    <w:rsid w:val="0050399B"/>
    <w:rsid w:val="00503A52"/>
    <w:rsid w:val="00503AF0"/>
    <w:rsid w:val="005040CC"/>
    <w:rsid w:val="00504278"/>
    <w:rsid w:val="005066B0"/>
    <w:rsid w:val="005114A6"/>
    <w:rsid w:val="00511849"/>
    <w:rsid w:val="00511E0E"/>
    <w:rsid w:val="00514CD5"/>
    <w:rsid w:val="00515C6C"/>
    <w:rsid w:val="00517851"/>
    <w:rsid w:val="00520066"/>
    <w:rsid w:val="00521BBC"/>
    <w:rsid w:val="0052282E"/>
    <w:rsid w:val="005233EF"/>
    <w:rsid w:val="0052432B"/>
    <w:rsid w:val="0052455D"/>
    <w:rsid w:val="005245FC"/>
    <w:rsid w:val="0052469D"/>
    <w:rsid w:val="00525D08"/>
    <w:rsid w:val="005262E7"/>
    <w:rsid w:val="005274D8"/>
    <w:rsid w:val="00530089"/>
    <w:rsid w:val="005302D4"/>
    <w:rsid w:val="00530DA4"/>
    <w:rsid w:val="00530E3A"/>
    <w:rsid w:val="0053255B"/>
    <w:rsid w:val="005336B0"/>
    <w:rsid w:val="00533B31"/>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63A"/>
    <w:rsid w:val="00540D0C"/>
    <w:rsid w:val="005410D1"/>
    <w:rsid w:val="00541289"/>
    <w:rsid w:val="00541AAA"/>
    <w:rsid w:val="00541C72"/>
    <w:rsid w:val="00542687"/>
    <w:rsid w:val="00543F58"/>
    <w:rsid w:val="00545832"/>
    <w:rsid w:val="00545FCB"/>
    <w:rsid w:val="005466C9"/>
    <w:rsid w:val="005468B2"/>
    <w:rsid w:val="00546BAA"/>
    <w:rsid w:val="00546CEE"/>
    <w:rsid w:val="005503D7"/>
    <w:rsid w:val="005506FB"/>
    <w:rsid w:val="0055090D"/>
    <w:rsid w:val="00551221"/>
    <w:rsid w:val="005526EE"/>
    <w:rsid w:val="00554F18"/>
    <w:rsid w:val="00555473"/>
    <w:rsid w:val="005563D2"/>
    <w:rsid w:val="00557165"/>
    <w:rsid w:val="0056008F"/>
    <w:rsid w:val="005611B2"/>
    <w:rsid w:val="00562667"/>
    <w:rsid w:val="00562D59"/>
    <w:rsid w:val="00562EAB"/>
    <w:rsid w:val="00563073"/>
    <w:rsid w:val="00563496"/>
    <w:rsid w:val="0056431B"/>
    <w:rsid w:val="00564641"/>
    <w:rsid w:val="00566DA2"/>
    <w:rsid w:val="005715D9"/>
    <w:rsid w:val="005722EA"/>
    <w:rsid w:val="0057238A"/>
    <w:rsid w:val="00572D06"/>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5EFC"/>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EAD"/>
    <w:rsid w:val="005A02D0"/>
    <w:rsid w:val="005A168E"/>
    <w:rsid w:val="005A2E59"/>
    <w:rsid w:val="005A34E1"/>
    <w:rsid w:val="005A380D"/>
    <w:rsid w:val="005A42F4"/>
    <w:rsid w:val="005A5549"/>
    <w:rsid w:val="005A6290"/>
    <w:rsid w:val="005A6831"/>
    <w:rsid w:val="005A69D4"/>
    <w:rsid w:val="005A7D25"/>
    <w:rsid w:val="005A7DB8"/>
    <w:rsid w:val="005A7DB9"/>
    <w:rsid w:val="005B0537"/>
    <w:rsid w:val="005B36EE"/>
    <w:rsid w:val="005B3C5C"/>
    <w:rsid w:val="005B4143"/>
    <w:rsid w:val="005B46E1"/>
    <w:rsid w:val="005B4B8C"/>
    <w:rsid w:val="005B56F7"/>
    <w:rsid w:val="005B579E"/>
    <w:rsid w:val="005B587C"/>
    <w:rsid w:val="005B6866"/>
    <w:rsid w:val="005B6F78"/>
    <w:rsid w:val="005B71BA"/>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993"/>
    <w:rsid w:val="005C7ABA"/>
    <w:rsid w:val="005D1381"/>
    <w:rsid w:val="005D163D"/>
    <w:rsid w:val="005D2961"/>
    <w:rsid w:val="005D2D33"/>
    <w:rsid w:val="005D37FB"/>
    <w:rsid w:val="005D4266"/>
    <w:rsid w:val="005D4340"/>
    <w:rsid w:val="005D438F"/>
    <w:rsid w:val="005D5197"/>
    <w:rsid w:val="005D5C5D"/>
    <w:rsid w:val="005D5EC2"/>
    <w:rsid w:val="005D78EE"/>
    <w:rsid w:val="005E04D8"/>
    <w:rsid w:val="005E1069"/>
    <w:rsid w:val="005E10AA"/>
    <w:rsid w:val="005E190F"/>
    <w:rsid w:val="005E1F36"/>
    <w:rsid w:val="005E20F8"/>
    <w:rsid w:val="005E2A69"/>
    <w:rsid w:val="005E371C"/>
    <w:rsid w:val="005E3B8F"/>
    <w:rsid w:val="005E3BB1"/>
    <w:rsid w:val="005E4ADE"/>
    <w:rsid w:val="005E5B15"/>
    <w:rsid w:val="005E75DB"/>
    <w:rsid w:val="005E7978"/>
    <w:rsid w:val="005E79D2"/>
    <w:rsid w:val="005F312C"/>
    <w:rsid w:val="005F34C7"/>
    <w:rsid w:val="005F36E5"/>
    <w:rsid w:val="005F3D29"/>
    <w:rsid w:val="005F4182"/>
    <w:rsid w:val="005F44B1"/>
    <w:rsid w:val="005F53AE"/>
    <w:rsid w:val="005F6645"/>
    <w:rsid w:val="005F66DA"/>
    <w:rsid w:val="005F6AF4"/>
    <w:rsid w:val="00600B17"/>
    <w:rsid w:val="0060234E"/>
    <w:rsid w:val="006027DE"/>
    <w:rsid w:val="00603067"/>
    <w:rsid w:val="00603200"/>
    <w:rsid w:val="00603272"/>
    <w:rsid w:val="006033B4"/>
    <w:rsid w:val="00604321"/>
    <w:rsid w:val="006043AF"/>
    <w:rsid w:val="00604D9B"/>
    <w:rsid w:val="00604FBA"/>
    <w:rsid w:val="00605424"/>
    <w:rsid w:val="00605766"/>
    <w:rsid w:val="00605C70"/>
    <w:rsid w:val="0060654D"/>
    <w:rsid w:val="006068F0"/>
    <w:rsid w:val="0060748C"/>
    <w:rsid w:val="006103C9"/>
    <w:rsid w:val="006104D2"/>
    <w:rsid w:val="0061059C"/>
    <w:rsid w:val="006111B0"/>
    <w:rsid w:val="006113E4"/>
    <w:rsid w:val="00611782"/>
    <w:rsid w:val="00611E40"/>
    <w:rsid w:val="0061203F"/>
    <w:rsid w:val="00612EAB"/>
    <w:rsid w:val="00614FD9"/>
    <w:rsid w:val="00615081"/>
    <w:rsid w:val="00615F84"/>
    <w:rsid w:val="0061621F"/>
    <w:rsid w:val="00616E7A"/>
    <w:rsid w:val="0061787A"/>
    <w:rsid w:val="00617A92"/>
    <w:rsid w:val="00620D51"/>
    <w:rsid w:val="0062209C"/>
    <w:rsid w:val="006223A6"/>
    <w:rsid w:val="0062348F"/>
    <w:rsid w:val="0062369E"/>
    <w:rsid w:val="00625684"/>
    <w:rsid w:val="00625D4A"/>
    <w:rsid w:val="00626A84"/>
    <w:rsid w:val="00626B14"/>
    <w:rsid w:val="0062701B"/>
    <w:rsid w:val="00627349"/>
    <w:rsid w:val="00630918"/>
    <w:rsid w:val="00630A27"/>
    <w:rsid w:val="00630F7D"/>
    <w:rsid w:val="00631627"/>
    <w:rsid w:val="0063209E"/>
    <w:rsid w:val="006328C3"/>
    <w:rsid w:val="00632D55"/>
    <w:rsid w:val="00632D9E"/>
    <w:rsid w:val="00632EAA"/>
    <w:rsid w:val="00633026"/>
    <w:rsid w:val="0063437A"/>
    <w:rsid w:val="006352C2"/>
    <w:rsid w:val="00635540"/>
    <w:rsid w:val="006357E5"/>
    <w:rsid w:val="00635E22"/>
    <w:rsid w:val="00636B83"/>
    <w:rsid w:val="00637191"/>
    <w:rsid w:val="00637F08"/>
    <w:rsid w:val="00640708"/>
    <w:rsid w:val="00640774"/>
    <w:rsid w:val="00640AA1"/>
    <w:rsid w:val="006411E9"/>
    <w:rsid w:val="00641410"/>
    <w:rsid w:val="00642223"/>
    <w:rsid w:val="00642745"/>
    <w:rsid w:val="00644BF4"/>
    <w:rsid w:val="00645703"/>
    <w:rsid w:val="0064665C"/>
    <w:rsid w:val="006467B1"/>
    <w:rsid w:val="00646C9C"/>
    <w:rsid w:val="00647143"/>
    <w:rsid w:val="006478AC"/>
    <w:rsid w:val="00647CE0"/>
    <w:rsid w:val="006535C7"/>
    <w:rsid w:val="0065384E"/>
    <w:rsid w:val="00653F2D"/>
    <w:rsid w:val="006546F6"/>
    <w:rsid w:val="006547F4"/>
    <w:rsid w:val="006554A4"/>
    <w:rsid w:val="0065610B"/>
    <w:rsid w:val="00656AB9"/>
    <w:rsid w:val="00657636"/>
    <w:rsid w:val="00660330"/>
    <w:rsid w:val="00661B30"/>
    <w:rsid w:val="00661DF2"/>
    <w:rsid w:val="00662250"/>
    <w:rsid w:val="006630FC"/>
    <w:rsid w:val="0066318A"/>
    <w:rsid w:val="0066414E"/>
    <w:rsid w:val="006648EC"/>
    <w:rsid w:val="00664EDA"/>
    <w:rsid w:val="00666755"/>
    <w:rsid w:val="00667038"/>
    <w:rsid w:val="006673BE"/>
    <w:rsid w:val="00667741"/>
    <w:rsid w:val="00670312"/>
    <w:rsid w:val="00670FD8"/>
    <w:rsid w:val="00672C98"/>
    <w:rsid w:val="00673958"/>
    <w:rsid w:val="00673FD1"/>
    <w:rsid w:val="006749B2"/>
    <w:rsid w:val="00674A64"/>
    <w:rsid w:val="006822E2"/>
    <w:rsid w:val="0068275F"/>
    <w:rsid w:val="006846C6"/>
    <w:rsid w:val="006848CD"/>
    <w:rsid w:val="00684A21"/>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3E0"/>
    <w:rsid w:val="00696BD0"/>
    <w:rsid w:val="0069712F"/>
    <w:rsid w:val="006977C1"/>
    <w:rsid w:val="00697840"/>
    <w:rsid w:val="006A01B3"/>
    <w:rsid w:val="006A17DE"/>
    <w:rsid w:val="006A1BB0"/>
    <w:rsid w:val="006A23A6"/>
    <w:rsid w:val="006A2B76"/>
    <w:rsid w:val="006A2C28"/>
    <w:rsid w:val="006A2E83"/>
    <w:rsid w:val="006A33D9"/>
    <w:rsid w:val="006A38A6"/>
    <w:rsid w:val="006A3AB6"/>
    <w:rsid w:val="006A4C55"/>
    <w:rsid w:val="006A57C6"/>
    <w:rsid w:val="006A6A22"/>
    <w:rsid w:val="006A6BF9"/>
    <w:rsid w:val="006A6C13"/>
    <w:rsid w:val="006A6CA3"/>
    <w:rsid w:val="006A7739"/>
    <w:rsid w:val="006A799C"/>
    <w:rsid w:val="006B13CC"/>
    <w:rsid w:val="006B18FF"/>
    <w:rsid w:val="006B1EEA"/>
    <w:rsid w:val="006B75F4"/>
    <w:rsid w:val="006B77E0"/>
    <w:rsid w:val="006B7B7F"/>
    <w:rsid w:val="006C107E"/>
    <w:rsid w:val="006C10FB"/>
    <w:rsid w:val="006C1D4B"/>
    <w:rsid w:val="006C2499"/>
    <w:rsid w:val="006C2A43"/>
    <w:rsid w:val="006C33FE"/>
    <w:rsid w:val="006C3A79"/>
    <w:rsid w:val="006C3E0E"/>
    <w:rsid w:val="006C42F2"/>
    <w:rsid w:val="006C5A41"/>
    <w:rsid w:val="006C6E57"/>
    <w:rsid w:val="006C70E7"/>
    <w:rsid w:val="006C721A"/>
    <w:rsid w:val="006D2462"/>
    <w:rsid w:val="006D2825"/>
    <w:rsid w:val="006D2CE1"/>
    <w:rsid w:val="006D3591"/>
    <w:rsid w:val="006D4400"/>
    <w:rsid w:val="006D443D"/>
    <w:rsid w:val="006D57D6"/>
    <w:rsid w:val="006D5B2A"/>
    <w:rsid w:val="006D60B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093F"/>
    <w:rsid w:val="006F110F"/>
    <w:rsid w:val="006F1644"/>
    <w:rsid w:val="006F1A97"/>
    <w:rsid w:val="006F2198"/>
    <w:rsid w:val="006F241D"/>
    <w:rsid w:val="006F2B54"/>
    <w:rsid w:val="006F300D"/>
    <w:rsid w:val="006F3112"/>
    <w:rsid w:val="006F3695"/>
    <w:rsid w:val="006F41DA"/>
    <w:rsid w:val="006F499F"/>
    <w:rsid w:val="006F4D59"/>
    <w:rsid w:val="006F616B"/>
    <w:rsid w:val="006F68D4"/>
    <w:rsid w:val="006F6BE9"/>
    <w:rsid w:val="006F6CEA"/>
    <w:rsid w:val="006F7891"/>
    <w:rsid w:val="0070029D"/>
    <w:rsid w:val="007005A4"/>
    <w:rsid w:val="00700888"/>
    <w:rsid w:val="00700F73"/>
    <w:rsid w:val="00702838"/>
    <w:rsid w:val="00702864"/>
    <w:rsid w:val="00704789"/>
    <w:rsid w:val="00705EAE"/>
    <w:rsid w:val="007077B1"/>
    <w:rsid w:val="00707B67"/>
    <w:rsid w:val="00707B80"/>
    <w:rsid w:val="00707DEA"/>
    <w:rsid w:val="00710183"/>
    <w:rsid w:val="00711437"/>
    <w:rsid w:val="00711DEF"/>
    <w:rsid w:val="007120CB"/>
    <w:rsid w:val="00712322"/>
    <w:rsid w:val="00712B38"/>
    <w:rsid w:val="00713269"/>
    <w:rsid w:val="007137D8"/>
    <w:rsid w:val="00714781"/>
    <w:rsid w:val="00717072"/>
    <w:rsid w:val="007170E8"/>
    <w:rsid w:val="007177C4"/>
    <w:rsid w:val="00721243"/>
    <w:rsid w:val="00721721"/>
    <w:rsid w:val="007217B5"/>
    <w:rsid w:val="00722445"/>
    <w:rsid w:val="007224FA"/>
    <w:rsid w:val="007264EE"/>
    <w:rsid w:val="00726DCA"/>
    <w:rsid w:val="00726F68"/>
    <w:rsid w:val="00726F7B"/>
    <w:rsid w:val="007276DB"/>
    <w:rsid w:val="0073004B"/>
    <w:rsid w:val="00730881"/>
    <w:rsid w:val="00730EFB"/>
    <w:rsid w:val="00733F2A"/>
    <w:rsid w:val="00736119"/>
    <w:rsid w:val="007362D5"/>
    <w:rsid w:val="00736551"/>
    <w:rsid w:val="007410FB"/>
    <w:rsid w:val="00741860"/>
    <w:rsid w:val="00741C39"/>
    <w:rsid w:val="007423D6"/>
    <w:rsid w:val="007425D8"/>
    <w:rsid w:val="00743B20"/>
    <w:rsid w:val="00743DCF"/>
    <w:rsid w:val="00744603"/>
    <w:rsid w:val="00744E6F"/>
    <w:rsid w:val="007453EB"/>
    <w:rsid w:val="00746684"/>
    <w:rsid w:val="00746A22"/>
    <w:rsid w:val="00747C0E"/>
    <w:rsid w:val="00750353"/>
    <w:rsid w:val="00750468"/>
    <w:rsid w:val="00750DA2"/>
    <w:rsid w:val="00752CB2"/>
    <w:rsid w:val="0075344F"/>
    <w:rsid w:val="00753A8A"/>
    <w:rsid w:val="00755099"/>
    <w:rsid w:val="007559BC"/>
    <w:rsid w:val="0075791E"/>
    <w:rsid w:val="00761CFF"/>
    <w:rsid w:val="00762686"/>
    <w:rsid w:val="007628BA"/>
    <w:rsid w:val="00763561"/>
    <w:rsid w:val="0076398B"/>
    <w:rsid w:val="007649E7"/>
    <w:rsid w:val="0076536A"/>
    <w:rsid w:val="00766381"/>
    <w:rsid w:val="0076693B"/>
    <w:rsid w:val="00766C37"/>
    <w:rsid w:val="00770503"/>
    <w:rsid w:val="00770788"/>
    <w:rsid w:val="0077129A"/>
    <w:rsid w:val="00771952"/>
    <w:rsid w:val="00771CFF"/>
    <w:rsid w:val="00771F18"/>
    <w:rsid w:val="0077215B"/>
    <w:rsid w:val="007722AC"/>
    <w:rsid w:val="007726E1"/>
    <w:rsid w:val="00772CEC"/>
    <w:rsid w:val="007740D7"/>
    <w:rsid w:val="0077436C"/>
    <w:rsid w:val="00774652"/>
    <w:rsid w:val="00774D41"/>
    <w:rsid w:val="00775B0D"/>
    <w:rsid w:val="00775BE8"/>
    <w:rsid w:val="00777040"/>
    <w:rsid w:val="007773A1"/>
    <w:rsid w:val="0077744D"/>
    <w:rsid w:val="007775DE"/>
    <w:rsid w:val="0077798C"/>
    <w:rsid w:val="00777B05"/>
    <w:rsid w:val="00777BD0"/>
    <w:rsid w:val="0078038B"/>
    <w:rsid w:val="007810B2"/>
    <w:rsid w:val="00781215"/>
    <w:rsid w:val="00781880"/>
    <w:rsid w:val="0078219A"/>
    <w:rsid w:val="00782EBF"/>
    <w:rsid w:val="007839C5"/>
    <w:rsid w:val="00785CF1"/>
    <w:rsid w:val="00786D90"/>
    <w:rsid w:val="00787727"/>
    <w:rsid w:val="007905E0"/>
    <w:rsid w:val="00790872"/>
    <w:rsid w:val="00790D6D"/>
    <w:rsid w:val="0079135B"/>
    <w:rsid w:val="0079285C"/>
    <w:rsid w:val="00793247"/>
    <w:rsid w:val="00793517"/>
    <w:rsid w:val="007935D8"/>
    <w:rsid w:val="007938B7"/>
    <w:rsid w:val="00794253"/>
    <w:rsid w:val="00794B42"/>
    <w:rsid w:val="00794E8C"/>
    <w:rsid w:val="00796243"/>
    <w:rsid w:val="00796540"/>
    <w:rsid w:val="007969D3"/>
    <w:rsid w:val="007971C3"/>
    <w:rsid w:val="007A06F2"/>
    <w:rsid w:val="007A0FA0"/>
    <w:rsid w:val="007A0FDD"/>
    <w:rsid w:val="007A28A7"/>
    <w:rsid w:val="007A2E50"/>
    <w:rsid w:val="007A3F21"/>
    <w:rsid w:val="007A4BB6"/>
    <w:rsid w:val="007A4D70"/>
    <w:rsid w:val="007A6435"/>
    <w:rsid w:val="007A673D"/>
    <w:rsid w:val="007A6929"/>
    <w:rsid w:val="007B01B4"/>
    <w:rsid w:val="007B1C87"/>
    <w:rsid w:val="007B30BC"/>
    <w:rsid w:val="007B32E0"/>
    <w:rsid w:val="007B394B"/>
    <w:rsid w:val="007B40F8"/>
    <w:rsid w:val="007B41E5"/>
    <w:rsid w:val="007B434A"/>
    <w:rsid w:val="007B4549"/>
    <w:rsid w:val="007B53FB"/>
    <w:rsid w:val="007B5B3C"/>
    <w:rsid w:val="007B5F10"/>
    <w:rsid w:val="007B5FC5"/>
    <w:rsid w:val="007B642F"/>
    <w:rsid w:val="007C08DC"/>
    <w:rsid w:val="007C0D30"/>
    <w:rsid w:val="007C0DDF"/>
    <w:rsid w:val="007C1A33"/>
    <w:rsid w:val="007C1C4D"/>
    <w:rsid w:val="007C37CB"/>
    <w:rsid w:val="007C3B13"/>
    <w:rsid w:val="007C4439"/>
    <w:rsid w:val="007C617E"/>
    <w:rsid w:val="007D0E51"/>
    <w:rsid w:val="007D12C3"/>
    <w:rsid w:val="007D13CF"/>
    <w:rsid w:val="007D13F3"/>
    <w:rsid w:val="007D2489"/>
    <w:rsid w:val="007D2501"/>
    <w:rsid w:val="007D2E9F"/>
    <w:rsid w:val="007D2F2B"/>
    <w:rsid w:val="007D36FF"/>
    <w:rsid w:val="007D39F2"/>
    <w:rsid w:val="007D3B93"/>
    <w:rsid w:val="007D3EED"/>
    <w:rsid w:val="007D4719"/>
    <w:rsid w:val="007D4F77"/>
    <w:rsid w:val="007D5820"/>
    <w:rsid w:val="007D61F0"/>
    <w:rsid w:val="007D65E0"/>
    <w:rsid w:val="007D6EA3"/>
    <w:rsid w:val="007D7104"/>
    <w:rsid w:val="007D7379"/>
    <w:rsid w:val="007E0BAA"/>
    <w:rsid w:val="007E12B6"/>
    <w:rsid w:val="007E180A"/>
    <w:rsid w:val="007E183D"/>
    <w:rsid w:val="007E200D"/>
    <w:rsid w:val="007E23B8"/>
    <w:rsid w:val="007E2A9A"/>
    <w:rsid w:val="007E436D"/>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BDA"/>
    <w:rsid w:val="007F4F6E"/>
    <w:rsid w:val="007F5483"/>
    <w:rsid w:val="007F589B"/>
    <w:rsid w:val="007F6047"/>
    <w:rsid w:val="007F6B5B"/>
    <w:rsid w:val="007F7649"/>
    <w:rsid w:val="007F7B1B"/>
    <w:rsid w:val="00800783"/>
    <w:rsid w:val="008010EA"/>
    <w:rsid w:val="00802613"/>
    <w:rsid w:val="0080289B"/>
    <w:rsid w:val="008028D8"/>
    <w:rsid w:val="00802A96"/>
    <w:rsid w:val="00803552"/>
    <w:rsid w:val="008036FE"/>
    <w:rsid w:val="00803D6B"/>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EB7"/>
    <w:rsid w:val="008157D7"/>
    <w:rsid w:val="008160C4"/>
    <w:rsid w:val="00816439"/>
    <w:rsid w:val="00816A9D"/>
    <w:rsid w:val="00816ED9"/>
    <w:rsid w:val="0081766C"/>
    <w:rsid w:val="008207EC"/>
    <w:rsid w:val="00820E29"/>
    <w:rsid w:val="008220AB"/>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3185"/>
    <w:rsid w:val="008342B1"/>
    <w:rsid w:val="00834B3B"/>
    <w:rsid w:val="0083526F"/>
    <w:rsid w:val="00835353"/>
    <w:rsid w:val="008359E0"/>
    <w:rsid w:val="00835A33"/>
    <w:rsid w:val="008361AF"/>
    <w:rsid w:val="00836416"/>
    <w:rsid w:val="008379DF"/>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E9E"/>
    <w:rsid w:val="008467DC"/>
    <w:rsid w:val="00846D4F"/>
    <w:rsid w:val="00846D89"/>
    <w:rsid w:val="00847AC2"/>
    <w:rsid w:val="00850975"/>
    <w:rsid w:val="00850D2F"/>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13A5"/>
    <w:rsid w:val="00861663"/>
    <w:rsid w:val="00862812"/>
    <w:rsid w:val="00862F8F"/>
    <w:rsid w:val="00863756"/>
    <w:rsid w:val="008643A7"/>
    <w:rsid w:val="008654C7"/>
    <w:rsid w:val="00865EC1"/>
    <w:rsid w:val="0086682F"/>
    <w:rsid w:val="00866990"/>
    <w:rsid w:val="00866B32"/>
    <w:rsid w:val="00870709"/>
    <w:rsid w:val="00870C19"/>
    <w:rsid w:val="00870F38"/>
    <w:rsid w:val="0087169F"/>
    <w:rsid w:val="00871B08"/>
    <w:rsid w:val="0087297A"/>
    <w:rsid w:val="00872ADC"/>
    <w:rsid w:val="00872D11"/>
    <w:rsid w:val="008732D7"/>
    <w:rsid w:val="0087332C"/>
    <w:rsid w:val="00875055"/>
    <w:rsid w:val="00875067"/>
    <w:rsid w:val="00877188"/>
    <w:rsid w:val="00880139"/>
    <w:rsid w:val="008802DC"/>
    <w:rsid w:val="0088253E"/>
    <w:rsid w:val="00882686"/>
    <w:rsid w:val="0088299D"/>
    <w:rsid w:val="00882F10"/>
    <w:rsid w:val="00883335"/>
    <w:rsid w:val="00883394"/>
    <w:rsid w:val="008835F3"/>
    <w:rsid w:val="00883CBD"/>
    <w:rsid w:val="00884072"/>
    <w:rsid w:val="008840AB"/>
    <w:rsid w:val="00884E7E"/>
    <w:rsid w:val="00884F97"/>
    <w:rsid w:val="008850F5"/>
    <w:rsid w:val="0088576A"/>
    <w:rsid w:val="00886F4E"/>
    <w:rsid w:val="00887576"/>
    <w:rsid w:val="00890282"/>
    <w:rsid w:val="00890EAC"/>
    <w:rsid w:val="00891581"/>
    <w:rsid w:val="008919D1"/>
    <w:rsid w:val="00892CDE"/>
    <w:rsid w:val="00892CFD"/>
    <w:rsid w:val="00892E4B"/>
    <w:rsid w:val="008944BC"/>
    <w:rsid w:val="00895B0A"/>
    <w:rsid w:val="0089613E"/>
    <w:rsid w:val="00897671"/>
    <w:rsid w:val="00897F6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47E5"/>
    <w:rsid w:val="008B4C86"/>
    <w:rsid w:val="008B5321"/>
    <w:rsid w:val="008B65D0"/>
    <w:rsid w:val="008B6A3C"/>
    <w:rsid w:val="008B7200"/>
    <w:rsid w:val="008B7460"/>
    <w:rsid w:val="008B7820"/>
    <w:rsid w:val="008B7B25"/>
    <w:rsid w:val="008B7B35"/>
    <w:rsid w:val="008C086C"/>
    <w:rsid w:val="008C129B"/>
    <w:rsid w:val="008C1494"/>
    <w:rsid w:val="008C18AB"/>
    <w:rsid w:val="008C2273"/>
    <w:rsid w:val="008C2403"/>
    <w:rsid w:val="008C2F65"/>
    <w:rsid w:val="008C3ABB"/>
    <w:rsid w:val="008C3ECC"/>
    <w:rsid w:val="008C41C0"/>
    <w:rsid w:val="008C48BF"/>
    <w:rsid w:val="008C5C7B"/>
    <w:rsid w:val="008C763B"/>
    <w:rsid w:val="008D02DD"/>
    <w:rsid w:val="008D03AD"/>
    <w:rsid w:val="008D0C08"/>
    <w:rsid w:val="008D1CC6"/>
    <w:rsid w:val="008D1FD3"/>
    <w:rsid w:val="008D33EA"/>
    <w:rsid w:val="008D361C"/>
    <w:rsid w:val="008D3B6E"/>
    <w:rsid w:val="008D3C10"/>
    <w:rsid w:val="008D43E5"/>
    <w:rsid w:val="008D4F87"/>
    <w:rsid w:val="008D554A"/>
    <w:rsid w:val="008D7C71"/>
    <w:rsid w:val="008E02E1"/>
    <w:rsid w:val="008E093C"/>
    <w:rsid w:val="008E0B86"/>
    <w:rsid w:val="008E18DB"/>
    <w:rsid w:val="008E2B04"/>
    <w:rsid w:val="008E2F6A"/>
    <w:rsid w:val="008E403C"/>
    <w:rsid w:val="008E50F2"/>
    <w:rsid w:val="008E5C7A"/>
    <w:rsid w:val="008E6713"/>
    <w:rsid w:val="008E7DE2"/>
    <w:rsid w:val="008F0428"/>
    <w:rsid w:val="008F073F"/>
    <w:rsid w:val="008F1E87"/>
    <w:rsid w:val="008F579E"/>
    <w:rsid w:val="008F58EB"/>
    <w:rsid w:val="008F5936"/>
    <w:rsid w:val="008F5C8C"/>
    <w:rsid w:val="008F616A"/>
    <w:rsid w:val="008F7508"/>
    <w:rsid w:val="008F7B3D"/>
    <w:rsid w:val="009003E1"/>
    <w:rsid w:val="0090132B"/>
    <w:rsid w:val="009017A6"/>
    <w:rsid w:val="00901E80"/>
    <w:rsid w:val="0090282E"/>
    <w:rsid w:val="00902EF0"/>
    <w:rsid w:val="00903ADC"/>
    <w:rsid w:val="00905A36"/>
    <w:rsid w:val="00905D05"/>
    <w:rsid w:val="00905DFB"/>
    <w:rsid w:val="00905E45"/>
    <w:rsid w:val="00906B41"/>
    <w:rsid w:val="00906DD8"/>
    <w:rsid w:val="009074B9"/>
    <w:rsid w:val="009076D7"/>
    <w:rsid w:val="00907793"/>
    <w:rsid w:val="0091085F"/>
    <w:rsid w:val="009111BC"/>
    <w:rsid w:val="00911A0B"/>
    <w:rsid w:val="00911B51"/>
    <w:rsid w:val="0091282B"/>
    <w:rsid w:val="0091634F"/>
    <w:rsid w:val="009163D3"/>
    <w:rsid w:val="0091640E"/>
    <w:rsid w:val="00916FA3"/>
    <w:rsid w:val="00917444"/>
    <w:rsid w:val="0092090A"/>
    <w:rsid w:val="00920BB3"/>
    <w:rsid w:val="00921F3F"/>
    <w:rsid w:val="009221A3"/>
    <w:rsid w:val="00925B03"/>
    <w:rsid w:val="00926FC3"/>
    <w:rsid w:val="0092702A"/>
    <w:rsid w:val="00927213"/>
    <w:rsid w:val="0093013A"/>
    <w:rsid w:val="009301E5"/>
    <w:rsid w:val="009304E0"/>
    <w:rsid w:val="00932892"/>
    <w:rsid w:val="009341A7"/>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28FB"/>
    <w:rsid w:val="009438C3"/>
    <w:rsid w:val="00943AEF"/>
    <w:rsid w:val="0094479A"/>
    <w:rsid w:val="00945250"/>
    <w:rsid w:val="0094578E"/>
    <w:rsid w:val="00945E01"/>
    <w:rsid w:val="00945F01"/>
    <w:rsid w:val="00946073"/>
    <w:rsid w:val="00946A94"/>
    <w:rsid w:val="0094746E"/>
    <w:rsid w:val="009475EF"/>
    <w:rsid w:val="009475F9"/>
    <w:rsid w:val="009476A6"/>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B82"/>
    <w:rsid w:val="00965FB8"/>
    <w:rsid w:val="009674FF"/>
    <w:rsid w:val="00970F79"/>
    <w:rsid w:val="009711B0"/>
    <w:rsid w:val="009712A4"/>
    <w:rsid w:val="009718C2"/>
    <w:rsid w:val="0097222D"/>
    <w:rsid w:val="00972395"/>
    <w:rsid w:val="00972B4C"/>
    <w:rsid w:val="00972F41"/>
    <w:rsid w:val="009736FE"/>
    <w:rsid w:val="0097401E"/>
    <w:rsid w:val="009747F0"/>
    <w:rsid w:val="00974849"/>
    <w:rsid w:val="00975240"/>
    <w:rsid w:val="009754F3"/>
    <w:rsid w:val="00975BFA"/>
    <w:rsid w:val="00976DDF"/>
    <w:rsid w:val="0097726F"/>
    <w:rsid w:val="009774AE"/>
    <w:rsid w:val="00977907"/>
    <w:rsid w:val="00977AE3"/>
    <w:rsid w:val="00980DCD"/>
    <w:rsid w:val="00980EC7"/>
    <w:rsid w:val="00982237"/>
    <w:rsid w:val="009822C1"/>
    <w:rsid w:val="00982C33"/>
    <w:rsid w:val="00983DB5"/>
    <w:rsid w:val="00984B17"/>
    <w:rsid w:val="00984CE4"/>
    <w:rsid w:val="0098501A"/>
    <w:rsid w:val="009858B0"/>
    <w:rsid w:val="009859D3"/>
    <w:rsid w:val="00986395"/>
    <w:rsid w:val="0098681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6846"/>
    <w:rsid w:val="0099714B"/>
    <w:rsid w:val="00997AE8"/>
    <w:rsid w:val="009A047D"/>
    <w:rsid w:val="009A0E8E"/>
    <w:rsid w:val="009A1727"/>
    <w:rsid w:val="009A1EBE"/>
    <w:rsid w:val="009A401E"/>
    <w:rsid w:val="009A42F5"/>
    <w:rsid w:val="009A5D14"/>
    <w:rsid w:val="009A5D32"/>
    <w:rsid w:val="009A66BF"/>
    <w:rsid w:val="009B0269"/>
    <w:rsid w:val="009B03CA"/>
    <w:rsid w:val="009B0AE5"/>
    <w:rsid w:val="009B1D64"/>
    <w:rsid w:val="009B2A1C"/>
    <w:rsid w:val="009B2A4A"/>
    <w:rsid w:val="009B33EE"/>
    <w:rsid w:val="009B4A12"/>
    <w:rsid w:val="009B524C"/>
    <w:rsid w:val="009B54D7"/>
    <w:rsid w:val="009B594A"/>
    <w:rsid w:val="009B6116"/>
    <w:rsid w:val="009B6BCD"/>
    <w:rsid w:val="009B7228"/>
    <w:rsid w:val="009B7346"/>
    <w:rsid w:val="009C059A"/>
    <w:rsid w:val="009C2428"/>
    <w:rsid w:val="009C26CB"/>
    <w:rsid w:val="009C27C2"/>
    <w:rsid w:val="009C2A1B"/>
    <w:rsid w:val="009C2B09"/>
    <w:rsid w:val="009C2BE5"/>
    <w:rsid w:val="009C5153"/>
    <w:rsid w:val="009C54E5"/>
    <w:rsid w:val="009C754D"/>
    <w:rsid w:val="009C7B20"/>
    <w:rsid w:val="009D0360"/>
    <w:rsid w:val="009D07CE"/>
    <w:rsid w:val="009D1D89"/>
    <w:rsid w:val="009D2FF1"/>
    <w:rsid w:val="009D3185"/>
    <w:rsid w:val="009D4E11"/>
    <w:rsid w:val="009D5794"/>
    <w:rsid w:val="009D6212"/>
    <w:rsid w:val="009D6B28"/>
    <w:rsid w:val="009D6D16"/>
    <w:rsid w:val="009E1E99"/>
    <w:rsid w:val="009E20D3"/>
    <w:rsid w:val="009E3473"/>
    <w:rsid w:val="009E34F4"/>
    <w:rsid w:val="009E37F8"/>
    <w:rsid w:val="009E3A78"/>
    <w:rsid w:val="009E5EE0"/>
    <w:rsid w:val="009E5F16"/>
    <w:rsid w:val="009E78E1"/>
    <w:rsid w:val="009F014D"/>
    <w:rsid w:val="009F1BBF"/>
    <w:rsid w:val="009F1DB0"/>
    <w:rsid w:val="009F4615"/>
    <w:rsid w:val="009F4D17"/>
    <w:rsid w:val="009F56F4"/>
    <w:rsid w:val="009F57E4"/>
    <w:rsid w:val="009F62FD"/>
    <w:rsid w:val="009F674E"/>
    <w:rsid w:val="009F7095"/>
    <w:rsid w:val="009F7F2D"/>
    <w:rsid w:val="009F7F33"/>
    <w:rsid w:val="00A005E3"/>
    <w:rsid w:val="00A02854"/>
    <w:rsid w:val="00A028E8"/>
    <w:rsid w:val="00A037BD"/>
    <w:rsid w:val="00A04C03"/>
    <w:rsid w:val="00A05217"/>
    <w:rsid w:val="00A05A75"/>
    <w:rsid w:val="00A07ED2"/>
    <w:rsid w:val="00A10049"/>
    <w:rsid w:val="00A11216"/>
    <w:rsid w:val="00A113F8"/>
    <w:rsid w:val="00A123C6"/>
    <w:rsid w:val="00A12570"/>
    <w:rsid w:val="00A1422E"/>
    <w:rsid w:val="00A14A95"/>
    <w:rsid w:val="00A14DD2"/>
    <w:rsid w:val="00A15624"/>
    <w:rsid w:val="00A164AF"/>
    <w:rsid w:val="00A16514"/>
    <w:rsid w:val="00A17145"/>
    <w:rsid w:val="00A20268"/>
    <w:rsid w:val="00A20996"/>
    <w:rsid w:val="00A20E1F"/>
    <w:rsid w:val="00A216A7"/>
    <w:rsid w:val="00A22B7D"/>
    <w:rsid w:val="00A245B4"/>
    <w:rsid w:val="00A25B28"/>
    <w:rsid w:val="00A26455"/>
    <w:rsid w:val="00A26FA7"/>
    <w:rsid w:val="00A27A4A"/>
    <w:rsid w:val="00A30A85"/>
    <w:rsid w:val="00A31241"/>
    <w:rsid w:val="00A32411"/>
    <w:rsid w:val="00A349E3"/>
    <w:rsid w:val="00A34BE7"/>
    <w:rsid w:val="00A363C8"/>
    <w:rsid w:val="00A367A1"/>
    <w:rsid w:val="00A37A1B"/>
    <w:rsid w:val="00A405A9"/>
    <w:rsid w:val="00A40D27"/>
    <w:rsid w:val="00A41465"/>
    <w:rsid w:val="00A41A2A"/>
    <w:rsid w:val="00A4413D"/>
    <w:rsid w:val="00A44313"/>
    <w:rsid w:val="00A44680"/>
    <w:rsid w:val="00A44F44"/>
    <w:rsid w:val="00A452BA"/>
    <w:rsid w:val="00A45882"/>
    <w:rsid w:val="00A46C8A"/>
    <w:rsid w:val="00A47580"/>
    <w:rsid w:val="00A4762C"/>
    <w:rsid w:val="00A5000D"/>
    <w:rsid w:val="00A50342"/>
    <w:rsid w:val="00A511C9"/>
    <w:rsid w:val="00A519AA"/>
    <w:rsid w:val="00A51A55"/>
    <w:rsid w:val="00A51D39"/>
    <w:rsid w:val="00A51EC0"/>
    <w:rsid w:val="00A5264A"/>
    <w:rsid w:val="00A52669"/>
    <w:rsid w:val="00A52CCD"/>
    <w:rsid w:val="00A52D26"/>
    <w:rsid w:val="00A543C0"/>
    <w:rsid w:val="00A5623F"/>
    <w:rsid w:val="00A56B3C"/>
    <w:rsid w:val="00A57039"/>
    <w:rsid w:val="00A572B7"/>
    <w:rsid w:val="00A60AB5"/>
    <w:rsid w:val="00A6112B"/>
    <w:rsid w:val="00A61C18"/>
    <w:rsid w:val="00A6300A"/>
    <w:rsid w:val="00A63E40"/>
    <w:rsid w:val="00A64542"/>
    <w:rsid w:val="00A66586"/>
    <w:rsid w:val="00A669E9"/>
    <w:rsid w:val="00A66B42"/>
    <w:rsid w:val="00A67076"/>
    <w:rsid w:val="00A676D3"/>
    <w:rsid w:val="00A71653"/>
    <w:rsid w:val="00A7170D"/>
    <w:rsid w:val="00A7180F"/>
    <w:rsid w:val="00A72BD3"/>
    <w:rsid w:val="00A72F4A"/>
    <w:rsid w:val="00A73605"/>
    <w:rsid w:val="00A74B6C"/>
    <w:rsid w:val="00A757FD"/>
    <w:rsid w:val="00A7589D"/>
    <w:rsid w:val="00A76794"/>
    <w:rsid w:val="00A7797A"/>
    <w:rsid w:val="00A80B83"/>
    <w:rsid w:val="00A80BAA"/>
    <w:rsid w:val="00A80E87"/>
    <w:rsid w:val="00A80EBA"/>
    <w:rsid w:val="00A820A9"/>
    <w:rsid w:val="00A823E7"/>
    <w:rsid w:val="00A831D7"/>
    <w:rsid w:val="00A84695"/>
    <w:rsid w:val="00A84F91"/>
    <w:rsid w:val="00A856DD"/>
    <w:rsid w:val="00A85D1B"/>
    <w:rsid w:val="00A8663B"/>
    <w:rsid w:val="00A873DB"/>
    <w:rsid w:val="00A9013E"/>
    <w:rsid w:val="00A91004"/>
    <w:rsid w:val="00A91527"/>
    <w:rsid w:val="00A924DF"/>
    <w:rsid w:val="00A92F75"/>
    <w:rsid w:val="00A93352"/>
    <w:rsid w:val="00A95AC8"/>
    <w:rsid w:val="00A95B4A"/>
    <w:rsid w:val="00A95BC5"/>
    <w:rsid w:val="00A9609A"/>
    <w:rsid w:val="00A9621D"/>
    <w:rsid w:val="00A96EEA"/>
    <w:rsid w:val="00A97161"/>
    <w:rsid w:val="00A97912"/>
    <w:rsid w:val="00A97A7C"/>
    <w:rsid w:val="00A97D7F"/>
    <w:rsid w:val="00AA191A"/>
    <w:rsid w:val="00AA1AD1"/>
    <w:rsid w:val="00AA2953"/>
    <w:rsid w:val="00AA2A5A"/>
    <w:rsid w:val="00AA30C8"/>
    <w:rsid w:val="00AA497A"/>
    <w:rsid w:val="00AA5362"/>
    <w:rsid w:val="00AA54EB"/>
    <w:rsid w:val="00AA5B18"/>
    <w:rsid w:val="00AA637B"/>
    <w:rsid w:val="00AA69C0"/>
    <w:rsid w:val="00AA7219"/>
    <w:rsid w:val="00AA7330"/>
    <w:rsid w:val="00AA74CD"/>
    <w:rsid w:val="00AB035A"/>
    <w:rsid w:val="00AB05D6"/>
    <w:rsid w:val="00AB0B5D"/>
    <w:rsid w:val="00AB26BB"/>
    <w:rsid w:val="00AB3CE8"/>
    <w:rsid w:val="00AB4E38"/>
    <w:rsid w:val="00AB52EE"/>
    <w:rsid w:val="00AB562F"/>
    <w:rsid w:val="00AB5B40"/>
    <w:rsid w:val="00AB6816"/>
    <w:rsid w:val="00AB6AA2"/>
    <w:rsid w:val="00AB71F1"/>
    <w:rsid w:val="00AC0A52"/>
    <w:rsid w:val="00AC14A3"/>
    <w:rsid w:val="00AC14BB"/>
    <w:rsid w:val="00AC1BB8"/>
    <w:rsid w:val="00AC29C2"/>
    <w:rsid w:val="00AC2DDF"/>
    <w:rsid w:val="00AC30AF"/>
    <w:rsid w:val="00AC3420"/>
    <w:rsid w:val="00AC38AB"/>
    <w:rsid w:val="00AC4B7A"/>
    <w:rsid w:val="00AC5CBB"/>
    <w:rsid w:val="00AC610F"/>
    <w:rsid w:val="00AC79CF"/>
    <w:rsid w:val="00AC7EE5"/>
    <w:rsid w:val="00AD012E"/>
    <w:rsid w:val="00AD0666"/>
    <w:rsid w:val="00AD0C2D"/>
    <w:rsid w:val="00AD0C7E"/>
    <w:rsid w:val="00AD2764"/>
    <w:rsid w:val="00AD3684"/>
    <w:rsid w:val="00AD3890"/>
    <w:rsid w:val="00AD4985"/>
    <w:rsid w:val="00AD5101"/>
    <w:rsid w:val="00AD5306"/>
    <w:rsid w:val="00AD578A"/>
    <w:rsid w:val="00AD6235"/>
    <w:rsid w:val="00AD6C2A"/>
    <w:rsid w:val="00AD6DC2"/>
    <w:rsid w:val="00AD7468"/>
    <w:rsid w:val="00AD752C"/>
    <w:rsid w:val="00AD7EAE"/>
    <w:rsid w:val="00AE028F"/>
    <w:rsid w:val="00AE080B"/>
    <w:rsid w:val="00AE0C70"/>
    <w:rsid w:val="00AE0F5A"/>
    <w:rsid w:val="00AE28DC"/>
    <w:rsid w:val="00AE31FC"/>
    <w:rsid w:val="00AE4633"/>
    <w:rsid w:val="00AE5480"/>
    <w:rsid w:val="00AE5C9B"/>
    <w:rsid w:val="00AE6312"/>
    <w:rsid w:val="00AE6481"/>
    <w:rsid w:val="00AE70CC"/>
    <w:rsid w:val="00AE73E0"/>
    <w:rsid w:val="00AE763A"/>
    <w:rsid w:val="00AE7ED6"/>
    <w:rsid w:val="00AF0186"/>
    <w:rsid w:val="00AF03E0"/>
    <w:rsid w:val="00AF0E1D"/>
    <w:rsid w:val="00AF21C8"/>
    <w:rsid w:val="00AF2403"/>
    <w:rsid w:val="00AF360F"/>
    <w:rsid w:val="00AF3783"/>
    <w:rsid w:val="00AF4E99"/>
    <w:rsid w:val="00AF50B3"/>
    <w:rsid w:val="00AF570F"/>
    <w:rsid w:val="00AF57C8"/>
    <w:rsid w:val="00AF5C33"/>
    <w:rsid w:val="00AF5EA0"/>
    <w:rsid w:val="00AF6424"/>
    <w:rsid w:val="00AF696C"/>
    <w:rsid w:val="00AF6A07"/>
    <w:rsid w:val="00AF6C09"/>
    <w:rsid w:val="00AF6F70"/>
    <w:rsid w:val="00AF7ADD"/>
    <w:rsid w:val="00B00160"/>
    <w:rsid w:val="00B00A52"/>
    <w:rsid w:val="00B0140F"/>
    <w:rsid w:val="00B02762"/>
    <w:rsid w:val="00B03A6B"/>
    <w:rsid w:val="00B047A3"/>
    <w:rsid w:val="00B04B61"/>
    <w:rsid w:val="00B05409"/>
    <w:rsid w:val="00B05B9A"/>
    <w:rsid w:val="00B072C3"/>
    <w:rsid w:val="00B076D8"/>
    <w:rsid w:val="00B079EA"/>
    <w:rsid w:val="00B10358"/>
    <w:rsid w:val="00B11187"/>
    <w:rsid w:val="00B114AB"/>
    <w:rsid w:val="00B11D2E"/>
    <w:rsid w:val="00B12C47"/>
    <w:rsid w:val="00B12CF2"/>
    <w:rsid w:val="00B13730"/>
    <w:rsid w:val="00B13E5F"/>
    <w:rsid w:val="00B15C9C"/>
    <w:rsid w:val="00B174A5"/>
    <w:rsid w:val="00B17A26"/>
    <w:rsid w:val="00B20665"/>
    <w:rsid w:val="00B2091B"/>
    <w:rsid w:val="00B20BAC"/>
    <w:rsid w:val="00B2185B"/>
    <w:rsid w:val="00B22375"/>
    <w:rsid w:val="00B2339E"/>
    <w:rsid w:val="00B23842"/>
    <w:rsid w:val="00B240A5"/>
    <w:rsid w:val="00B264C4"/>
    <w:rsid w:val="00B26C7E"/>
    <w:rsid w:val="00B26DD2"/>
    <w:rsid w:val="00B26E93"/>
    <w:rsid w:val="00B26FE6"/>
    <w:rsid w:val="00B27960"/>
    <w:rsid w:val="00B30023"/>
    <w:rsid w:val="00B3018C"/>
    <w:rsid w:val="00B30754"/>
    <w:rsid w:val="00B310C6"/>
    <w:rsid w:val="00B31781"/>
    <w:rsid w:val="00B31A70"/>
    <w:rsid w:val="00B31B35"/>
    <w:rsid w:val="00B3255C"/>
    <w:rsid w:val="00B32E12"/>
    <w:rsid w:val="00B33BBB"/>
    <w:rsid w:val="00B33FC1"/>
    <w:rsid w:val="00B34F64"/>
    <w:rsid w:val="00B35572"/>
    <w:rsid w:val="00B36557"/>
    <w:rsid w:val="00B3672F"/>
    <w:rsid w:val="00B37EF3"/>
    <w:rsid w:val="00B40B70"/>
    <w:rsid w:val="00B41C22"/>
    <w:rsid w:val="00B4243F"/>
    <w:rsid w:val="00B42608"/>
    <w:rsid w:val="00B43055"/>
    <w:rsid w:val="00B4346D"/>
    <w:rsid w:val="00B44E23"/>
    <w:rsid w:val="00B44F4E"/>
    <w:rsid w:val="00B46092"/>
    <w:rsid w:val="00B463FF"/>
    <w:rsid w:val="00B46559"/>
    <w:rsid w:val="00B47B65"/>
    <w:rsid w:val="00B507D7"/>
    <w:rsid w:val="00B510DE"/>
    <w:rsid w:val="00B51594"/>
    <w:rsid w:val="00B5245E"/>
    <w:rsid w:val="00B52A0E"/>
    <w:rsid w:val="00B53D71"/>
    <w:rsid w:val="00B554BB"/>
    <w:rsid w:val="00B556FE"/>
    <w:rsid w:val="00B55723"/>
    <w:rsid w:val="00B55CD5"/>
    <w:rsid w:val="00B61D00"/>
    <w:rsid w:val="00B62519"/>
    <w:rsid w:val="00B63617"/>
    <w:rsid w:val="00B65876"/>
    <w:rsid w:val="00B66C6B"/>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458B"/>
    <w:rsid w:val="00B86412"/>
    <w:rsid w:val="00B86B09"/>
    <w:rsid w:val="00B870A2"/>
    <w:rsid w:val="00B87ACB"/>
    <w:rsid w:val="00B87F81"/>
    <w:rsid w:val="00B90934"/>
    <w:rsid w:val="00B90939"/>
    <w:rsid w:val="00B9252C"/>
    <w:rsid w:val="00B92B6A"/>
    <w:rsid w:val="00B932D7"/>
    <w:rsid w:val="00B9372E"/>
    <w:rsid w:val="00B93DBA"/>
    <w:rsid w:val="00B94670"/>
    <w:rsid w:val="00B949C1"/>
    <w:rsid w:val="00B95C26"/>
    <w:rsid w:val="00B95CB2"/>
    <w:rsid w:val="00B95E48"/>
    <w:rsid w:val="00B969D6"/>
    <w:rsid w:val="00B96DA7"/>
    <w:rsid w:val="00B97D91"/>
    <w:rsid w:val="00BA079C"/>
    <w:rsid w:val="00BA0BA9"/>
    <w:rsid w:val="00BA1D6B"/>
    <w:rsid w:val="00BA3114"/>
    <w:rsid w:val="00BA3223"/>
    <w:rsid w:val="00BA4867"/>
    <w:rsid w:val="00BA4CEF"/>
    <w:rsid w:val="00BA5B6D"/>
    <w:rsid w:val="00BA62D4"/>
    <w:rsid w:val="00BA68AA"/>
    <w:rsid w:val="00BA6D83"/>
    <w:rsid w:val="00BB083A"/>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31E8"/>
    <w:rsid w:val="00BC3E3E"/>
    <w:rsid w:val="00BC5A2C"/>
    <w:rsid w:val="00BC6BE4"/>
    <w:rsid w:val="00BC70C5"/>
    <w:rsid w:val="00BC7200"/>
    <w:rsid w:val="00BD08D1"/>
    <w:rsid w:val="00BD1B9B"/>
    <w:rsid w:val="00BD1CD8"/>
    <w:rsid w:val="00BD234D"/>
    <w:rsid w:val="00BD261C"/>
    <w:rsid w:val="00BD280F"/>
    <w:rsid w:val="00BD2B1B"/>
    <w:rsid w:val="00BD3CDA"/>
    <w:rsid w:val="00BD3DFD"/>
    <w:rsid w:val="00BD3EB5"/>
    <w:rsid w:val="00BD42B0"/>
    <w:rsid w:val="00BD50CE"/>
    <w:rsid w:val="00BD5780"/>
    <w:rsid w:val="00BD61FF"/>
    <w:rsid w:val="00BD707C"/>
    <w:rsid w:val="00BD7B22"/>
    <w:rsid w:val="00BE015F"/>
    <w:rsid w:val="00BE1FAC"/>
    <w:rsid w:val="00BE259F"/>
    <w:rsid w:val="00BE26AB"/>
    <w:rsid w:val="00BE2AA5"/>
    <w:rsid w:val="00BE2CD8"/>
    <w:rsid w:val="00BE3202"/>
    <w:rsid w:val="00BE326D"/>
    <w:rsid w:val="00BE5D49"/>
    <w:rsid w:val="00BE5D5D"/>
    <w:rsid w:val="00BE62B0"/>
    <w:rsid w:val="00BE6949"/>
    <w:rsid w:val="00BE6F51"/>
    <w:rsid w:val="00BE703B"/>
    <w:rsid w:val="00BF0008"/>
    <w:rsid w:val="00BF0E17"/>
    <w:rsid w:val="00BF2801"/>
    <w:rsid w:val="00BF2DB0"/>
    <w:rsid w:val="00BF3CF5"/>
    <w:rsid w:val="00BF44FE"/>
    <w:rsid w:val="00BF52BC"/>
    <w:rsid w:val="00C0090F"/>
    <w:rsid w:val="00C01A0F"/>
    <w:rsid w:val="00C01B02"/>
    <w:rsid w:val="00C03277"/>
    <w:rsid w:val="00C03A90"/>
    <w:rsid w:val="00C03BDA"/>
    <w:rsid w:val="00C03EA7"/>
    <w:rsid w:val="00C0530F"/>
    <w:rsid w:val="00C05864"/>
    <w:rsid w:val="00C07972"/>
    <w:rsid w:val="00C07BE2"/>
    <w:rsid w:val="00C10A74"/>
    <w:rsid w:val="00C10B2C"/>
    <w:rsid w:val="00C10E06"/>
    <w:rsid w:val="00C14A9C"/>
    <w:rsid w:val="00C15020"/>
    <w:rsid w:val="00C1583B"/>
    <w:rsid w:val="00C15D3D"/>
    <w:rsid w:val="00C15E19"/>
    <w:rsid w:val="00C16C69"/>
    <w:rsid w:val="00C16CEF"/>
    <w:rsid w:val="00C170A4"/>
    <w:rsid w:val="00C203E5"/>
    <w:rsid w:val="00C20BAF"/>
    <w:rsid w:val="00C21F5F"/>
    <w:rsid w:val="00C2230B"/>
    <w:rsid w:val="00C231AB"/>
    <w:rsid w:val="00C235DC"/>
    <w:rsid w:val="00C23B4B"/>
    <w:rsid w:val="00C24641"/>
    <w:rsid w:val="00C251EC"/>
    <w:rsid w:val="00C25425"/>
    <w:rsid w:val="00C25B09"/>
    <w:rsid w:val="00C268C1"/>
    <w:rsid w:val="00C3024F"/>
    <w:rsid w:val="00C3069C"/>
    <w:rsid w:val="00C30ACF"/>
    <w:rsid w:val="00C3355B"/>
    <w:rsid w:val="00C341F8"/>
    <w:rsid w:val="00C348CA"/>
    <w:rsid w:val="00C370A8"/>
    <w:rsid w:val="00C3772A"/>
    <w:rsid w:val="00C40873"/>
    <w:rsid w:val="00C408D8"/>
    <w:rsid w:val="00C408EA"/>
    <w:rsid w:val="00C40C12"/>
    <w:rsid w:val="00C412CF"/>
    <w:rsid w:val="00C41AF8"/>
    <w:rsid w:val="00C41E3D"/>
    <w:rsid w:val="00C426E0"/>
    <w:rsid w:val="00C436E9"/>
    <w:rsid w:val="00C43E2A"/>
    <w:rsid w:val="00C44208"/>
    <w:rsid w:val="00C450F2"/>
    <w:rsid w:val="00C458CB"/>
    <w:rsid w:val="00C4688E"/>
    <w:rsid w:val="00C46D55"/>
    <w:rsid w:val="00C47C17"/>
    <w:rsid w:val="00C50A75"/>
    <w:rsid w:val="00C51639"/>
    <w:rsid w:val="00C523C0"/>
    <w:rsid w:val="00C532DE"/>
    <w:rsid w:val="00C53D58"/>
    <w:rsid w:val="00C54113"/>
    <w:rsid w:val="00C54115"/>
    <w:rsid w:val="00C5427D"/>
    <w:rsid w:val="00C54DD3"/>
    <w:rsid w:val="00C56291"/>
    <w:rsid w:val="00C565FE"/>
    <w:rsid w:val="00C56A3B"/>
    <w:rsid w:val="00C56DC3"/>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60FC"/>
    <w:rsid w:val="00C766E7"/>
    <w:rsid w:val="00C76DC1"/>
    <w:rsid w:val="00C771C4"/>
    <w:rsid w:val="00C77A17"/>
    <w:rsid w:val="00C80374"/>
    <w:rsid w:val="00C806DD"/>
    <w:rsid w:val="00C80947"/>
    <w:rsid w:val="00C810EC"/>
    <w:rsid w:val="00C8181A"/>
    <w:rsid w:val="00C83383"/>
    <w:rsid w:val="00C84B08"/>
    <w:rsid w:val="00C8572A"/>
    <w:rsid w:val="00C85800"/>
    <w:rsid w:val="00C86096"/>
    <w:rsid w:val="00C87117"/>
    <w:rsid w:val="00C90230"/>
    <w:rsid w:val="00C90424"/>
    <w:rsid w:val="00C9084C"/>
    <w:rsid w:val="00C9271B"/>
    <w:rsid w:val="00C9290D"/>
    <w:rsid w:val="00C93050"/>
    <w:rsid w:val="00C933ED"/>
    <w:rsid w:val="00C93C50"/>
    <w:rsid w:val="00C93DA8"/>
    <w:rsid w:val="00C93E09"/>
    <w:rsid w:val="00C94603"/>
    <w:rsid w:val="00C9513F"/>
    <w:rsid w:val="00C97F8D"/>
    <w:rsid w:val="00CA18BF"/>
    <w:rsid w:val="00CA1DD0"/>
    <w:rsid w:val="00CA215B"/>
    <w:rsid w:val="00CA2542"/>
    <w:rsid w:val="00CA3631"/>
    <w:rsid w:val="00CA492B"/>
    <w:rsid w:val="00CA4CD3"/>
    <w:rsid w:val="00CA53B6"/>
    <w:rsid w:val="00CA658F"/>
    <w:rsid w:val="00CA6E33"/>
    <w:rsid w:val="00CA6F70"/>
    <w:rsid w:val="00CA73D8"/>
    <w:rsid w:val="00CB0CFF"/>
    <w:rsid w:val="00CB1217"/>
    <w:rsid w:val="00CB175A"/>
    <w:rsid w:val="00CB18A8"/>
    <w:rsid w:val="00CB1EE7"/>
    <w:rsid w:val="00CB3FA6"/>
    <w:rsid w:val="00CB40A8"/>
    <w:rsid w:val="00CB48BC"/>
    <w:rsid w:val="00CB5F7A"/>
    <w:rsid w:val="00CB696D"/>
    <w:rsid w:val="00CB6AF2"/>
    <w:rsid w:val="00CC00B9"/>
    <w:rsid w:val="00CC0E39"/>
    <w:rsid w:val="00CC0F04"/>
    <w:rsid w:val="00CC1DB3"/>
    <w:rsid w:val="00CC2EEC"/>
    <w:rsid w:val="00CC572B"/>
    <w:rsid w:val="00CC59A5"/>
    <w:rsid w:val="00CC66D0"/>
    <w:rsid w:val="00CC7A6E"/>
    <w:rsid w:val="00CC7B00"/>
    <w:rsid w:val="00CD00A7"/>
    <w:rsid w:val="00CD142F"/>
    <w:rsid w:val="00CD1A1B"/>
    <w:rsid w:val="00CD22A9"/>
    <w:rsid w:val="00CD22DC"/>
    <w:rsid w:val="00CD3DA8"/>
    <w:rsid w:val="00CD5358"/>
    <w:rsid w:val="00CD5701"/>
    <w:rsid w:val="00CD64ED"/>
    <w:rsid w:val="00CE05B7"/>
    <w:rsid w:val="00CE0860"/>
    <w:rsid w:val="00CE0A75"/>
    <w:rsid w:val="00CE1282"/>
    <w:rsid w:val="00CE2291"/>
    <w:rsid w:val="00CE30A6"/>
    <w:rsid w:val="00CE3F11"/>
    <w:rsid w:val="00CE4F0E"/>
    <w:rsid w:val="00CE50F5"/>
    <w:rsid w:val="00CE5701"/>
    <w:rsid w:val="00CE6BDC"/>
    <w:rsid w:val="00CE6E45"/>
    <w:rsid w:val="00CE724C"/>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18C"/>
    <w:rsid w:val="00D00827"/>
    <w:rsid w:val="00D00BDF"/>
    <w:rsid w:val="00D00DBF"/>
    <w:rsid w:val="00D01537"/>
    <w:rsid w:val="00D01AFF"/>
    <w:rsid w:val="00D02F3C"/>
    <w:rsid w:val="00D038B3"/>
    <w:rsid w:val="00D03F15"/>
    <w:rsid w:val="00D04913"/>
    <w:rsid w:val="00D04BD8"/>
    <w:rsid w:val="00D04DA1"/>
    <w:rsid w:val="00D04E40"/>
    <w:rsid w:val="00D04EBE"/>
    <w:rsid w:val="00D06AD7"/>
    <w:rsid w:val="00D06F55"/>
    <w:rsid w:val="00D077B9"/>
    <w:rsid w:val="00D07961"/>
    <w:rsid w:val="00D07EAB"/>
    <w:rsid w:val="00D100EB"/>
    <w:rsid w:val="00D1268C"/>
    <w:rsid w:val="00D12A38"/>
    <w:rsid w:val="00D12A44"/>
    <w:rsid w:val="00D12E15"/>
    <w:rsid w:val="00D13039"/>
    <w:rsid w:val="00D13A4A"/>
    <w:rsid w:val="00D13BDC"/>
    <w:rsid w:val="00D13CB6"/>
    <w:rsid w:val="00D14875"/>
    <w:rsid w:val="00D179A1"/>
    <w:rsid w:val="00D200AD"/>
    <w:rsid w:val="00D21010"/>
    <w:rsid w:val="00D216B7"/>
    <w:rsid w:val="00D21899"/>
    <w:rsid w:val="00D23AD8"/>
    <w:rsid w:val="00D23E8C"/>
    <w:rsid w:val="00D2480A"/>
    <w:rsid w:val="00D25173"/>
    <w:rsid w:val="00D2526F"/>
    <w:rsid w:val="00D252EC"/>
    <w:rsid w:val="00D25374"/>
    <w:rsid w:val="00D25B10"/>
    <w:rsid w:val="00D26941"/>
    <w:rsid w:val="00D2745D"/>
    <w:rsid w:val="00D27D5F"/>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2DA"/>
    <w:rsid w:val="00D43882"/>
    <w:rsid w:val="00D46975"/>
    <w:rsid w:val="00D47601"/>
    <w:rsid w:val="00D50F72"/>
    <w:rsid w:val="00D510C4"/>
    <w:rsid w:val="00D53276"/>
    <w:rsid w:val="00D539D3"/>
    <w:rsid w:val="00D5437F"/>
    <w:rsid w:val="00D546EE"/>
    <w:rsid w:val="00D54705"/>
    <w:rsid w:val="00D54FD9"/>
    <w:rsid w:val="00D551A2"/>
    <w:rsid w:val="00D57094"/>
    <w:rsid w:val="00D57400"/>
    <w:rsid w:val="00D5741B"/>
    <w:rsid w:val="00D5787E"/>
    <w:rsid w:val="00D57976"/>
    <w:rsid w:val="00D57C65"/>
    <w:rsid w:val="00D57E63"/>
    <w:rsid w:val="00D60743"/>
    <w:rsid w:val="00D60D05"/>
    <w:rsid w:val="00D61D76"/>
    <w:rsid w:val="00D624FB"/>
    <w:rsid w:val="00D62693"/>
    <w:rsid w:val="00D626BA"/>
    <w:rsid w:val="00D62EE6"/>
    <w:rsid w:val="00D641A7"/>
    <w:rsid w:val="00D65300"/>
    <w:rsid w:val="00D653C6"/>
    <w:rsid w:val="00D6587F"/>
    <w:rsid w:val="00D6638A"/>
    <w:rsid w:val="00D66529"/>
    <w:rsid w:val="00D66938"/>
    <w:rsid w:val="00D66A0B"/>
    <w:rsid w:val="00D66C77"/>
    <w:rsid w:val="00D67EE7"/>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80266"/>
    <w:rsid w:val="00D808C6"/>
    <w:rsid w:val="00D809AF"/>
    <w:rsid w:val="00D809FD"/>
    <w:rsid w:val="00D81819"/>
    <w:rsid w:val="00D83538"/>
    <w:rsid w:val="00D84AF0"/>
    <w:rsid w:val="00D85371"/>
    <w:rsid w:val="00D860E3"/>
    <w:rsid w:val="00D87B3F"/>
    <w:rsid w:val="00D87B83"/>
    <w:rsid w:val="00D9072F"/>
    <w:rsid w:val="00D9197D"/>
    <w:rsid w:val="00D92464"/>
    <w:rsid w:val="00D934A0"/>
    <w:rsid w:val="00D937A8"/>
    <w:rsid w:val="00D937D9"/>
    <w:rsid w:val="00D93A2D"/>
    <w:rsid w:val="00D93B97"/>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B1189"/>
    <w:rsid w:val="00DB20C5"/>
    <w:rsid w:val="00DB2F20"/>
    <w:rsid w:val="00DB3245"/>
    <w:rsid w:val="00DB3A2E"/>
    <w:rsid w:val="00DB3C81"/>
    <w:rsid w:val="00DB3FA2"/>
    <w:rsid w:val="00DB448F"/>
    <w:rsid w:val="00DB5223"/>
    <w:rsid w:val="00DB5AFA"/>
    <w:rsid w:val="00DB5DF4"/>
    <w:rsid w:val="00DB643C"/>
    <w:rsid w:val="00DB65DA"/>
    <w:rsid w:val="00DB6666"/>
    <w:rsid w:val="00DB6C80"/>
    <w:rsid w:val="00DB6DF3"/>
    <w:rsid w:val="00DB7B4F"/>
    <w:rsid w:val="00DC0025"/>
    <w:rsid w:val="00DC1427"/>
    <w:rsid w:val="00DC1A35"/>
    <w:rsid w:val="00DC28F7"/>
    <w:rsid w:val="00DC4F9B"/>
    <w:rsid w:val="00DC5556"/>
    <w:rsid w:val="00DC59D6"/>
    <w:rsid w:val="00DC662D"/>
    <w:rsid w:val="00DC705C"/>
    <w:rsid w:val="00DC7EC2"/>
    <w:rsid w:val="00DD107F"/>
    <w:rsid w:val="00DD1F03"/>
    <w:rsid w:val="00DD1FD5"/>
    <w:rsid w:val="00DD24FB"/>
    <w:rsid w:val="00DD31EC"/>
    <w:rsid w:val="00DD48DC"/>
    <w:rsid w:val="00DD4A36"/>
    <w:rsid w:val="00DD5329"/>
    <w:rsid w:val="00DD58F6"/>
    <w:rsid w:val="00DD6392"/>
    <w:rsid w:val="00DD6FE5"/>
    <w:rsid w:val="00DD7943"/>
    <w:rsid w:val="00DD7CB9"/>
    <w:rsid w:val="00DE0057"/>
    <w:rsid w:val="00DE14BF"/>
    <w:rsid w:val="00DE182F"/>
    <w:rsid w:val="00DE18C3"/>
    <w:rsid w:val="00DE199D"/>
    <w:rsid w:val="00DE296E"/>
    <w:rsid w:val="00DE354C"/>
    <w:rsid w:val="00DE39DE"/>
    <w:rsid w:val="00DE43E4"/>
    <w:rsid w:val="00DE4515"/>
    <w:rsid w:val="00DE5831"/>
    <w:rsid w:val="00DE5C0A"/>
    <w:rsid w:val="00DE5C83"/>
    <w:rsid w:val="00DE652E"/>
    <w:rsid w:val="00DE70A7"/>
    <w:rsid w:val="00DE7185"/>
    <w:rsid w:val="00DF0629"/>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DF7C2E"/>
    <w:rsid w:val="00E0007D"/>
    <w:rsid w:val="00E02712"/>
    <w:rsid w:val="00E0340E"/>
    <w:rsid w:val="00E04095"/>
    <w:rsid w:val="00E0443C"/>
    <w:rsid w:val="00E049C7"/>
    <w:rsid w:val="00E04F6E"/>
    <w:rsid w:val="00E056ED"/>
    <w:rsid w:val="00E0672C"/>
    <w:rsid w:val="00E0706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1AAC"/>
    <w:rsid w:val="00E238B4"/>
    <w:rsid w:val="00E23EBD"/>
    <w:rsid w:val="00E24738"/>
    <w:rsid w:val="00E25181"/>
    <w:rsid w:val="00E27395"/>
    <w:rsid w:val="00E301EE"/>
    <w:rsid w:val="00E30807"/>
    <w:rsid w:val="00E313C7"/>
    <w:rsid w:val="00E31A31"/>
    <w:rsid w:val="00E320E4"/>
    <w:rsid w:val="00E322FA"/>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47F02"/>
    <w:rsid w:val="00E5019F"/>
    <w:rsid w:val="00E50277"/>
    <w:rsid w:val="00E51C54"/>
    <w:rsid w:val="00E5226B"/>
    <w:rsid w:val="00E54306"/>
    <w:rsid w:val="00E54960"/>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90D"/>
    <w:rsid w:val="00E64B3E"/>
    <w:rsid w:val="00E6666C"/>
    <w:rsid w:val="00E66A09"/>
    <w:rsid w:val="00E66F93"/>
    <w:rsid w:val="00E70761"/>
    <w:rsid w:val="00E70C1D"/>
    <w:rsid w:val="00E71C41"/>
    <w:rsid w:val="00E73091"/>
    <w:rsid w:val="00E73953"/>
    <w:rsid w:val="00E74323"/>
    <w:rsid w:val="00E75329"/>
    <w:rsid w:val="00E76162"/>
    <w:rsid w:val="00E76174"/>
    <w:rsid w:val="00E76747"/>
    <w:rsid w:val="00E77381"/>
    <w:rsid w:val="00E80B52"/>
    <w:rsid w:val="00E80BAD"/>
    <w:rsid w:val="00E821DA"/>
    <w:rsid w:val="00E828D2"/>
    <w:rsid w:val="00E82E24"/>
    <w:rsid w:val="00E832D3"/>
    <w:rsid w:val="00E84AA5"/>
    <w:rsid w:val="00E84BAF"/>
    <w:rsid w:val="00E85D29"/>
    <w:rsid w:val="00E86A06"/>
    <w:rsid w:val="00E902C8"/>
    <w:rsid w:val="00E90E22"/>
    <w:rsid w:val="00E91EAF"/>
    <w:rsid w:val="00E9206A"/>
    <w:rsid w:val="00E92351"/>
    <w:rsid w:val="00E9261D"/>
    <w:rsid w:val="00E94489"/>
    <w:rsid w:val="00E94672"/>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804"/>
    <w:rsid w:val="00EB02A9"/>
    <w:rsid w:val="00EB0A2B"/>
    <w:rsid w:val="00EB0E77"/>
    <w:rsid w:val="00EB1294"/>
    <w:rsid w:val="00EB17A8"/>
    <w:rsid w:val="00EB1A69"/>
    <w:rsid w:val="00EB22C4"/>
    <w:rsid w:val="00EB48C7"/>
    <w:rsid w:val="00EB4ABA"/>
    <w:rsid w:val="00EB4BBB"/>
    <w:rsid w:val="00EB5075"/>
    <w:rsid w:val="00EB5913"/>
    <w:rsid w:val="00EB5B44"/>
    <w:rsid w:val="00EB5F89"/>
    <w:rsid w:val="00EC006D"/>
    <w:rsid w:val="00EC0172"/>
    <w:rsid w:val="00EC03B0"/>
    <w:rsid w:val="00EC17FC"/>
    <w:rsid w:val="00EC1B74"/>
    <w:rsid w:val="00EC227F"/>
    <w:rsid w:val="00EC2789"/>
    <w:rsid w:val="00EC2851"/>
    <w:rsid w:val="00EC2E91"/>
    <w:rsid w:val="00EC33E9"/>
    <w:rsid w:val="00EC4637"/>
    <w:rsid w:val="00EC4740"/>
    <w:rsid w:val="00EC48E1"/>
    <w:rsid w:val="00EC76C5"/>
    <w:rsid w:val="00ED0864"/>
    <w:rsid w:val="00ED19CC"/>
    <w:rsid w:val="00ED223A"/>
    <w:rsid w:val="00ED240F"/>
    <w:rsid w:val="00ED2DDF"/>
    <w:rsid w:val="00ED4967"/>
    <w:rsid w:val="00ED4A10"/>
    <w:rsid w:val="00ED4AB7"/>
    <w:rsid w:val="00ED500B"/>
    <w:rsid w:val="00ED52DB"/>
    <w:rsid w:val="00ED567D"/>
    <w:rsid w:val="00ED6387"/>
    <w:rsid w:val="00EE02B6"/>
    <w:rsid w:val="00EE0D06"/>
    <w:rsid w:val="00EE1BBE"/>
    <w:rsid w:val="00EE23DE"/>
    <w:rsid w:val="00EE31B2"/>
    <w:rsid w:val="00EE3389"/>
    <w:rsid w:val="00EE3880"/>
    <w:rsid w:val="00EE4225"/>
    <w:rsid w:val="00EE55AA"/>
    <w:rsid w:val="00EF17FB"/>
    <w:rsid w:val="00EF25FF"/>
    <w:rsid w:val="00EF28EB"/>
    <w:rsid w:val="00EF2A07"/>
    <w:rsid w:val="00EF2C91"/>
    <w:rsid w:val="00EF2DA3"/>
    <w:rsid w:val="00EF3F1E"/>
    <w:rsid w:val="00EF3F2A"/>
    <w:rsid w:val="00EF57A8"/>
    <w:rsid w:val="00EF5B3E"/>
    <w:rsid w:val="00EF645D"/>
    <w:rsid w:val="00EF75BD"/>
    <w:rsid w:val="00EF7BEA"/>
    <w:rsid w:val="00F022AA"/>
    <w:rsid w:val="00F02469"/>
    <w:rsid w:val="00F03050"/>
    <w:rsid w:val="00F038BA"/>
    <w:rsid w:val="00F0403A"/>
    <w:rsid w:val="00F04324"/>
    <w:rsid w:val="00F04510"/>
    <w:rsid w:val="00F04837"/>
    <w:rsid w:val="00F04DD7"/>
    <w:rsid w:val="00F053CE"/>
    <w:rsid w:val="00F055FC"/>
    <w:rsid w:val="00F0597A"/>
    <w:rsid w:val="00F05AF8"/>
    <w:rsid w:val="00F05FA4"/>
    <w:rsid w:val="00F06818"/>
    <w:rsid w:val="00F06D48"/>
    <w:rsid w:val="00F077A9"/>
    <w:rsid w:val="00F101C6"/>
    <w:rsid w:val="00F108BE"/>
    <w:rsid w:val="00F117F4"/>
    <w:rsid w:val="00F125D4"/>
    <w:rsid w:val="00F13E16"/>
    <w:rsid w:val="00F13EF4"/>
    <w:rsid w:val="00F14720"/>
    <w:rsid w:val="00F14A80"/>
    <w:rsid w:val="00F14F4E"/>
    <w:rsid w:val="00F15499"/>
    <w:rsid w:val="00F15A0B"/>
    <w:rsid w:val="00F16C0D"/>
    <w:rsid w:val="00F16C1A"/>
    <w:rsid w:val="00F178CF"/>
    <w:rsid w:val="00F20788"/>
    <w:rsid w:val="00F20DEB"/>
    <w:rsid w:val="00F20F14"/>
    <w:rsid w:val="00F2136A"/>
    <w:rsid w:val="00F21530"/>
    <w:rsid w:val="00F22998"/>
    <w:rsid w:val="00F251A7"/>
    <w:rsid w:val="00F258CC"/>
    <w:rsid w:val="00F269A8"/>
    <w:rsid w:val="00F26EA5"/>
    <w:rsid w:val="00F27E9F"/>
    <w:rsid w:val="00F30222"/>
    <w:rsid w:val="00F30D70"/>
    <w:rsid w:val="00F31F5A"/>
    <w:rsid w:val="00F32511"/>
    <w:rsid w:val="00F32DD1"/>
    <w:rsid w:val="00F34C26"/>
    <w:rsid w:val="00F354FD"/>
    <w:rsid w:val="00F358BA"/>
    <w:rsid w:val="00F35DF5"/>
    <w:rsid w:val="00F35F1F"/>
    <w:rsid w:val="00F4008C"/>
    <w:rsid w:val="00F40B00"/>
    <w:rsid w:val="00F41D4E"/>
    <w:rsid w:val="00F42131"/>
    <w:rsid w:val="00F426B9"/>
    <w:rsid w:val="00F42B9A"/>
    <w:rsid w:val="00F43325"/>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60517"/>
    <w:rsid w:val="00F6063E"/>
    <w:rsid w:val="00F608A0"/>
    <w:rsid w:val="00F61C6D"/>
    <w:rsid w:val="00F6571A"/>
    <w:rsid w:val="00F66B1E"/>
    <w:rsid w:val="00F66F1F"/>
    <w:rsid w:val="00F66FD2"/>
    <w:rsid w:val="00F67D82"/>
    <w:rsid w:val="00F70232"/>
    <w:rsid w:val="00F70904"/>
    <w:rsid w:val="00F71A90"/>
    <w:rsid w:val="00F72132"/>
    <w:rsid w:val="00F722CC"/>
    <w:rsid w:val="00F72758"/>
    <w:rsid w:val="00F72F24"/>
    <w:rsid w:val="00F73EF6"/>
    <w:rsid w:val="00F7410A"/>
    <w:rsid w:val="00F74339"/>
    <w:rsid w:val="00F74783"/>
    <w:rsid w:val="00F75C0F"/>
    <w:rsid w:val="00F762B5"/>
    <w:rsid w:val="00F76400"/>
    <w:rsid w:val="00F76AD0"/>
    <w:rsid w:val="00F76B05"/>
    <w:rsid w:val="00F76FB8"/>
    <w:rsid w:val="00F7749D"/>
    <w:rsid w:val="00F77E9D"/>
    <w:rsid w:val="00F8008D"/>
    <w:rsid w:val="00F807BF"/>
    <w:rsid w:val="00F81021"/>
    <w:rsid w:val="00F8110E"/>
    <w:rsid w:val="00F81DA6"/>
    <w:rsid w:val="00F81E05"/>
    <w:rsid w:val="00F831A0"/>
    <w:rsid w:val="00F834EC"/>
    <w:rsid w:val="00F84600"/>
    <w:rsid w:val="00F85386"/>
    <w:rsid w:val="00F85672"/>
    <w:rsid w:val="00F85805"/>
    <w:rsid w:val="00F858E5"/>
    <w:rsid w:val="00F9171C"/>
    <w:rsid w:val="00F922B7"/>
    <w:rsid w:val="00F9233E"/>
    <w:rsid w:val="00F92CA2"/>
    <w:rsid w:val="00F9382B"/>
    <w:rsid w:val="00F93874"/>
    <w:rsid w:val="00F94B22"/>
    <w:rsid w:val="00F95917"/>
    <w:rsid w:val="00F96DCD"/>
    <w:rsid w:val="00F96E4E"/>
    <w:rsid w:val="00F9739C"/>
    <w:rsid w:val="00F97674"/>
    <w:rsid w:val="00FA0348"/>
    <w:rsid w:val="00FA0644"/>
    <w:rsid w:val="00FA0A46"/>
    <w:rsid w:val="00FA11EB"/>
    <w:rsid w:val="00FA1768"/>
    <w:rsid w:val="00FA2984"/>
    <w:rsid w:val="00FA2F94"/>
    <w:rsid w:val="00FA3CD9"/>
    <w:rsid w:val="00FA42A6"/>
    <w:rsid w:val="00FA439B"/>
    <w:rsid w:val="00FA4401"/>
    <w:rsid w:val="00FA4F5A"/>
    <w:rsid w:val="00FA5908"/>
    <w:rsid w:val="00FA5A46"/>
    <w:rsid w:val="00FA5B46"/>
    <w:rsid w:val="00FA5BDA"/>
    <w:rsid w:val="00FA5C42"/>
    <w:rsid w:val="00FA651C"/>
    <w:rsid w:val="00FA6AE8"/>
    <w:rsid w:val="00FA6C83"/>
    <w:rsid w:val="00FA6D41"/>
    <w:rsid w:val="00FA7A30"/>
    <w:rsid w:val="00FA7D67"/>
    <w:rsid w:val="00FA7FC7"/>
    <w:rsid w:val="00FB1233"/>
    <w:rsid w:val="00FB2DD9"/>
    <w:rsid w:val="00FB37D6"/>
    <w:rsid w:val="00FB4492"/>
    <w:rsid w:val="00FB4A33"/>
    <w:rsid w:val="00FB5B31"/>
    <w:rsid w:val="00FB5B7A"/>
    <w:rsid w:val="00FB5D29"/>
    <w:rsid w:val="00FB5D56"/>
    <w:rsid w:val="00FB612D"/>
    <w:rsid w:val="00FB6665"/>
    <w:rsid w:val="00FC103E"/>
    <w:rsid w:val="00FC1FAB"/>
    <w:rsid w:val="00FC20D4"/>
    <w:rsid w:val="00FC26A5"/>
    <w:rsid w:val="00FC3824"/>
    <w:rsid w:val="00FC5426"/>
    <w:rsid w:val="00FC5A02"/>
    <w:rsid w:val="00FC6453"/>
    <w:rsid w:val="00FC6BCA"/>
    <w:rsid w:val="00FC6DB5"/>
    <w:rsid w:val="00FC74A7"/>
    <w:rsid w:val="00FC770B"/>
    <w:rsid w:val="00FD0305"/>
    <w:rsid w:val="00FD097B"/>
    <w:rsid w:val="00FD13EE"/>
    <w:rsid w:val="00FD153A"/>
    <w:rsid w:val="00FD1D23"/>
    <w:rsid w:val="00FD21B9"/>
    <w:rsid w:val="00FD2AEE"/>
    <w:rsid w:val="00FD3121"/>
    <w:rsid w:val="00FD35F8"/>
    <w:rsid w:val="00FD3C7E"/>
    <w:rsid w:val="00FD448F"/>
    <w:rsid w:val="00FD457D"/>
    <w:rsid w:val="00FD4AE2"/>
    <w:rsid w:val="00FD5B63"/>
    <w:rsid w:val="00FD5D96"/>
    <w:rsid w:val="00FD6A83"/>
    <w:rsid w:val="00FD77C3"/>
    <w:rsid w:val="00FD7BAD"/>
    <w:rsid w:val="00FE0E74"/>
    <w:rsid w:val="00FE1670"/>
    <w:rsid w:val="00FE18F7"/>
    <w:rsid w:val="00FE1C91"/>
    <w:rsid w:val="00FE1E9E"/>
    <w:rsid w:val="00FE2E52"/>
    <w:rsid w:val="00FE4AAE"/>
    <w:rsid w:val="00FE5281"/>
    <w:rsid w:val="00FE5756"/>
    <w:rsid w:val="00FE7BAE"/>
    <w:rsid w:val="00FF0353"/>
    <w:rsid w:val="00FF1E59"/>
    <w:rsid w:val="00FF207C"/>
    <w:rsid w:val="00FF4085"/>
    <w:rsid w:val="00FF41F9"/>
    <w:rsid w:val="00FF495D"/>
    <w:rsid w:val="00FF55F1"/>
    <w:rsid w:val="00FF5F83"/>
    <w:rsid w:val="00FF6F67"/>
    <w:rsid w:val="00FF7E28"/>
    <w:rsid w:val="0CCEDB78"/>
    <w:rsid w:val="3F9F7348"/>
    <w:rsid w:val="4FD0FA80"/>
    <w:rsid w:val="6E745E2F"/>
    <w:rsid w:val="7F2C1D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8F"/>
    <w:rPr>
      <w:rFonts w:ascii="Times New Roman" w:eastAsia="Times New Roman" w:hAnsi="Times New Roman"/>
      <w:sz w:val="24"/>
      <w:szCs w:val="24"/>
    </w:rPr>
  </w:style>
  <w:style w:type="paragraph" w:styleId="Ttulo1">
    <w:name w:val="heading 1"/>
    <w:basedOn w:val="Normal"/>
    <w:next w:val="Normal"/>
    <w:link w:val="Ttulo1Car"/>
    <w:uiPriority w:val="9"/>
    <w:qFormat/>
    <w:rsid w:val="00C64C07"/>
    <w:pPr>
      <w:keepNext/>
      <w:numPr>
        <w:numId w:val="4"/>
      </w:numPr>
      <w:ind w:left="0" w:firstLine="0"/>
      <w:jc w:val="center"/>
      <w:outlineLvl w:val="0"/>
    </w:pPr>
    <w:rPr>
      <w:rFonts w:ascii="Tahoma" w:hAnsi="Tahoma" w:cs="Arial Narrow"/>
      <w:b/>
      <w:bCs/>
      <w:sz w:val="20"/>
      <w:lang w:eastAsia="es-ES"/>
    </w:rPr>
  </w:style>
  <w:style w:type="paragraph" w:styleId="Ttulo2">
    <w:name w:val="heading 2"/>
    <w:aliases w:val="Capítulos"/>
    <w:basedOn w:val="Normal"/>
    <w:next w:val="Normal"/>
    <w:link w:val="Ttulo2Car"/>
    <w:uiPriority w:val="9"/>
    <w:qFormat/>
    <w:rsid w:val="00C64C07"/>
    <w:pPr>
      <w:keepNext/>
      <w:numPr>
        <w:numId w:val="8"/>
      </w:numPr>
      <w:ind w:left="0" w:firstLine="0"/>
      <w:outlineLvl w:val="1"/>
    </w:pPr>
    <w:rPr>
      <w:rFonts w:ascii="Arial Narrow" w:hAnsi="Arial Narrow"/>
      <w:snapToGrid w:val="0"/>
      <w:color w:val="000000"/>
      <w:sz w:val="28"/>
      <w:lang w:eastAsia="es-ES"/>
    </w:rPr>
  </w:style>
  <w:style w:type="paragraph" w:styleId="Ttulo3">
    <w:name w:val="heading 3"/>
    <w:basedOn w:val="Normal"/>
    <w:next w:val="Normal"/>
    <w:link w:val="Ttulo3Car"/>
    <w:uiPriority w:val="9"/>
    <w:qFormat/>
    <w:rsid w:val="00C64C07"/>
    <w:pPr>
      <w:keepNext/>
      <w:outlineLvl w:val="2"/>
    </w:pPr>
    <w:rPr>
      <w:rFonts w:ascii="Arial Narrow" w:hAnsi="Arial Narrow"/>
      <w:b/>
      <w:bCs/>
      <w:sz w:val="22"/>
      <w:lang w:eastAsia="es-ES"/>
    </w:rPr>
  </w:style>
  <w:style w:type="paragraph" w:styleId="Ttulo4">
    <w:name w:val="heading 4"/>
    <w:basedOn w:val="Normal"/>
    <w:next w:val="Normal"/>
    <w:link w:val="Ttulo4Car"/>
    <w:qFormat/>
    <w:rsid w:val="00C64C07"/>
    <w:pPr>
      <w:keepNext/>
      <w:ind w:left="360"/>
      <w:outlineLvl w:val="3"/>
    </w:pPr>
    <w:rPr>
      <w:b/>
      <w:bCs/>
      <w:lang w:eastAsia="es-E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lang w:eastAsia="es-ES"/>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aliases w:val="Capítulos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uiPriority w:val="9"/>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rPr>
      <w:lang w:eastAsia="es-ES"/>
    </w:r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rPr>
      <w:lang w:eastAsia="es-ES"/>
    </w:r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lang w:eastAsia="es-ES"/>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0"/>
      </w:numPr>
      <w:ind w:left="0" w:firstLine="0"/>
    </w:pPr>
    <w:rPr>
      <w:rFonts w:ascii="Arial Narrow" w:hAnsi="Arial Narrow"/>
      <w:snapToGrid w:val="0"/>
      <w:sz w:val="28"/>
      <w:lang w:eastAsia="es-ES"/>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lang w:eastAsia="es-ES"/>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eastAsia="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lang w:eastAsia="es-ES"/>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uiPriority w:val="99"/>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eastAsia="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2"/>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2"/>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2"/>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2"/>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2"/>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2"/>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2"/>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5"/>
      </w:numPr>
      <w:spacing w:before="120" w:after="120"/>
      <w:jc w:val="both"/>
    </w:pPr>
    <w:rPr>
      <w:rFonts w:ascii="Arial Narrow" w:eastAsia="Calibri" w:hAnsi="Arial Narrow"/>
      <w:lang w:eastAsia="es-ES"/>
    </w:rPr>
  </w:style>
  <w:style w:type="paragraph" w:customStyle="1" w:styleId="Invias-VietaRomana">
    <w:name w:val="Invias-Viñeta Romana"/>
    <w:basedOn w:val="Normal"/>
    <w:uiPriority w:val="99"/>
    <w:rsid w:val="00C64C07"/>
    <w:pPr>
      <w:numPr>
        <w:numId w:val="6"/>
      </w:numPr>
      <w:spacing w:before="120" w:after="120"/>
      <w:jc w:val="both"/>
    </w:pPr>
    <w:rPr>
      <w:rFonts w:ascii="Arial Narrow" w:eastAsia="Calibri" w:hAnsi="Arial Narrow"/>
      <w:lang w:eastAsia="es-ES"/>
    </w:rPr>
  </w:style>
  <w:style w:type="paragraph" w:customStyle="1" w:styleId="Invias-VietaAlfabetica">
    <w:name w:val="Invias-Viñeta Alfabetica"/>
    <w:next w:val="Normal"/>
    <w:uiPriority w:val="99"/>
    <w:qFormat/>
    <w:rsid w:val="00C64C07"/>
    <w:pPr>
      <w:numPr>
        <w:numId w:val="7"/>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9"/>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3"/>
      </w:numPr>
      <w:spacing w:before="240" w:after="240"/>
      <w:jc w:val="both"/>
    </w:pPr>
    <w:rPr>
      <w:rFonts w:ascii="Arial Narrow" w:eastAsia="Times New Roman" w:hAnsi="Arial Narrow"/>
      <w:sz w:val="24"/>
      <w:szCs w:val="24"/>
      <w:lang w:eastAsia="es-ES"/>
    </w:rPr>
  </w:style>
  <w:style w:type="character" w:styleId="Mencinsinresolver">
    <w:name w:val="Unresolved Mention"/>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列出段"/>
    <w:basedOn w:val="Normal"/>
    <w:uiPriority w:val="34"/>
    <w:qFormat/>
    <w:rsid w:val="00AD3684"/>
    <w:pPr>
      <w:ind w:left="708"/>
    </w:pPr>
    <w:rPr>
      <w:lang w:eastAsia="es-ES"/>
    </w:r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15"/>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lang w:eastAsia="es-ES"/>
    </w:rPr>
  </w:style>
  <w:style w:type="table" w:customStyle="1" w:styleId="TableNormal1">
    <w:name w:val="Table Normal1"/>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lang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20"/>
      </w:numPr>
      <w:spacing w:before="120" w:after="200"/>
      <w:jc w:val="both"/>
      <w:outlineLvl w:val="1"/>
    </w:pPr>
    <w:rPr>
      <w:rFonts w:ascii="Arial" w:hAnsi="Arial" w:cs="Arial"/>
      <w:b/>
      <w:sz w:val="20"/>
      <w:szCs w:val="16"/>
    </w:rPr>
  </w:style>
  <w:style w:type="character" w:customStyle="1" w:styleId="normaltextrun">
    <w:name w:val="normaltextrun"/>
    <w:rsid w:val="006946AF"/>
  </w:style>
  <w:style w:type="paragraph" w:customStyle="1" w:styleId="Captulo9">
    <w:name w:val="Capítulo 9"/>
    <w:basedOn w:val="Captulo7"/>
    <w:qFormat/>
    <w:rsid w:val="004D176F"/>
    <w:pPr>
      <w:numPr>
        <w:numId w:val="21"/>
      </w:numPr>
      <w:ind w:left="360"/>
    </w:pPr>
    <w:rPr>
      <w:color w:val="3B3838"/>
    </w:rPr>
  </w:style>
  <w:style w:type="paragraph" w:customStyle="1" w:styleId="Capitulo3">
    <w:name w:val="Capitulo 3"/>
    <w:basedOn w:val="Normal"/>
    <w:qFormat/>
    <w:rsid w:val="00E174FA"/>
    <w:pPr>
      <w:keepNext/>
      <w:numPr>
        <w:numId w:val="22"/>
      </w:numPr>
      <w:spacing w:before="120" w:after="200" w:line="276" w:lineRule="auto"/>
      <w:outlineLvl w:val="1"/>
    </w:pPr>
    <w:rPr>
      <w:rFonts w:cs="Arial"/>
      <w:b/>
      <w:color w:val="000000"/>
      <w:szCs w:val="20"/>
    </w:rPr>
  </w:style>
  <w:style w:type="table" w:styleId="Tabladelista2-nfasis3">
    <w:name w:val="List Table 2 Accent 3"/>
    <w:basedOn w:val="Tablanormal"/>
    <w:uiPriority w:val="47"/>
    <w:rsid w:val="00E174FA"/>
    <w:rPr>
      <w:rFonts w:cs="Arial"/>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 w:type="paragraph" w:styleId="Sinespaciado">
    <w:name w:val="No Spacing"/>
    <w:link w:val="SinespaciadoCar"/>
    <w:uiPriority w:val="1"/>
    <w:qFormat/>
    <w:rsid w:val="006963E0"/>
    <w:rPr>
      <w:sz w:val="22"/>
      <w:szCs w:val="22"/>
      <w:lang w:eastAsia="en-US"/>
    </w:rPr>
  </w:style>
  <w:style w:type="character" w:customStyle="1" w:styleId="SinespaciadoCar">
    <w:name w:val="Sin espaciado Car"/>
    <w:link w:val="Sinespaciado"/>
    <w:uiPriority w:val="1"/>
    <w:rsid w:val="006963E0"/>
    <w:rPr>
      <w:sz w:val="22"/>
      <w:szCs w:val="22"/>
      <w:lang w:eastAsia="en-US"/>
    </w:rPr>
  </w:style>
  <w:style w:type="paragraph" w:customStyle="1" w:styleId="parrafo">
    <w:name w:val="parrafo"/>
    <w:basedOn w:val="Normal"/>
    <w:rsid w:val="00DF0629"/>
    <w:pPr>
      <w:spacing w:before="100" w:beforeAutospacing="1" w:after="100" w:afterAutospacing="1"/>
    </w:pPr>
  </w:style>
  <w:style w:type="paragraph" w:customStyle="1" w:styleId="textooscuro">
    <w:name w:val="textooscuro"/>
    <w:basedOn w:val="Normal"/>
    <w:rsid w:val="001E2D8D"/>
    <w:pPr>
      <w:spacing w:before="100" w:beforeAutospacing="1" w:after="100" w:afterAutospacing="1"/>
    </w:pPr>
  </w:style>
  <w:style w:type="character" w:customStyle="1" w:styleId="cf01">
    <w:name w:val="cf01"/>
    <w:basedOn w:val="Fuentedeprrafopredeter"/>
    <w:rsid w:val="00707B80"/>
    <w:rPr>
      <w:rFonts w:ascii="Segoe UI" w:hAnsi="Segoe UI" w:cs="Segoe UI" w:hint="default"/>
      <w:sz w:val="18"/>
      <w:szCs w:val="18"/>
    </w:rPr>
  </w:style>
  <w:style w:type="paragraph" w:customStyle="1" w:styleId="pf0">
    <w:name w:val="pf0"/>
    <w:basedOn w:val="Normal"/>
    <w:rsid w:val="00707B80"/>
    <w:pPr>
      <w:spacing w:before="100" w:beforeAutospacing="1" w:after="100" w:afterAutospacing="1"/>
    </w:pPr>
  </w:style>
  <w:style w:type="paragraph" w:customStyle="1" w:styleId="paragraph">
    <w:name w:val="paragraph"/>
    <w:basedOn w:val="Normal"/>
    <w:rsid w:val="00850D2F"/>
    <w:pPr>
      <w:spacing w:before="100" w:beforeAutospacing="1" w:after="100" w:afterAutospacing="1"/>
    </w:pPr>
    <w:rPr>
      <w:lang w:val="es-ES" w:eastAsia="es-ES"/>
    </w:rPr>
  </w:style>
  <w:style w:type="paragraph" w:styleId="Revisin">
    <w:name w:val="Revision"/>
    <w:hidden/>
    <w:uiPriority w:val="71"/>
    <w:unhideWhenUsed/>
    <w:rsid w:val="0079135B"/>
    <w:rPr>
      <w:rFonts w:ascii="Times New Roman" w:eastAsia="Times New Roman" w:hAnsi="Times New Roman"/>
      <w:sz w:val="24"/>
      <w:szCs w:val="24"/>
    </w:rPr>
  </w:style>
  <w:style w:type="character" w:customStyle="1" w:styleId="vortalspan">
    <w:name w:val="vortalspan"/>
    <w:basedOn w:val="Fuentedeprrafopredeter"/>
    <w:rsid w:val="001E0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2289639">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25942457">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21239844">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032733196">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271860606">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17244952">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07297310">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1.emf"/><Relationship Id="rId39" Type="http://schemas.openxmlformats.org/officeDocument/2006/relationships/image" Target="media/image18.png"/><Relationship Id="rId21" Type="http://schemas.openxmlformats.org/officeDocument/2006/relationships/hyperlink" Target="https://www.elespectador.com/economia/precio-del-dolar-en-colombia-asi-le-fue-en-2023-y-estas-son-las-proyecciones-para-2024" TargetMode="External"/><Relationship Id="rId34" Type="http://schemas.openxmlformats.org/officeDocument/2006/relationships/hyperlink" Target="https://www.funcionpublica.gov.co/eva/gestornormativo/norma.php?i=160966" TargetMode="External"/><Relationship Id="rId42" Type="http://schemas.openxmlformats.org/officeDocument/2006/relationships/image" Target="media/image21.png"/><Relationship Id="rId47" Type="http://schemas.openxmlformats.org/officeDocument/2006/relationships/hyperlink" Target="https://www.funcionpublica.gov.co/eva/gestornormativo/norma.php?i=25678" TargetMode="External"/><Relationship Id="rId50" Type="http://schemas.openxmlformats.org/officeDocument/2006/relationships/hyperlink" Target="https://www.funcionpublica.gov.co/eva/gestornormativo/norma.php?i=160966"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4.emf"/><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image" Target="media/image17.png"/><Relationship Id="rId37" Type="http://schemas.openxmlformats.org/officeDocument/2006/relationships/hyperlink" Target="https://www.funcionpublica.gov.co/eva/gestornormativo/norma.php?i=160966" TargetMode="External"/><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larepublica.co/economia/estas-son-las-proyecciones-de-fedesarrollo-para-la-economia-colombiana-en-2024" TargetMode="External"/><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5.png"/><Relationship Id="rId22" Type="http://schemas.openxmlformats.org/officeDocument/2006/relationships/hyperlink" Target="https://www.infobae.com/colombia/2024/01/01/dolar-en-colombia-se-alineo-en-2023-con-otros-paises" TargetMode="External"/><Relationship Id="rId27" Type="http://schemas.openxmlformats.org/officeDocument/2006/relationships/image" Target="media/image12.emf"/><Relationship Id="rId30" Type="http://schemas.openxmlformats.org/officeDocument/2006/relationships/image" Target="media/image15.emf"/><Relationship Id="rId35" Type="http://schemas.openxmlformats.org/officeDocument/2006/relationships/hyperlink" Target="https://www.funcionpublica.gov.co/eva/gestornormativo/norma.php?i=160966" TargetMode="External"/><Relationship Id="rId43" Type="http://schemas.openxmlformats.org/officeDocument/2006/relationships/image" Target="media/image22.png"/><Relationship Id="rId48" Type="http://schemas.openxmlformats.org/officeDocument/2006/relationships/hyperlink" Target="https://www.funcionpublica.gov.co/eva/gestornormativo/norma.php?i=160966" TargetMode="External"/><Relationship Id="rId56" Type="http://schemas.openxmlformats.org/officeDocument/2006/relationships/footer" Target="footer2.xml"/><Relationship Id="rId8" Type="http://schemas.openxmlformats.org/officeDocument/2006/relationships/hyperlink" Target="http://www.colombiacompra.gov.co" TargetMode="External"/><Relationship Id="rId51"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portafolio.co/economia/crecimiento/andi-balance-de-la-economia-colombiana-en-2023-y-perspectivas-para-2024" TargetMode="External"/><Relationship Id="rId25" Type="http://schemas.openxmlformats.org/officeDocument/2006/relationships/hyperlink" Target="https://repository.eafit.edu.co/bitstream/handle/10784/621/JorgeMario_RiveraIllera_2012.pdf?sequence=3" TargetMode="External"/><Relationship Id="rId33" Type="http://schemas.openxmlformats.org/officeDocument/2006/relationships/hyperlink" Target="https://www.funcionpublica.gov.co/eva/gestornormativo/norma.php?i=77653" TargetMode="External"/><Relationship Id="rId38" Type="http://schemas.openxmlformats.org/officeDocument/2006/relationships/hyperlink" Target="https://www.funcionpublica.gov.co/eva/gestornormativo/norma.php?i=160966" TargetMode="External"/><Relationship Id="rId46" Type="http://schemas.openxmlformats.org/officeDocument/2006/relationships/image" Target="media/image25.emf"/><Relationship Id="rId20" Type="http://schemas.openxmlformats.org/officeDocument/2006/relationships/image" Target="media/image9.png"/><Relationship Id="rId41" Type="http://schemas.openxmlformats.org/officeDocument/2006/relationships/image" Target="media/image20.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imf.org/es/Publications/WEO/Issues/2023" TargetMode="External"/><Relationship Id="rId28" Type="http://schemas.openxmlformats.org/officeDocument/2006/relationships/image" Target="media/image13.emf"/><Relationship Id="rId36" Type="http://schemas.openxmlformats.org/officeDocument/2006/relationships/hyperlink" Target="https://www.funcionpublica.gov.co/eva/gestornormativo/norma.php?i=160966" TargetMode="External"/><Relationship Id="rId49" Type="http://schemas.openxmlformats.org/officeDocument/2006/relationships/hyperlink" Target="https://www.funcionpublica.gov.co/eva/gestornormativo/norma.php?i=160966" TargetMode="External"/><Relationship Id="rId57" Type="http://schemas.openxmlformats.org/officeDocument/2006/relationships/fontTable" Target="fontTable.xml"/><Relationship Id="rId10" Type="http://schemas.openxmlformats.org/officeDocument/2006/relationships/hyperlink" Target="http://www.supersociedades.gov.co" TargetMode="External"/><Relationship Id="rId31" Type="http://schemas.openxmlformats.org/officeDocument/2006/relationships/image" Target="media/image16.emf"/><Relationship Id="rId44" Type="http://schemas.openxmlformats.org/officeDocument/2006/relationships/image" Target="media/image23.png"/><Relationship Id="rId52" Type="http://schemas.openxmlformats.org/officeDocument/2006/relationships/hyperlink" Target="https://www.funcionpublica.gov.co/eva/gestornormativo/norma.php?i=160966"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9.png"/><Relationship Id="rId2" Type="http://schemas.openxmlformats.org/officeDocument/2006/relationships/hyperlink" Target="http://www.invias.gov.co" TargetMode="External"/><Relationship Id="rId1" Type="http://schemas.openxmlformats.org/officeDocument/2006/relationships/image" Target="media/image28.png"/></Relationships>
</file>

<file path=word/_rels/footer2.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_rels/header1.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_rels/header2.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3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99E23-7EAA-42E6-AC65-06271760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60</Pages>
  <Words>22359</Words>
  <Characters>122980</Characters>
  <Application>Microsoft Office Word</Application>
  <DocSecurity>0</DocSecurity>
  <Lines>1024</Lines>
  <Paragraphs>290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Juan Pablo Aricapa Granada</cp:lastModifiedBy>
  <cp:revision>18</cp:revision>
  <cp:lastPrinted>2017-03-09T21:13:00Z</cp:lastPrinted>
  <dcterms:created xsi:type="dcterms:W3CDTF">2024-04-27T00:24:00Z</dcterms:created>
  <dcterms:modified xsi:type="dcterms:W3CDTF">2024-06-17T16:37:00Z</dcterms:modified>
</cp:coreProperties>
</file>