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8019E6" w14:textId="77777777" w:rsidR="00270923" w:rsidRDefault="00270923">
      <w:pPr>
        <w:widowControl w:val="0"/>
      </w:pPr>
    </w:p>
    <w:tbl>
      <w:tblPr>
        <w:tblStyle w:val="a9"/>
        <w:tblW w:w="9401" w:type="dxa"/>
        <w:tblInd w:w="-5" w:type="dxa"/>
        <w:tblLayout w:type="fixed"/>
        <w:tblLook w:val="0400" w:firstRow="0" w:lastRow="0" w:firstColumn="0" w:lastColumn="0" w:noHBand="0" w:noVBand="1"/>
      </w:tblPr>
      <w:tblGrid>
        <w:gridCol w:w="9401"/>
      </w:tblGrid>
      <w:tr w:rsidR="00270923" w14:paraId="19F49128" w14:textId="77777777">
        <w:trPr>
          <w:trHeight w:val="227"/>
        </w:trPr>
        <w:tc>
          <w:tcPr>
            <w:tcW w:w="94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6E7D65" w14:textId="413FFF9A" w:rsidR="00270923" w:rsidRDefault="00000000">
            <w:pPr>
              <w:spacing w:line="240" w:lineRule="auto"/>
              <w:jc w:val="center"/>
              <w:rPr>
                <w:rFonts w:ascii="Arial" w:eastAsia="Arial" w:hAnsi="Arial" w:cs="Arial"/>
                <w:b/>
                <w:sz w:val="24"/>
                <w:szCs w:val="24"/>
              </w:rPr>
            </w:pPr>
            <w:r>
              <w:rPr>
                <w:rFonts w:ascii="Arial" w:eastAsia="Arial" w:hAnsi="Arial" w:cs="Arial"/>
                <w:b/>
                <w:sz w:val="24"/>
                <w:szCs w:val="24"/>
              </w:rPr>
              <w:t>ANEXO TÉCNICO TRANSPORTE CARGA</w:t>
            </w:r>
          </w:p>
          <w:p w14:paraId="14CD7AAA" w14:textId="77777777" w:rsidR="00270923" w:rsidRDefault="00270923">
            <w:pPr>
              <w:spacing w:line="240" w:lineRule="auto"/>
              <w:jc w:val="center"/>
              <w:rPr>
                <w:rFonts w:ascii="Arial" w:eastAsia="Arial" w:hAnsi="Arial" w:cs="Arial"/>
                <w:b/>
                <w:sz w:val="24"/>
                <w:szCs w:val="24"/>
              </w:rPr>
            </w:pPr>
          </w:p>
          <w:p w14:paraId="29E77F9C" w14:textId="77777777" w:rsidR="00270923" w:rsidRDefault="00270923">
            <w:pPr>
              <w:spacing w:line="240" w:lineRule="auto"/>
              <w:jc w:val="center"/>
              <w:rPr>
                <w:rFonts w:ascii="Arial" w:eastAsia="Arial" w:hAnsi="Arial" w:cs="Arial"/>
                <w:b/>
                <w:sz w:val="24"/>
                <w:szCs w:val="24"/>
              </w:rPr>
            </w:pPr>
          </w:p>
          <w:p w14:paraId="311751D3" w14:textId="77777777" w:rsidR="00270923" w:rsidRDefault="00000000">
            <w:pPr>
              <w:jc w:val="both"/>
              <w:rPr>
                <w:rFonts w:ascii="Arial" w:eastAsia="Arial" w:hAnsi="Arial" w:cs="Arial"/>
                <w:sz w:val="24"/>
                <w:szCs w:val="24"/>
              </w:rPr>
            </w:pPr>
            <w:r>
              <w:rPr>
                <w:rFonts w:ascii="Arial" w:eastAsia="Arial" w:hAnsi="Arial" w:cs="Arial"/>
                <w:sz w:val="24"/>
                <w:szCs w:val="24"/>
              </w:rPr>
              <w:t>Los requisitos solicitados en este ítem son de obligatorio cumplimiento, para lo cual el proponente deberá manifestarlo por escrito, y aportar los documentos que se solicitan con el propósito de habilitar técnicamente su propuesta.</w:t>
            </w:r>
          </w:p>
          <w:p w14:paraId="66AAD06F" w14:textId="77777777" w:rsidR="00270923" w:rsidRDefault="00270923">
            <w:pPr>
              <w:jc w:val="both"/>
              <w:rPr>
                <w:rFonts w:ascii="Arial" w:eastAsia="Arial" w:hAnsi="Arial" w:cs="Arial"/>
                <w:sz w:val="24"/>
                <w:szCs w:val="24"/>
              </w:rPr>
            </w:pPr>
          </w:p>
          <w:tbl>
            <w:tblPr>
              <w:tblStyle w:val="aa"/>
              <w:tblW w:w="9327" w:type="dxa"/>
              <w:tblInd w:w="0" w:type="dxa"/>
              <w:tblLayout w:type="fixed"/>
              <w:tblLook w:val="0400" w:firstRow="0" w:lastRow="0" w:firstColumn="0" w:lastColumn="0" w:noHBand="0" w:noVBand="1"/>
            </w:tblPr>
            <w:tblGrid>
              <w:gridCol w:w="6835"/>
              <w:gridCol w:w="720"/>
              <w:gridCol w:w="1772"/>
            </w:tblGrid>
            <w:tr w:rsidR="00270923" w14:paraId="2C62F5E1" w14:textId="77777777">
              <w:trPr>
                <w:trHeight w:val="183"/>
              </w:trPr>
              <w:tc>
                <w:tcPr>
                  <w:tcW w:w="6835"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420B28C9" w14:textId="77777777" w:rsidR="00270923" w:rsidRDefault="00000000">
                  <w:pPr>
                    <w:jc w:val="center"/>
                    <w:rPr>
                      <w:rFonts w:ascii="Arial Narrow" w:eastAsia="Arial Narrow" w:hAnsi="Arial Narrow" w:cs="Arial Narrow"/>
                      <w:b/>
                      <w:color w:val="000000"/>
                    </w:rPr>
                  </w:pPr>
                  <w:r>
                    <w:rPr>
                      <w:rFonts w:ascii="Arial Narrow" w:eastAsia="Arial Narrow" w:hAnsi="Arial Narrow" w:cs="Arial Narrow"/>
                      <w:b/>
                      <w:color w:val="000000"/>
                    </w:rPr>
                    <w:t xml:space="preserve">DESCRIPCIÒN </w:t>
                  </w:r>
                </w:p>
              </w:tc>
              <w:tc>
                <w:tcPr>
                  <w:tcW w:w="720" w:type="dxa"/>
                  <w:tcBorders>
                    <w:top w:val="single" w:sz="4" w:space="0" w:color="000000"/>
                    <w:left w:val="nil"/>
                    <w:bottom w:val="single" w:sz="4" w:space="0" w:color="000000"/>
                    <w:right w:val="single" w:sz="4" w:space="0" w:color="000000"/>
                  </w:tcBorders>
                  <w:shd w:val="clear" w:color="auto" w:fill="B4C6E7"/>
                  <w:vAlign w:val="center"/>
                </w:tcPr>
                <w:p w14:paraId="41288787" w14:textId="77777777" w:rsidR="00270923" w:rsidRDefault="00000000">
                  <w:pPr>
                    <w:jc w:val="center"/>
                    <w:rPr>
                      <w:rFonts w:ascii="Arial Narrow" w:eastAsia="Arial Narrow" w:hAnsi="Arial Narrow" w:cs="Arial Narrow"/>
                      <w:b/>
                      <w:color w:val="000000"/>
                    </w:rPr>
                  </w:pPr>
                  <w:r>
                    <w:rPr>
                      <w:rFonts w:ascii="Arial Narrow" w:eastAsia="Arial Narrow" w:hAnsi="Arial Narrow" w:cs="Arial Narrow"/>
                      <w:b/>
                      <w:color w:val="000000"/>
                    </w:rPr>
                    <w:t>CANT</w:t>
                  </w:r>
                </w:p>
              </w:tc>
              <w:tc>
                <w:tcPr>
                  <w:tcW w:w="1772" w:type="dxa"/>
                  <w:tcBorders>
                    <w:top w:val="single" w:sz="4" w:space="0" w:color="000000"/>
                    <w:left w:val="nil"/>
                    <w:bottom w:val="single" w:sz="4" w:space="0" w:color="000000"/>
                    <w:right w:val="single" w:sz="4" w:space="0" w:color="000000"/>
                  </w:tcBorders>
                  <w:shd w:val="clear" w:color="auto" w:fill="B4C6E7"/>
                  <w:vAlign w:val="center"/>
                </w:tcPr>
                <w:p w14:paraId="4AE41E15" w14:textId="77777777" w:rsidR="00270923" w:rsidRDefault="00000000">
                  <w:pPr>
                    <w:jc w:val="center"/>
                    <w:rPr>
                      <w:rFonts w:ascii="Arial Narrow" w:eastAsia="Arial Narrow" w:hAnsi="Arial Narrow" w:cs="Arial Narrow"/>
                      <w:b/>
                      <w:color w:val="000000"/>
                    </w:rPr>
                  </w:pPr>
                  <w:r>
                    <w:rPr>
                      <w:rFonts w:ascii="Arial Narrow" w:eastAsia="Arial Narrow" w:hAnsi="Arial Narrow" w:cs="Arial Narrow"/>
                      <w:b/>
                      <w:color w:val="000000"/>
                    </w:rPr>
                    <w:t>UNIDAD DE MEDIDA</w:t>
                  </w:r>
                </w:p>
              </w:tc>
            </w:tr>
            <w:tr w:rsidR="00270923" w14:paraId="7DFD2B79" w14:textId="77777777">
              <w:trPr>
                <w:trHeight w:val="291"/>
              </w:trPr>
              <w:tc>
                <w:tcPr>
                  <w:tcW w:w="6835" w:type="dxa"/>
                  <w:tcBorders>
                    <w:top w:val="nil"/>
                    <w:left w:val="single" w:sz="4" w:space="0" w:color="000000"/>
                    <w:bottom w:val="single" w:sz="4" w:space="0" w:color="000000"/>
                    <w:right w:val="single" w:sz="4" w:space="0" w:color="000000"/>
                  </w:tcBorders>
                  <w:shd w:val="clear" w:color="auto" w:fill="auto"/>
                  <w:vAlign w:val="bottom"/>
                </w:tcPr>
                <w:p w14:paraId="6B7F81F1" w14:textId="77777777" w:rsidR="00270923" w:rsidRDefault="00000000">
                  <w:pPr>
                    <w:jc w:val="both"/>
                    <w:rPr>
                      <w:rFonts w:ascii="Arial Narrow" w:eastAsia="Arial Narrow" w:hAnsi="Arial Narrow" w:cs="Arial Narrow"/>
                      <w:color w:val="000000"/>
                    </w:rPr>
                  </w:pPr>
                  <w:r>
                    <w:rPr>
                      <w:rFonts w:ascii="Arial Narrow" w:eastAsia="Arial Narrow" w:hAnsi="Arial Narrow" w:cs="Arial Narrow"/>
                      <w:color w:val="000000"/>
                    </w:rPr>
                    <w:t>Camión con estacas con capacidad de 3,5  toneladas, aire acondicionado modelo 2018 en adelante,  placa SERVICIO PUBLICO (sin pico y placa), incluye conductor. para el transporte de residuos de poda, tala y mantenimiento en humedales, eco parques y predios.</w:t>
                  </w:r>
                </w:p>
              </w:tc>
              <w:tc>
                <w:tcPr>
                  <w:tcW w:w="720" w:type="dxa"/>
                  <w:tcBorders>
                    <w:top w:val="nil"/>
                    <w:left w:val="nil"/>
                    <w:bottom w:val="single" w:sz="4" w:space="0" w:color="000000"/>
                    <w:right w:val="single" w:sz="4" w:space="0" w:color="000000"/>
                  </w:tcBorders>
                  <w:shd w:val="clear" w:color="auto" w:fill="auto"/>
                  <w:vAlign w:val="center"/>
                </w:tcPr>
                <w:p w14:paraId="15A8E627" w14:textId="77777777" w:rsidR="00270923" w:rsidRDefault="00000000">
                  <w:pPr>
                    <w:jc w:val="center"/>
                    <w:rPr>
                      <w:rFonts w:ascii="Arial Narrow" w:eastAsia="Arial Narrow" w:hAnsi="Arial Narrow" w:cs="Arial Narrow"/>
                      <w:color w:val="000000"/>
                    </w:rPr>
                  </w:pPr>
                  <w:r>
                    <w:rPr>
                      <w:rFonts w:ascii="Arial Narrow" w:eastAsia="Arial Narrow" w:hAnsi="Arial Narrow" w:cs="Arial Narrow"/>
                      <w:color w:val="000000"/>
                    </w:rPr>
                    <w:t>1</w:t>
                  </w:r>
                </w:p>
              </w:tc>
              <w:tc>
                <w:tcPr>
                  <w:tcW w:w="1772" w:type="dxa"/>
                  <w:tcBorders>
                    <w:top w:val="nil"/>
                    <w:left w:val="nil"/>
                    <w:bottom w:val="single" w:sz="4" w:space="0" w:color="000000"/>
                    <w:right w:val="single" w:sz="4" w:space="0" w:color="000000"/>
                  </w:tcBorders>
                  <w:shd w:val="clear" w:color="auto" w:fill="auto"/>
                  <w:vAlign w:val="center"/>
                </w:tcPr>
                <w:p w14:paraId="0B92135A" w14:textId="77777777" w:rsidR="00270923" w:rsidRDefault="00000000">
                  <w:pPr>
                    <w:jc w:val="center"/>
                    <w:rPr>
                      <w:rFonts w:ascii="Arial Narrow" w:eastAsia="Arial Narrow" w:hAnsi="Arial Narrow" w:cs="Arial Narrow"/>
                      <w:color w:val="000000"/>
                    </w:rPr>
                  </w:pPr>
                  <w:r>
                    <w:rPr>
                      <w:rFonts w:ascii="Arial Narrow" w:eastAsia="Arial Narrow" w:hAnsi="Arial Narrow" w:cs="Arial Narrow"/>
                      <w:color w:val="000000"/>
                    </w:rPr>
                    <w:t xml:space="preserve">Vehículo </w:t>
                  </w:r>
                </w:p>
              </w:tc>
            </w:tr>
          </w:tbl>
          <w:p w14:paraId="7479C19B" w14:textId="77777777" w:rsidR="00270923" w:rsidRDefault="00270923">
            <w:pPr>
              <w:ind w:left="170" w:hanging="170"/>
              <w:jc w:val="both"/>
              <w:rPr>
                <w:rFonts w:ascii="Arial" w:eastAsia="Arial" w:hAnsi="Arial" w:cs="Arial"/>
                <w:sz w:val="24"/>
                <w:szCs w:val="24"/>
              </w:rPr>
            </w:pPr>
          </w:p>
          <w:p w14:paraId="7E0552DD" w14:textId="77777777" w:rsidR="00270923" w:rsidRDefault="00000000">
            <w:pPr>
              <w:numPr>
                <w:ilvl w:val="0"/>
                <w:numId w:val="2"/>
              </w:numPr>
              <w:spacing w:line="240" w:lineRule="auto"/>
              <w:jc w:val="both"/>
              <w:rPr>
                <w:rFonts w:ascii="Arial" w:eastAsia="Arial" w:hAnsi="Arial" w:cs="Arial"/>
                <w:sz w:val="24"/>
                <w:szCs w:val="24"/>
              </w:rPr>
            </w:pPr>
            <w:r>
              <w:rPr>
                <w:rFonts w:ascii="Arial" w:eastAsia="Arial" w:hAnsi="Arial" w:cs="Arial"/>
                <w:sz w:val="24"/>
                <w:szCs w:val="24"/>
              </w:rPr>
              <w:t>Los vehículos deben contar con un teléfono móvil con sistema de manos libres para mantener comunicación permanente ya sea en zonas urbanas o rurales, los vehículos deberán estar dotados del equipo de carretera reglamentario (botiquín de primeros auxilios, extintor, linterna, taco, caja de herramientas, gato, cruceta señales reflectivas) y cualquier otro elemento que las autoridades o el código de transito requiera.</w:t>
            </w:r>
          </w:p>
          <w:p w14:paraId="2D48D65B" w14:textId="77777777" w:rsidR="00270923" w:rsidRDefault="00000000">
            <w:pPr>
              <w:numPr>
                <w:ilvl w:val="0"/>
                <w:numId w:val="2"/>
              </w:numPr>
              <w:spacing w:line="240" w:lineRule="auto"/>
              <w:jc w:val="both"/>
              <w:rPr>
                <w:rFonts w:ascii="Arial" w:eastAsia="Arial" w:hAnsi="Arial" w:cs="Arial"/>
                <w:sz w:val="24"/>
                <w:szCs w:val="24"/>
              </w:rPr>
            </w:pPr>
            <w:r>
              <w:rPr>
                <w:rFonts w:ascii="Arial" w:eastAsia="Arial" w:hAnsi="Arial" w:cs="Arial"/>
                <w:sz w:val="24"/>
                <w:szCs w:val="24"/>
              </w:rPr>
              <w:t>Presentación e implementación de un sistema de comunicación bidireccional entre la empresa y todos los conductores de los vehículos, y de las soluciones tecnológicas destinadas a la gestión y control de la flota, así como todos aquellos componentes que permitan la eficiente y oportuna comunicación entre las partes. Según lo establece el numeral 11 del artículo 12 del Decreto 431 de 2017.</w:t>
            </w:r>
          </w:p>
          <w:p w14:paraId="5E543474" w14:textId="77777777" w:rsidR="00270923" w:rsidRDefault="00000000">
            <w:pPr>
              <w:numPr>
                <w:ilvl w:val="0"/>
                <w:numId w:val="2"/>
              </w:numPr>
              <w:spacing w:line="240" w:lineRule="auto"/>
              <w:jc w:val="both"/>
              <w:rPr>
                <w:rFonts w:ascii="Arial" w:eastAsia="Arial" w:hAnsi="Arial" w:cs="Arial"/>
                <w:sz w:val="24"/>
                <w:szCs w:val="24"/>
              </w:rPr>
            </w:pPr>
            <w:r>
              <w:rPr>
                <w:rFonts w:ascii="Arial" w:eastAsia="Arial" w:hAnsi="Arial" w:cs="Arial"/>
                <w:sz w:val="24"/>
                <w:szCs w:val="24"/>
              </w:rPr>
              <w:t xml:space="preserve">El servicio de transporte incluye conductor calificado. </w:t>
            </w:r>
          </w:p>
          <w:p w14:paraId="5F6D2659" w14:textId="77777777" w:rsidR="00270923" w:rsidRDefault="00000000">
            <w:pPr>
              <w:numPr>
                <w:ilvl w:val="0"/>
                <w:numId w:val="2"/>
              </w:numPr>
              <w:spacing w:line="240" w:lineRule="auto"/>
              <w:jc w:val="both"/>
              <w:rPr>
                <w:rFonts w:ascii="Arial" w:eastAsia="Arial" w:hAnsi="Arial" w:cs="Arial"/>
                <w:sz w:val="24"/>
                <w:szCs w:val="24"/>
              </w:rPr>
            </w:pPr>
            <w:r>
              <w:rPr>
                <w:rFonts w:ascii="Arial" w:eastAsia="Arial" w:hAnsi="Arial" w:cs="Arial"/>
                <w:sz w:val="24"/>
                <w:szCs w:val="24"/>
              </w:rPr>
              <w:t>Los vehículos deberán contar con las licencias de tránsito y seguro obligatorio SOAT, con los cuales prestará el servicio</w:t>
            </w:r>
          </w:p>
          <w:p w14:paraId="796506DC" w14:textId="77777777" w:rsidR="00270923" w:rsidRDefault="00000000">
            <w:pPr>
              <w:numPr>
                <w:ilvl w:val="0"/>
                <w:numId w:val="2"/>
              </w:numPr>
              <w:spacing w:line="240" w:lineRule="auto"/>
              <w:jc w:val="both"/>
              <w:rPr>
                <w:rFonts w:ascii="Arial" w:eastAsia="Arial" w:hAnsi="Arial" w:cs="Arial"/>
                <w:sz w:val="24"/>
                <w:szCs w:val="24"/>
              </w:rPr>
            </w:pPr>
            <w:r>
              <w:rPr>
                <w:rFonts w:ascii="Arial" w:eastAsia="Arial" w:hAnsi="Arial" w:cs="Arial"/>
                <w:sz w:val="24"/>
                <w:szCs w:val="24"/>
              </w:rPr>
              <w:t xml:space="preserve">El servicio contratado será por horas o fracción, por tal razón el Distrito de Santiago de Cali – DAGMA- no reconocerá el tiempo utilizado por los conductores del proponente, para su alimentación, aprovisionamiento de combustible, alistamiento de vehículo y el tiempo requerido para desplazarse de su residencia al lugar de prestación del servicio, ni el tiempo de restricción por normas de tránsito. Se pagará por hora o fracción efectivamente prestada, registrada por el funcionario o contratista del Distrito de Santiago de Cali – DAGMA, en las planillas respectivas. </w:t>
            </w:r>
          </w:p>
          <w:p w14:paraId="33C520A8" w14:textId="77777777" w:rsidR="00270923" w:rsidRDefault="00000000">
            <w:pPr>
              <w:numPr>
                <w:ilvl w:val="0"/>
                <w:numId w:val="2"/>
              </w:numPr>
              <w:spacing w:line="240" w:lineRule="auto"/>
              <w:jc w:val="both"/>
              <w:rPr>
                <w:rFonts w:ascii="Arial" w:eastAsia="Arial" w:hAnsi="Arial" w:cs="Arial"/>
                <w:sz w:val="24"/>
                <w:szCs w:val="24"/>
              </w:rPr>
            </w:pPr>
            <w:r>
              <w:rPr>
                <w:rFonts w:ascii="Arial" w:eastAsia="Arial" w:hAnsi="Arial" w:cs="Arial"/>
                <w:sz w:val="24"/>
                <w:szCs w:val="24"/>
              </w:rPr>
              <w:t xml:space="preserve">Responder por los daños y perjuicios que por culpa o negligencia suya o de sus conductores y/o colaboradores se cause al distrito de Santiago de Cali – DAGMA </w:t>
            </w:r>
            <w:r>
              <w:rPr>
                <w:rFonts w:ascii="Arial" w:eastAsia="Arial" w:hAnsi="Arial" w:cs="Arial"/>
                <w:sz w:val="24"/>
                <w:szCs w:val="24"/>
              </w:rPr>
              <w:lastRenderedPageBreak/>
              <w:t>o a un tercero sin comprometer al Distrito de Santiago de Cali – DAGMA.</w:t>
            </w:r>
          </w:p>
          <w:p w14:paraId="2C8294E4" w14:textId="77777777" w:rsidR="00270923" w:rsidRDefault="00000000">
            <w:pPr>
              <w:numPr>
                <w:ilvl w:val="0"/>
                <w:numId w:val="2"/>
              </w:numPr>
              <w:spacing w:line="240" w:lineRule="auto"/>
              <w:jc w:val="both"/>
              <w:rPr>
                <w:rFonts w:ascii="Arial" w:eastAsia="Arial" w:hAnsi="Arial" w:cs="Arial"/>
                <w:sz w:val="24"/>
                <w:szCs w:val="24"/>
              </w:rPr>
            </w:pPr>
            <w:r>
              <w:rPr>
                <w:rFonts w:ascii="Arial" w:eastAsia="Arial" w:hAnsi="Arial" w:cs="Arial"/>
                <w:sz w:val="24"/>
                <w:szCs w:val="24"/>
              </w:rPr>
              <w:t xml:space="preserve">Abrir y llevar sin costo adicional para el Distrito de Santiago de Cali – DAGMA, una ficha de transporte por cada vehículo que preste el servicio objeto de este contrato, donde se indicará el día, la hora de inicio y final del servicio, la persona que lo solicita, la placa del vehículo y el recorrido realizado. Esta planilla debe ser entregada mensualmente al supervisor del contrato. </w:t>
            </w:r>
          </w:p>
          <w:p w14:paraId="2896A9B9" w14:textId="77777777" w:rsidR="00270923" w:rsidRDefault="00000000">
            <w:pPr>
              <w:numPr>
                <w:ilvl w:val="0"/>
                <w:numId w:val="2"/>
              </w:numPr>
              <w:spacing w:line="240" w:lineRule="auto"/>
              <w:jc w:val="both"/>
              <w:rPr>
                <w:rFonts w:ascii="Arial" w:eastAsia="Arial" w:hAnsi="Arial" w:cs="Arial"/>
                <w:sz w:val="24"/>
                <w:szCs w:val="24"/>
              </w:rPr>
            </w:pPr>
            <w:r>
              <w:rPr>
                <w:rFonts w:ascii="Arial" w:eastAsia="Arial" w:hAnsi="Arial" w:cs="Arial"/>
                <w:sz w:val="24"/>
                <w:szCs w:val="24"/>
              </w:rPr>
              <w:t>Mantener al día los documentos básicos exigibles por la policía de tránsito o carreteras como son: tarjeta de propiedad, tarjeta de operación, certificado de emisión de gases, seguro obligatorio de accidentes de tránsito, extracto de contrato para el conductor, permiso para vidrios polarizados si los hubiere, pólizas de responsabilidad civil contractual y extracontractual etc. Debe exhibirlos cada vez que el distrito de Santiago de Cali – DAGMA o la autoridad competente lo requieran. En caso de no tenerlos al día debe responder por las sanciones que esto acarree, tanto por las autoridades como las que el distrito de Santiago de Cali – DAGMA- contractualmente disponga.</w:t>
            </w:r>
          </w:p>
          <w:p w14:paraId="36F9EF35" w14:textId="77777777" w:rsidR="00270923" w:rsidRDefault="00000000">
            <w:pPr>
              <w:numPr>
                <w:ilvl w:val="0"/>
                <w:numId w:val="2"/>
              </w:numPr>
              <w:spacing w:line="240" w:lineRule="auto"/>
              <w:jc w:val="both"/>
              <w:rPr>
                <w:rFonts w:ascii="Arial" w:eastAsia="Arial" w:hAnsi="Arial" w:cs="Arial"/>
                <w:sz w:val="24"/>
                <w:szCs w:val="24"/>
              </w:rPr>
            </w:pPr>
            <w:r>
              <w:rPr>
                <w:rFonts w:ascii="Arial" w:eastAsia="Arial" w:hAnsi="Arial" w:cs="Arial"/>
                <w:sz w:val="24"/>
                <w:szCs w:val="24"/>
              </w:rPr>
              <w:t>Cumplir las normas ambientales que rigen para el servicio de transporte, tales como:</w:t>
            </w:r>
          </w:p>
          <w:p w14:paraId="2D5A854B" w14:textId="77777777" w:rsidR="00270923"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Todo lo estipulado en el Código Nacional de Tránsito.</w:t>
            </w:r>
          </w:p>
          <w:p w14:paraId="04B85B34" w14:textId="77777777" w:rsidR="00270923"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Resolución No.0910 de 2008 del Ministerio del Medio Ambiente, Por la cual se reglamentan los niveles permisibles de emisión de contaminantes producidos por fuentes móviles terrestres. </w:t>
            </w:r>
          </w:p>
          <w:p w14:paraId="2F8F7BE9" w14:textId="77777777" w:rsidR="00270923"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Resolución 556 del 7 de abril de 2003, por el cual se expiden normas para el control de las emisiones en fuentes móviles. </w:t>
            </w:r>
          </w:p>
          <w:p w14:paraId="2E915EF4" w14:textId="77777777" w:rsidR="00270923" w:rsidRDefault="00000000">
            <w:pPr>
              <w:spacing w:line="240" w:lineRule="auto"/>
              <w:jc w:val="center"/>
              <w:rPr>
                <w:rFonts w:ascii="Arial" w:eastAsia="Arial" w:hAnsi="Arial" w:cs="Arial"/>
                <w:b/>
                <w:sz w:val="24"/>
                <w:szCs w:val="24"/>
              </w:rPr>
            </w:pPr>
            <w:r>
              <w:rPr>
                <w:rFonts w:ascii="Arial" w:eastAsia="Arial" w:hAnsi="Arial" w:cs="Arial"/>
                <w:sz w:val="24"/>
                <w:szCs w:val="24"/>
              </w:rPr>
              <w:t>Decreto 948 de 1995 expedido por el Ministerio del Medio Ambiente, por el cual se reglamenta el control de la calidad del aire.</w:t>
            </w:r>
          </w:p>
        </w:tc>
      </w:tr>
    </w:tbl>
    <w:p w14:paraId="56716F31" w14:textId="77777777" w:rsidR="00270923" w:rsidRDefault="00270923">
      <w:pPr>
        <w:spacing w:line="240" w:lineRule="auto"/>
      </w:pPr>
    </w:p>
    <w:sectPr w:rsidR="00270923">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884405" w14:textId="77777777" w:rsidR="00262EFF" w:rsidRDefault="00262EFF">
      <w:pPr>
        <w:spacing w:line="240" w:lineRule="auto"/>
      </w:pPr>
      <w:r>
        <w:separator/>
      </w:r>
    </w:p>
  </w:endnote>
  <w:endnote w:type="continuationSeparator" w:id="0">
    <w:p w14:paraId="0A889F8A" w14:textId="77777777" w:rsidR="00262EFF" w:rsidRDefault="00262E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5BDCEBCB-11F4-4874-BB6A-59B04368D86F}"/>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F219634C-FBB9-4136-8144-1B820583C9E3}"/>
  </w:font>
  <w:font w:name="Arial Narrow">
    <w:panose1 w:val="020B0606020202030204"/>
    <w:charset w:val="00"/>
    <w:family w:val="swiss"/>
    <w:pitch w:val="variable"/>
    <w:sig w:usb0="00000287" w:usb1="00000800" w:usb2="00000000" w:usb3="00000000" w:csb0="0000009F" w:csb1="00000000"/>
    <w:embedRegular r:id="rId3" w:fontKey="{C511DFA4-1DFF-47F1-A43A-5A6425BFC27E}"/>
    <w:embedBold r:id="rId4" w:fontKey="{97320EB5-6896-4B19-9DDE-7D76A5BC36FD}"/>
  </w:font>
  <w:font w:name="Cambria">
    <w:panose1 w:val="02040503050406030204"/>
    <w:charset w:val="00"/>
    <w:family w:val="roman"/>
    <w:pitch w:val="variable"/>
    <w:sig w:usb0="E00006FF" w:usb1="420024FF" w:usb2="02000000" w:usb3="00000000" w:csb0="0000019F" w:csb1="00000000"/>
    <w:embedRegular r:id="rId5" w:fontKey="{897A9011-9461-4022-B48C-5533B929EAF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C89AB1" w14:textId="77777777" w:rsidR="00262EFF" w:rsidRDefault="00262EFF">
      <w:pPr>
        <w:spacing w:line="240" w:lineRule="auto"/>
      </w:pPr>
      <w:r>
        <w:separator/>
      </w:r>
    </w:p>
  </w:footnote>
  <w:footnote w:type="continuationSeparator" w:id="0">
    <w:p w14:paraId="2E0A20D3" w14:textId="77777777" w:rsidR="00262EFF" w:rsidRDefault="00262EF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6F0B8" w14:textId="77777777" w:rsidR="00270923" w:rsidRDefault="00270923">
    <w:pPr>
      <w:widowControl w:val="0"/>
      <w:pBdr>
        <w:top w:val="nil"/>
        <w:left w:val="nil"/>
        <w:bottom w:val="nil"/>
        <w:right w:val="nil"/>
        <w:between w:val="nil"/>
      </w:pBdr>
    </w:pPr>
  </w:p>
  <w:tbl>
    <w:tblPr>
      <w:tblStyle w:val="ab"/>
      <w:tblW w:w="965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6683"/>
    </w:tblGrid>
    <w:tr w:rsidR="00270923" w14:paraId="39AA6597" w14:textId="77777777">
      <w:trPr>
        <w:trHeight w:val="841"/>
      </w:trPr>
      <w:tc>
        <w:tcPr>
          <w:tcW w:w="2976" w:type="dxa"/>
          <w:vMerge w:val="restart"/>
          <w:vAlign w:val="center"/>
        </w:tcPr>
        <w:p w14:paraId="191DB6FC" w14:textId="77777777" w:rsidR="00270923" w:rsidRDefault="00000000">
          <w:pPr>
            <w:pBdr>
              <w:top w:val="nil"/>
              <w:left w:val="nil"/>
              <w:bottom w:val="nil"/>
              <w:right w:val="nil"/>
              <w:between w:val="nil"/>
            </w:pBdr>
            <w:tabs>
              <w:tab w:val="center" w:pos="4252"/>
              <w:tab w:val="right" w:pos="8504"/>
            </w:tabs>
            <w:jc w:val="center"/>
            <w:rPr>
              <w:color w:val="000000"/>
              <w:sz w:val="14"/>
              <w:szCs w:val="14"/>
            </w:rPr>
          </w:pPr>
          <w:r>
            <w:rPr>
              <w:noProof/>
            </w:rPr>
            <w:drawing>
              <wp:anchor distT="0" distB="0" distL="0" distR="0" simplePos="0" relativeHeight="251658240" behindDoc="0" locked="0" layoutInCell="1" hidden="0" allowOverlap="1" wp14:anchorId="430836FA" wp14:editId="2D31F2DB">
                <wp:simplePos x="0" y="0"/>
                <wp:positionH relativeFrom="column">
                  <wp:posOffset>252413</wp:posOffset>
                </wp:positionH>
                <wp:positionV relativeFrom="paragraph">
                  <wp:posOffset>19050</wp:posOffset>
                </wp:positionV>
                <wp:extent cx="1304190" cy="1003883"/>
                <wp:effectExtent l="0" t="0" r="0" b="0"/>
                <wp:wrapSquare wrapText="bothSides" distT="0" distB="0" distL="0" distR="0"/>
                <wp:docPr id="45"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304190" cy="1003883"/>
                        </a:xfrm>
                        <a:prstGeom prst="rect">
                          <a:avLst/>
                        </a:prstGeom>
                        <a:ln/>
                      </pic:spPr>
                    </pic:pic>
                  </a:graphicData>
                </a:graphic>
              </wp:anchor>
            </w:drawing>
          </w:r>
        </w:p>
        <w:p w14:paraId="2401A9DB" w14:textId="77777777" w:rsidR="00270923" w:rsidRDefault="00270923">
          <w:pPr>
            <w:pBdr>
              <w:top w:val="nil"/>
              <w:left w:val="nil"/>
              <w:bottom w:val="nil"/>
              <w:right w:val="nil"/>
              <w:between w:val="nil"/>
            </w:pBdr>
            <w:tabs>
              <w:tab w:val="center" w:pos="4252"/>
              <w:tab w:val="right" w:pos="8504"/>
            </w:tabs>
            <w:jc w:val="center"/>
            <w:rPr>
              <w:color w:val="000000"/>
              <w:sz w:val="10"/>
              <w:szCs w:val="10"/>
            </w:rPr>
          </w:pPr>
        </w:p>
        <w:p w14:paraId="6EDDF4E5" w14:textId="77777777" w:rsidR="00270923" w:rsidRDefault="00270923">
          <w:pPr>
            <w:pBdr>
              <w:top w:val="nil"/>
              <w:left w:val="nil"/>
              <w:bottom w:val="nil"/>
              <w:right w:val="nil"/>
              <w:between w:val="nil"/>
            </w:pBdr>
            <w:tabs>
              <w:tab w:val="center" w:pos="4252"/>
              <w:tab w:val="right" w:pos="8504"/>
            </w:tabs>
            <w:spacing w:after="60"/>
            <w:jc w:val="center"/>
            <w:rPr>
              <w:color w:val="000000"/>
              <w:sz w:val="14"/>
              <w:szCs w:val="14"/>
            </w:rPr>
          </w:pPr>
        </w:p>
      </w:tc>
      <w:tc>
        <w:tcPr>
          <w:tcW w:w="6683" w:type="dxa"/>
          <w:vMerge w:val="restart"/>
          <w:vAlign w:val="center"/>
        </w:tcPr>
        <w:p w14:paraId="5408FA30" w14:textId="77777777" w:rsidR="00270923" w:rsidRDefault="00000000">
          <w:pPr>
            <w:pBdr>
              <w:top w:val="nil"/>
              <w:left w:val="nil"/>
              <w:bottom w:val="nil"/>
              <w:right w:val="nil"/>
              <w:between w:val="nil"/>
            </w:pBdr>
            <w:tabs>
              <w:tab w:val="center" w:pos="4252"/>
              <w:tab w:val="right" w:pos="8504"/>
            </w:tabs>
            <w:jc w:val="center"/>
            <w:rPr>
              <w:b/>
              <w:color w:val="000000"/>
              <w:sz w:val="24"/>
              <w:szCs w:val="24"/>
            </w:rPr>
          </w:pPr>
          <w:r>
            <w:rPr>
              <w:b/>
              <w:color w:val="000000"/>
              <w:sz w:val="24"/>
              <w:szCs w:val="24"/>
            </w:rPr>
            <w:t xml:space="preserve">INVITACIÓN PÚBLICA DE MÍNIMA CUANTÍA </w:t>
          </w:r>
        </w:p>
        <w:p w14:paraId="7772ED29" w14:textId="77777777" w:rsidR="00270923" w:rsidRDefault="00270923">
          <w:pPr>
            <w:pBdr>
              <w:top w:val="nil"/>
              <w:left w:val="nil"/>
              <w:bottom w:val="nil"/>
              <w:right w:val="nil"/>
              <w:between w:val="nil"/>
            </w:pBdr>
            <w:tabs>
              <w:tab w:val="center" w:pos="4252"/>
              <w:tab w:val="right" w:pos="8504"/>
            </w:tabs>
            <w:jc w:val="center"/>
            <w:rPr>
              <w:sz w:val="24"/>
              <w:szCs w:val="24"/>
            </w:rPr>
          </w:pPr>
        </w:p>
        <w:p w14:paraId="0F01230D" w14:textId="77777777" w:rsidR="00270923" w:rsidRDefault="00000000">
          <w:pPr>
            <w:pBdr>
              <w:top w:val="nil"/>
              <w:left w:val="nil"/>
              <w:bottom w:val="nil"/>
              <w:right w:val="nil"/>
              <w:between w:val="nil"/>
            </w:pBdr>
            <w:tabs>
              <w:tab w:val="center" w:pos="4252"/>
              <w:tab w:val="right" w:pos="8504"/>
            </w:tabs>
            <w:jc w:val="center"/>
          </w:pPr>
          <w:r>
            <w:rPr>
              <w:sz w:val="24"/>
              <w:szCs w:val="24"/>
            </w:rPr>
            <w:t>Proceso</w:t>
          </w:r>
          <w:r>
            <w:rPr>
              <w:color w:val="000000"/>
              <w:sz w:val="24"/>
              <w:szCs w:val="24"/>
            </w:rPr>
            <w:t xml:space="preserve"> No. </w:t>
          </w:r>
          <w:r>
            <w:rPr>
              <w:sz w:val="24"/>
              <w:szCs w:val="24"/>
            </w:rPr>
            <w:t>4133.010.32.1.1171-2024</w:t>
          </w:r>
        </w:p>
      </w:tc>
    </w:tr>
    <w:tr w:rsidR="00270923" w14:paraId="35BCFC4F" w14:textId="77777777">
      <w:trPr>
        <w:trHeight w:val="945"/>
      </w:trPr>
      <w:tc>
        <w:tcPr>
          <w:tcW w:w="2976" w:type="dxa"/>
          <w:vMerge/>
          <w:vAlign w:val="center"/>
        </w:tcPr>
        <w:p w14:paraId="590830B7" w14:textId="77777777" w:rsidR="00270923" w:rsidRDefault="00270923">
          <w:pPr>
            <w:widowControl w:val="0"/>
            <w:pBdr>
              <w:top w:val="nil"/>
              <w:left w:val="nil"/>
              <w:bottom w:val="nil"/>
              <w:right w:val="nil"/>
              <w:between w:val="nil"/>
            </w:pBdr>
          </w:pPr>
        </w:p>
      </w:tc>
      <w:tc>
        <w:tcPr>
          <w:tcW w:w="6683" w:type="dxa"/>
          <w:vMerge/>
          <w:vAlign w:val="center"/>
        </w:tcPr>
        <w:p w14:paraId="2A41B4AC" w14:textId="77777777" w:rsidR="00270923" w:rsidRDefault="00270923">
          <w:pPr>
            <w:widowControl w:val="0"/>
            <w:pBdr>
              <w:top w:val="nil"/>
              <w:left w:val="nil"/>
              <w:bottom w:val="nil"/>
              <w:right w:val="nil"/>
              <w:between w:val="nil"/>
            </w:pBdr>
          </w:pPr>
        </w:p>
      </w:tc>
    </w:tr>
  </w:tbl>
  <w:p w14:paraId="2E2823AA" w14:textId="77777777" w:rsidR="00270923" w:rsidRDefault="00270923">
    <w:pPr>
      <w:pBdr>
        <w:top w:val="nil"/>
        <w:left w:val="nil"/>
        <w:bottom w:val="nil"/>
        <w:right w:val="nil"/>
        <w:between w:val="nil"/>
      </w:pBdr>
      <w:tabs>
        <w:tab w:val="center" w:pos="4419"/>
        <w:tab w:val="right" w:pos="8838"/>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8E08AC"/>
    <w:multiLevelType w:val="multilevel"/>
    <w:tmpl w:val="A4109F90"/>
    <w:lvl w:ilvl="0">
      <w:numFmt w:val="bullet"/>
      <w:lvlText w:val="-"/>
      <w:lvlJc w:val="left"/>
      <w:pPr>
        <w:ind w:left="360" w:hanging="360"/>
      </w:pPr>
      <w:rPr>
        <w:rFonts w:ascii="Arial MT" w:eastAsia="Arial MT" w:hAnsi="Arial MT" w:cs="Arial MT"/>
        <w:sz w:val="22"/>
        <w:szCs w:val="2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3A951F63"/>
    <w:multiLevelType w:val="multilevel"/>
    <w:tmpl w:val="B148A1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29282317">
    <w:abstractNumId w:val="0"/>
  </w:num>
  <w:num w:numId="2" w16cid:durableId="895045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923"/>
    <w:rsid w:val="00262EFF"/>
    <w:rsid w:val="00270923"/>
    <w:rsid w:val="005C2DEF"/>
    <w:rsid w:val="00E731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9DE72"/>
  <w15:docId w15:val="{4B9436CA-A828-4068-ADD9-5F6A3868F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1"/>
    <w:pPr>
      <w:widowControl w:val="0"/>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0">
    <w:basedOn w:val="TableNormal1"/>
    <w:pPr>
      <w:widowControl w:val="0"/>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1">
    <w:basedOn w:val="TableNormal1"/>
    <w:pPr>
      <w:widowControl w:val="0"/>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2">
    <w:basedOn w:val="TableNormal1"/>
    <w:pPr>
      <w:widowControl w:val="0"/>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3">
    <w:basedOn w:val="TableNormal1"/>
    <w:pPr>
      <w:widowControl w:val="0"/>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4">
    <w:basedOn w:val="TableNormal1"/>
    <w:pPr>
      <w:widowControl w:val="0"/>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5">
    <w:basedOn w:val="TableNormal1"/>
    <w:pPr>
      <w:widowControl w:val="0"/>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6">
    <w:basedOn w:val="TableNormal1"/>
    <w:pPr>
      <w:widowControl w:val="0"/>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7">
    <w:basedOn w:val="TableNormal1"/>
    <w:pPr>
      <w:widowControl w:val="0"/>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8">
    <w:basedOn w:val="TableNormal1"/>
    <w:pPr>
      <w:widowControl w:val="0"/>
    </w:pPr>
    <w:rPr>
      <w:rFonts w:ascii="Calibri" w:eastAsia="Calibri" w:hAnsi="Calibri" w:cs="Calibri"/>
    </w:rPr>
    <w:tblPr>
      <w:tblStyleRowBandSize w:val="1"/>
      <w:tblStyleColBandSize w:val="1"/>
      <w:tblCellMar>
        <w:top w:w="100" w:type="dxa"/>
        <w:left w:w="115" w:type="dxa"/>
        <w:bottom w:w="100" w:type="dxa"/>
        <w:right w:w="115" w:type="dxa"/>
      </w:tblCellMar>
    </w:tblPr>
  </w:style>
  <w:style w:type="paragraph" w:styleId="Encabezado">
    <w:name w:val="header"/>
    <w:basedOn w:val="Normal"/>
    <w:link w:val="EncabezadoCar"/>
    <w:uiPriority w:val="99"/>
    <w:unhideWhenUsed/>
    <w:rsid w:val="00C45F7D"/>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C45F7D"/>
  </w:style>
  <w:style w:type="paragraph" w:styleId="Piedepgina">
    <w:name w:val="footer"/>
    <w:basedOn w:val="Normal"/>
    <w:link w:val="PiedepginaCar"/>
    <w:uiPriority w:val="99"/>
    <w:unhideWhenUsed/>
    <w:rsid w:val="00C45F7D"/>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C45F7D"/>
  </w:style>
  <w:style w:type="table" w:customStyle="1" w:styleId="a9">
    <w:basedOn w:val="TableNormal0"/>
    <w:pPr>
      <w:widowControl w:val="0"/>
    </w:pPr>
    <w:rPr>
      <w:rFonts w:ascii="Calibri" w:eastAsia="Calibri" w:hAnsi="Calibri" w:cs="Calibri"/>
    </w:rPr>
    <w:tblPr>
      <w:tblStyleRowBandSize w:val="1"/>
      <w:tblStyleColBandSize w:val="1"/>
      <w:tblCellMar>
        <w:top w:w="100" w:type="dxa"/>
        <w:left w:w="115" w:type="dxa"/>
        <w:bottom w:w="100" w:type="dxa"/>
        <w:right w:w="115" w:type="dxa"/>
      </w:tblCellMar>
    </w:tblPr>
  </w:style>
  <w:style w:type="table" w:customStyle="1" w:styleId="aa">
    <w:basedOn w:val="TableNormal0"/>
    <w:tblPr>
      <w:tblStyleRowBandSize w:val="1"/>
      <w:tblStyleColBandSize w:val="1"/>
      <w:tblCellMar>
        <w:left w:w="70" w:type="dxa"/>
        <w:right w:w="70" w:type="dxa"/>
      </w:tblCellMar>
    </w:tblPr>
  </w:style>
  <w:style w:type="table" w:customStyle="1" w:styleId="ab">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tSPX0U2DhpoRPZy543T0mBRwZA==">CgMxLjA4AHIhMWR3UlFDc2lSemw3RjBWcnFwMzNpem00NWZaVGp3UUFh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3391</Characters>
  <Application>Microsoft Office Word</Application>
  <DocSecurity>0</DocSecurity>
  <Lines>28</Lines>
  <Paragraphs>7</Paragraphs>
  <ScaleCrop>false</ScaleCrop>
  <Company>Luffi</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Luisa Fernanda G.</cp:lastModifiedBy>
  <cp:revision>2</cp:revision>
  <dcterms:created xsi:type="dcterms:W3CDTF">2024-06-06T23:15:00Z</dcterms:created>
  <dcterms:modified xsi:type="dcterms:W3CDTF">2024-06-26T00:04:00Z</dcterms:modified>
</cp:coreProperties>
</file>