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2FFAB3E5" w14:textId="5C80B5A7" w:rsidR="006E6D9B" w:rsidRPr="00D2740F" w:rsidRDefault="006E6D9B" w:rsidP="007C702A">
      <w:pPr>
        <w:rPr>
          <w:rFonts w:ascii="Arial" w:hAnsi="Arial" w:cs="Arial"/>
          <w:color w:val="000000" w:themeColor="text1"/>
          <w:sz w:val="20"/>
          <w:szCs w:val="20"/>
          <w:highlight w:val="lightGray"/>
          <w:lang w:val="es-ES_tradnl" w:eastAsia="es-CO"/>
        </w:rPr>
      </w:pPr>
      <w:r w:rsidRPr="00D2740F">
        <w:rPr>
          <w:rFonts w:ascii="Arial" w:hAnsi="Arial" w:cs="Arial"/>
          <w:color w:val="000000" w:themeColor="text1"/>
          <w:sz w:val="20"/>
          <w:szCs w:val="20"/>
          <w:highlight w:val="lightGray"/>
          <w:lang w:val="es-ES_tradnl" w:eastAsia="es-CO"/>
        </w:rPr>
        <w:t xml:space="preserve">[La Entidad debe diligenciar la Matriz teniendo en cuenta la naturaleza del </w:t>
      </w:r>
      <w:r w:rsidR="00624AC2">
        <w:rPr>
          <w:rFonts w:ascii="Arial" w:hAnsi="Arial" w:cs="Arial"/>
          <w:color w:val="000000" w:themeColor="text1"/>
          <w:sz w:val="20"/>
          <w:szCs w:val="20"/>
          <w:highlight w:val="lightGray"/>
          <w:lang w:val="es-ES_tradnl" w:eastAsia="es-CO"/>
        </w:rPr>
        <w:t>c</w:t>
      </w:r>
      <w:r w:rsidRPr="00D2740F">
        <w:rPr>
          <w:rFonts w:ascii="Arial" w:hAnsi="Arial" w:cs="Arial"/>
          <w:color w:val="000000" w:themeColor="text1"/>
          <w:sz w:val="20"/>
          <w:szCs w:val="20"/>
          <w:highlight w:val="lightGray"/>
          <w:lang w:val="es-ES_tradnl" w:eastAsia="es-CO"/>
        </w:rPr>
        <w:t xml:space="preserve">ontrato] </w:t>
      </w:r>
    </w:p>
    <w:p w14:paraId="6AE0CF7D" w14:textId="4309164F" w:rsidR="0058222E" w:rsidRPr="00D2740F" w:rsidRDefault="0058222E" w:rsidP="00D70D7B">
      <w:pPr>
        <w:spacing w:after="100" w:afterAutospacing="1"/>
        <w:rPr>
          <w:rFonts w:ascii="Arial" w:eastAsia="SimSun" w:hAnsi="Arial" w:cs="Arial"/>
          <w:b/>
          <w:color w:val="000000" w:themeColor="text1"/>
          <w:kern w:val="3"/>
          <w:sz w:val="20"/>
          <w:szCs w:val="20"/>
          <w:highlight w:val="lightGray"/>
          <w:u w:val="single"/>
          <w:lang w:eastAsia="zh-CN" w:bidi="hi-IN"/>
        </w:rPr>
      </w:pPr>
    </w:p>
    <w:p w14:paraId="53DA53C9" w14:textId="5C02D285" w:rsidR="005E5030" w:rsidRPr="00D2740F" w:rsidRDefault="001246B3" w:rsidP="001246B3">
      <w:pPr>
        <w:rPr>
          <w:rFonts w:ascii="Arial" w:eastAsia="SimSun" w:hAnsi="Arial" w:cs="Arial"/>
          <w:b/>
          <w:color w:val="000000" w:themeColor="text1"/>
          <w:kern w:val="3"/>
          <w:sz w:val="20"/>
          <w:szCs w:val="20"/>
          <w:u w:val="single"/>
          <w:lang w:eastAsia="zh-CN" w:bidi="hi-IN"/>
        </w:rPr>
      </w:pPr>
      <w:r w:rsidRPr="00D2740F">
        <w:rPr>
          <w:rFonts w:ascii="Arial" w:hAnsi="Arial" w:cs="Arial"/>
          <w:color w:val="000000" w:themeColor="text1"/>
          <w:sz w:val="20"/>
          <w:szCs w:val="20"/>
          <w:highlight w:val="lightGray"/>
          <w:lang w:val="es-ES_tradnl" w:eastAsia="es-CO"/>
        </w:rPr>
        <w:t>[</w:t>
      </w:r>
      <w:r w:rsidR="005E5030" w:rsidRPr="00D2740F">
        <w:rPr>
          <w:rFonts w:ascii="Arial" w:hAnsi="Arial" w:cs="Arial"/>
          <w:color w:val="000000" w:themeColor="text1"/>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D2740F">
        <w:rPr>
          <w:rFonts w:ascii="Arial" w:hAnsi="Arial" w:cs="Arial"/>
          <w:color w:val="000000" w:themeColor="text1"/>
          <w:sz w:val="20"/>
          <w:szCs w:val="20"/>
          <w:highlight w:val="lightGray"/>
          <w:lang w:val="es-ES_tradnl" w:eastAsia="es-CO"/>
        </w:rPr>
        <w:t>l.]</w:t>
      </w: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051F93CA" w:rsidR="0058222E" w:rsidRDefault="00815604" w:rsidP="00D70D7B">
      <w:pPr>
        <w:spacing w:after="100" w:afterAutospacing="1"/>
        <w:rPr>
          <w:rFonts w:ascii="Arial" w:eastAsia="SimSun" w:hAnsi="Arial" w:cs="Arial"/>
          <w:b/>
          <w:color w:val="000000" w:themeColor="text1"/>
          <w:kern w:val="3"/>
          <w:sz w:val="20"/>
          <w:szCs w:val="20"/>
          <w:u w:val="single"/>
          <w:lang w:eastAsia="zh-CN" w:bidi="hi-IN"/>
        </w:rPr>
      </w:pPr>
      <w:r w:rsidRPr="00BB7ED4">
        <w:rPr>
          <w:rFonts w:ascii="Arial" w:eastAsia="SimSun" w:hAnsi="Arial" w:cs="Arial"/>
          <w:b/>
          <w:color w:val="000000" w:themeColor="text1"/>
          <w:kern w:val="3"/>
          <w:sz w:val="20"/>
          <w:szCs w:val="20"/>
          <w:highlight w:val="yellow"/>
          <w:u w:val="single"/>
          <w:lang w:eastAsia="zh-CN" w:bidi="hi-IN"/>
        </w:rPr>
        <w:t>Matriz de Riesgos</w:t>
      </w:r>
    </w:p>
    <w:p w14:paraId="277558D1" w14:textId="5BDD18C0" w:rsidR="00BB7ED4" w:rsidRDefault="00BB7ED4" w:rsidP="00D70D7B">
      <w:pPr>
        <w:spacing w:after="100" w:afterAutospacing="1"/>
        <w:rPr>
          <w:rFonts w:ascii="Arial" w:eastAsia="SimSun" w:hAnsi="Arial" w:cs="Arial"/>
          <w:b/>
          <w:color w:val="000000" w:themeColor="text1"/>
          <w:kern w:val="3"/>
          <w:sz w:val="20"/>
          <w:szCs w:val="20"/>
          <w:u w:val="single"/>
          <w:lang w:eastAsia="zh-CN" w:bidi="hi-IN"/>
        </w:rPr>
      </w:pPr>
    </w:p>
    <w:tbl>
      <w:tblPr>
        <w:tblStyle w:val="Tablaconcuadrcula"/>
        <w:tblW w:w="5000" w:type="pct"/>
        <w:tblLook w:val="04A0" w:firstRow="1" w:lastRow="0" w:firstColumn="1" w:lastColumn="0" w:noHBand="0" w:noVBand="1"/>
      </w:tblPr>
      <w:tblGrid>
        <w:gridCol w:w="322"/>
        <w:gridCol w:w="322"/>
        <w:gridCol w:w="322"/>
        <w:gridCol w:w="322"/>
        <w:gridCol w:w="321"/>
        <w:gridCol w:w="670"/>
        <w:gridCol w:w="577"/>
        <w:gridCol w:w="321"/>
        <w:gridCol w:w="321"/>
        <w:gridCol w:w="321"/>
        <w:gridCol w:w="385"/>
        <w:gridCol w:w="604"/>
        <w:gridCol w:w="655"/>
        <w:gridCol w:w="321"/>
        <w:gridCol w:w="321"/>
        <w:gridCol w:w="321"/>
        <w:gridCol w:w="385"/>
        <w:gridCol w:w="526"/>
        <w:gridCol w:w="547"/>
        <w:gridCol w:w="628"/>
        <w:gridCol w:w="652"/>
        <w:gridCol w:w="628"/>
      </w:tblGrid>
      <w:tr w:rsidR="00BB7ED4" w14:paraId="29773A95" w14:textId="77777777" w:rsidTr="009819B4">
        <w:trPr>
          <w:cantSplit/>
          <w:trHeight w:val="1212"/>
        </w:trPr>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AAA87D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No.</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B2A00A0"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Clase</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566B27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Fuente</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4FD9963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Etapa</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9646FAE"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Tipo</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tcPr>
          <w:p w14:paraId="4D1D4CC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Descripción</w:t>
            </w:r>
          </w:p>
          <w:p w14:paraId="7817AE68"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(Qué puede pasar y como puede ocurrir)</w:t>
            </w:r>
          </w:p>
          <w:p w14:paraId="3F8AC17E"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p>
        </w:tc>
        <w:tc>
          <w:tcPr>
            <w:tcW w:w="300"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492DE66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Consecuencia de la ocurrencia del evento</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0ECB8E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Probabilidad</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147EA507"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Impacto</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598DC3FA"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Valoración del riesgo</w:t>
            </w:r>
          </w:p>
        </w:tc>
        <w:tc>
          <w:tcPr>
            <w:tcW w:w="19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EA42946" w14:textId="77777777" w:rsidR="00BB7ED4" w:rsidRDefault="00BB7ED4" w:rsidP="009819B4">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Categoría</w:t>
            </w:r>
          </w:p>
        </w:tc>
        <w:tc>
          <w:tcPr>
            <w:tcW w:w="3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AD01D52"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 quién se le asigna?</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4D01CA26"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Tratamiento/Controles a ser implementados</w:t>
            </w:r>
          </w:p>
        </w:tc>
        <w:tc>
          <w:tcPr>
            <w:tcW w:w="62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B4FB48"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3218CD14"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7C803C86"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 después del tratamiento</w:t>
            </w:r>
          </w:p>
        </w:tc>
        <w:tc>
          <w:tcPr>
            <w:tcW w:w="272"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E9ECCBA"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¿Afecta la ejecución del contrato?</w:t>
            </w:r>
          </w:p>
        </w:tc>
        <w:tc>
          <w:tcPr>
            <w:tcW w:w="28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D20D2B7"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Persona responsable por implementar el tratamiento</w:t>
            </w:r>
          </w:p>
        </w:tc>
        <w:tc>
          <w:tcPr>
            <w:tcW w:w="32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F407379"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Fecha estimada en que se completa el tratamiento</w:t>
            </w:r>
          </w:p>
        </w:tc>
        <w:tc>
          <w:tcPr>
            <w:tcW w:w="67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9ABD41"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195B275B"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p>
          <w:p w14:paraId="59017F23" w14:textId="77777777" w:rsidR="00BB7ED4" w:rsidRDefault="00BB7ED4" w:rsidP="009819B4">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Monitoreo y revisión</w:t>
            </w:r>
          </w:p>
        </w:tc>
      </w:tr>
      <w:tr w:rsidR="00BB7ED4" w14:paraId="0A12F871" w14:textId="77777777" w:rsidTr="009819B4">
        <w:trPr>
          <w:cantSplit/>
          <w:trHeight w:val="20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0F29F0"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C8C4CB"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3242BC"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71FD5"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CF9AF"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3771A"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D1A0E"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D5D6F"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636B4"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D66E3"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107F4" w14:textId="77777777" w:rsidR="00BB7ED4" w:rsidRDefault="00BB7ED4" w:rsidP="009819B4">
            <w:pPr>
              <w:contextualSpacing w:val="0"/>
              <w:jc w:val="left"/>
              <w:rPr>
                <w:rFonts w:ascii="Arial" w:eastAsia="SimSun" w:hAnsi="Arial" w:cs="Arial"/>
                <w:color w:val="FFFFFF" w:themeColor="background1"/>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0AEE49"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6E644DC5"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11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19086419"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Probabilidad</w:t>
            </w:r>
          </w:p>
        </w:tc>
        <w:tc>
          <w:tcPr>
            <w:tcW w:w="1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71F4CB5A"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w:t>
            </w:r>
          </w:p>
        </w:tc>
        <w:tc>
          <w:tcPr>
            <w:tcW w:w="15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72A2558"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Valoración del Riesgo</w:t>
            </w:r>
          </w:p>
        </w:tc>
        <w:tc>
          <w:tcPr>
            <w:tcW w:w="19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6E77F4F"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BA11C"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309DD8"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425E3" w14:textId="77777777" w:rsidR="00BB7ED4" w:rsidRDefault="00BB7ED4" w:rsidP="009819B4">
            <w:pPr>
              <w:contextualSpacing w:val="0"/>
              <w:jc w:val="left"/>
              <w:rPr>
                <w:rFonts w:ascii="Arial" w:eastAsia="SimSun" w:hAnsi="Arial" w:cs="Arial"/>
                <w:b/>
                <w:color w:val="404040" w:themeColor="text1" w:themeTint="BF"/>
                <w:kern w:val="3"/>
                <w:sz w:val="16"/>
                <w:szCs w:val="16"/>
                <w:lang w:eastAsia="zh-CN" w:bidi="hi-IN"/>
              </w:rPr>
            </w:pPr>
          </w:p>
        </w:tc>
        <w:tc>
          <w:tcPr>
            <w:tcW w:w="34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1CCE34B5"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¿Cómo se realiza el monitoreo?</w:t>
            </w:r>
          </w:p>
        </w:tc>
        <w:tc>
          <w:tcPr>
            <w:tcW w:w="32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2DC8C2EC"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Periodicidad</w:t>
            </w:r>
          </w:p>
          <w:p w14:paraId="09EAA6F0" w14:textId="77777777" w:rsidR="00BB7ED4" w:rsidRDefault="00BB7ED4" w:rsidP="009819B4">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¿Cuándo?</w:t>
            </w:r>
          </w:p>
        </w:tc>
      </w:tr>
      <w:tr w:rsidR="00BB7ED4" w14:paraId="22620903" w14:textId="77777777" w:rsidTr="009819B4">
        <w:trPr>
          <w:trHeight w:val="494"/>
        </w:trPr>
        <w:tc>
          <w:tcPr>
            <w:tcW w:w="159" w:type="pct"/>
            <w:tcBorders>
              <w:top w:val="single" w:sz="4" w:space="0" w:color="auto"/>
              <w:left w:val="single" w:sz="4" w:space="0" w:color="auto"/>
              <w:bottom w:val="single" w:sz="4" w:space="0" w:color="auto"/>
              <w:right w:val="single" w:sz="4" w:space="0" w:color="auto"/>
            </w:tcBorders>
            <w:noWrap/>
            <w:hideMark/>
          </w:tcPr>
          <w:p w14:paraId="14D1C3D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E520EA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D09F65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23B316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Selección - Ejecución</w:t>
            </w:r>
          </w:p>
        </w:tc>
        <w:tc>
          <w:tcPr>
            <w:tcW w:w="158" w:type="pct"/>
            <w:tcBorders>
              <w:top w:val="single" w:sz="4" w:space="0" w:color="auto"/>
              <w:left w:val="single" w:sz="4" w:space="0" w:color="auto"/>
              <w:bottom w:val="single" w:sz="4" w:space="0" w:color="auto"/>
              <w:right w:val="single" w:sz="4" w:space="0" w:color="auto"/>
            </w:tcBorders>
            <w:textDirection w:val="btLr"/>
            <w:hideMark/>
          </w:tcPr>
          <w:p w14:paraId="73E239A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 - Riesgo Operacional</w:t>
            </w:r>
          </w:p>
        </w:tc>
        <w:tc>
          <w:tcPr>
            <w:tcW w:w="352" w:type="pct"/>
            <w:tcBorders>
              <w:top w:val="single" w:sz="4" w:space="0" w:color="auto"/>
              <w:left w:val="single" w:sz="4" w:space="0" w:color="auto"/>
              <w:bottom w:val="single" w:sz="4" w:space="0" w:color="auto"/>
              <w:right w:val="single" w:sz="4" w:space="0" w:color="auto"/>
            </w:tcBorders>
            <w:hideMark/>
          </w:tcPr>
          <w:p w14:paraId="48CB306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Precios Por debajo del Presupuesto Oficial </w:t>
            </w:r>
            <w:r>
              <w:rPr>
                <w:rFonts w:ascii="Arial" w:eastAsia="Times New Roman" w:hAnsi="Arial" w:cs="Arial"/>
                <w:sz w:val="10"/>
                <w:szCs w:val="10"/>
                <w:lang w:eastAsia="es-CO"/>
              </w:rPr>
              <w:t>(por debajo del presupuesto oficial, o por debajo de los ítems del presupuesto oficial o de los insumos del APU del presupuesto oficial, tales como equipos, materiale</w:t>
            </w:r>
            <w:r>
              <w:rPr>
                <w:rFonts w:ascii="Arial" w:eastAsia="Times New Roman" w:hAnsi="Arial" w:cs="Arial"/>
                <w:sz w:val="10"/>
                <w:szCs w:val="10"/>
                <w:lang w:eastAsia="es-CO"/>
              </w:rPr>
              <w:lastRenderedPageBreak/>
              <w:t>s, mano de obra, transportes, AIU EN LA PROPUESTA DEL PROPONENTE Y/O CONTRATISTA.</w:t>
            </w:r>
          </w:p>
        </w:tc>
        <w:tc>
          <w:tcPr>
            <w:tcW w:w="300" w:type="pct"/>
            <w:tcBorders>
              <w:top w:val="single" w:sz="4" w:space="0" w:color="auto"/>
              <w:left w:val="single" w:sz="4" w:space="0" w:color="auto"/>
              <w:bottom w:val="single" w:sz="4" w:space="0" w:color="auto"/>
              <w:right w:val="single" w:sz="4" w:space="0" w:color="auto"/>
            </w:tcBorders>
            <w:hideMark/>
          </w:tcPr>
          <w:p w14:paraId="360C02B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Impacto económico al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05D1A5B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6CE1E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C633B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45FFBC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7EF74703"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F6C47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Implementación de Controles en la Fase precontractual y contractual que aseguren la eficiencia del contratista en la ejecución del contrato conforme a la oferta técnica y económica presentada.</w:t>
            </w:r>
          </w:p>
        </w:tc>
        <w:tc>
          <w:tcPr>
            <w:tcW w:w="111" w:type="pct"/>
            <w:tcBorders>
              <w:top w:val="single" w:sz="4" w:space="0" w:color="auto"/>
              <w:left w:val="single" w:sz="4" w:space="0" w:color="auto"/>
              <w:bottom w:val="single" w:sz="4" w:space="0" w:color="auto"/>
              <w:right w:val="single" w:sz="4" w:space="0" w:color="auto"/>
            </w:tcBorders>
            <w:hideMark/>
          </w:tcPr>
          <w:p w14:paraId="27FD45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A552B5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706D8D9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35DCB4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6EF3BE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 son muy bajos puede afectar la ejecución del contrato</w:t>
            </w:r>
          </w:p>
        </w:tc>
        <w:tc>
          <w:tcPr>
            <w:tcW w:w="284" w:type="pct"/>
            <w:tcBorders>
              <w:top w:val="single" w:sz="4" w:space="0" w:color="auto"/>
              <w:left w:val="single" w:sz="4" w:space="0" w:color="auto"/>
              <w:bottom w:val="single" w:sz="4" w:space="0" w:color="auto"/>
              <w:right w:val="single" w:sz="4" w:space="0" w:color="auto"/>
            </w:tcBorders>
            <w:hideMark/>
          </w:tcPr>
          <w:p w14:paraId="17E69A9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04C444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787C39F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Control de la ejecución de los ítems de obra con la calidad requerida en especificaciones técnicas. Seguimiento al avance de la obra, al cumplimiento del programa de inversiones.   Comités Técnicos, Seguimiento a informes, </w:t>
            </w:r>
            <w:r>
              <w:rPr>
                <w:rFonts w:ascii="Arial" w:eastAsia="Times New Roman" w:hAnsi="Arial" w:cs="Arial"/>
                <w:sz w:val="10"/>
                <w:szCs w:val="10"/>
                <w:lang w:eastAsia="es-CO"/>
              </w:rPr>
              <w:lastRenderedPageBreak/>
              <w:t>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50C7F72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mensual</w:t>
            </w:r>
          </w:p>
        </w:tc>
      </w:tr>
      <w:tr w:rsidR="00BB7ED4" w14:paraId="57AEB02E" w14:textId="77777777" w:rsidTr="009819B4">
        <w:trPr>
          <w:trHeight w:val="2055"/>
        </w:trPr>
        <w:tc>
          <w:tcPr>
            <w:tcW w:w="159" w:type="pct"/>
            <w:tcBorders>
              <w:top w:val="single" w:sz="4" w:space="0" w:color="auto"/>
              <w:left w:val="single" w:sz="4" w:space="0" w:color="auto"/>
              <w:bottom w:val="single" w:sz="4" w:space="0" w:color="auto"/>
              <w:right w:val="single" w:sz="4" w:space="0" w:color="auto"/>
            </w:tcBorders>
            <w:noWrap/>
            <w:hideMark/>
          </w:tcPr>
          <w:p w14:paraId="26006A2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8F4CD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28832C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E11A9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6A93AC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2" w:type="pct"/>
            <w:tcBorders>
              <w:top w:val="single" w:sz="4" w:space="0" w:color="auto"/>
              <w:left w:val="single" w:sz="4" w:space="0" w:color="auto"/>
              <w:bottom w:val="single" w:sz="4" w:space="0" w:color="auto"/>
              <w:right w:val="single" w:sz="4" w:space="0" w:color="auto"/>
            </w:tcBorders>
            <w:hideMark/>
          </w:tcPr>
          <w:p w14:paraId="4541E2CD"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Salida del mercado de insumos o materias primas fundamentales para la elaboración de las obras objeto del contrato.</w:t>
            </w:r>
          </w:p>
        </w:tc>
        <w:tc>
          <w:tcPr>
            <w:tcW w:w="300" w:type="pct"/>
            <w:tcBorders>
              <w:top w:val="single" w:sz="4" w:space="0" w:color="auto"/>
              <w:left w:val="single" w:sz="4" w:space="0" w:color="auto"/>
              <w:bottom w:val="single" w:sz="4" w:space="0" w:color="auto"/>
              <w:right w:val="single" w:sz="4" w:space="0" w:color="auto"/>
            </w:tcBorders>
            <w:hideMark/>
          </w:tcPr>
          <w:p w14:paraId="0BA6B6E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cumplimiento del objeto contractual</w:t>
            </w:r>
          </w:p>
        </w:tc>
        <w:tc>
          <w:tcPr>
            <w:tcW w:w="158" w:type="pct"/>
            <w:tcBorders>
              <w:top w:val="single" w:sz="4" w:space="0" w:color="auto"/>
              <w:left w:val="single" w:sz="4" w:space="0" w:color="auto"/>
              <w:bottom w:val="single" w:sz="4" w:space="0" w:color="auto"/>
              <w:right w:val="single" w:sz="4" w:space="0" w:color="auto"/>
            </w:tcBorders>
            <w:noWrap/>
            <w:hideMark/>
          </w:tcPr>
          <w:p w14:paraId="15C2988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65613A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E0545C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0B51CB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5BE714E0"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4B18B1D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a partir de las fuentes oficiales durante la etapa precontractual y contractual</w:t>
            </w:r>
          </w:p>
        </w:tc>
        <w:tc>
          <w:tcPr>
            <w:tcW w:w="111" w:type="pct"/>
            <w:tcBorders>
              <w:top w:val="single" w:sz="4" w:space="0" w:color="auto"/>
              <w:left w:val="single" w:sz="4" w:space="0" w:color="auto"/>
              <w:bottom w:val="single" w:sz="4" w:space="0" w:color="auto"/>
              <w:right w:val="single" w:sz="4" w:space="0" w:color="auto"/>
            </w:tcBorders>
            <w:hideMark/>
          </w:tcPr>
          <w:p w14:paraId="0D6B3E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663B34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084F96C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7057ED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83FB4A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 el insumo es materia prima básica puede afectarla, mientras se acuerda solución alterna.</w:t>
            </w:r>
          </w:p>
        </w:tc>
        <w:tc>
          <w:tcPr>
            <w:tcW w:w="284" w:type="pct"/>
            <w:tcBorders>
              <w:top w:val="single" w:sz="4" w:space="0" w:color="auto"/>
              <w:left w:val="single" w:sz="4" w:space="0" w:color="auto"/>
              <w:bottom w:val="single" w:sz="4" w:space="0" w:color="auto"/>
              <w:right w:val="single" w:sz="4" w:space="0" w:color="auto"/>
            </w:tcBorders>
            <w:hideMark/>
          </w:tcPr>
          <w:p w14:paraId="3F021A1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4EB00A2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28312B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Atención al comportamiento del suministro de materias primas e insumos en el mercado.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097139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4BCF9B12" w14:textId="77777777" w:rsidTr="009819B4">
        <w:trPr>
          <w:trHeight w:val="2160"/>
        </w:trPr>
        <w:tc>
          <w:tcPr>
            <w:tcW w:w="159" w:type="pct"/>
            <w:tcBorders>
              <w:top w:val="single" w:sz="4" w:space="0" w:color="auto"/>
              <w:left w:val="single" w:sz="4" w:space="0" w:color="auto"/>
              <w:bottom w:val="single" w:sz="4" w:space="0" w:color="auto"/>
              <w:right w:val="single" w:sz="4" w:space="0" w:color="auto"/>
            </w:tcBorders>
            <w:noWrap/>
            <w:hideMark/>
          </w:tcPr>
          <w:p w14:paraId="63A9C3A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2C4C4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1B057B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523258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063DFD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2" w:type="pct"/>
            <w:tcBorders>
              <w:top w:val="single" w:sz="4" w:space="0" w:color="auto"/>
              <w:left w:val="single" w:sz="4" w:space="0" w:color="auto"/>
              <w:bottom w:val="single" w:sz="4" w:space="0" w:color="auto"/>
              <w:right w:val="single" w:sz="4" w:space="0" w:color="auto"/>
            </w:tcBorders>
            <w:hideMark/>
          </w:tcPr>
          <w:p w14:paraId="72904573"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Fluctuación de precios y/o ajustes ocasionados durante la ejecución del contrato </w:t>
            </w:r>
            <w:r>
              <w:rPr>
                <w:rFonts w:ascii="Arial" w:eastAsia="Times New Roman" w:hAnsi="Arial" w:cs="Arial"/>
                <w:sz w:val="10"/>
                <w:szCs w:val="10"/>
                <w:lang w:eastAsia="es-CO"/>
              </w:rPr>
              <w:t xml:space="preserve">en el costo de insumos, tarifas, jornales, materiales, asesorías, honorarios, etc., regulados y no regulados por el Gobierno.   Riesgo que asume el PROPONENTE Y/O CONTRATISTA, cuando el ajuste sobrepase los establecidos contractualmente con el INVIAS. Riesgo que asume INVIAS hasta en los ajustes estipulados contractualmente. </w:t>
            </w:r>
          </w:p>
        </w:tc>
        <w:tc>
          <w:tcPr>
            <w:tcW w:w="300" w:type="pct"/>
            <w:tcBorders>
              <w:top w:val="single" w:sz="4" w:space="0" w:color="auto"/>
              <w:left w:val="single" w:sz="4" w:space="0" w:color="auto"/>
              <w:bottom w:val="single" w:sz="4" w:space="0" w:color="auto"/>
              <w:right w:val="single" w:sz="4" w:space="0" w:color="auto"/>
            </w:tcBorders>
            <w:hideMark/>
          </w:tcPr>
          <w:p w14:paraId="23C54C0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desarrollo del objeto contractual</w:t>
            </w:r>
          </w:p>
        </w:tc>
        <w:tc>
          <w:tcPr>
            <w:tcW w:w="158" w:type="pct"/>
            <w:tcBorders>
              <w:top w:val="single" w:sz="4" w:space="0" w:color="auto"/>
              <w:left w:val="single" w:sz="4" w:space="0" w:color="auto"/>
              <w:bottom w:val="single" w:sz="4" w:space="0" w:color="auto"/>
              <w:right w:val="single" w:sz="4" w:space="0" w:color="auto"/>
            </w:tcBorders>
            <w:noWrap/>
            <w:hideMark/>
          </w:tcPr>
          <w:p w14:paraId="6301ACA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24AAC1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5B995A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0BAED5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4D36D654"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4BC9409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sobre comportamiento histórico de precios, durante la etapa precontractual. Atención al comportamiento de precios en la etapa contractual</w:t>
            </w:r>
          </w:p>
        </w:tc>
        <w:tc>
          <w:tcPr>
            <w:tcW w:w="111" w:type="pct"/>
            <w:tcBorders>
              <w:top w:val="single" w:sz="4" w:space="0" w:color="auto"/>
              <w:left w:val="single" w:sz="4" w:space="0" w:color="auto"/>
              <w:bottom w:val="single" w:sz="4" w:space="0" w:color="auto"/>
              <w:right w:val="single" w:sz="4" w:space="0" w:color="auto"/>
            </w:tcBorders>
            <w:hideMark/>
          </w:tcPr>
          <w:p w14:paraId="02BEAB4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67BEA4C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7C35C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3CC649A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1E04ADD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348CE11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1BA4627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0C611A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Atención al comportamiento de precios.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044E52E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192794F2" w14:textId="77777777" w:rsidTr="009819B4">
        <w:trPr>
          <w:trHeight w:val="2235"/>
        </w:trPr>
        <w:tc>
          <w:tcPr>
            <w:tcW w:w="159" w:type="pct"/>
            <w:tcBorders>
              <w:top w:val="single" w:sz="4" w:space="0" w:color="auto"/>
              <w:left w:val="single" w:sz="4" w:space="0" w:color="auto"/>
              <w:bottom w:val="single" w:sz="4" w:space="0" w:color="auto"/>
              <w:right w:val="single" w:sz="4" w:space="0" w:color="auto"/>
            </w:tcBorders>
            <w:noWrap/>
            <w:hideMark/>
          </w:tcPr>
          <w:p w14:paraId="767CE6F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4</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0B675D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2D4862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E2BBBC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3ED03F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2" w:type="pct"/>
            <w:tcBorders>
              <w:top w:val="single" w:sz="4" w:space="0" w:color="auto"/>
              <w:left w:val="single" w:sz="4" w:space="0" w:color="auto"/>
              <w:bottom w:val="single" w:sz="4" w:space="0" w:color="auto"/>
              <w:right w:val="single" w:sz="4" w:space="0" w:color="auto"/>
            </w:tcBorders>
            <w:hideMark/>
          </w:tcPr>
          <w:p w14:paraId="56331C8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Escasez de cualquier tipo de material o insumo para la ejecución de la obra</w:t>
            </w:r>
            <w:r>
              <w:rPr>
                <w:rFonts w:ascii="Arial" w:eastAsia="Times New Roman" w:hAnsi="Arial" w:cs="Arial"/>
                <w:sz w:val="10"/>
                <w:szCs w:val="10"/>
                <w:lang w:eastAsia="es-CO"/>
              </w:rPr>
              <w:t>.</w:t>
            </w:r>
          </w:p>
        </w:tc>
        <w:tc>
          <w:tcPr>
            <w:tcW w:w="300" w:type="pct"/>
            <w:tcBorders>
              <w:top w:val="single" w:sz="4" w:space="0" w:color="auto"/>
              <w:left w:val="single" w:sz="4" w:space="0" w:color="auto"/>
              <w:bottom w:val="single" w:sz="4" w:space="0" w:color="auto"/>
              <w:right w:val="single" w:sz="4" w:space="0" w:color="auto"/>
            </w:tcBorders>
            <w:hideMark/>
          </w:tcPr>
          <w:p w14:paraId="01D9740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desarrollo del objeto contractual, retrasos en la ejecución del proyecto.</w:t>
            </w:r>
          </w:p>
        </w:tc>
        <w:tc>
          <w:tcPr>
            <w:tcW w:w="158" w:type="pct"/>
            <w:tcBorders>
              <w:top w:val="single" w:sz="4" w:space="0" w:color="auto"/>
              <w:left w:val="single" w:sz="4" w:space="0" w:color="auto"/>
              <w:bottom w:val="single" w:sz="4" w:space="0" w:color="auto"/>
              <w:right w:val="single" w:sz="4" w:space="0" w:color="auto"/>
            </w:tcBorders>
            <w:noWrap/>
            <w:hideMark/>
          </w:tcPr>
          <w:p w14:paraId="0E45115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AB7774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B669C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6A949A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61FE7074"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792D064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de disponibilidad de materiales en la zona del proyecto, e insumos, durante la etapa precontractual y contractual</w:t>
            </w:r>
          </w:p>
        </w:tc>
        <w:tc>
          <w:tcPr>
            <w:tcW w:w="111" w:type="pct"/>
            <w:tcBorders>
              <w:top w:val="single" w:sz="4" w:space="0" w:color="auto"/>
              <w:left w:val="single" w:sz="4" w:space="0" w:color="auto"/>
              <w:bottom w:val="single" w:sz="4" w:space="0" w:color="auto"/>
              <w:right w:val="single" w:sz="4" w:space="0" w:color="auto"/>
            </w:tcBorders>
            <w:hideMark/>
          </w:tcPr>
          <w:p w14:paraId="4F56C0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4E2253A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5EFC68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2AA0A80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05ACCB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666D515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29" w:type="pct"/>
            <w:tcBorders>
              <w:top w:val="single" w:sz="4" w:space="0" w:color="auto"/>
              <w:left w:val="single" w:sz="4" w:space="0" w:color="auto"/>
              <w:bottom w:val="single" w:sz="4" w:space="0" w:color="auto"/>
              <w:right w:val="single" w:sz="4" w:space="0" w:color="auto"/>
            </w:tcBorders>
            <w:hideMark/>
          </w:tcPr>
          <w:p w14:paraId="0AD658F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C20A85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consecución de materiales e insumos de acuerdo con requerimientos del proyecto.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6BE707E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3F5BDC6C" w14:textId="77777777" w:rsidTr="009819B4">
        <w:trPr>
          <w:trHeight w:val="3030"/>
        </w:trPr>
        <w:tc>
          <w:tcPr>
            <w:tcW w:w="159" w:type="pct"/>
            <w:tcBorders>
              <w:top w:val="single" w:sz="4" w:space="0" w:color="auto"/>
              <w:left w:val="single" w:sz="4" w:space="0" w:color="auto"/>
              <w:bottom w:val="single" w:sz="4" w:space="0" w:color="auto"/>
              <w:right w:val="single" w:sz="4" w:space="0" w:color="auto"/>
            </w:tcBorders>
            <w:noWrap/>
            <w:hideMark/>
          </w:tcPr>
          <w:p w14:paraId="1E89C1F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5E3B1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B21E8C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EEB966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textDirection w:val="btLr"/>
            <w:hideMark/>
          </w:tcPr>
          <w:p w14:paraId="3EF58FC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 - Social</w:t>
            </w:r>
          </w:p>
        </w:tc>
        <w:tc>
          <w:tcPr>
            <w:tcW w:w="352" w:type="pct"/>
            <w:tcBorders>
              <w:top w:val="single" w:sz="4" w:space="0" w:color="auto"/>
              <w:left w:val="single" w:sz="4" w:space="0" w:color="auto"/>
              <w:bottom w:val="single" w:sz="4" w:space="0" w:color="auto"/>
              <w:right w:val="single" w:sz="4" w:space="0" w:color="auto"/>
            </w:tcBorders>
            <w:hideMark/>
          </w:tcPr>
          <w:p w14:paraId="6D9AE05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Cambio en la ubicación de las obras menores. </w:t>
            </w:r>
            <w:r>
              <w:rPr>
                <w:rFonts w:ascii="Arial" w:eastAsia="Times New Roman" w:hAnsi="Arial" w:cs="Arial"/>
                <w:sz w:val="10"/>
                <w:szCs w:val="10"/>
                <w:lang w:eastAsia="es-CO"/>
              </w:rPr>
              <w:t>Se refiere a solicitudes realizadas por Autoridades Municipales, usuarios o vecinos de la carretera invocando derechos de petición u otras herramientas legales.</w:t>
            </w:r>
          </w:p>
        </w:tc>
        <w:tc>
          <w:tcPr>
            <w:tcW w:w="300" w:type="pct"/>
            <w:tcBorders>
              <w:top w:val="single" w:sz="4" w:space="0" w:color="auto"/>
              <w:left w:val="single" w:sz="4" w:space="0" w:color="auto"/>
              <w:bottom w:val="single" w:sz="4" w:space="0" w:color="auto"/>
              <w:right w:val="single" w:sz="4" w:space="0" w:color="auto"/>
            </w:tcBorders>
            <w:hideMark/>
          </w:tcPr>
          <w:p w14:paraId="699DA2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Ajustes en la programación de obras y eventual generación de mayores costos al proyecto.</w:t>
            </w:r>
          </w:p>
        </w:tc>
        <w:tc>
          <w:tcPr>
            <w:tcW w:w="158" w:type="pct"/>
            <w:tcBorders>
              <w:top w:val="single" w:sz="4" w:space="0" w:color="auto"/>
              <w:left w:val="single" w:sz="4" w:space="0" w:color="auto"/>
              <w:bottom w:val="single" w:sz="4" w:space="0" w:color="auto"/>
              <w:right w:val="single" w:sz="4" w:space="0" w:color="auto"/>
            </w:tcBorders>
            <w:noWrap/>
            <w:hideMark/>
          </w:tcPr>
          <w:p w14:paraId="5F73D9E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7A7BDC6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7CC2E8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5C53FB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1CEAC00A"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74D60F3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 este.</w:t>
            </w:r>
          </w:p>
        </w:tc>
        <w:tc>
          <w:tcPr>
            <w:tcW w:w="111" w:type="pct"/>
            <w:tcBorders>
              <w:top w:val="single" w:sz="4" w:space="0" w:color="auto"/>
              <w:left w:val="single" w:sz="4" w:space="0" w:color="auto"/>
              <w:bottom w:val="single" w:sz="4" w:space="0" w:color="auto"/>
              <w:right w:val="single" w:sz="4" w:space="0" w:color="auto"/>
            </w:tcBorders>
            <w:hideMark/>
          </w:tcPr>
          <w:p w14:paraId="53123A5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7D5536E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4929370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4D31F1D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1016E80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59D0D7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3BDF53C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019DA76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Comités Técnicos, Seguimiento a la ejecución, Gestión social -Retroalimentación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182ADC8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presente la solicitud de cambio de ubicación de obras menores.</w:t>
            </w:r>
          </w:p>
        </w:tc>
      </w:tr>
      <w:tr w:rsidR="00BB7ED4" w14:paraId="7E2EBEC2" w14:textId="77777777" w:rsidTr="009819B4">
        <w:trPr>
          <w:trHeight w:val="2040"/>
        </w:trPr>
        <w:tc>
          <w:tcPr>
            <w:tcW w:w="159" w:type="pct"/>
            <w:tcBorders>
              <w:top w:val="single" w:sz="4" w:space="0" w:color="auto"/>
              <w:left w:val="single" w:sz="4" w:space="0" w:color="auto"/>
              <w:bottom w:val="single" w:sz="4" w:space="0" w:color="auto"/>
              <w:right w:val="single" w:sz="4" w:space="0" w:color="auto"/>
            </w:tcBorders>
            <w:noWrap/>
            <w:hideMark/>
          </w:tcPr>
          <w:p w14:paraId="4224005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A2E481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C8FD06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Externo </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43ACE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F155D0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Sociales o Políticos</w:t>
            </w:r>
          </w:p>
        </w:tc>
        <w:tc>
          <w:tcPr>
            <w:tcW w:w="352" w:type="pct"/>
            <w:tcBorders>
              <w:top w:val="single" w:sz="4" w:space="0" w:color="auto"/>
              <w:left w:val="single" w:sz="4" w:space="0" w:color="auto"/>
              <w:bottom w:val="single" w:sz="4" w:space="0" w:color="auto"/>
              <w:right w:val="single" w:sz="4" w:space="0" w:color="auto"/>
            </w:tcBorders>
            <w:hideMark/>
          </w:tcPr>
          <w:p w14:paraId="619E1F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Orden público:</w:t>
            </w:r>
            <w:r>
              <w:rPr>
                <w:rFonts w:ascii="Arial" w:eastAsia="Times New Roman" w:hAnsi="Arial" w:cs="Arial"/>
                <w:sz w:val="10"/>
                <w:szCs w:val="10"/>
                <w:lang w:eastAsia="es-CO"/>
              </w:rPr>
              <w:t xml:space="preserve"> Posible ocurrencia de actos terroristas, paros, huelgas y demás que afecten el orden público.  El nivel de asunción del riesgo para cada parte dependerá de la responsabilidad que ésta tenga frente al evento en </w:t>
            </w:r>
            <w:r>
              <w:rPr>
                <w:rFonts w:ascii="Arial" w:eastAsia="Times New Roman" w:hAnsi="Arial" w:cs="Arial"/>
                <w:sz w:val="10"/>
                <w:szCs w:val="10"/>
                <w:lang w:eastAsia="es-CO"/>
              </w:rPr>
              <w:lastRenderedPageBreak/>
              <w:t>particular que se presente, en armonía con la constitución y las leyes colombianas (INVIAS como órgano del Estado en armonía con los demás Entes).</w:t>
            </w:r>
          </w:p>
        </w:tc>
        <w:tc>
          <w:tcPr>
            <w:tcW w:w="300" w:type="pct"/>
            <w:tcBorders>
              <w:top w:val="single" w:sz="4" w:space="0" w:color="auto"/>
              <w:left w:val="single" w:sz="4" w:space="0" w:color="auto"/>
              <w:bottom w:val="single" w:sz="4" w:space="0" w:color="auto"/>
              <w:right w:val="single" w:sz="4" w:space="0" w:color="auto"/>
            </w:tcBorders>
            <w:hideMark/>
          </w:tcPr>
          <w:p w14:paraId="0A208D1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Pérdida de Bienes del contratista, daños en obras del proyecto causadas por disturbios violentos, Interferencia en el desarrollo del proyecto.</w:t>
            </w:r>
          </w:p>
        </w:tc>
        <w:tc>
          <w:tcPr>
            <w:tcW w:w="158" w:type="pct"/>
            <w:tcBorders>
              <w:top w:val="single" w:sz="4" w:space="0" w:color="auto"/>
              <w:left w:val="single" w:sz="4" w:space="0" w:color="auto"/>
              <w:bottom w:val="single" w:sz="4" w:space="0" w:color="auto"/>
              <w:right w:val="single" w:sz="4" w:space="0" w:color="auto"/>
            </w:tcBorders>
            <w:noWrap/>
            <w:hideMark/>
          </w:tcPr>
          <w:p w14:paraId="1DD1C53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386726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27DF49C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3C1D72B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50C79FA4"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15442E6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Información sobre orden público en la zona de trabajo a cargo del Contratista, solicitud de Gestión Gubernamental para solución de conflicto a cargo de las partes, aseguramiento de bienes por parte del contratist</w:t>
            </w:r>
            <w:r>
              <w:rPr>
                <w:rFonts w:ascii="Arial" w:eastAsia="Times New Roman" w:hAnsi="Arial" w:cs="Arial"/>
                <w:sz w:val="10"/>
                <w:szCs w:val="10"/>
                <w:lang w:eastAsia="es-CO"/>
              </w:rPr>
              <w:lastRenderedPageBreak/>
              <w:t>a, medidas de contingencia para superar atrasos.</w:t>
            </w:r>
          </w:p>
        </w:tc>
        <w:tc>
          <w:tcPr>
            <w:tcW w:w="111" w:type="pct"/>
            <w:tcBorders>
              <w:top w:val="single" w:sz="4" w:space="0" w:color="auto"/>
              <w:left w:val="single" w:sz="4" w:space="0" w:color="auto"/>
              <w:bottom w:val="single" w:sz="4" w:space="0" w:color="auto"/>
              <w:right w:val="single" w:sz="4" w:space="0" w:color="auto"/>
            </w:tcBorders>
            <w:hideMark/>
          </w:tcPr>
          <w:p w14:paraId="73B4AE0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58" w:type="pct"/>
            <w:tcBorders>
              <w:top w:val="single" w:sz="4" w:space="0" w:color="auto"/>
              <w:left w:val="single" w:sz="4" w:space="0" w:color="auto"/>
              <w:bottom w:val="single" w:sz="4" w:space="0" w:color="auto"/>
              <w:right w:val="single" w:sz="4" w:space="0" w:color="auto"/>
            </w:tcBorders>
            <w:hideMark/>
          </w:tcPr>
          <w:p w14:paraId="758564D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97A505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0469EBE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6E8C013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0C1878D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21DFED4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ocurrencia del evento</w:t>
            </w:r>
          </w:p>
        </w:tc>
        <w:tc>
          <w:tcPr>
            <w:tcW w:w="342" w:type="pct"/>
            <w:tcBorders>
              <w:top w:val="single" w:sz="4" w:space="0" w:color="auto"/>
              <w:left w:val="single" w:sz="4" w:space="0" w:color="auto"/>
              <w:bottom w:val="single" w:sz="4" w:space="0" w:color="auto"/>
              <w:right w:val="single" w:sz="4" w:space="0" w:color="auto"/>
            </w:tcBorders>
            <w:hideMark/>
          </w:tcPr>
          <w:p w14:paraId="269E80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partir de la información oficial, información del Interventor, del Contratista, de las Territoriales de INVIAS, se determinan acciones a seguir, para procurar la menor afectación al proyecto.</w:t>
            </w:r>
          </w:p>
        </w:tc>
        <w:tc>
          <w:tcPr>
            <w:tcW w:w="329" w:type="pct"/>
            <w:tcBorders>
              <w:top w:val="single" w:sz="4" w:space="0" w:color="auto"/>
              <w:left w:val="single" w:sz="4" w:space="0" w:color="auto"/>
              <w:bottom w:val="single" w:sz="4" w:space="0" w:color="auto"/>
              <w:right w:val="single" w:sz="4" w:space="0" w:color="auto"/>
            </w:tcBorders>
            <w:hideMark/>
          </w:tcPr>
          <w:p w14:paraId="29AA1D3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presente el evento</w:t>
            </w:r>
          </w:p>
        </w:tc>
      </w:tr>
      <w:tr w:rsidR="00BB7ED4" w14:paraId="53F9ED3E" w14:textId="77777777" w:rsidTr="009819B4">
        <w:trPr>
          <w:trHeight w:val="3000"/>
        </w:trPr>
        <w:tc>
          <w:tcPr>
            <w:tcW w:w="159" w:type="pct"/>
            <w:tcBorders>
              <w:top w:val="single" w:sz="4" w:space="0" w:color="auto"/>
              <w:left w:val="single" w:sz="4" w:space="0" w:color="auto"/>
              <w:bottom w:val="single" w:sz="4" w:space="0" w:color="auto"/>
              <w:right w:val="single" w:sz="4" w:space="0" w:color="auto"/>
            </w:tcBorders>
            <w:noWrap/>
            <w:hideMark/>
          </w:tcPr>
          <w:p w14:paraId="6259102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DCCEBB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97B1B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2E759C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06BDEE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1552A2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Accidentalidad: </w:t>
            </w:r>
            <w:r>
              <w:rPr>
                <w:rFonts w:ascii="Arial" w:eastAsia="Times New Roman" w:hAnsi="Arial" w:cs="Arial"/>
                <w:sz w:val="10"/>
                <w:szCs w:val="10"/>
                <w:lang w:eastAsia="es-CO"/>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300" w:type="pct"/>
            <w:tcBorders>
              <w:top w:val="single" w:sz="4" w:space="0" w:color="auto"/>
              <w:left w:val="single" w:sz="4" w:space="0" w:color="auto"/>
              <w:bottom w:val="single" w:sz="4" w:space="0" w:color="auto"/>
              <w:right w:val="single" w:sz="4" w:space="0" w:color="auto"/>
            </w:tcBorders>
            <w:hideMark/>
          </w:tcPr>
          <w:p w14:paraId="1E2282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proyecto por la probable ocurrencia de accidentes de usuarios de la vía y trabajadores de la obra, Inconformidad con la obra por parte de la comunidad.</w:t>
            </w:r>
          </w:p>
        </w:tc>
        <w:tc>
          <w:tcPr>
            <w:tcW w:w="158" w:type="pct"/>
            <w:tcBorders>
              <w:top w:val="single" w:sz="4" w:space="0" w:color="auto"/>
              <w:left w:val="single" w:sz="4" w:space="0" w:color="auto"/>
              <w:bottom w:val="single" w:sz="4" w:space="0" w:color="auto"/>
              <w:right w:val="single" w:sz="4" w:space="0" w:color="auto"/>
            </w:tcBorders>
            <w:noWrap/>
            <w:hideMark/>
          </w:tcPr>
          <w:p w14:paraId="2CF6A4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D1571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ABC893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7DE9BD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0B2A115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7E7F14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11" w:type="pct"/>
            <w:tcBorders>
              <w:top w:val="single" w:sz="4" w:space="0" w:color="auto"/>
              <w:left w:val="single" w:sz="4" w:space="0" w:color="auto"/>
              <w:bottom w:val="single" w:sz="4" w:space="0" w:color="auto"/>
              <w:right w:val="single" w:sz="4" w:space="0" w:color="auto"/>
            </w:tcBorders>
            <w:hideMark/>
          </w:tcPr>
          <w:p w14:paraId="481FECE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0BCF8DD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482497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0549A0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4962D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405B032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E93B4D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038CC01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Inspecciones diarias del Interventor. Comités Técnicos, Seguimiento a informes,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49B230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Diario</w:t>
            </w:r>
          </w:p>
        </w:tc>
      </w:tr>
      <w:tr w:rsidR="00BB7ED4" w14:paraId="3EB89504" w14:textId="77777777" w:rsidTr="009819B4">
        <w:trPr>
          <w:trHeight w:val="3060"/>
        </w:trPr>
        <w:tc>
          <w:tcPr>
            <w:tcW w:w="159" w:type="pct"/>
            <w:tcBorders>
              <w:top w:val="single" w:sz="4" w:space="0" w:color="auto"/>
              <w:left w:val="single" w:sz="4" w:space="0" w:color="auto"/>
              <w:bottom w:val="single" w:sz="4" w:space="0" w:color="auto"/>
              <w:right w:val="single" w:sz="4" w:space="0" w:color="auto"/>
            </w:tcBorders>
            <w:noWrap/>
            <w:hideMark/>
          </w:tcPr>
          <w:p w14:paraId="360F3D3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8</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1AC2A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4EF901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578760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9543AE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5F64029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Por Ajuste y/o Actualización y/o Unificación y/o Modificación de estudios y diseños y/o elaboración de estudios complementarios realizados por el Contratista:</w:t>
            </w:r>
            <w:r>
              <w:rPr>
                <w:rFonts w:ascii="Arial" w:eastAsia="Times New Roman" w:hAnsi="Arial" w:cs="Arial"/>
                <w:sz w:val="10"/>
                <w:szCs w:val="10"/>
                <w:lang w:eastAsia="es-CO"/>
              </w:rPr>
              <w:t xml:space="preserve"> Ocurre cuando se presentan efectos originados por cambios o actualización de los estudios y/o </w:t>
            </w:r>
            <w:r>
              <w:rPr>
                <w:rFonts w:ascii="Arial" w:eastAsia="Times New Roman" w:hAnsi="Arial" w:cs="Arial"/>
                <w:sz w:val="10"/>
                <w:szCs w:val="10"/>
                <w:lang w:eastAsia="es-CO"/>
              </w:rPr>
              <w:lastRenderedPageBreak/>
              <w:t>diseños definitivos necesarios para la correcta ejecución y operación de las obras.</w:t>
            </w:r>
          </w:p>
        </w:tc>
        <w:tc>
          <w:tcPr>
            <w:tcW w:w="300" w:type="pct"/>
            <w:tcBorders>
              <w:top w:val="single" w:sz="4" w:space="0" w:color="auto"/>
              <w:left w:val="single" w:sz="4" w:space="0" w:color="auto"/>
              <w:bottom w:val="single" w:sz="4" w:space="0" w:color="auto"/>
              <w:right w:val="single" w:sz="4" w:space="0" w:color="auto"/>
            </w:tcBorders>
            <w:hideMark/>
          </w:tcPr>
          <w:p w14:paraId="1AC4127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Retrasos en el cronograma de ejecución, variación de algunas obras del contrato y por ende de cantidades de   obra.</w:t>
            </w:r>
          </w:p>
        </w:tc>
        <w:tc>
          <w:tcPr>
            <w:tcW w:w="158" w:type="pct"/>
            <w:tcBorders>
              <w:top w:val="single" w:sz="4" w:space="0" w:color="auto"/>
              <w:left w:val="single" w:sz="4" w:space="0" w:color="auto"/>
              <w:bottom w:val="single" w:sz="4" w:space="0" w:color="auto"/>
              <w:right w:val="single" w:sz="4" w:space="0" w:color="auto"/>
            </w:tcBorders>
            <w:noWrap/>
            <w:hideMark/>
          </w:tcPr>
          <w:p w14:paraId="6F04BD6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23E44E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8A8266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35D67A6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0022058E"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343BC7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Realizar una interventoría adecuada durante la etapa de Ajuste y/o Actualización y/o Unificación y/o Modificación de estudios y diseños y/o elaboración de estudios complementarios para evitar cambios que impacten negativamente el proyecto. </w:t>
            </w:r>
            <w:r>
              <w:rPr>
                <w:rFonts w:ascii="Arial" w:eastAsia="Times New Roman" w:hAnsi="Arial" w:cs="Arial"/>
                <w:sz w:val="10"/>
                <w:szCs w:val="10"/>
                <w:lang w:eastAsia="es-CO"/>
              </w:rPr>
              <w:br/>
              <w:t>Realizar las consultas pertinent</w:t>
            </w:r>
            <w:r>
              <w:rPr>
                <w:rFonts w:ascii="Arial" w:eastAsia="Times New Roman" w:hAnsi="Arial" w:cs="Arial"/>
                <w:sz w:val="10"/>
                <w:szCs w:val="10"/>
                <w:lang w:eastAsia="es-CO"/>
              </w:rPr>
              <w:lastRenderedPageBreak/>
              <w:t>es y oportunas cuando se encuentren diferencias o inconsistencias en los diseños.</w:t>
            </w:r>
          </w:p>
        </w:tc>
        <w:tc>
          <w:tcPr>
            <w:tcW w:w="111" w:type="pct"/>
            <w:tcBorders>
              <w:top w:val="single" w:sz="4" w:space="0" w:color="auto"/>
              <w:left w:val="single" w:sz="4" w:space="0" w:color="auto"/>
              <w:bottom w:val="single" w:sz="4" w:space="0" w:color="auto"/>
              <w:right w:val="single" w:sz="4" w:space="0" w:color="auto"/>
            </w:tcBorders>
            <w:hideMark/>
          </w:tcPr>
          <w:p w14:paraId="744FBC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58" w:type="pct"/>
            <w:tcBorders>
              <w:top w:val="single" w:sz="4" w:space="0" w:color="auto"/>
              <w:left w:val="single" w:sz="4" w:space="0" w:color="auto"/>
              <w:bottom w:val="single" w:sz="4" w:space="0" w:color="auto"/>
              <w:right w:val="single" w:sz="4" w:space="0" w:color="auto"/>
            </w:tcBorders>
            <w:hideMark/>
          </w:tcPr>
          <w:p w14:paraId="31F1ED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2923A1A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56FD24C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87917C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6892D2B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63AA75A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al final de la Ajuste y/o Actualización y/o Unificación y/o Modificación de estudios y diseños y/o elaboración de estudios complementarios</w:t>
            </w:r>
          </w:p>
        </w:tc>
        <w:tc>
          <w:tcPr>
            <w:tcW w:w="342" w:type="pct"/>
            <w:tcBorders>
              <w:top w:val="single" w:sz="4" w:space="0" w:color="auto"/>
              <w:left w:val="single" w:sz="4" w:space="0" w:color="auto"/>
              <w:bottom w:val="single" w:sz="4" w:space="0" w:color="auto"/>
              <w:right w:val="single" w:sz="4" w:space="0" w:color="auto"/>
            </w:tcBorders>
            <w:hideMark/>
          </w:tcPr>
          <w:p w14:paraId="1D70198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la Interventoría debe efectuar seguimiento continuo a través de sus Especialistas, al Ajuste y/o Actualización y/o Unificación y/o Modificación de estudios y diseños y/o elaboración de estudios complementarios por parte del Contratista, de manera que los cambios que se </w:t>
            </w:r>
            <w:r>
              <w:rPr>
                <w:rFonts w:ascii="Arial" w:eastAsia="Times New Roman" w:hAnsi="Arial" w:cs="Arial"/>
                <w:sz w:val="10"/>
                <w:szCs w:val="10"/>
                <w:lang w:eastAsia="es-CO"/>
              </w:rPr>
              <w:lastRenderedPageBreak/>
              <w:t xml:space="preserve">requieran impacten lo menos posible al proyecto. </w:t>
            </w:r>
          </w:p>
        </w:tc>
        <w:tc>
          <w:tcPr>
            <w:tcW w:w="329" w:type="pct"/>
            <w:tcBorders>
              <w:top w:val="single" w:sz="4" w:space="0" w:color="auto"/>
              <w:left w:val="single" w:sz="4" w:space="0" w:color="auto"/>
              <w:bottom w:val="single" w:sz="4" w:space="0" w:color="auto"/>
              <w:right w:val="single" w:sz="4" w:space="0" w:color="auto"/>
            </w:tcBorders>
            <w:hideMark/>
          </w:tcPr>
          <w:p w14:paraId="708F262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Semanal en la etapa de Ajuste y/o Actualización y/o Unificación y/o Modificación de estudios y diseños y/o elaboración de estudios complementarios</w:t>
            </w:r>
          </w:p>
        </w:tc>
      </w:tr>
      <w:tr w:rsidR="00BB7ED4" w14:paraId="5D29770A" w14:textId="77777777" w:rsidTr="009819B4">
        <w:trPr>
          <w:trHeight w:val="3060"/>
        </w:trPr>
        <w:tc>
          <w:tcPr>
            <w:tcW w:w="159" w:type="pct"/>
            <w:tcBorders>
              <w:top w:val="single" w:sz="4" w:space="0" w:color="auto"/>
              <w:left w:val="single" w:sz="4" w:space="0" w:color="auto"/>
              <w:bottom w:val="single" w:sz="4" w:space="0" w:color="auto"/>
              <w:right w:val="single" w:sz="4" w:space="0" w:color="auto"/>
            </w:tcBorders>
            <w:noWrap/>
            <w:hideMark/>
          </w:tcPr>
          <w:p w14:paraId="4A39A0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9</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FC6BE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67C89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2AAD9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3F6727F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73752377"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Por Ajuste y/o Actualización y/o Unificación y/o Modificación de estudios y diseños y/o elaboración de estudios requeridos: </w:t>
            </w:r>
            <w:r>
              <w:rPr>
                <w:rFonts w:ascii="Arial" w:eastAsia="Times New Roman" w:hAnsi="Arial" w:cs="Arial"/>
                <w:sz w:val="10"/>
                <w:szCs w:val="10"/>
                <w:lang w:eastAsia="es-CO"/>
              </w:rPr>
              <w:t>Actividad requerida para la correcta ejecución y operación de las obras.</w:t>
            </w:r>
          </w:p>
        </w:tc>
        <w:tc>
          <w:tcPr>
            <w:tcW w:w="300" w:type="pct"/>
            <w:tcBorders>
              <w:top w:val="single" w:sz="4" w:space="0" w:color="auto"/>
              <w:left w:val="single" w:sz="4" w:space="0" w:color="auto"/>
              <w:bottom w:val="single" w:sz="4" w:space="0" w:color="auto"/>
              <w:right w:val="single" w:sz="4" w:space="0" w:color="auto"/>
            </w:tcBorders>
            <w:hideMark/>
          </w:tcPr>
          <w:p w14:paraId="6FDE8C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Necesidad de realizar estudios y/o intervenciones</w:t>
            </w:r>
          </w:p>
        </w:tc>
        <w:tc>
          <w:tcPr>
            <w:tcW w:w="158" w:type="pct"/>
            <w:tcBorders>
              <w:top w:val="single" w:sz="4" w:space="0" w:color="auto"/>
              <w:left w:val="single" w:sz="4" w:space="0" w:color="auto"/>
              <w:bottom w:val="single" w:sz="4" w:space="0" w:color="auto"/>
              <w:right w:val="single" w:sz="4" w:space="0" w:color="auto"/>
            </w:tcBorders>
            <w:noWrap/>
            <w:hideMark/>
          </w:tcPr>
          <w:p w14:paraId="47B8905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E85CF3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E6A5B2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1136A9A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79181D86"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2D31890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Verificar propuesta adecuada por el proponente y realizar una interventoría adecuada durante la etapa de Ajuste y/o Actualización y/o Unificación y/o Modificación de estudios y diseños y/o elaboración de estudios complementarios  </w:t>
            </w:r>
          </w:p>
        </w:tc>
        <w:tc>
          <w:tcPr>
            <w:tcW w:w="111" w:type="pct"/>
            <w:tcBorders>
              <w:top w:val="single" w:sz="4" w:space="0" w:color="auto"/>
              <w:left w:val="single" w:sz="4" w:space="0" w:color="auto"/>
              <w:bottom w:val="single" w:sz="4" w:space="0" w:color="auto"/>
              <w:right w:val="single" w:sz="4" w:space="0" w:color="auto"/>
            </w:tcBorders>
            <w:hideMark/>
          </w:tcPr>
          <w:p w14:paraId="60639C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68833F9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0E2B32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2A3E91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3D6D469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243AAB4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9C9D67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al final de la Ajuste y/o Actualización y/o Unificación y/o Modificación de estudios y diseños y/o elaboración de estudios complementarios</w:t>
            </w:r>
          </w:p>
        </w:tc>
        <w:tc>
          <w:tcPr>
            <w:tcW w:w="342" w:type="pct"/>
            <w:tcBorders>
              <w:top w:val="single" w:sz="4" w:space="0" w:color="auto"/>
              <w:left w:val="single" w:sz="4" w:space="0" w:color="auto"/>
              <w:bottom w:val="single" w:sz="4" w:space="0" w:color="auto"/>
              <w:right w:val="single" w:sz="4" w:space="0" w:color="auto"/>
            </w:tcBorders>
            <w:hideMark/>
          </w:tcPr>
          <w:p w14:paraId="4F35E0A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la Interventoría debe efectuar seguimiento continuo a través de sus Especialistas, al Ajuste y/o Actualización y/o Unificación y/o Modificación de estudios y diseños y/o elaboración de estudios complementarios por parte del Contratista</w:t>
            </w:r>
          </w:p>
        </w:tc>
        <w:tc>
          <w:tcPr>
            <w:tcW w:w="329" w:type="pct"/>
            <w:tcBorders>
              <w:top w:val="single" w:sz="4" w:space="0" w:color="auto"/>
              <w:left w:val="single" w:sz="4" w:space="0" w:color="auto"/>
              <w:bottom w:val="single" w:sz="4" w:space="0" w:color="auto"/>
              <w:right w:val="single" w:sz="4" w:space="0" w:color="auto"/>
            </w:tcBorders>
            <w:hideMark/>
          </w:tcPr>
          <w:p w14:paraId="60F975C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 en la etapa de Ajuste y/o Actualización y/o Unificación y/o Modificación de estudios y diseños y/o elaboración de estudios complementarios</w:t>
            </w:r>
          </w:p>
        </w:tc>
      </w:tr>
      <w:tr w:rsidR="00BB7ED4" w14:paraId="28F556F4" w14:textId="77777777" w:rsidTr="009819B4">
        <w:trPr>
          <w:trHeight w:val="1815"/>
        </w:trPr>
        <w:tc>
          <w:tcPr>
            <w:tcW w:w="159" w:type="pct"/>
            <w:tcBorders>
              <w:top w:val="single" w:sz="4" w:space="0" w:color="auto"/>
              <w:left w:val="single" w:sz="4" w:space="0" w:color="auto"/>
              <w:bottom w:val="single" w:sz="4" w:space="0" w:color="auto"/>
              <w:right w:val="single" w:sz="4" w:space="0" w:color="auto"/>
            </w:tcBorders>
            <w:noWrap/>
            <w:hideMark/>
          </w:tcPr>
          <w:p w14:paraId="1AC8A99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10</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F1F532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FC61A0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DE2032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29F728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59F9F8A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Ejecución de mayores cantidades de obra no autorizadas, por materiales y/o procedimientos constructivos inadecuados, y/o</w:t>
            </w:r>
            <w:r>
              <w:rPr>
                <w:rFonts w:ascii="Arial" w:eastAsia="Times New Roman" w:hAnsi="Arial" w:cs="Arial"/>
                <w:sz w:val="10"/>
                <w:szCs w:val="10"/>
                <w:lang w:eastAsia="es-CO"/>
              </w:rPr>
              <w:t xml:space="preserve"> por deficiente programación de ejecución de las obras. </w:t>
            </w:r>
          </w:p>
        </w:tc>
        <w:tc>
          <w:tcPr>
            <w:tcW w:w="300" w:type="pct"/>
            <w:tcBorders>
              <w:top w:val="single" w:sz="4" w:space="0" w:color="auto"/>
              <w:left w:val="single" w:sz="4" w:space="0" w:color="auto"/>
              <w:bottom w:val="single" w:sz="4" w:space="0" w:color="auto"/>
              <w:right w:val="single" w:sz="4" w:space="0" w:color="auto"/>
            </w:tcBorders>
            <w:hideMark/>
          </w:tcPr>
          <w:p w14:paraId="65C4839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Demora en la ejecución de la obra por correctivos necesarios.   </w:t>
            </w:r>
          </w:p>
        </w:tc>
        <w:tc>
          <w:tcPr>
            <w:tcW w:w="158" w:type="pct"/>
            <w:tcBorders>
              <w:top w:val="single" w:sz="4" w:space="0" w:color="auto"/>
              <w:left w:val="single" w:sz="4" w:space="0" w:color="auto"/>
              <w:bottom w:val="single" w:sz="4" w:space="0" w:color="auto"/>
              <w:right w:val="single" w:sz="4" w:space="0" w:color="auto"/>
            </w:tcBorders>
            <w:noWrap/>
            <w:hideMark/>
          </w:tcPr>
          <w:p w14:paraId="3EFA2EA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EDC5F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0748E9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133F17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7669C74E"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530FFBF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Interventoría permanente en la ejecución de las obras, para controlar obras autorizadas, materiales, procedimientos constructivos, ajustados a las obras requeridas y especificaciones técnicas contractuales. </w:t>
            </w:r>
          </w:p>
        </w:tc>
        <w:tc>
          <w:tcPr>
            <w:tcW w:w="111" w:type="pct"/>
            <w:tcBorders>
              <w:top w:val="single" w:sz="4" w:space="0" w:color="auto"/>
              <w:left w:val="single" w:sz="4" w:space="0" w:color="auto"/>
              <w:bottom w:val="single" w:sz="4" w:space="0" w:color="auto"/>
              <w:right w:val="single" w:sz="4" w:space="0" w:color="auto"/>
            </w:tcBorders>
            <w:hideMark/>
          </w:tcPr>
          <w:p w14:paraId="2742EE1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4DB5497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3ECF406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2FE68CC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3AB3949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16577C8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3552336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2D8B75E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Control permanente por parte del Interventor de la ejecución de las obras requeridas del proyecto y del cumplimiento de especificaciones técnicas.  </w:t>
            </w:r>
          </w:p>
        </w:tc>
        <w:tc>
          <w:tcPr>
            <w:tcW w:w="329" w:type="pct"/>
            <w:tcBorders>
              <w:top w:val="single" w:sz="4" w:space="0" w:color="auto"/>
              <w:left w:val="single" w:sz="4" w:space="0" w:color="auto"/>
              <w:bottom w:val="single" w:sz="4" w:space="0" w:color="auto"/>
              <w:right w:val="single" w:sz="4" w:space="0" w:color="auto"/>
            </w:tcBorders>
            <w:hideMark/>
          </w:tcPr>
          <w:p w14:paraId="5A37C7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diario </w:t>
            </w:r>
          </w:p>
        </w:tc>
      </w:tr>
      <w:tr w:rsidR="00BB7ED4" w14:paraId="292A58EF" w14:textId="77777777" w:rsidTr="009819B4">
        <w:trPr>
          <w:trHeight w:val="2535"/>
        </w:trPr>
        <w:tc>
          <w:tcPr>
            <w:tcW w:w="159" w:type="pct"/>
            <w:tcBorders>
              <w:top w:val="single" w:sz="4" w:space="0" w:color="auto"/>
              <w:left w:val="single" w:sz="4" w:space="0" w:color="auto"/>
              <w:bottom w:val="single" w:sz="4" w:space="0" w:color="auto"/>
              <w:right w:val="single" w:sz="4" w:space="0" w:color="auto"/>
            </w:tcBorders>
            <w:noWrap/>
            <w:hideMark/>
          </w:tcPr>
          <w:p w14:paraId="67158D3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11</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0D6F7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1DF144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618943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7FA1D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015620E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Variación de cantidades de obra debidamente justificadas:</w:t>
            </w:r>
            <w:r>
              <w:rPr>
                <w:rFonts w:ascii="Arial" w:eastAsia="Times New Roman" w:hAnsi="Arial" w:cs="Arial"/>
                <w:sz w:val="10"/>
                <w:szCs w:val="10"/>
                <w:lang w:eastAsia="es-CO"/>
              </w:rPr>
              <w:t xml:space="preserve"> Son los efectos derivados de los cambios en las condiciones técnicas que incrementen o disminuyan las cantidades previstas para la ejecución de las obras. INVIAS asume las variaciones de las cantidades de obra técnicamente requeridas para la ejecución del proyecto y el Contratista asume el riesgo de ejecutar las cantidades de obra en las variaciones que sean necesarias.</w:t>
            </w:r>
          </w:p>
        </w:tc>
        <w:tc>
          <w:tcPr>
            <w:tcW w:w="300" w:type="pct"/>
            <w:tcBorders>
              <w:top w:val="single" w:sz="4" w:space="0" w:color="auto"/>
              <w:left w:val="single" w:sz="4" w:space="0" w:color="auto"/>
              <w:bottom w:val="single" w:sz="4" w:space="0" w:color="auto"/>
              <w:right w:val="single" w:sz="4" w:space="0" w:color="auto"/>
            </w:tcBorders>
            <w:hideMark/>
          </w:tcPr>
          <w:p w14:paraId="603A340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 variación de las cantidades de obra previstas inicialmente, siendo necesario ajustes al balance de cantidades de obra, para ceñirse al presupuesto contractual.</w:t>
            </w:r>
          </w:p>
        </w:tc>
        <w:tc>
          <w:tcPr>
            <w:tcW w:w="158" w:type="pct"/>
            <w:tcBorders>
              <w:top w:val="single" w:sz="4" w:space="0" w:color="auto"/>
              <w:left w:val="single" w:sz="4" w:space="0" w:color="auto"/>
              <w:bottom w:val="single" w:sz="4" w:space="0" w:color="auto"/>
              <w:right w:val="single" w:sz="4" w:space="0" w:color="auto"/>
            </w:tcBorders>
            <w:noWrap/>
            <w:hideMark/>
          </w:tcPr>
          <w:p w14:paraId="33EB147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5C7DCED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6174AFE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548CE15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3BACEDAB"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74267B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Planeación, revisión, ajuste y seguimiento en la fase precontractual y contractual de forma adecuada de los diseños y cantidades de obra.</w:t>
            </w:r>
          </w:p>
        </w:tc>
        <w:tc>
          <w:tcPr>
            <w:tcW w:w="111" w:type="pct"/>
            <w:tcBorders>
              <w:top w:val="single" w:sz="4" w:space="0" w:color="auto"/>
              <w:left w:val="single" w:sz="4" w:space="0" w:color="auto"/>
              <w:bottom w:val="single" w:sz="4" w:space="0" w:color="auto"/>
              <w:right w:val="single" w:sz="4" w:space="0" w:color="auto"/>
            </w:tcBorders>
            <w:hideMark/>
          </w:tcPr>
          <w:p w14:paraId="0362C14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7E9CEA1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64CDBB3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439409D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214972C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19C57D6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4867F5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74E04E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Análisis y revisión de los estudios realizados y revisión de las cantidades contractuales, a medida que se va ejecutando el proyecto, para realizar ajustes de ser necesario.</w:t>
            </w:r>
          </w:p>
        </w:tc>
        <w:tc>
          <w:tcPr>
            <w:tcW w:w="329" w:type="pct"/>
            <w:tcBorders>
              <w:top w:val="single" w:sz="4" w:space="0" w:color="auto"/>
              <w:left w:val="single" w:sz="4" w:space="0" w:color="auto"/>
              <w:bottom w:val="single" w:sz="4" w:space="0" w:color="auto"/>
              <w:right w:val="single" w:sz="4" w:space="0" w:color="auto"/>
            </w:tcBorders>
            <w:hideMark/>
          </w:tcPr>
          <w:p w14:paraId="671EF1A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472A0244" w14:textId="77777777" w:rsidTr="009819B4">
        <w:trPr>
          <w:trHeight w:val="2880"/>
        </w:trPr>
        <w:tc>
          <w:tcPr>
            <w:tcW w:w="159" w:type="pct"/>
            <w:tcBorders>
              <w:top w:val="single" w:sz="4" w:space="0" w:color="auto"/>
              <w:left w:val="single" w:sz="4" w:space="0" w:color="auto"/>
              <w:bottom w:val="single" w:sz="4" w:space="0" w:color="auto"/>
              <w:right w:val="single" w:sz="4" w:space="0" w:color="auto"/>
            </w:tcBorders>
            <w:noWrap/>
            <w:hideMark/>
          </w:tcPr>
          <w:p w14:paraId="58A28F8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14</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F6A266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6504C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189555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C9CBA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539D930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Modificación y/o cambios de ubicación en las fuentes de materiales presentadas y/o propuestas y/o </w:t>
            </w:r>
            <w:proofErr w:type="gramStart"/>
            <w:r>
              <w:rPr>
                <w:rFonts w:ascii="Arial" w:eastAsia="Times New Roman" w:hAnsi="Arial" w:cs="Arial"/>
                <w:b/>
                <w:bCs/>
                <w:sz w:val="10"/>
                <w:szCs w:val="10"/>
                <w:lang w:eastAsia="es-CO"/>
              </w:rPr>
              <w:t>proyectadas  por</w:t>
            </w:r>
            <w:proofErr w:type="gramEnd"/>
            <w:r>
              <w:rPr>
                <w:rFonts w:ascii="Arial" w:eastAsia="Times New Roman" w:hAnsi="Arial" w:cs="Arial"/>
                <w:b/>
                <w:bCs/>
                <w:sz w:val="10"/>
                <w:szCs w:val="10"/>
                <w:lang w:eastAsia="es-CO"/>
              </w:rPr>
              <w:t xml:space="preserve"> el PROPONENTE Y/O CONTRATISTA</w:t>
            </w:r>
            <w:r>
              <w:rPr>
                <w:rFonts w:ascii="Arial" w:eastAsia="Times New Roman" w:hAnsi="Arial" w:cs="Arial"/>
                <w:sz w:val="10"/>
                <w:szCs w:val="10"/>
                <w:lang w:eastAsia="es-CO"/>
              </w:rPr>
              <w:t xml:space="preserve">. Hace referencia al riesgo técnico, económico, ambiental y/o social, en cuanto a calidad y cantidad del material, explotación y su distancia de acarreo.  Le corresponde al interesado o </w:t>
            </w:r>
            <w:r>
              <w:rPr>
                <w:rFonts w:ascii="Arial" w:eastAsia="Times New Roman" w:hAnsi="Arial" w:cs="Arial"/>
                <w:sz w:val="10"/>
                <w:szCs w:val="10"/>
                <w:lang w:eastAsia="es-CO"/>
              </w:rPr>
              <w:lastRenderedPageBreak/>
              <w:t xml:space="preserve">proponente verificar en la región del proyecto las fuentes de materiales a emplear, para la presentación de una propuesta acorde con las obras a ejecutar. </w:t>
            </w:r>
          </w:p>
        </w:tc>
        <w:tc>
          <w:tcPr>
            <w:tcW w:w="300" w:type="pct"/>
            <w:tcBorders>
              <w:top w:val="single" w:sz="4" w:space="0" w:color="auto"/>
              <w:left w:val="single" w:sz="4" w:space="0" w:color="auto"/>
              <w:bottom w:val="single" w:sz="4" w:space="0" w:color="auto"/>
              <w:right w:val="single" w:sz="4" w:space="0" w:color="auto"/>
            </w:tcBorders>
            <w:hideMark/>
          </w:tcPr>
          <w:p w14:paraId="5F1E43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Impacto económico al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27214A9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43368A9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E6FD4F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4349E93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0584A28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4C5BA35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Planeación, revisión, ajuste y seguimiento en la fase precontractual   a las fuentes de materiales para el proyecto. En la fase contractual verificación del cumplimiento de especificaciones técnicas de los materiales.</w:t>
            </w:r>
          </w:p>
        </w:tc>
        <w:tc>
          <w:tcPr>
            <w:tcW w:w="111" w:type="pct"/>
            <w:tcBorders>
              <w:top w:val="single" w:sz="4" w:space="0" w:color="auto"/>
              <w:left w:val="single" w:sz="4" w:space="0" w:color="auto"/>
              <w:bottom w:val="single" w:sz="4" w:space="0" w:color="auto"/>
              <w:right w:val="single" w:sz="4" w:space="0" w:color="auto"/>
            </w:tcBorders>
            <w:hideMark/>
          </w:tcPr>
          <w:p w14:paraId="7296A8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8BD048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2663A9B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58721F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2D210C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67E6B0D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181A78D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4A9A1F4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Comités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329" w:type="pct"/>
            <w:tcBorders>
              <w:top w:val="single" w:sz="4" w:space="0" w:color="auto"/>
              <w:left w:val="single" w:sz="4" w:space="0" w:color="auto"/>
              <w:bottom w:val="single" w:sz="4" w:space="0" w:color="auto"/>
              <w:right w:val="single" w:sz="4" w:space="0" w:color="auto"/>
            </w:tcBorders>
            <w:hideMark/>
          </w:tcPr>
          <w:p w14:paraId="15ADC9F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05A72F81" w14:textId="77777777" w:rsidTr="009819B4">
        <w:trPr>
          <w:trHeight w:val="5010"/>
        </w:trPr>
        <w:tc>
          <w:tcPr>
            <w:tcW w:w="159" w:type="pct"/>
            <w:tcBorders>
              <w:top w:val="single" w:sz="4" w:space="0" w:color="auto"/>
              <w:left w:val="single" w:sz="4" w:space="0" w:color="auto"/>
              <w:bottom w:val="single" w:sz="4" w:space="0" w:color="auto"/>
              <w:right w:val="single" w:sz="4" w:space="0" w:color="auto"/>
            </w:tcBorders>
            <w:noWrap/>
            <w:hideMark/>
          </w:tcPr>
          <w:p w14:paraId="31A5B60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15</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D44334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C6F3E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2B2E2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33BA7B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de la Naturaleza</w:t>
            </w:r>
          </w:p>
        </w:tc>
        <w:tc>
          <w:tcPr>
            <w:tcW w:w="352" w:type="pct"/>
            <w:tcBorders>
              <w:top w:val="single" w:sz="4" w:space="0" w:color="auto"/>
              <w:left w:val="single" w:sz="4" w:space="0" w:color="auto"/>
              <w:bottom w:val="single" w:sz="4" w:space="0" w:color="auto"/>
              <w:right w:val="single" w:sz="4" w:space="0" w:color="auto"/>
            </w:tcBorders>
            <w:hideMark/>
          </w:tcPr>
          <w:p w14:paraId="142A099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Inestabilidad Geológica, Geotécnica, Hidrogeológica. El r</w:t>
            </w:r>
            <w:r>
              <w:rPr>
                <w:rFonts w:ascii="Arial" w:eastAsia="Times New Roman" w:hAnsi="Arial" w:cs="Arial"/>
                <w:sz w:val="10"/>
                <w:szCs w:val="10"/>
                <w:lang w:eastAsia="es-CO"/>
              </w:rPr>
              <w:t xml:space="preserve">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asumirá los riesgos geológicos, geotécnico e hidrogeológicos identificados, y los que debió identificar en el </w:t>
            </w:r>
            <w:r>
              <w:rPr>
                <w:rFonts w:ascii="Arial" w:eastAsia="Times New Roman" w:hAnsi="Arial" w:cs="Arial"/>
                <w:sz w:val="10"/>
                <w:szCs w:val="10"/>
                <w:lang w:eastAsia="es-CO"/>
              </w:rPr>
              <w:lastRenderedPageBreak/>
              <w:t>ajuste y/o elaboración de estudios y diseños y los que se presenten durante la ejecución del contrato. El INVIAS asume el Riesgo por concepto de mayores cantidades de obra que sean necesarias, siempre y cuando no sean de responsabilidad del Contratista.</w:t>
            </w:r>
          </w:p>
        </w:tc>
        <w:tc>
          <w:tcPr>
            <w:tcW w:w="300" w:type="pct"/>
            <w:tcBorders>
              <w:top w:val="single" w:sz="4" w:space="0" w:color="auto"/>
              <w:left w:val="single" w:sz="4" w:space="0" w:color="auto"/>
              <w:bottom w:val="single" w:sz="4" w:space="0" w:color="auto"/>
              <w:right w:val="single" w:sz="4" w:space="0" w:color="auto"/>
            </w:tcBorders>
            <w:hideMark/>
          </w:tcPr>
          <w:p w14:paraId="2BBE5FA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 xml:space="preserve">Impacto negativo en el desarrollo del objeto contractual, Aumento de costos por necesidad de mayores cantidades de obra, y eventuales mayores plazos </w:t>
            </w:r>
          </w:p>
        </w:tc>
        <w:tc>
          <w:tcPr>
            <w:tcW w:w="158" w:type="pct"/>
            <w:tcBorders>
              <w:top w:val="single" w:sz="4" w:space="0" w:color="auto"/>
              <w:left w:val="single" w:sz="4" w:space="0" w:color="auto"/>
              <w:bottom w:val="single" w:sz="4" w:space="0" w:color="auto"/>
              <w:right w:val="single" w:sz="4" w:space="0" w:color="auto"/>
            </w:tcBorders>
            <w:noWrap/>
            <w:hideMark/>
          </w:tcPr>
          <w:p w14:paraId="4167C7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454F31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A36662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94" w:type="pct"/>
            <w:tcBorders>
              <w:top w:val="single" w:sz="4" w:space="0" w:color="auto"/>
              <w:left w:val="single" w:sz="4" w:space="0" w:color="auto"/>
              <w:bottom w:val="single" w:sz="4" w:space="0" w:color="auto"/>
              <w:right w:val="single" w:sz="4" w:space="0" w:color="auto"/>
            </w:tcBorders>
            <w:hideMark/>
          </w:tcPr>
          <w:p w14:paraId="63F8E5F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5E9B16BC"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7EC41A9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Monitoreo del corredor vial por parte de Especialistas en Geotecnia para recomendar medidas preventivas, correctivas o de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o de mitigación, análisis e implementación.  En todos los casos, adoptar las medidas contractuales a que haya lugar, en </w:t>
            </w:r>
            <w:r>
              <w:rPr>
                <w:rFonts w:ascii="Arial" w:eastAsia="Times New Roman" w:hAnsi="Arial" w:cs="Arial"/>
                <w:sz w:val="10"/>
                <w:szCs w:val="10"/>
                <w:lang w:eastAsia="es-CO"/>
              </w:rPr>
              <w:lastRenderedPageBreak/>
              <w:t>cuanto a mayores cantidades de obra y plazos si fuere necesario.</w:t>
            </w:r>
          </w:p>
        </w:tc>
        <w:tc>
          <w:tcPr>
            <w:tcW w:w="111" w:type="pct"/>
            <w:tcBorders>
              <w:top w:val="single" w:sz="4" w:space="0" w:color="auto"/>
              <w:left w:val="single" w:sz="4" w:space="0" w:color="auto"/>
              <w:bottom w:val="single" w:sz="4" w:space="0" w:color="auto"/>
              <w:right w:val="single" w:sz="4" w:space="0" w:color="auto"/>
            </w:tcBorders>
            <w:hideMark/>
          </w:tcPr>
          <w:p w14:paraId="443DDD9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58" w:type="pct"/>
            <w:tcBorders>
              <w:top w:val="single" w:sz="4" w:space="0" w:color="auto"/>
              <w:left w:val="single" w:sz="4" w:space="0" w:color="auto"/>
              <w:bottom w:val="single" w:sz="4" w:space="0" w:color="auto"/>
              <w:right w:val="single" w:sz="4" w:space="0" w:color="auto"/>
            </w:tcBorders>
            <w:hideMark/>
          </w:tcPr>
          <w:p w14:paraId="146ABA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5D8964D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7AEEFAC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3D1685B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En emergencias de gran magnitud puede afectarse la ejecución del contrato.</w:t>
            </w:r>
          </w:p>
        </w:tc>
        <w:tc>
          <w:tcPr>
            <w:tcW w:w="284" w:type="pct"/>
            <w:tcBorders>
              <w:top w:val="single" w:sz="4" w:space="0" w:color="auto"/>
              <w:left w:val="single" w:sz="4" w:space="0" w:color="auto"/>
              <w:bottom w:val="single" w:sz="4" w:space="0" w:color="auto"/>
              <w:right w:val="single" w:sz="4" w:space="0" w:color="auto"/>
            </w:tcBorders>
            <w:hideMark/>
          </w:tcPr>
          <w:p w14:paraId="2415BC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0F67C0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3B00B21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Visitas y recomendaciones de Especialistas, Análisis de Contratista e Interventor y si es necesario participación del INVIAS, Comités Técnicos, Seguimiento a implementación de medidas preventivas, correctivas o de mitigación, Informes respectivos,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24BD1A5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Al inicio del contrato, cuando se detecten nuevos sitios inestables, cuando se presenten emergencias.</w:t>
            </w:r>
          </w:p>
        </w:tc>
      </w:tr>
      <w:tr w:rsidR="00BB7ED4" w14:paraId="4050F19F" w14:textId="77777777" w:rsidTr="009819B4">
        <w:trPr>
          <w:trHeight w:val="2550"/>
        </w:trPr>
        <w:tc>
          <w:tcPr>
            <w:tcW w:w="159" w:type="pct"/>
            <w:tcBorders>
              <w:top w:val="single" w:sz="4" w:space="0" w:color="auto"/>
              <w:left w:val="single" w:sz="4" w:space="0" w:color="auto"/>
              <w:bottom w:val="single" w:sz="4" w:space="0" w:color="auto"/>
              <w:right w:val="single" w:sz="4" w:space="0" w:color="auto"/>
            </w:tcBorders>
            <w:noWrap/>
            <w:hideMark/>
          </w:tcPr>
          <w:p w14:paraId="79D623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16</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71A1C5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FBCEB8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DA451F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3E8515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2" w:type="pct"/>
            <w:tcBorders>
              <w:top w:val="single" w:sz="4" w:space="0" w:color="auto"/>
              <w:left w:val="single" w:sz="4" w:space="0" w:color="auto"/>
              <w:bottom w:val="single" w:sz="4" w:space="0" w:color="auto"/>
              <w:right w:val="single" w:sz="4" w:space="0" w:color="auto"/>
            </w:tcBorders>
            <w:hideMark/>
          </w:tcPr>
          <w:p w14:paraId="228602E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Interferencia con las de redes de servicios públicos existentes:</w:t>
            </w:r>
            <w:r>
              <w:rPr>
                <w:rFonts w:ascii="Arial" w:eastAsia="Times New Roman" w:hAnsi="Arial" w:cs="Arial"/>
                <w:sz w:val="10"/>
                <w:szCs w:val="10"/>
                <w:lang w:eastAsia="es-CO"/>
              </w:rPr>
              <w:t xml:space="preserve"> Ocurre por la presencia de redes existentes, que puedan interferir con el proyecto, afectando el normal desarrollo de las obras. El Contratista deberá realizar todas las gestiones que correspondan. EL INVIAS asumirá los costos que correspondan de acuerdo con lo establecido en el Capítulo III de la Ley 1682 de 2013</w:t>
            </w:r>
          </w:p>
        </w:tc>
        <w:tc>
          <w:tcPr>
            <w:tcW w:w="300" w:type="pct"/>
            <w:tcBorders>
              <w:top w:val="single" w:sz="4" w:space="0" w:color="auto"/>
              <w:left w:val="single" w:sz="4" w:space="0" w:color="auto"/>
              <w:bottom w:val="single" w:sz="4" w:space="0" w:color="auto"/>
              <w:right w:val="single" w:sz="4" w:space="0" w:color="auto"/>
            </w:tcBorders>
            <w:hideMark/>
          </w:tcPr>
          <w:p w14:paraId="0A2B030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Impacto negativo en el desarrollo del objeto contractual, por la interferencia de las redes existentes con la ejecución del proyecto </w:t>
            </w:r>
          </w:p>
        </w:tc>
        <w:tc>
          <w:tcPr>
            <w:tcW w:w="158" w:type="pct"/>
            <w:tcBorders>
              <w:top w:val="single" w:sz="4" w:space="0" w:color="auto"/>
              <w:left w:val="single" w:sz="4" w:space="0" w:color="auto"/>
              <w:bottom w:val="single" w:sz="4" w:space="0" w:color="auto"/>
              <w:right w:val="single" w:sz="4" w:space="0" w:color="auto"/>
            </w:tcBorders>
            <w:noWrap/>
            <w:hideMark/>
          </w:tcPr>
          <w:p w14:paraId="2F2027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7FA920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165CCA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00D9B1C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3A85532B"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91" w:type="pct"/>
            <w:tcBorders>
              <w:top w:val="single" w:sz="4" w:space="0" w:color="auto"/>
              <w:left w:val="single" w:sz="4" w:space="0" w:color="auto"/>
              <w:bottom w:val="single" w:sz="4" w:space="0" w:color="auto"/>
              <w:right w:val="single" w:sz="4" w:space="0" w:color="auto"/>
            </w:tcBorders>
            <w:hideMark/>
          </w:tcPr>
          <w:p w14:paraId="27D45D7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11" w:type="pct"/>
            <w:tcBorders>
              <w:top w:val="single" w:sz="4" w:space="0" w:color="auto"/>
              <w:left w:val="single" w:sz="4" w:space="0" w:color="auto"/>
              <w:bottom w:val="single" w:sz="4" w:space="0" w:color="auto"/>
              <w:right w:val="single" w:sz="4" w:space="0" w:color="auto"/>
            </w:tcBorders>
            <w:hideMark/>
          </w:tcPr>
          <w:p w14:paraId="19131A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0CE1845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429F386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71439AB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9941DE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524BE74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44F4901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solucione la interferencia de las redes de servicio público existentes</w:t>
            </w:r>
          </w:p>
        </w:tc>
        <w:tc>
          <w:tcPr>
            <w:tcW w:w="342" w:type="pct"/>
            <w:tcBorders>
              <w:top w:val="single" w:sz="4" w:space="0" w:color="auto"/>
              <w:left w:val="single" w:sz="4" w:space="0" w:color="auto"/>
              <w:bottom w:val="single" w:sz="4" w:space="0" w:color="auto"/>
              <w:right w:val="single" w:sz="4" w:space="0" w:color="auto"/>
            </w:tcBorders>
            <w:hideMark/>
          </w:tcPr>
          <w:p w14:paraId="7549BC5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permanente a la Gestión para solucionar la interferencia de redes de servicios públicos existentes.  Informes de resultados, requerimientos escritos.</w:t>
            </w:r>
          </w:p>
        </w:tc>
        <w:tc>
          <w:tcPr>
            <w:tcW w:w="329" w:type="pct"/>
            <w:tcBorders>
              <w:top w:val="single" w:sz="4" w:space="0" w:color="auto"/>
              <w:left w:val="single" w:sz="4" w:space="0" w:color="auto"/>
              <w:bottom w:val="single" w:sz="4" w:space="0" w:color="auto"/>
              <w:right w:val="single" w:sz="4" w:space="0" w:color="auto"/>
            </w:tcBorders>
            <w:hideMark/>
          </w:tcPr>
          <w:p w14:paraId="28CC4A7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Cuando se presenta la interferencia, seguimiento semanal. </w:t>
            </w:r>
          </w:p>
        </w:tc>
      </w:tr>
      <w:tr w:rsidR="00BB7ED4" w14:paraId="179FE35A" w14:textId="77777777" w:rsidTr="009819B4">
        <w:trPr>
          <w:trHeight w:val="3195"/>
        </w:trPr>
        <w:tc>
          <w:tcPr>
            <w:tcW w:w="159" w:type="pct"/>
            <w:tcBorders>
              <w:top w:val="single" w:sz="4" w:space="0" w:color="auto"/>
              <w:left w:val="single" w:sz="4" w:space="0" w:color="auto"/>
              <w:bottom w:val="single" w:sz="4" w:space="0" w:color="auto"/>
              <w:right w:val="single" w:sz="4" w:space="0" w:color="auto"/>
            </w:tcBorders>
            <w:noWrap/>
            <w:hideMark/>
          </w:tcPr>
          <w:p w14:paraId="7C52446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17</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B1786A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09671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68E9B1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7E19B8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Financiero</w:t>
            </w:r>
          </w:p>
        </w:tc>
        <w:tc>
          <w:tcPr>
            <w:tcW w:w="352" w:type="pct"/>
            <w:tcBorders>
              <w:top w:val="single" w:sz="4" w:space="0" w:color="auto"/>
              <w:left w:val="single" w:sz="4" w:space="0" w:color="auto"/>
              <w:bottom w:val="single" w:sz="4" w:space="0" w:color="auto"/>
              <w:right w:val="single" w:sz="4" w:space="0" w:color="auto"/>
            </w:tcBorders>
            <w:hideMark/>
          </w:tcPr>
          <w:p w14:paraId="4518446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Riesgo Financiero: </w:t>
            </w:r>
            <w:r>
              <w:rPr>
                <w:rFonts w:ascii="Arial" w:eastAsia="Times New Roman" w:hAnsi="Arial" w:cs="Arial"/>
                <w:sz w:val="10"/>
                <w:szCs w:val="10"/>
                <w:lang w:eastAsia="es-CO"/>
              </w:rPr>
              <w:t>Se deriva de los efectos provenientes de las variaciones de las tasas de interés, plazos, tasas de cambio, 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300" w:type="pct"/>
            <w:tcBorders>
              <w:top w:val="single" w:sz="4" w:space="0" w:color="auto"/>
              <w:left w:val="single" w:sz="4" w:space="0" w:color="auto"/>
              <w:bottom w:val="single" w:sz="4" w:space="0" w:color="auto"/>
              <w:right w:val="single" w:sz="4" w:space="0" w:color="auto"/>
            </w:tcBorders>
            <w:hideMark/>
          </w:tcPr>
          <w:p w14:paraId="4F055D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Impacto económico al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1BD1193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3FC229D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6CC713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3C20A08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4ABB2872"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090B693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11" w:type="pct"/>
            <w:tcBorders>
              <w:top w:val="single" w:sz="4" w:space="0" w:color="auto"/>
              <w:left w:val="single" w:sz="4" w:space="0" w:color="auto"/>
              <w:bottom w:val="single" w:sz="4" w:space="0" w:color="auto"/>
              <w:right w:val="single" w:sz="4" w:space="0" w:color="auto"/>
            </w:tcBorders>
            <w:hideMark/>
          </w:tcPr>
          <w:p w14:paraId="15D1427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7EFD25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6665C1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68CE7FC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550838A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377320B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29" w:type="pct"/>
            <w:tcBorders>
              <w:top w:val="single" w:sz="4" w:space="0" w:color="auto"/>
              <w:left w:val="single" w:sz="4" w:space="0" w:color="auto"/>
              <w:bottom w:val="single" w:sz="4" w:space="0" w:color="auto"/>
              <w:right w:val="single" w:sz="4" w:space="0" w:color="auto"/>
            </w:tcBorders>
            <w:hideMark/>
          </w:tcPr>
          <w:p w14:paraId="56BAB41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539CC01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329" w:type="pct"/>
            <w:tcBorders>
              <w:top w:val="single" w:sz="4" w:space="0" w:color="auto"/>
              <w:left w:val="single" w:sz="4" w:space="0" w:color="auto"/>
              <w:bottom w:val="single" w:sz="4" w:space="0" w:color="auto"/>
              <w:right w:val="single" w:sz="4" w:space="0" w:color="auto"/>
            </w:tcBorders>
            <w:hideMark/>
          </w:tcPr>
          <w:p w14:paraId="3F82CA8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296017FE" w14:textId="77777777" w:rsidTr="009819B4">
        <w:trPr>
          <w:trHeight w:val="3060"/>
        </w:trPr>
        <w:tc>
          <w:tcPr>
            <w:tcW w:w="159" w:type="pct"/>
            <w:tcBorders>
              <w:top w:val="single" w:sz="4" w:space="0" w:color="auto"/>
              <w:left w:val="single" w:sz="4" w:space="0" w:color="auto"/>
              <w:bottom w:val="single" w:sz="4" w:space="0" w:color="auto"/>
              <w:right w:val="single" w:sz="4" w:space="0" w:color="auto"/>
            </w:tcBorders>
            <w:noWrap/>
            <w:hideMark/>
          </w:tcPr>
          <w:p w14:paraId="6BE1AC6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18</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BA04B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F813EC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C51CDA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94B617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Regulatorio</w:t>
            </w:r>
          </w:p>
        </w:tc>
        <w:tc>
          <w:tcPr>
            <w:tcW w:w="352" w:type="pct"/>
            <w:tcBorders>
              <w:top w:val="single" w:sz="4" w:space="0" w:color="auto"/>
              <w:left w:val="single" w:sz="4" w:space="0" w:color="auto"/>
              <w:bottom w:val="single" w:sz="4" w:space="0" w:color="auto"/>
              <w:right w:val="single" w:sz="4" w:space="0" w:color="auto"/>
            </w:tcBorders>
            <w:hideMark/>
          </w:tcPr>
          <w:p w14:paraId="0BE6544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Expedición y/o modificación de normas: </w:t>
            </w:r>
            <w:r>
              <w:rPr>
                <w:rFonts w:ascii="Arial" w:eastAsia="Times New Roman" w:hAnsi="Arial" w:cs="Arial"/>
                <w:sz w:val="10"/>
                <w:szCs w:val="10"/>
                <w:lang w:eastAsia="es-CO"/>
              </w:rPr>
              <w:t>Ocurre por cambios normativos o por la expedición de normas posteriores al cierre del proceso de licitación pública, que afecten las condiciones económicas y/o técnicas inicialmente pactadas.</w:t>
            </w:r>
          </w:p>
        </w:tc>
        <w:tc>
          <w:tcPr>
            <w:tcW w:w="300" w:type="pct"/>
            <w:tcBorders>
              <w:top w:val="single" w:sz="4" w:space="0" w:color="auto"/>
              <w:left w:val="single" w:sz="4" w:space="0" w:color="auto"/>
              <w:bottom w:val="single" w:sz="4" w:space="0" w:color="auto"/>
              <w:right w:val="single" w:sz="4" w:space="0" w:color="auto"/>
            </w:tcBorders>
            <w:hideMark/>
          </w:tcPr>
          <w:p w14:paraId="1E3B863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Afectación del desarrollo del contrato previsto con la normatividad existente al cierre del proceso de selección </w:t>
            </w:r>
          </w:p>
        </w:tc>
        <w:tc>
          <w:tcPr>
            <w:tcW w:w="158" w:type="pct"/>
            <w:tcBorders>
              <w:top w:val="single" w:sz="4" w:space="0" w:color="auto"/>
              <w:left w:val="single" w:sz="4" w:space="0" w:color="auto"/>
              <w:bottom w:val="single" w:sz="4" w:space="0" w:color="auto"/>
              <w:right w:val="single" w:sz="4" w:space="0" w:color="auto"/>
            </w:tcBorders>
            <w:noWrap/>
            <w:hideMark/>
          </w:tcPr>
          <w:p w14:paraId="6C992A8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4B012D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072DD5F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0475F8F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3CDCD0DB"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7E45331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11" w:type="pct"/>
            <w:tcBorders>
              <w:top w:val="single" w:sz="4" w:space="0" w:color="auto"/>
              <w:left w:val="single" w:sz="4" w:space="0" w:color="auto"/>
              <w:bottom w:val="single" w:sz="4" w:space="0" w:color="auto"/>
              <w:right w:val="single" w:sz="4" w:space="0" w:color="auto"/>
            </w:tcBorders>
            <w:hideMark/>
          </w:tcPr>
          <w:p w14:paraId="3FC5781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59C942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2ED2DF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5008DEE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7F5C280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0D783B6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588CCF4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2CF92C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Seguimiento a la implementación de la nueva normatividad que aplique al proyecto, y a las medidas tomadas para mitigar su efecto en el contrato.  Informes, requerimientos escritos. </w:t>
            </w:r>
          </w:p>
        </w:tc>
        <w:tc>
          <w:tcPr>
            <w:tcW w:w="329" w:type="pct"/>
            <w:tcBorders>
              <w:top w:val="single" w:sz="4" w:space="0" w:color="auto"/>
              <w:left w:val="single" w:sz="4" w:space="0" w:color="auto"/>
              <w:bottom w:val="single" w:sz="4" w:space="0" w:color="auto"/>
              <w:right w:val="single" w:sz="4" w:space="0" w:color="auto"/>
            </w:tcBorders>
            <w:hideMark/>
          </w:tcPr>
          <w:p w14:paraId="6E1B538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BB7ED4" w14:paraId="544B331E" w14:textId="77777777" w:rsidTr="009819B4">
        <w:trPr>
          <w:trHeight w:val="2700"/>
        </w:trPr>
        <w:tc>
          <w:tcPr>
            <w:tcW w:w="159" w:type="pct"/>
            <w:tcBorders>
              <w:top w:val="single" w:sz="4" w:space="0" w:color="auto"/>
              <w:left w:val="single" w:sz="4" w:space="0" w:color="auto"/>
              <w:bottom w:val="single" w:sz="4" w:space="0" w:color="auto"/>
              <w:right w:val="single" w:sz="4" w:space="0" w:color="auto"/>
            </w:tcBorders>
            <w:noWrap/>
            <w:hideMark/>
          </w:tcPr>
          <w:p w14:paraId="66853C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19</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07749B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B52E5E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64A267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75B22D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Ambiental</w:t>
            </w:r>
          </w:p>
        </w:tc>
        <w:tc>
          <w:tcPr>
            <w:tcW w:w="352" w:type="pct"/>
            <w:tcBorders>
              <w:top w:val="single" w:sz="4" w:space="0" w:color="auto"/>
              <w:left w:val="single" w:sz="4" w:space="0" w:color="auto"/>
              <w:bottom w:val="single" w:sz="4" w:space="0" w:color="auto"/>
              <w:right w:val="single" w:sz="4" w:space="0" w:color="auto"/>
            </w:tcBorders>
            <w:hideMark/>
          </w:tcPr>
          <w:p w14:paraId="4F76F75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Gestión Ambiental:</w:t>
            </w:r>
            <w:r>
              <w:rPr>
                <w:rFonts w:ascii="Arial" w:eastAsia="Times New Roman" w:hAnsi="Arial" w:cs="Arial"/>
                <w:sz w:val="10"/>
                <w:szCs w:val="10"/>
                <w:lang w:eastAsia="es-CO"/>
              </w:rPr>
              <w:t xml:space="preserve"> Demora en la obtención de licencias y/o permisos ambientales por demora y/o inadecuada   presentación de soportes y estudios.</w:t>
            </w:r>
          </w:p>
        </w:tc>
        <w:tc>
          <w:tcPr>
            <w:tcW w:w="300" w:type="pct"/>
            <w:tcBorders>
              <w:top w:val="single" w:sz="4" w:space="0" w:color="auto"/>
              <w:left w:val="single" w:sz="4" w:space="0" w:color="auto"/>
              <w:bottom w:val="single" w:sz="4" w:space="0" w:color="auto"/>
              <w:right w:val="single" w:sz="4" w:space="0" w:color="auto"/>
            </w:tcBorders>
            <w:hideMark/>
          </w:tcPr>
          <w:p w14:paraId="21FB46E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Retraso en la Ejecución de los trabajos</w:t>
            </w:r>
          </w:p>
        </w:tc>
        <w:tc>
          <w:tcPr>
            <w:tcW w:w="158" w:type="pct"/>
            <w:tcBorders>
              <w:top w:val="single" w:sz="4" w:space="0" w:color="auto"/>
              <w:left w:val="single" w:sz="4" w:space="0" w:color="auto"/>
              <w:bottom w:val="single" w:sz="4" w:space="0" w:color="auto"/>
              <w:right w:val="single" w:sz="4" w:space="0" w:color="auto"/>
            </w:tcBorders>
            <w:noWrap/>
            <w:hideMark/>
          </w:tcPr>
          <w:p w14:paraId="3FDCE42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1828FE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77A876F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14E9E8C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6C9419E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08B24CD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Seguimiento por parte del Interventor a la gestión documentada del contratista para la obtención de licencias, permisos y autorizaciones ambientales. </w:t>
            </w:r>
          </w:p>
        </w:tc>
        <w:tc>
          <w:tcPr>
            <w:tcW w:w="111" w:type="pct"/>
            <w:tcBorders>
              <w:top w:val="single" w:sz="4" w:space="0" w:color="auto"/>
              <w:left w:val="single" w:sz="4" w:space="0" w:color="auto"/>
              <w:bottom w:val="single" w:sz="4" w:space="0" w:color="auto"/>
              <w:right w:val="single" w:sz="4" w:space="0" w:color="auto"/>
            </w:tcBorders>
            <w:hideMark/>
          </w:tcPr>
          <w:p w14:paraId="3B3ACE9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5A1536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7ACD223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2AA649B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8677C2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4512A94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7F3E8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Una vez obtenida la licencia y/o permisos y/o autorizaciones ambientales</w:t>
            </w:r>
          </w:p>
        </w:tc>
        <w:tc>
          <w:tcPr>
            <w:tcW w:w="342" w:type="pct"/>
            <w:tcBorders>
              <w:top w:val="single" w:sz="4" w:space="0" w:color="auto"/>
              <w:left w:val="single" w:sz="4" w:space="0" w:color="auto"/>
              <w:bottom w:val="single" w:sz="4" w:space="0" w:color="auto"/>
              <w:right w:val="single" w:sz="4" w:space="0" w:color="auto"/>
            </w:tcBorders>
            <w:hideMark/>
          </w:tcPr>
          <w:p w14:paraId="6320A2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la gestión realizada y sus resultados, por parte de Especialista Ambiental del Interventor.   Comités Técnicos, Seguimiento a informes ambientales por parte de la Supervisión ambiental,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760FB97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w:t>
            </w:r>
          </w:p>
        </w:tc>
      </w:tr>
      <w:tr w:rsidR="00BB7ED4" w14:paraId="6ECE2354" w14:textId="77777777" w:rsidTr="009819B4">
        <w:trPr>
          <w:trHeight w:val="3945"/>
        </w:trPr>
        <w:tc>
          <w:tcPr>
            <w:tcW w:w="159" w:type="pct"/>
            <w:tcBorders>
              <w:top w:val="single" w:sz="4" w:space="0" w:color="auto"/>
              <w:left w:val="single" w:sz="4" w:space="0" w:color="auto"/>
              <w:bottom w:val="single" w:sz="4" w:space="0" w:color="auto"/>
              <w:right w:val="single" w:sz="4" w:space="0" w:color="auto"/>
            </w:tcBorders>
            <w:noWrap/>
            <w:hideMark/>
          </w:tcPr>
          <w:p w14:paraId="63F4EFE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20</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6A50B6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4B319A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5EBEE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719BAB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Ambiental</w:t>
            </w:r>
          </w:p>
        </w:tc>
        <w:tc>
          <w:tcPr>
            <w:tcW w:w="352" w:type="pct"/>
            <w:tcBorders>
              <w:top w:val="single" w:sz="4" w:space="0" w:color="auto"/>
              <w:left w:val="single" w:sz="4" w:space="0" w:color="auto"/>
              <w:bottom w:val="single" w:sz="4" w:space="0" w:color="auto"/>
              <w:right w:val="single" w:sz="4" w:space="0" w:color="auto"/>
            </w:tcBorders>
            <w:hideMark/>
          </w:tcPr>
          <w:p w14:paraId="611C56C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Pasivos Ambientales:</w:t>
            </w:r>
            <w:r>
              <w:rPr>
                <w:rFonts w:ascii="Arial" w:eastAsia="Times New Roman" w:hAnsi="Arial" w:cs="Arial"/>
                <w:sz w:val="10"/>
                <w:szCs w:val="10"/>
                <w:lang w:eastAsia="es-CO"/>
              </w:rPr>
              <w:t xml:space="preserve"> Pasivos ambientales generados en el proceso constructivo, desde el punto de vista ambiental.</w:t>
            </w:r>
          </w:p>
        </w:tc>
        <w:tc>
          <w:tcPr>
            <w:tcW w:w="300" w:type="pct"/>
            <w:tcBorders>
              <w:top w:val="single" w:sz="4" w:space="0" w:color="auto"/>
              <w:left w:val="single" w:sz="4" w:space="0" w:color="auto"/>
              <w:bottom w:val="single" w:sz="4" w:space="0" w:color="auto"/>
              <w:right w:val="single" w:sz="4" w:space="0" w:color="auto"/>
            </w:tcBorders>
            <w:hideMark/>
          </w:tcPr>
          <w:p w14:paraId="1739931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Impacto Negativo por efectos en la Ejecución del Proyecto </w:t>
            </w:r>
          </w:p>
        </w:tc>
        <w:tc>
          <w:tcPr>
            <w:tcW w:w="158" w:type="pct"/>
            <w:tcBorders>
              <w:top w:val="single" w:sz="4" w:space="0" w:color="auto"/>
              <w:left w:val="single" w:sz="4" w:space="0" w:color="auto"/>
              <w:bottom w:val="single" w:sz="4" w:space="0" w:color="auto"/>
              <w:right w:val="single" w:sz="4" w:space="0" w:color="auto"/>
            </w:tcBorders>
            <w:noWrap/>
            <w:hideMark/>
          </w:tcPr>
          <w:p w14:paraId="16CBC24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21E9D6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22DB52A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52FE8FA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0ADAFD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0E3052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11" w:type="pct"/>
            <w:tcBorders>
              <w:top w:val="single" w:sz="4" w:space="0" w:color="auto"/>
              <w:left w:val="single" w:sz="4" w:space="0" w:color="auto"/>
              <w:bottom w:val="single" w:sz="4" w:space="0" w:color="auto"/>
              <w:right w:val="single" w:sz="4" w:space="0" w:color="auto"/>
            </w:tcBorders>
            <w:hideMark/>
          </w:tcPr>
          <w:p w14:paraId="6EC9F78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552AA2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5FB1B6E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3FC3778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48CCDF7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76A6A4C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720BAB5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44B86A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Comités Técnicos, Seguimiento por parte del Especialista Ambiental de la Interventoría. Seguimiento a informes ambientales por parte de la supervisión ambiental, requerimientos escritos-Retroalimentación en los procedimientos adelantados por los responsables del tratamiento.</w:t>
            </w:r>
          </w:p>
        </w:tc>
        <w:tc>
          <w:tcPr>
            <w:tcW w:w="329" w:type="pct"/>
            <w:tcBorders>
              <w:top w:val="single" w:sz="4" w:space="0" w:color="auto"/>
              <w:left w:val="single" w:sz="4" w:space="0" w:color="auto"/>
              <w:bottom w:val="single" w:sz="4" w:space="0" w:color="auto"/>
              <w:right w:val="single" w:sz="4" w:space="0" w:color="auto"/>
            </w:tcBorders>
            <w:hideMark/>
          </w:tcPr>
          <w:p w14:paraId="71EB66A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w:t>
            </w:r>
          </w:p>
        </w:tc>
      </w:tr>
      <w:tr w:rsidR="00BB7ED4" w14:paraId="3F6C35DA" w14:textId="77777777" w:rsidTr="009819B4">
        <w:trPr>
          <w:trHeight w:val="3030"/>
        </w:trPr>
        <w:tc>
          <w:tcPr>
            <w:tcW w:w="159" w:type="pct"/>
            <w:tcBorders>
              <w:top w:val="single" w:sz="4" w:space="0" w:color="auto"/>
              <w:left w:val="single" w:sz="4" w:space="0" w:color="auto"/>
              <w:bottom w:val="single" w:sz="4" w:space="0" w:color="auto"/>
              <w:right w:val="single" w:sz="4" w:space="0" w:color="auto"/>
            </w:tcBorders>
            <w:noWrap/>
            <w:hideMark/>
          </w:tcPr>
          <w:p w14:paraId="752E47B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21</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B8267F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4DA330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1E4B9B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EB6367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Ambiental</w:t>
            </w:r>
          </w:p>
        </w:tc>
        <w:tc>
          <w:tcPr>
            <w:tcW w:w="352" w:type="pct"/>
            <w:tcBorders>
              <w:top w:val="single" w:sz="4" w:space="0" w:color="auto"/>
              <w:left w:val="single" w:sz="4" w:space="0" w:color="auto"/>
              <w:bottom w:val="single" w:sz="4" w:space="0" w:color="auto"/>
              <w:right w:val="single" w:sz="4" w:space="0" w:color="auto"/>
            </w:tcBorders>
            <w:hideMark/>
          </w:tcPr>
          <w:p w14:paraId="4F55476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Ambiental:</w:t>
            </w:r>
            <w:r>
              <w:rPr>
                <w:rFonts w:ascii="Arial" w:eastAsia="Times New Roman" w:hAnsi="Arial" w:cs="Arial"/>
                <w:sz w:val="10"/>
                <w:szCs w:val="10"/>
                <w:lang w:eastAsia="es-CO"/>
              </w:rPr>
              <w:t xml:space="preserve">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w:t>
            </w:r>
            <w:r>
              <w:rPr>
                <w:rFonts w:ascii="Arial" w:eastAsia="Times New Roman" w:hAnsi="Arial" w:cs="Arial"/>
                <w:sz w:val="10"/>
                <w:szCs w:val="10"/>
                <w:lang w:eastAsia="es-CO"/>
              </w:rPr>
              <w:lastRenderedPageBreak/>
              <w:t>condiciones ambientales o ecológicas exigidas, y de la ejecución de actividades como la explotación minera, ocupación de cauces e intervenciones forestales sin los debidos permisos de las autoridades ambientales.</w:t>
            </w:r>
          </w:p>
        </w:tc>
        <w:tc>
          <w:tcPr>
            <w:tcW w:w="300" w:type="pct"/>
            <w:tcBorders>
              <w:top w:val="single" w:sz="4" w:space="0" w:color="auto"/>
              <w:left w:val="single" w:sz="4" w:space="0" w:color="auto"/>
              <w:bottom w:val="single" w:sz="4" w:space="0" w:color="auto"/>
              <w:right w:val="single" w:sz="4" w:space="0" w:color="auto"/>
            </w:tcBorders>
            <w:hideMark/>
          </w:tcPr>
          <w:p w14:paraId="15A12D2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Genera incumplimiento ambiental que puede afectar la ejecución del proyecto y ocasiona sanciones de las entidades ambientales competentes.</w:t>
            </w:r>
          </w:p>
        </w:tc>
        <w:tc>
          <w:tcPr>
            <w:tcW w:w="158" w:type="pct"/>
            <w:tcBorders>
              <w:top w:val="single" w:sz="4" w:space="0" w:color="auto"/>
              <w:left w:val="single" w:sz="4" w:space="0" w:color="auto"/>
              <w:bottom w:val="single" w:sz="4" w:space="0" w:color="auto"/>
              <w:right w:val="single" w:sz="4" w:space="0" w:color="auto"/>
            </w:tcBorders>
            <w:noWrap/>
            <w:hideMark/>
          </w:tcPr>
          <w:p w14:paraId="634D4EB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27D1826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2B84343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94" w:type="pct"/>
            <w:tcBorders>
              <w:top w:val="single" w:sz="4" w:space="0" w:color="auto"/>
              <w:left w:val="single" w:sz="4" w:space="0" w:color="auto"/>
              <w:bottom w:val="single" w:sz="4" w:space="0" w:color="auto"/>
              <w:right w:val="single" w:sz="4" w:space="0" w:color="auto"/>
            </w:tcBorders>
            <w:hideMark/>
          </w:tcPr>
          <w:p w14:paraId="09D3B51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19D6F30C"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636D5F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w:t>
            </w:r>
            <w:r>
              <w:rPr>
                <w:rFonts w:ascii="Arial" w:eastAsia="Times New Roman" w:hAnsi="Arial" w:cs="Arial"/>
                <w:sz w:val="10"/>
                <w:szCs w:val="10"/>
                <w:lang w:eastAsia="es-CO"/>
              </w:rPr>
              <w:lastRenderedPageBreak/>
              <w:t>su cumplimiento o sancionar el incumplimiento.</w:t>
            </w:r>
          </w:p>
        </w:tc>
        <w:tc>
          <w:tcPr>
            <w:tcW w:w="111" w:type="pct"/>
            <w:tcBorders>
              <w:top w:val="single" w:sz="4" w:space="0" w:color="auto"/>
              <w:left w:val="single" w:sz="4" w:space="0" w:color="auto"/>
              <w:bottom w:val="single" w:sz="4" w:space="0" w:color="auto"/>
              <w:right w:val="single" w:sz="4" w:space="0" w:color="auto"/>
            </w:tcBorders>
            <w:hideMark/>
          </w:tcPr>
          <w:p w14:paraId="60BB774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58" w:type="pct"/>
            <w:tcBorders>
              <w:top w:val="single" w:sz="4" w:space="0" w:color="auto"/>
              <w:left w:val="single" w:sz="4" w:space="0" w:color="auto"/>
              <w:bottom w:val="single" w:sz="4" w:space="0" w:color="auto"/>
              <w:right w:val="single" w:sz="4" w:space="0" w:color="auto"/>
            </w:tcBorders>
            <w:hideMark/>
          </w:tcPr>
          <w:p w14:paraId="12DC36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252F96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2DB6AD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543BFC3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1C47F25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 -Interventoría</w:t>
            </w:r>
          </w:p>
        </w:tc>
        <w:tc>
          <w:tcPr>
            <w:tcW w:w="329" w:type="pct"/>
            <w:tcBorders>
              <w:top w:val="single" w:sz="4" w:space="0" w:color="auto"/>
              <w:left w:val="single" w:sz="4" w:space="0" w:color="auto"/>
              <w:bottom w:val="single" w:sz="4" w:space="0" w:color="auto"/>
              <w:right w:val="single" w:sz="4" w:space="0" w:color="auto"/>
            </w:tcBorders>
            <w:hideMark/>
          </w:tcPr>
          <w:p w14:paraId="0F28F96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liquidación del contrato con el cierre ambiental</w:t>
            </w:r>
          </w:p>
        </w:tc>
        <w:tc>
          <w:tcPr>
            <w:tcW w:w="342" w:type="pct"/>
            <w:tcBorders>
              <w:top w:val="single" w:sz="4" w:space="0" w:color="auto"/>
              <w:left w:val="single" w:sz="4" w:space="0" w:color="auto"/>
              <w:bottom w:val="single" w:sz="4" w:space="0" w:color="auto"/>
              <w:right w:val="single" w:sz="4" w:space="0" w:color="auto"/>
            </w:tcBorders>
            <w:hideMark/>
          </w:tcPr>
          <w:p w14:paraId="31F5B42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w:t>
            </w:r>
            <w:r>
              <w:rPr>
                <w:rFonts w:ascii="Arial" w:eastAsia="Times New Roman" w:hAnsi="Arial" w:cs="Arial"/>
                <w:sz w:val="10"/>
                <w:szCs w:val="10"/>
                <w:lang w:eastAsia="es-CO"/>
              </w:rPr>
              <w:lastRenderedPageBreak/>
              <w:t xml:space="preserve">dos por los responsables del tratamiento. </w:t>
            </w:r>
          </w:p>
        </w:tc>
        <w:tc>
          <w:tcPr>
            <w:tcW w:w="329" w:type="pct"/>
            <w:tcBorders>
              <w:top w:val="single" w:sz="4" w:space="0" w:color="auto"/>
              <w:left w:val="single" w:sz="4" w:space="0" w:color="auto"/>
              <w:bottom w:val="single" w:sz="4" w:space="0" w:color="auto"/>
              <w:right w:val="single" w:sz="4" w:space="0" w:color="auto"/>
            </w:tcBorders>
            <w:hideMark/>
          </w:tcPr>
          <w:p w14:paraId="3A0DD33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mensual</w:t>
            </w:r>
          </w:p>
        </w:tc>
      </w:tr>
      <w:tr w:rsidR="00BB7ED4" w14:paraId="7F7EF664" w14:textId="77777777" w:rsidTr="009819B4">
        <w:trPr>
          <w:trHeight w:val="3030"/>
        </w:trPr>
        <w:tc>
          <w:tcPr>
            <w:tcW w:w="159" w:type="pct"/>
            <w:tcBorders>
              <w:top w:val="single" w:sz="4" w:space="0" w:color="auto"/>
              <w:left w:val="single" w:sz="4" w:space="0" w:color="auto"/>
              <w:bottom w:val="single" w:sz="4" w:space="0" w:color="auto"/>
              <w:right w:val="single" w:sz="4" w:space="0" w:color="auto"/>
            </w:tcBorders>
            <w:noWrap/>
            <w:hideMark/>
          </w:tcPr>
          <w:p w14:paraId="355ABC5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22</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4F9499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A8A530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7A0B79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7BB1147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Social</w:t>
            </w:r>
          </w:p>
        </w:tc>
        <w:tc>
          <w:tcPr>
            <w:tcW w:w="352" w:type="pct"/>
            <w:tcBorders>
              <w:top w:val="single" w:sz="4" w:space="0" w:color="auto"/>
              <w:left w:val="single" w:sz="4" w:space="0" w:color="auto"/>
              <w:bottom w:val="single" w:sz="4" w:space="0" w:color="auto"/>
              <w:right w:val="single" w:sz="4" w:space="0" w:color="auto"/>
            </w:tcBorders>
            <w:hideMark/>
          </w:tcPr>
          <w:p w14:paraId="536A306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Social</w:t>
            </w:r>
            <w:r>
              <w:rPr>
                <w:rFonts w:ascii="Arial" w:eastAsia="Times New Roman" w:hAnsi="Arial" w:cs="Arial"/>
                <w:sz w:val="10"/>
                <w:szCs w:val="10"/>
                <w:lang w:eastAsia="es-CO"/>
              </w:rPr>
              <w:t>:  Riesgo asociado al proceso de consulta previa que realice el Contratista que estén en cabeza de éste.</w:t>
            </w:r>
          </w:p>
        </w:tc>
        <w:tc>
          <w:tcPr>
            <w:tcW w:w="300" w:type="pct"/>
            <w:tcBorders>
              <w:top w:val="single" w:sz="4" w:space="0" w:color="auto"/>
              <w:left w:val="single" w:sz="4" w:space="0" w:color="auto"/>
              <w:bottom w:val="single" w:sz="4" w:space="0" w:color="auto"/>
              <w:right w:val="single" w:sz="4" w:space="0" w:color="auto"/>
            </w:tcBorders>
            <w:hideMark/>
          </w:tcPr>
          <w:p w14:paraId="2BCFDB4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Inconformidad de la comunidad en proceso de consulta previa por la socialización del proyecto y ejecución de la obra, puede generar atrasos en la ejecución de la obra.   </w:t>
            </w:r>
          </w:p>
        </w:tc>
        <w:tc>
          <w:tcPr>
            <w:tcW w:w="158" w:type="pct"/>
            <w:tcBorders>
              <w:top w:val="single" w:sz="4" w:space="0" w:color="auto"/>
              <w:left w:val="single" w:sz="4" w:space="0" w:color="auto"/>
              <w:bottom w:val="single" w:sz="4" w:space="0" w:color="auto"/>
              <w:right w:val="single" w:sz="4" w:space="0" w:color="auto"/>
            </w:tcBorders>
            <w:noWrap/>
            <w:hideMark/>
          </w:tcPr>
          <w:p w14:paraId="601BEFE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2AD0860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CB3A5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32F20D1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0AED96A2"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57B885D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Seguimiento a todos los protocolos y procesos de consulta previa de los proyectos que así lo requieran.  Socialización desde el comienzo del proyecto a las comunidades que se encuentran directamente afectadas. Atención a las inconformidades de la comunidad.   Seguimiento al proceso en conjunto con el Ministerio del Interior.</w:t>
            </w:r>
          </w:p>
        </w:tc>
        <w:tc>
          <w:tcPr>
            <w:tcW w:w="111" w:type="pct"/>
            <w:tcBorders>
              <w:top w:val="single" w:sz="4" w:space="0" w:color="auto"/>
              <w:left w:val="single" w:sz="4" w:space="0" w:color="auto"/>
              <w:bottom w:val="single" w:sz="4" w:space="0" w:color="auto"/>
              <w:right w:val="single" w:sz="4" w:space="0" w:color="auto"/>
            </w:tcBorders>
            <w:hideMark/>
          </w:tcPr>
          <w:p w14:paraId="5CF268E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5AAF7F2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19AD99B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33EFC5B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2" w:type="pct"/>
            <w:tcBorders>
              <w:top w:val="single" w:sz="4" w:space="0" w:color="auto"/>
              <w:left w:val="single" w:sz="4" w:space="0" w:color="auto"/>
              <w:bottom w:val="single" w:sz="4" w:space="0" w:color="auto"/>
              <w:right w:val="single" w:sz="4" w:space="0" w:color="auto"/>
            </w:tcBorders>
            <w:hideMark/>
          </w:tcPr>
          <w:p w14:paraId="108015E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4" w:type="pct"/>
            <w:tcBorders>
              <w:top w:val="single" w:sz="4" w:space="0" w:color="auto"/>
              <w:left w:val="single" w:sz="4" w:space="0" w:color="auto"/>
              <w:bottom w:val="single" w:sz="4" w:space="0" w:color="auto"/>
              <w:right w:val="single" w:sz="4" w:space="0" w:color="auto"/>
            </w:tcBorders>
            <w:hideMark/>
          </w:tcPr>
          <w:p w14:paraId="1CD6244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29" w:type="pct"/>
            <w:tcBorders>
              <w:top w:val="single" w:sz="4" w:space="0" w:color="auto"/>
              <w:left w:val="single" w:sz="4" w:space="0" w:color="auto"/>
              <w:bottom w:val="single" w:sz="4" w:space="0" w:color="auto"/>
              <w:right w:val="single" w:sz="4" w:space="0" w:color="auto"/>
            </w:tcBorders>
            <w:hideMark/>
          </w:tcPr>
          <w:p w14:paraId="5E398E7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liquidación del contrato con el cierre ambiental</w:t>
            </w:r>
          </w:p>
        </w:tc>
        <w:tc>
          <w:tcPr>
            <w:tcW w:w="342" w:type="pct"/>
            <w:tcBorders>
              <w:top w:val="single" w:sz="4" w:space="0" w:color="auto"/>
              <w:left w:val="single" w:sz="4" w:space="0" w:color="auto"/>
              <w:bottom w:val="single" w:sz="4" w:space="0" w:color="auto"/>
              <w:right w:val="single" w:sz="4" w:space="0" w:color="auto"/>
            </w:tcBorders>
            <w:hideMark/>
          </w:tcPr>
          <w:p w14:paraId="611AE4D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Visitas de seguimiento y control para garantizar el Seguimiento a todos los protocolos y procesos de consulta previa de los proyectos Socialización desde el comienzo del proyecto a las comunidades que se encuentran directamente afectadas.  Seguimiento al proceso en conjunto con el Ministerio del Interior.</w:t>
            </w:r>
          </w:p>
        </w:tc>
        <w:tc>
          <w:tcPr>
            <w:tcW w:w="329" w:type="pct"/>
            <w:tcBorders>
              <w:top w:val="single" w:sz="4" w:space="0" w:color="auto"/>
              <w:left w:val="single" w:sz="4" w:space="0" w:color="auto"/>
              <w:bottom w:val="single" w:sz="4" w:space="0" w:color="auto"/>
              <w:right w:val="single" w:sz="4" w:space="0" w:color="auto"/>
            </w:tcBorders>
            <w:hideMark/>
          </w:tcPr>
          <w:p w14:paraId="5FCABB4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semanal mientras se resuelve la consulta previa</w:t>
            </w:r>
          </w:p>
        </w:tc>
      </w:tr>
      <w:tr w:rsidR="00BB7ED4" w14:paraId="56D85D66" w14:textId="77777777" w:rsidTr="009819B4">
        <w:trPr>
          <w:trHeight w:val="3630"/>
        </w:trPr>
        <w:tc>
          <w:tcPr>
            <w:tcW w:w="159" w:type="pct"/>
            <w:tcBorders>
              <w:top w:val="single" w:sz="4" w:space="0" w:color="auto"/>
              <w:left w:val="single" w:sz="4" w:space="0" w:color="auto"/>
              <w:bottom w:val="single" w:sz="4" w:space="0" w:color="auto"/>
              <w:right w:val="single" w:sz="4" w:space="0" w:color="auto"/>
            </w:tcBorders>
            <w:noWrap/>
            <w:hideMark/>
          </w:tcPr>
          <w:p w14:paraId="44BF609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23</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CE9BA9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DA88AC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5E1A0D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BE3D45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de la naturaleza</w:t>
            </w:r>
          </w:p>
        </w:tc>
        <w:tc>
          <w:tcPr>
            <w:tcW w:w="352" w:type="pct"/>
            <w:tcBorders>
              <w:top w:val="single" w:sz="4" w:space="0" w:color="auto"/>
              <w:left w:val="single" w:sz="4" w:space="0" w:color="auto"/>
              <w:bottom w:val="single" w:sz="4" w:space="0" w:color="auto"/>
              <w:right w:val="single" w:sz="4" w:space="0" w:color="auto"/>
            </w:tcBorders>
            <w:hideMark/>
          </w:tcPr>
          <w:p w14:paraId="5E56A41D"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Fuerza mayor asegurable</w:t>
            </w:r>
            <w:r>
              <w:rPr>
                <w:rFonts w:ascii="Arial" w:eastAsia="Times New Roman" w:hAnsi="Arial" w:cs="Arial"/>
                <w:sz w:val="10"/>
                <w:szCs w:val="10"/>
                <w:lang w:eastAsia="es-CO"/>
              </w:rPr>
              <w:t xml:space="preserve">.  Son las relacionadas con los impactos adversos debido a la ocurrencia de desastres naturales, que afecten los bienes, equipos, maquinaria, personal, insumos, materiales, etc. De propiedad del contratista.  Riesgo </w:t>
            </w:r>
            <w:r>
              <w:rPr>
                <w:rFonts w:ascii="Arial" w:eastAsia="Times New Roman" w:hAnsi="Arial" w:cs="Arial"/>
                <w:sz w:val="10"/>
                <w:szCs w:val="10"/>
                <w:lang w:eastAsia="es-CO"/>
              </w:rPr>
              <w:lastRenderedPageBreak/>
              <w:t xml:space="preserve">que asume el PROPONENTE Y/O CONTRATISTA.  Se excluyen daños en bienes de la nación que estarán a cargo de INVIAS. </w:t>
            </w:r>
          </w:p>
        </w:tc>
        <w:tc>
          <w:tcPr>
            <w:tcW w:w="300" w:type="pct"/>
            <w:tcBorders>
              <w:top w:val="single" w:sz="4" w:space="0" w:color="auto"/>
              <w:left w:val="single" w:sz="4" w:space="0" w:color="auto"/>
              <w:bottom w:val="single" w:sz="4" w:space="0" w:color="auto"/>
              <w:right w:val="single" w:sz="4" w:space="0" w:color="auto"/>
            </w:tcBorders>
            <w:hideMark/>
          </w:tcPr>
          <w:p w14:paraId="3CE2CC7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Demora en la ejecución del proyecto. Pérdida de bienes del Contratista</w:t>
            </w:r>
          </w:p>
        </w:tc>
        <w:tc>
          <w:tcPr>
            <w:tcW w:w="158" w:type="pct"/>
            <w:tcBorders>
              <w:top w:val="single" w:sz="4" w:space="0" w:color="auto"/>
              <w:left w:val="single" w:sz="4" w:space="0" w:color="auto"/>
              <w:bottom w:val="single" w:sz="4" w:space="0" w:color="auto"/>
              <w:right w:val="single" w:sz="4" w:space="0" w:color="auto"/>
            </w:tcBorders>
            <w:noWrap/>
            <w:hideMark/>
          </w:tcPr>
          <w:p w14:paraId="63C9F81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hideMark/>
          </w:tcPr>
          <w:p w14:paraId="563EAF6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3DDB7BE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282D07F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6" w:type="pct"/>
            <w:tcBorders>
              <w:top w:val="single" w:sz="4" w:space="0" w:color="auto"/>
              <w:left w:val="single" w:sz="4" w:space="0" w:color="auto"/>
              <w:bottom w:val="single" w:sz="4" w:space="0" w:color="auto"/>
              <w:right w:val="single" w:sz="4" w:space="0" w:color="auto"/>
            </w:tcBorders>
            <w:hideMark/>
          </w:tcPr>
          <w:p w14:paraId="6297474D"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91" w:type="pct"/>
            <w:tcBorders>
              <w:top w:val="single" w:sz="4" w:space="0" w:color="auto"/>
              <w:left w:val="single" w:sz="4" w:space="0" w:color="auto"/>
              <w:bottom w:val="single" w:sz="4" w:space="0" w:color="auto"/>
              <w:right w:val="single" w:sz="4" w:space="0" w:color="auto"/>
            </w:tcBorders>
            <w:hideMark/>
          </w:tcPr>
          <w:p w14:paraId="6097342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Recopilación de datos estadísticos e información a partir de las fuentes oficiales durante la etapa precontractual y contractual, sobre la ocurrencia de desastres naturales en la región del proyecto, para adoptar medidas tendientes a </w:t>
            </w:r>
            <w:r>
              <w:rPr>
                <w:rFonts w:ascii="Arial" w:eastAsia="Times New Roman" w:hAnsi="Arial" w:cs="Arial"/>
                <w:sz w:val="10"/>
                <w:szCs w:val="10"/>
                <w:lang w:eastAsia="es-CO"/>
              </w:rPr>
              <w:lastRenderedPageBreak/>
              <w:t>mitigar su impacto sobre bienes del contratista, tales como ubicación de campamentos y oficinas, maquinaria y equipos, acopios de materiales, planes de seguridad industrial para protección del personal en dichos eventos, etc.</w:t>
            </w:r>
          </w:p>
        </w:tc>
        <w:tc>
          <w:tcPr>
            <w:tcW w:w="111" w:type="pct"/>
            <w:tcBorders>
              <w:top w:val="single" w:sz="4" w:space="0" w:color="auto"/>
              <w:left w:val="single" w:sz="4" w:space="0" w:color="auto"/>
              <w:bottom w:val="single" w:sz="4" w:space="0" w:color="auto"/>
              <w:right w:val="single" w:sz="4" w:space="0" w:color="auto"/>
            </w:tcBorders>
            <w:hideMark/>
          </w:tcPr>
          <w:p w14:paraId="23B7CA0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58" w:type="pct"/>
            <w:tcBorders>
              <w:top w:val="single" w:sz="4" w:space="0" w:color="auto"/>
              <w:left w:val="single" w:sz="4" w:space="0" w:color="auto"/>
              <w:bottom w:val="single" w:sz="4" w:space="0" w:color="auto"/>
              <w:right w:val="single" w:sz="4" w:space="0" w:color="auto"/>
            </w:tcBorders>
            <w:hideMark/>
          </w:tcPr>
          <w:p w14:paraId="5CCF3C6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hideMark/>
          </w:tcPr>
          <w:p w14:paraId="154DE410"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6832F1B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Bajo</w:t>
            </w:r>
          </w:p>
        </w:tc>
        <w:tc>
          <w:tcPr>
            <w:tcW w:w="272" w:type="pct"/>
            <w:tcBorders>
              <w:top w:val="single" w:sz="4" w:space="0" w:color="auto"/>
              <w:left w:val="single" w:sz="4" w:space="0" w:color="auto"/>
              <w:bottom w:val="single" w:sz="4" w:space="0" w:color="auto"/>
              <w:right w:val="single" w:sz="4" w:space="0" w:color="auto"/>
            </w:tcBorders>
            <w:hideMark/>
          </w:tcPr>
          <w:p w14:paraId="056F99E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2570E58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29" w:type="pct"/>
            <w:tcBorders>
              <w:top w:val="single" w:sz="4" w:space="0" w:color="auto"/>
              <w:left w:val="single" w:sz="4" w:space="0" w:color="auto"/>
              <w:bottom w:val="single" w:sz="4" w:space="0" w:color="auto"/>
              <w:right w:val="single" w:sz="4" w:space="0" w:color="auto"/>
            </w:tcBorders>
            <w:hideMark/>
          </w:tcPr>
          <w:p w14:paraId="77222A0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Una vez instalado el contratista en el proyecto e implementado el plan de seguridad industrial con las debidas revisiones. </w:t>
            </w:r>
          </w:p>
        </w:tc>
        <w:tc>
          <w:tcPr>
            <w:tcW w:w="342" w:type="pct"/>
            <w:tcBorders>
              <w:top w:val="single" w:sz="4" w:space="0" w:color="auto"/>
              <w:left w:val="single" w:sz="4" w:space="0" w:color="auto"/>
              <w:bottom w:val="single" w:sz="4" w:space="0" w:color="auto"/>
              <w:right w:val="single" w:sz="4" w:space="0" w:color="auto"/>
            </w:tcBorders>
            <w:hideMark/>
          </w:tcPr>
          <w:p w14:paraId="74B270E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Revisiones de expertos del contratista en los tratamientos y controles a ser implementados</w:t>
            </w:r>
          </w:p>
        </w:tc>
        <w:tc>
          <w:tcPr>
            <w:tcW w:w="329" w:type="pct"/>
            <w:tcBorders>
              <w:top w:val="single" w:sz="4" w:space="0" w:color="auto"/>
              <w:left w:val="single" w:sz="4" w:space="0" w:color="auto"/>
              <w:bottom w:val="single" w:sz="4" w:space="0" w:color="auto"/>
              <w:right w:val="single" w:sz="4" w:space="0" w:color="auto"/>
            </w:tcBorders>
            <w:hideMark/>
          </w:tcPr>
          <w:p w14:paraId="7CA1662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Determinadas por los expertos del contratista en esta materia</w:t>
            </w:r>
          </w:p>
        </w:tc>
      </w:tr>
      <w:tr w:rsidR="00BB7ED4" w14:paraId="4AD96011" w14:textId="77777777" w:rsidTr="009819B4">
        <w:trPr>
          <w:trHeight w:val="3780"/>
        </w:trPr>
        <w:tc>
          <w:tcPr>
            <w:tcW w:w="159" w:type="pct"/>
            <w:tcBorders>
              <w:top w:val="single" w:sz="4" w:space="0" w:color="auto"/>
              <w:left w:val="single" w:sz="4" w:space="0" w:color="auto"/>
              <w:bottom w:val="single" w:sz="4" w:space="0" w:color="auto"/>
              <w:right w:val="single" w:sz="4" w:space="0" w:color="auto"/>
            </w:tcBorders>
            <w:noWrap/>
            <w:hideMark/>
          </w:tcPr>
          <w:p w14:paraId="458408A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24</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54D503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20AAAB1"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E430D0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textDirection w:val="btLr"/>
            <w:hideMark/>
          </w:tcPr>
          <w:p w14:paraId="4D56F53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político-social, Riesgo de la naturaleza</w:t>
            </w:r>
          </w:p>
        </w:tc>
        <w:tc>
          <w:tcPr>
            <w:tcW w:w="352" w:type="pct"/>
            <w:tcBorders>
              <w:top w:val="single" w:sz="4" w:space="0" w:color="auto"/>
              <w:left w:val="single" w:sz="4" w:space="0" w:color="auto"/>
              <w:bottom w:val="single" w:sz="4" w:space="0" w:color="auto"/>
              <w:right w:val="single" w:sz="4" w:space="0" w:color="auto"/>
            </w:tcBorders>
            <w:hideMark/>
          </w:tcPr>
          <w:p w14:paraId="1C0A49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b/>
                <w:bCs/>
                <w:sz w:val="10"/>
                <w:szCs w:val="10"/>
                <w:lang w:eastAsia="es-CO"/>
              </w:rPr>
              <w:t>Fuerza mayor no asegurable.</w:t>
            </w:r>
            <w:r>
              <w:rPr>
                <w:rFonts w:ascii="Arial" w:eastAsia="Times New Roman" w:hAnsi="Arial" w:cs="Arial"/>
                <w:sz w:val="10"/>
                <w:szCs w:val="10"/>
                <w:lang w:eastAsia="es-CO"/>
              </w:rPr>
              <w:t xml:space="preserve">  Incertidumbre de ocurrencia de eventos de fuerza mayor no asegurables, tales como guerras, hallazgos arqueológicos, yacimientos mineros, (INVIAS como órgano del Estado en armonía con los demás Entes).  Se define la Fuerza Mayor o Caso Fortuito, en los términos de la legislación existente.</w:t>
            </w:r>
          </w:p>
        </w:tc>
        <w:tc>
          <w:tcPr>
            <w:tcW w:w="300" w:type="pct"/>
            <w:tcBorders>
              <w:top w:val="single" w:sz="4" w:space="0" w:color="auto"/>
              <w:left w:val="single" w:sz="4" w:space="0" w:color="auto"/>
              <w:bottom w:val="single" w:sz="4" w:space="0" w:color="auto"/>
              <w:right w:val="single" w:sz="4" w:space="0" w:color="auto"/>
            </w:tcBorders>
            <w:hideMark/>
          </w:tcPr>
          <w:p w14:paraId="51C4AD1F"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Interferencia en la ejecución del proyecto, pérdidas de bienes de la nación o del contratista, cambios en las obras por necesidad de ajustar diseños</w:t>
            </w:r>
          </w:p>
        </w:tc>
        <w:tc>
          <w:tcPr>
            <w:tcW w:w="158" w:type="pct"/>
            <w:tcBorders>
              <w:top w:val="single" w:sz="4" w:space="0" w:color="auto"/>
              <w:left w:val="single" w:sz="4" w:space="0" w:color="auto"/>
              <w:bottom w:val="single" w:sz="4" w:space="0" w:color="auto"/>
              <w:right w:val="single" w:sz="4" w:space="0" w:color="auto"/>
            </w:tcBorders>
            <w:noWrap/>
            <w:hideMark/>
          </w:tcPr>
          <w:p w14:paraId="01326C09"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hideMark/>
          </w:tcPr>
          <w:p w14:paraId="06674CB8"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hideMark/>
          </w:tcPr>
          <w:p w14:paraId="43F6F235"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73B6A58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6" w:type="pct"/>
            <w:tcBorders>
              <w:top w:val="single" w:sz="4" w:space="0" w:color="auto"/>
              <w:left w:val="single" w:sz="4" w:space="0" w:color="auto"/>
              <w:bottom w:val="single" w:sz="4" w:space="0" w:color="auto"/>
              <w:right w:val="single" w:sz="4" w:space="0" w:color="auto"/>
            </w:tcBorders>
            <w:hideMark/>
          </w:tcPr>
          <w:p w14:paraId="40F98842" w14:textId="77777777" w:rsidR="00BB7ED4" w:rsidRDefault="00BB7ED4" w:rsidP="009819B4">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91" w:type="pct"/>
            <w:tcBorders>
              <w:top w:val="single" w:sz="4" w:space="0" w:color="auto"/>
              <w:left w:val="single" w:sz="4" w:space="0" w:color="auto"/>
              <w:bottom w:val="single" w:sz="4" w:space="0" w:color="auto"/>
              <w:right w:val="single" w:sz="4" w:space="0" w:color="auto"/>
            </w:tcBorders>
            <w:hideMark/>
          </w:tcPr>
          <w:p w14:paraId="3FED1FD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tendientes a mitigar el impacto.  Ante la aparición del evento efectuar los ajustes de diseño para las modificaciones a que hubiere lugar en la ejecución del proyecto. En caso de guerra tratar y acordar con Invias el tratamiento contractu</w:t>
            </w:r>
            <w:r>
              <w:rPr>
                <w:rFonts w:ascii="Arial" w:eastAsia="Times New Roman" w:hAnsi="Arial" w:cs="Arial"/>
                <w:sz w:val="10"/>
                <w:szCs w:val="10"/>
                <w:lang w:eastAsia="es-CO"/>
              </w:rPr>
              <w:lastRenderedPageBreak/>
              <w:t>al al proyecto</w:t>
            </w:r>
          </w:p>
        </w:tc>
        <w:tc>
          <w:tcPr>
            <w:tcW w:w="111" w:type="pct"/>
            <w:tcBorders>
              <w:top w:val="single" w:sz="4" w:space="0" w:color="auto"/>
              <w:left w:val="single" w:sz="4" w:space="0" w:color="auto"/>
              <w:bottom w:val="single" w:sz="4" w:space="0" w:color="auto"/>
              <w:right w:val="single" w:sz="4" w:space="0" w:color="auto"/>
            </w:tcBorders>
            <w:hideMark/>
          </w:tcPr>
          <w:p w14:paraId="06EA9EF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58" w:type="pct"/>
            <w:tcBorders>
              <w:top w:val="single" w:sz="4" w:space="0" w:color="auto"/>
              <w:left w:val="single" w:sz="4" w:space="0" w:color="auto"/>
              <w:bottom w:val="single" w:sz="4" w:space="0" w:color="auto"/>
              <w:right w:val="single" w:sz="4" w:space="0" w:color="auto"/>
            </w:tcBorders>
            <w:hideMark/>
          </w:tcPr>
          <w:p w14:paraId="71E073B7"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4AC43076"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6383F7CE"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Bajo</w:t>
            </w:r>
          </w:p>
        </w:tc>
        <w:tc>
          <w:tcPr>
            <w:tcW w:w="272" w:type="pct"/>
            <w:tcBorders>
              <w:top w:val="single" w:sz="4" w:space="0" w:color="auto"/>
              <w:left w:val="single" w:sz="4" w:space="0" w:color="auto"/>
              <w:bottom w:val="single" w:sz="4" w:space="0" w:color="auto"/>
              <w:right w:val="single" w:sz="4" w:space="0" w:color="auto"/>
            </w:tcBorders>
            <w:hideMark/>
          </w:tcPr>
          <w:p w14:paraId="58C68AFA"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53CE7D4C"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29" w:type="pct"/>
            <w:tcBorders>
              <w:top w:val="single" w:sz="4" w:space="0" w:color="auto"/>
              <w:left w:val="single" w:sz="4" w:space="0" w:color="auto"/>
              <w:bottom w:val="single" w:sz="4" w:space="0" w:color="auto"/>
              <w:right w:val="single" w:sz="4" w:space="0" w:color="auto"/>
            </w:tcBorders>
            <w:hideMark/>
          </w:tcPr>
          <w:p w14:paraId="33A9BCB4"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342" w:type="pct"/>
            <w:tcBorders>
              <w:top w:val="single" w:sz="4" w:space="0" w:color="auto"/>
              <w:left w:val="single" w:sz="4" w:space="0" w:color="auto"/>
              <w:bottom w:val="single" w:sz="4" w:space="0" w:color="auto"/>
              <w:right w:val="single" w:sz="4" w:space="0" w:color="auto"/>
            </w:tcBorders>
            <w:hideMark/>
          </w:tcPr>
          <w:p w14:paraId="11B9150B"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Revisión de la información obtenida, para tomar las medidas a que haya lugar </w:t>
            </w:r>
          </w:p>
        </w:tc>
        <w:tc>
          <w:tcPr>
            <w:tcW w:w="329" w:type="pct"/>
            <w:tcBorders>
              <w:top w:val="single" w:sz="4" w:space="0" w:color="auto"/>
              <w:left w:val="single" w:sz="4" w:space="0" w:color="auto"/>
              <w:bottom w:val="single" w:sz="4" w:space="0" w:color="auto"/>
              <w:right w:val="single" w:sz="4" w:space="0" w:color="auto"/>
            </w:tcBorders>
            <w:hideMark/>
          </w:tcPr>
          <w:p w14:paraId="0468FDB3"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En la etapa precontractual y en la contractual cuando se presente el evento.</w:t>
            </w:r>
          </w:p>
        </w:tc>
      </w:tr>
      <w:tr w:rsidR="00BB7ED4" w14:paraId="26EBF29A" w14:textId="77777777" w:rsidTr="009819B4">
        <w:trPr>
          <w:trHeight w:val="2325"/>
        </w:trPr>
        <w:tc>
          <w:tcPr>
            <w:tcW w:w="159" w:type="pct"/>
            <w:tcBorders>
              <w:top w:val="single" w:sz="4" w:space="0" w:color="auto"/>
              <w:left w:val="single" w:sz="4" w:space="0" w:color="auto"/>
              <w:bottom w:val="single" w:sz="4" w:space="0" w:color="auto"/>
              <w:right w:val="single" w:sz="4" w:space="0" w:color="auto"/>
            </w:tcBorders>
            <w:noWrap/>
            <w:hideMark/>
          </w:tcPr>
          <w:p w14:paraId="1047542E"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25</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B7520A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773A759"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Externo </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AE7F00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EEF14C8"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Riesgos de la Salud</w:t>
            </w:r>
          </w:p>
        </w:tc>
        <w:tc>
          <w:tcPr>
            <w:tcW w:w="352" w:type="pct"/>
            <w:tcBorders>
              <w:top w:val="single" w:sz="4" w:space="0" w:color="auto"/>
              <w:left w:val="single" w:sz="4" w:space="0" w:color="auto"/>
              <w:bottom w:val="single" w:sz="4" w:space="0" w:color="auto"/>
              <w:right w:val="single" w:sz="4" w:space="0" w:color="auto"/>
            </w:tcBorders>
            <w:hideMark/>
          </w:tcPr>
          <w:p w14:paraId="54FCFBE5" w14:textId="77777777" w:rsidR="00BB7ED4" w:rsidRDefault="00BB7ED4" w:rsidP="009819B4">
            <w:pPr>
              <w:jc w:val="center"/>
              <w:rPr>
                <w:rFonts w:ascii="Arial" w:eastAsia="Times New Roman" w:hAnsi="Arial" w:cs="Arial"/>
                <w:b/>
                <w:bCs/>
                <w:color w:val="000000"/>
                <w:sz w:val="10"/>
                <w:szCs w:val="10"/>
                <w:lang w:eastAsia="es-CO"/>
              </w:rPr>
            </w:pPr>
            <w:r>
              <w:rPr>
                <w:rFonts w:ascii="Arial" w:eastAsia="Times New Roman" w:hAnsi="Arial" w:cs="Arial"/>
                <w:b/>
                <w:bCs/>
                <w:color w:val="000000"/>
                <w:sz w:val="10"/>
                <w:szCs w:val="10"/>
                <w:lang w:eastAsia="es-CO"/>
              </w:rPr>
              <w:t xml:space="preserve">Presencia de Riesgos Biológicos. </w:t>
            </w:r>
            <w:r>
              <w:rPr>
                <w:rFonts w:ascii="Arial" w:eastAsia="Times New Roman" w:hAnsi="Arial" w:cs="Arial"/>
                <w:color w:val="000000"/>
                <w:sz w:val="10"/>
                <w:szCs w:val="10"/>
                <w:lang w:eastAsia="es-CO"/>
              </w:rPr>
              <w:t xml:space="preserve">Se refiere a la posibilidad que, durante la ejecución del contrato, los colaboradores del contratista presenten síntomas de enfermedades altamente contagiosas y que afecten y deterioren la Salud del Personal. </w:t>
            </w:r>
          </w:p>
        </w:tc>
        <w:tc>
          <w:tcPr>
            <w:tcW w:w="300" w:type="pct"/>
            <w:tcBorders>
              <w:top w:val="single" w:sz="4" w:space="0" w:color="auto"/>
              <w:left w:val="single" w:sz="4" w:space="0" w:color="auto"/>
              <w:bottom w:val="single" w:sz="4" w:space="0" w:color="auto"/>
              <w:right w:val="single" w:sz="4" w:space="0" w:color="auto"/>
            </w:tcBorders>
            <w:hideMark/>
          </w:tcPr>
          <w:p w14:paraId="085865B9"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Deterioro notorio y grave de la salud y posible contagio</w:t>
            </w:r>
          </w:p>
        </w:tc>
        <w:tc>
          <w:tcPr>
            <w:tcW w:w="158" w:type="pct"/>
            <w:tcBorders>
              <w:top w:val="single" w:sz="4" w:space="0" w:color="auto"/>
              <w:left w:val="single" w:sz="4" w:space="0" w:color="auto"/>
              <w:bottom w:val="single" w:sz="4" w:space="0" w:color="auto"/>
              <w:right w:val="single" w:sz="4" w:space="0" w:color="auto"/>
            </w:tcBorders>
            <w:noWrap/>
            <w:hideMark/>
          </w:tcPr>
          <w:p w14:paraId="42432267"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248BAC1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1D561D64"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0BB244C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5105F3D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Contratista</w:t>
            </w:r>
          </w:p>
        </w:tc>
        <w:tc>
          <w:tcPr>
            <w:tcW w:w="391" w:type="pct"/>
            <w:tcBorders>
              <w:top w:val="single" w:sz="4" w:space="0" w:color="auto"/>
              <w:left w:val="single" w:sz="4" w:space="0" w:color="auto"/>
              <w:bottom w:val="single" w:sz="4" w:space="0" w:color="auto"/>
              <w:right w:val="single" w:sz="4" w:space="0" w:color="auto"/>
            </w:tcBorders>
            <w:hideMark/>
          </w:tcPr>
          <w:p w14:paraId="6C676B1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11" w:type="pct"/>
            <w:tcBorders>
              <w:top w:val="single" w:sz="4" w:space="0" w:color="auto"/>
              <w:left w:val="single" w:sz="4" w:space="0" w:color="auto"/>
              <w:bottom w:val="single" w:sz="4" w:space="0" w:color="auto"/>
              <w:right w:val="single" w:sz="4" w:space="0" w:color="auto"/>
            </w:tcBorders>
            <w:hideMark/>
          </w:tcPr>
          <w:p w14:paraId="5685681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56F62BE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3CFFA4B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36600D14"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1DE27C0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14BBEDA2"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contratistas de Obras, de Estudios y Diseños interventor, Supervisor Invias </w:t>
            </w:r>
          </w:p>
        </w:tc>
        <w:tc>
          <w:tcPr>
            <w:tcW w:w="329" w:type="pct"/>
            <w:tcBorders>
              <w:top w:val="single" w:sz="4" w:space="0" w:color="auto"/>
              <w:left w:val="single" w:sz="4" w:space="0" w:color="auto"/>
              <w:bottom w:val="single" w:sz="4" w:space="0" w:color="auto"/>
              <w:right w:val="single" w:sz="4" w:space="0" w:color="auto"/>
            </w:tcBorders>
            <w:hideMark/>
          </w:tcPr>
          <w:p w14:paraId="08982D5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 la terminación del contrato</w:t>
            </w:r>
          </w:p>
        </w:tc>
        <w:tc>
          <w:tcPr>
            <w:tcW w:w="342" w:type="pct"/>
            <w:tcBorders>
              <w:top w:val="single" w:sz="4" w:space="0" w:color="auto"/>
              <w:left w:val="single" w:sz="4" w:space="0" w:color="auto"/>
              <w:bottom w:val="single" w:sz="4" w:space="0" w:color="auto"/>
              <w:right w:val="single" w:sz="4" w:space="0" w:color="auto"/>
            </w:tcBorders>
            <w:hideMark/>
          </w:tcPr>
          <w:p w14:paraId="510FC250"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329" w:type="pct"/>
            <w:tcBorders>
              <w:top w:val="single" w:sz="4" w:space="0" w:color="auto"/>
              <w:left w:val="single" w:sz="4" w:space="0" w:color="auto"/>
              <w:bottom w:val="single" w:sz="4" w:space="0" w:color="auto"/>
              <w:right w:val="single" w:sz="4" w:space="0" w:color="auto"/>
            </w:tcBorders>
            <w:hideMark/>
          </w:tcPr>
          <w:p w14:paraId="649E45E3"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Cada vez que haya novedades de cambio de personal</w:t>
            </w:r>
          </w:p>
        </w:tc>
      </w:tr>
      <w:tr w:rsidR="00BB7ED4" w14:paraId="63DAA9B0" w14:textId="77777777" w:rsidTr="009819B4">
        <w:trPr>
          <w:trHeight w:val="2145"/>
        </w:trPr>
        <w:tc>
          <w:tcPr>
            <w:tcW w:w="159" w:type="pct"/>
            <w:tcBorders>
              <w:top w:val="single" w:sz="4" w:space="0" w:color="auto"/>
              <w:left w:val="single" w:sz="4" w:space="0" w:color="auto"/>
              <w:bottom w:val="single" w:sz="4" w:space="0" w:color="auto"/>
              <w:right w:val="single" w:sz="4" w:space="0" w:color="auto"/>
            </w:tcBorders>
            <w:noWrap/>
            <w:hideMark/>
          </w:tcPr>
          <w:p w14:paraId="44C6CF51"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26</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A0C3A4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225A10B"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8A0139D"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Ejecución</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01D481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Riesgos de la Salud</w:t>
            </w:r>
          </w:p>
        </w:tc>
        <w:tc>
          <w:tcPr>
            <w:tcW w:w="352" w:type="pct"/>
            <w:tcBorders>
              <w:top w:val="single" w:sz="4" w:space="0" w:color="auto"/>
              <w:left w:val="single" w:sz="4" w:space="0" w:color="auto"/>
              <w:bottom w:val="single" w:sz="4" w:space="0" w:color="auto"/>
              <w:right w:val="single" w:sz="4" w:space="0" w:color="auto"/>
            </w:tcBorders>
            <w:hideMark/>
          </w:tcPr>
          <w:p w14:paraId="4E63CDA9" w14:textId="77777777" w:rsidR="00BB7ED4" w:rsidRDefault="00BB7ED4" w:rsidP="009819B4">
            <w:pPr>
              <w:jc w:val="center"/>
              <w:rPr>
                <w:rFonts w:ascii="Arial" w:eastAsia="Times New Roman" w:hAnsi="Arial" w:cs="Arial"/>
                <w:b/>
                <w:bCs/>
                <w:color w:val="000000"/>
                <w:sz w:val="10"/>
                <w:szCs w:val="10"/>
                <w:lang w:eastAsia="es-CO"/>
              </w:rPr>
            </w:pPr>
            <w:r>
              <w:rPr>
                <w:rFonts w:ascii="Arial" w:eastAsia="Times New Roman" w:hAnsi="Arial" w:cs="Arial"/>
                <w:b/>
                <w:bCs/>
                <w:color w:val="000000"/>
                <w:sz w:val="10"/>
                <w:szCs w:val="10"/>
                <w:lang w:eastAsia="es-CO"/>
              </w:rPr>
              <w:t xml:space="preserve">Disponibilidad de los Elementos de Protección Personal. </w:t>
            </w:r>
            <w:r>
              <w:rPr>
                <w:rFonts w:ascii="Arial" w:eastAsia="Times New Roman" w:hAnsi="Arial" w:cs="Arial"/>
                <w:color w:val="000000"/>
                <w:sz w:val="10"/>
                <w:szCs w:val="10"/>
                <w:lang w:eastAsia="es-CO"/>
              </w:rPr>
              <w:t>Se refiere a la posibilidad de que el Contratista no disponga o suministre a sus colaboradores de las Obras, Interventoría y demás los Elementos de Protección Personal EPP y los de Riesgo Bilógico.</w:t>
            </w:r>
          </w:p>
        </w:tc>
        <w:tc>
          <w:tcPr>
            <w:tcW w:w="300" w:type="pct"/>
            <w:tcBorders>
              <w:top w:val="single" w:sz="4" w:space="0" w:color="auto"/>
              <w:left w:val="single" w:sz="4" w:space="0" w:color="auto"/>
              <w:bottom w:val="single" w:sz="4" w:space="0" w:color="auto"/>
              <w:right w:val="single" w:sz="4" w:space="0" w:color="auto"/>
            </w:tcBorders>
            <w:hideMark/>
          </w:tcPr>
          <w:p w14:paraId="65D5996B"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Accidentes de trabajo y posible exposición a Riegos Biológicos</w:t>
            </w:r>
          </w:p>
        </w:tc>
        <w:tc>
          <w:tcPr>
            <w:tcW w:w="158" w:type="pct"/>
            <w:tcBorders>
              <w:top w:val="single" w:sz="4" w:space="0" w:color="auto"/>
              <w:left w:val="single" w:sz="4" w:space="0" w:color="auto"/>
              <w:bottom w:val="single" w:sz="4" w:space="0" w:color="auto"/>
              <w:right w:val="single" w:sz="4" w:space="0" w:color="auto"/>
            </w:tcBorders>
            <w:noWrap/>
            <w:hideMark/>
          </w:tcPr>
          <w:p w14:paraId="4E6B939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hideMark/>
          </w:tcPr>
          <w:p w14:paraId="1009A2AF"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hideMark/>
          </w:tcPr>
          <w:p w14:paraId="5CB2C819"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51B34D9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Alto</w:t>
            </w:r>
          </w:p>
        </w:tc>
        <w:tc>
          <w:tcPr>
            <w:tcW w:w="316" w:type="pct"/>
            <w:tcBorders>
              <w:top w:val="single" w:sz="4" w:space="0" w:color="auto"/>
              <w:left w:val="single" w:sz="4" w:space="0" w:color="auto"/>
              <w:bottom w:val="single" w:sz="4" w:space="0" w:color="auto"/>
              <w:right w:val="single" w:sz="4" w:space="0" w:color="auto"/>
            </w:tcBorders>
            <w:hideMark/>
          </w:tcPr>
          <w:p w14:paraId="66B4398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Contratista</w:t>
            </w:r>
          </w:p>
        </w:tc>
        <w:tc>
          <w:tcPr>
            <w:tcW w:w="391" w:type="pct"/>
            <w:tcBorders>
              <w:top w:val="single" w:sz="4" w:space="0" w:color="auto"/>
              <w:left w:val="single" w:sz="4" w:space="0" w:color="auto"/>
              <w:bottom w:val="single" w:sz="4" w:space="0" w:color="auto"/>
              <w:right w:val="single" w:sz="4" w:space="0" w:color="auto"/>
            </w:tcBorders>
            <w:hideMark/>
          </w:tcPr>
          <w:p w14:paraId="2B10A9B2" w14:textId="77777777" w:rsidR="00BB7ED4" w:rsidRDefault="00BB7ED4" w:rsidP="009819B4">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El contratista deberá suministrar todos los EPP a sus colaboradores en las obras, o solicitar a la ARL que los suministre </w:t>
            </w:r>
          </w:p>
        </w:tc>
        <w:tc>
          <w:tcPr>
            <w:tcW w:w="111" w:type="pct"/>
            <w:tcBorders>
              <w:top w:val="single" w:sz="4" w:space="0" w:color="auto"/>
              <w:left w:val="single" w:sz="4" w:space="0" w:color="auto"/>
              <w:bottom w:val="single" w:sz="4" w:space="0" w:color="auto"/>
              <w:right w:val="single" w:sz="4" w:space="0" w:color="auto"/>
            </w:tcBorders>
            <w:hideMark/>
          </w:tcPr>
          <w:p w14:paraId="394AD27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hideMark/>
          </w:tcPr>
          <w:p w14:paraId="067970B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hideMark/>
          </w:tcPr>
          <w:p w14:paraId="7BE68AAD"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5662F965"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Medio</w:t>
            </w:r>
          </w:p>
        </w:tc>
        <w:tc>
          <w:tcPr>
            <w:tcW w:w="272" w:type="pct"/>
            <w:tcBorders>
              <w:top w:val="single" w:sz="4" w:space="0" w:color="auto"/>
              <w:left w:val="single" w:sz="4" w:space="0" w:color="auto"/>
              <w:bottom w:val="single" w:sz="4" w:space="0" w:color="auto"/>
              <w:right w:val="single" w:sz="4" w:space="0" w:color="auto"/>
            </w:tcBorders>
            <w:hideMark/>
          </w:tcPr>
          <w:p w14:paraId="2E067CE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84" w:type="pct"/>
            <w:tcBorders>
              <w:top w:val="single" w:sz="4" w:space="0" w:color="auto"/>
              <w:left w:val="single" w:sz="4" w:space="0" w:color="auto"/>
              <w:bottom w:val="single" w:sz="4" w:space="0" w:color="auto"/>
              <w:right w:val="single" w:sz="4" w:space="0" w:color="auto"/>
            </w:tcBorders>
            <w:hideMark/>
          </w:tcPr>
          <w:p w14:paraId="49F32C6C"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contratistas de Obras, de Estudios y Diseños interventor, Supervisor Invias </w:t>
            </w:r>
          </w:p>
        </w:tc>
        <w:tc>
          <w:tcPr>
            <w:tcW w:w="329" w:type="pct"/>
            <w:tcBorders>
              <w:top w:val="single" w:sz="4" w:space="0" w:color="auto"/>
              <w:left w:val="single" w:sz="4" w:space="0" w:color="auto"/>
              <w:bottom w:val="single" w:sz="4" w:space="0" w:color="auto"/>
              <w:right w:val="single" w:sz="4" w:space="0" w:color="auto"/>
            </w:tcBorders>
            <w:hideMark/>
          </w:tcPr>
          <w:p w14:paraId="10FBF80A"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 la terminación del contrato</w:t>
            </w:r>
          </w:p>
        </w:tc>
        <w:tc>
          <w:tcPr>
            <w:tcW w:w="342" w:type="pct"/>
            <w:tcBorders>
              <w:top w:val="single" w:sz="4" w:space="0" w:color="auto"/>
              <w:left w:val="single" w:sz="4" w:space="0" w:color="auto"/>
              <w:bottom w:val="single" w:sz="4" w:space="0" w:color="auto"/>
              <w:right w:val="single" w:sz="4" w:space="0" w:color="auto"/>
            </w:tcBorders>
            <w:hideMark/>
          </w:tcPr>
          <w:p w14:paraId="2D675214"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Vigilancia permanente de los cambios de salud de los colaboradores</w:t>
            </w:r>
          </w:p>
        </w:tc>
        <w:tc>
          <w:tcPr>
            <w:tcW w:w="329" w:type="pct"/>
            <w:tcBorders>
              <w:top w:val="single" w:sz="4" w:space="0" w:color="auto"/>
              <w:left w:val="single" w:sz="4" w:space="0" w:color="auto"/>
              <w:bottom w:val="single" w:sz="4" w:space="0" w:color="auto"/>
              <w:right w:val="single" w:sz="4" w:space="0" w:color="auto"/>
            </w:tcBorders>
            <w:hideMark/>
          </w:tcPr>
          <w:p w14:paraId="6FC496D0" w14:textId="77777777" w:rsidR="00BB7ED4" w:rsidRDefault="00BB7ED4" w:rsidP="009819B4">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Diario</w:t>
            </w:r>
          </w:p>
        </w:tc>
      </w:tr>
    </w:tbl>
    <w:p w14:paraId="4C0B5AE3" w14:textId="77777777" w:rsidR="00BB7ED4" w:rsidRPr="00D2740F" w:rsidRDefault="00BB7ED4" w:rsidP="00D70D7B">
      <w:pPr>
        <w:spacing w:after="100" w:afterAutospacing="1"/>
        <w:rPr>
          <w:rFonts w:ascii="Arial" w:eastAsia="SimSun" w:hAnsi="Arial" w:cs="Arial"/>
          <w:color w:val="000000" w:themeColor="text1"/>
          <w:kern w:val="3"/>
          <w:sz w:val="20"/>
          <w:szCs w:val="20"/>
          <w:lang w:eastAsia="zh-CN" w:bidi="hi-IN"/>
        </w:rPr>
      </w:pP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647D" w14:textId="77777777" w:rsidR="0061570B" w:rsidRDefault="0061570B" w:rsidP="00091875">
      <w:pPr>
        <w:spacing w:line="240" w:lineRule="auto"/>
      </w:pPr>
      <w:r>
        <w:separator/>
      </w:r>
    </w:p>
  </w:endnote>
  <w:endnote w:type="continuationSeparator" w:id="0">
    <w:p w14:paraId="75D14910" w14:textId="77777777" w:rsidR="0061570B" w:rsidRDefault="0061570B"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241A33" w:rsidRPr="00241A33" w14:paraId="436846A7" w14:textId="77777777" w:rsidTr="00E858D4">
          <w:trPr>
            <w:trHeight w:val="220"/>
          </w:trPr>
          <w:tc>
            <w:tcPr>
              <w:tcW w:w="969" w:type="pct"/>
              <w:shd w:val="clear" w:color="auto" w:fill="auto"/>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7A656B" w:rsidRPr="00241A33" w:rsidRDefault="00241A33"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53042" w14:textId="77777777" w:rsidR="0061570B" w:rsidRDefault="0061570B" w:rsidP="00091875">
      <w:pPr>
        <w:spacing w:line="240" w:lineRule="auto"/>
      </w:pPr>
      <w:r>
        <w:separator/>
      </w:r>
    </w:p>
  </w:footnote>
  <w:footnote w:type="continuationSeparator" w:id="0">
    <w:p w14:paraId="10F8C86E" w14:textId="77777777" w:rsidR="0061570B" w:rsidRDefault="0061570B"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624AC2" w:rsidRPr="0002791E" w14:paraId="6EC2D68E" w14:textId="77777777" w:rsidTr="00406BBF">
      <w:trPr>
        <w:trHeight w:val="146"/>
        <w:jc w:val="center"/>
      </w:trPr>
      <w:tc>
        <w:tcPr>
          <w:tcW w:w="5000" w:type="pct"/>
          <w:gridSpan w:val="4"/>
          <w:shd w:val="clear" w:color="auto" w:fill="auto"/>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5C5CE1F2"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 </w:t>
          </w:r>
        </w:p>
      </w:tc>
    </w:tr>
    <w:tr w:rsidR="00624AC2" w:rsidRPr="0002791E" w14:paraId="35700087" w14:textId="77777777" w:rsidTr="00624AC2">
      <w:trPr>
        <w:trHeight w:val="234"/>
        <w:jc w:val="center"/>
      </w:trPr>
      <w:tc>
        <w:tcPr>
          <w:tcW w:w="674" w:type="pct"/>
          <w:shd w:val="clear" w:color="auto" w:fill="auto"/>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shd w:val="clear" w:color="auto" w:fill="auto"/>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624AC2" w:rsidRPr="003D7EF4" w:rsidRDefault="00624AC2"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5406446">
    <w:abstractNumId w:val="6"/>
  </w:num>
  <w:num w:numId="2" w16cid:durableId="840662894">
    <w:abstractNumId w:val="6"/>
  </w:num>
  <w:num w:numId="3" w16cid:durableId="1406411909">
    <w:abstractNumId w:val="6"/>
  </w:num>
  <w:num w:numId="4" w16cid:durableId="1473788638">
    <w:abstractNumId w:val="6"/>
  </w:num>
  <w:num w:numId="5" w16cid:durableId="1169566290">
    <w:abstractNumId w:val="6"/>
  </w:num>
  <w:num w:numId="6" w16cid:durableId="1293752603">
    <w:abstractNumId w:val="6"/>
  </w:num>
  <w:num w:numId="7" w16cid:durableId="1735080444">
    <w:abstractNumId w:val="6"/>
  </w:num>
  <w:num w:numId="8" w16cid:durableId="97263698">
    <w:abstractNumId w:val="6"/>
  </w:num>
  <w:num w:numId="9" w16cid:durableId="62720284">
    <w:abstractNumId w:val="6"/>
  </w:num>
  <w:num w:numId="10" w16cid:durableId="1061252315">
    <w:abstractNumId w:val="3"/>
  </w:num>
  <w:num w:numId="11" w16cid:durableId="227616491">
    <w:abstractNumId w:val="1"/>
  </w:num>
  <w:num w:numId="12" w16cid:durableId="1994721547">
    <w:abstractNumId w:val="21"/>
  </w:num>
  <w:num w:numId="13" w16cid:durableId="1018652825">
    <w:abstractNumId w:val="29"/>
  </w:num>
  <w:num w:numId="14" w16cid:durableId="2062750244">
    <w:abstractNumId w:val="14"/>
  </w:num>
  <w:num w:numId="15" w16cid:durableId="147789761">
    <w:abstractNumId w:val="16"/>
  </w:num>
  <w:num w:numId="16" w16cid:durableId="1678077258">
    <w:abstractNumId w:val="0"/>
  </w:num>
  <w:num w:numId="17" w16cid:durableId="591012263">
    <w:abstractNumId w:val="2"/>
  </w:num>
  <w:num w:numId="18" w16cid:durableId="2061394938">
    <w:abstractNumId w:val="9"/>
  </w:num>
  <w:num w:numId="19" w16cid:durableId="504708235">
    <w:abstractNumId w:val="4"/>
  </w:num>
  <w:num w:numId="20" w16cid:durableId="654838678">
    <w:abstractNumId w:val="18"/>
  </w:num>
  <w:num w:numId="21" w16cid:durableId="38820670">
    <w:abstractNumId w:val="7"/>
  </w:num>
  <w:num w:numId="22" w16cid:durableId="1681544959">
    <w:abstractNumId w:val="27"/>
  </w:num>
  <w:num w:numId="23" w16cid:durableId="265160963">
    <w:abstractNumId w:val="11"/>
  </w:num>
  <w:num w:numId="24" w16cid:durableId="1649550587">
    <w:abstractNumId w:val="12"/>
  </w:num>
  <w:num w:numId="25" w16cid:durableId="1010181242">
    <w:abstractNumId w:val="5"/>
  </w:num>
  <w:num w:numId="26" w16cid:durableId="998190631">
    <w:abstractNumId w:val="17"/>
  </w:num>
  <w:num w:numId="27" w16cid:durableId="1622611965">
    <w:abstractNumId w:val="15"/>
  </w:num>
  <w:num w:numId="28" w16cid:durableId="512494252">
    <w:abstractNumId w:val="10"/>
  </w:num>
  <w:num w:numId="29" w16cid:durableId="1445271283">
    <w:abstractNumId w:val="25"/>
  </w:num>
  <w:num w:numId="30" w16cid:durableId="1570964651">
    <w:abstractNumId w:val="26"/>
  </w:num>
  <w:num w:numId="31" w16cid:durableId="571233043">
    <w:abstractNumId w:val="24"/>
  </w:num>
  <w:num w:numId="32" w16cid:durableId="156262738">
    <w:abstractNumId w:val="13"/>
  </w:num>
  <w:num w:numId="33" w16cid:durableId="54738760">
    <w:abstractNumId w:val="23"/>
  </w:num>
  <w:num w:numId="34" w16cid:durableId="1420100499">
    <w:abstractNumId w:val="8"/>
  </w:num>
  <w:num w:numId="35" w16cid:durableId="2030401810">
    <w:abstractNumId w:val="22"/>
  </w:num>
  <w:num w:numId="36" w16cid:durableId="297565720">
    <w:abstractNumId w:val="28"/>
  </w:num>
  <w:num w:numId="37" w16cid:durableId="1323699851">
    <w:abstractNumId w:val="20"/>
  </w:num>
  <w:num w:numId="38" w16cid:durableId="1401708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1570B"/>
    <w:rsid w:val="00624AC2"/>
    <w:rsid w:val="00686C25"/>
    <w:rsid w:val="00697703"/>
    <w:rsid w:val="006A328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3874"/>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B7ED4"/>
    <w:rsid w:val="00BC48AE"/>
    <w:rsid w:val="00C474B8"/>
    <w:rsid w:val="00C53FEB"/>
    <w:rsid w:val="00C61BDB"/>
    <w:rsid w:val="00C71F76"/>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3DB30FAC-C0AD-41C3-9355-304897C3D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4658</Words>
  <Characters>25619</Characters>
  <Application>Microsoft Office Word</Application>
  <DocSecurity>0</DocSecurity>
  <Lines>213</Lines>
  <Paragraphs>60</Paragraphs>
  <ScaleCrop>false</ScaleCrop>
  <Company>Hewlett-Packard Company</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Leidy Vanesa Casilimas Pabon</cp:lastModifiedBy>
  <cp:revision>2</cp:revision>
  <cp:lastPrinted>2020-11-13T23:50:00Z</cp:lastPrinted>
  <dcterms:created xsi:type="dcterms:W3CDTF">2024-04-22T14:49:00Z</dcterms:created>
  <dcterms:modified xsi:type="dcterms:W3CDTF">2024-04-22T14:49:00Z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